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charts/chart99.xml" ContentType="application/vnd.openxmlformats-officedocument.drawingml.chart+xml"/>
  <Override PartName="/word/theme/themeOverride22.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Override PartName="/word/drawings/drawing6.xml" ContentType="application/vnd.openxmlformats-officedocument.drawingml.chartshapes+xml"/>
  <Override PartName="/word/charts/chart77.xml" ContentType="application/vnd.openxmlformats-officedocument.drawingml.chart+xml"/>
  <Override PartName="/word/theme/themeOverride11.xml" ContentType="application/vnd.openxmlformats-officedocument.themeOverride+xml"/>
  <Override PartName="/word/charts/chart88.xml" ContentType="application/vnd.openxmlformats-officedocument.drawingml.chart+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charts/chart89.xml" ContentType="application/vnd.openxmlformats-officedocument.drawingml.chart+xml"/>
  <Override PartName="/word/theme/themeOverride23.xml" ContentType="application/vnd.openxmlformats-officedocument.themeOverride+xml"/>
  <Override PartName="/word/charts/chart49.xml" ContentType="application/vnd.openxmlformats-officedocument.drawingml.chart+xml"/>
  <Default Extension="emf" ContentType="image/x-emf"/>
  <Override PartName="/word/charts/chart78.xml" ContentType="application/vnd.openxmlformats-officedocument.drawingml.chart+xml"/>
  <Override PartName="/word/charts/chart96.xml" ContentType="application/vnd.openxmlformats-officedocument.drawingml.chart+xml"/>
  <Override PartName="/word/theme/themeOverride12.xml" ContentType="application/vnd.openxmlformats-officedocument.themeOverride+xml"/>
  <Override PartName="/word/charts/chart128.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100.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Override PartName="/word/charts/chart12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29.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theme/themeOverride10.xml" ContentType="application/vnd.openxmlformats-officedocument.themeOverride+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theme/themeOverride9.xml" ContentType="application/vnd.openxmlformats-officedocument.themeOverride+xml"/>
  <Override PartName="/word/charts/chart111.xml" ContentType="application/vnd.openxmlformats-officedocument.drawingml.chart+xml"/>
  <Override PartName="/word/theme/themeOverride19.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422" w:rsidRDefault="00083422" w:rsidP="00953D47">
      <w:pPr>
        <w:spacing w:after="0" w:line="240" w:lineRule="auto"/>
        <w:jc w:val="center"/>
        <w:rPr>
          <w:rFonts w:ascii="Arial" w:hAnsi="Arial" w:cs="Arial"/>
          <w:b/>
          <w:sz w:val="40"/>
          <w:szCs w:val="40"/>
        </w:rPr>
      </w:pPr>
    </w:p>
    <w:p w:rsidR="00083422" w:rsidRDefault="00083422" w:rsidP="00953D47">
      <w:pPr>
        <w:spacing w:after="0" w:line="240" w:lineRule="auto"/>
        <w:jc w:val="center"/>
        <w:rPr>
          <w:rFonts w:ascii="Arial" w:hAnsi="Arial" w:cs="Arial"/>
          <w:b/>
          <w:sz w:val="40"/>
          <w:szCs w:val="40"/>
        </w:rPr>
      </w:pPr>
    </w:p>
    <w:p w:rsidR="00953D47" w:rsidRDefault="00953D47" w:rsidP="00953D47">
      <w:pPr>
        <w:spacing w:after="0" w:line="240" w:lineRule="auto"/>
        <w:jc w:val="center"/>
        <w:rPr>
          <w:rFonts w:ascii="Arial" w:hAnsi="Arial" w:cs="Arial"/>
          <w:b/>
          <w:sz w:val="40"/>
          <w:szCs w:val="40"/>
        </w:rPr>
      </w:pPr>
      <w:r>
        <w:rPr>
          <w:rFonts w:ascii="Arial" w:hAnsi="Arial" w:cs="Arial"/>
          <w:b/>
          <w:sz w:val="40"/>
          <w:szCs w:val="40"/>
        </w:rPr>
        <w:t>APM  BRĂILA</w:t>
      </w: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rPr>
          <w:rFonts w:ascii="Arial" w:hAnsi="Arial" w:cs="Arial"/>
          <w:sz w:val="24"/>
          <w:szCs w:val="24"/>
        </w:rPr>
      </w:pPr>
    </w:p>
    <w:p w:rsidR="00953D47" w:rsidRDefault="00953D47" w:rsidP="00953D47">
      <w:pPr>
        <w:spacing w:after="0" w:line="240" w:lineRule="auto"/>
        <w:jc w:val="center"/>
        <w:rPr>
          <w:rFonts w:ascii="Arial" w:hAnsi="Arial" w:cs="Arial"/>
          <w:b/>
          <w:sz w:val="36"/>
          <w:szCs w:val="36"/>
        </w:rPr>
      </w:pPr>
      <w:r>
        <w:rPr>
          <w:rFonts w:ascii="Arial" w:hAnsi="Arial" w:cs="Arial"/>
          <w:b/>
          <w:sz w:val="36"/>
          <w:szCs w:val="36"/>
        </w:rPr>
        <w:t xml:space="preserve">RAPORTUL ANUAL </w:t>
      </w:r>
    </w:p>
    <w:p w:rsidR="00083422" w:rsidRDefault="00083422"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r>
        <w:rPr>
          <w:rFonts w:ascii="Arial" w:hAnsi="Arial" w:cs="Arial"/>
          <w:b/>
          <w:sz w:val="36"/>
          <w:szCs w:val="36"/>
        </w:rPr>
        <w:t>PRIVIND STAREA MEDIULUI PENTRU JUDEȚUL BRĂILA</w:t>
      </w: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083422" w:rsidRDefault="00953D47" w:rsidP="00953D47">
      <w:pPr>
        <w:spacing w:after="0" w:line="240" w:lineRule="auto"/>
        <w:jc w:val="center"/>
        <w:rPr>
          <w:rFonts w:ascii="Arial" w:hAnsi="Arial" w:cs="Arial"/>
          <w:b/>
          <w:sz w:val="36"/>
          <w:szCs w:val="36"/>
        </w:rPr>
      </w:pPr>
      <w:r>
        <w:rPr>
          <w:rFonts w:ascii="Arial" w:hAnsi="Arial" w:cs="Arial"/>
          <w:b/>
          <w:sz w:val="36"/>
          <w:szCs w:val="36"/>
        </w:rPr>
        <w:t xml:space="preserve"> </w:t>
      </w:r>
    </w:p>
    <w:p w:rsidR="00083422" w:rsidRDefault="00083422"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r>
        <w:rPr>
          <w:rFonts w:ascii="Arial" w:hAnsi="Arial" w:cs="Arial"/>
          <w:b/>
          <w:sz w:val="36"/>
          <w:szCs w:val="36"/>
        </w:rPr>
        <w:t xml:space="preserve"> ANUL 2017</w:t>
      </w: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36"/>
          <w:szCs w:val="36"/>
        </w:rPr>
      </w:pPr>
    </w:p>
    <w:p w:rsidR="00953D47" w:rsidRDefault="00953D47" w:rsidP="00953D47">
      <w:pPr>
        <w:spacing w:after="0" w:line="240" w:lineRule="auto"/>
        <w:jc w:val="center"/>
        <w:rPr>
          <w:rFonts w:ascii="Arial" w:hAnsi="Arial" w:cs="Arial"/>
          <w:b/>
          <w:sz w:val="24"/>
          <w:szCs w:val="24"/>
        </w:rPr>
      </w:pPr>
    </w:p>
    <w:p w:rsidR="00953D47" w:rsidRDefault="00953D47" w:rsidP="00953D47">
      <w:pPr>
        <w:spacing w:after="0" w:line="240" w:lineRule="auto"/>
        <w:jc w:val="center"/>
        <w:rPr>
          <w:rFonts w:ascii="Arial" w:hAnsi="Arial" w:cs="Arial"/>
          <w:b/>
          <w:sz w:val="28"/>
          <w:szCs w:val="28"/>
        </w:rPr>
      </w:pPr>
    </w:p>
    <w:p w:rsidR="00953D47" w:rsidRDefault="00953D47" w:rsidP="00953D47">
      <w:pPr>
        <w:spacing w:after="0" w:line="240" w:lineRule="auto"/>
        <w:jc w:val="center"/>
        <w:rPr>
          <w:rFonts w:ascii="Arial" w:hAnsi="Arial" w:cs="Arial"/>
          <w:b/>
          <w:sz w:val="28"/>
          <w:szCs w:val="28"/>
        </w:rPr>
      </w:pPr>
    </w:p>
    <w:p w:rsidR="00953D47" w:rsidRDefault="00953D47" w:rsidP="00953D47">
      <w:pPr>
        <w:spacing w:after="0" w:line="240" w:lineRule="auto"/>
        <w:jc w:val="center"/>
        <w:rPr>
          <w:rFonts w:ascii="Arial" w:hAnsi="Arial" w:cs="Arial"/>
          <w:b/>
          <w:sz w:val="28"/>
          <w:szCs w:val="28"/>
        </w:rPr>
      </w:pPr>
    </w:p>
    <w:p w:rsidR="00953D47" w:rsidRDefault="00953D47" w:rsidP="00953D47">
      <w:pPr>
        <w:spacing w:after="0" w:line="240" w:lineRule="auto"/>
        <w:jc w:val="center"/>
        <w:rPr>
          <w:rFonts w:ascii="Arial" w:hAnsi="Arial" w:cs="Arial"/>
          <w:b/>
          <w:sz w:val="28"/>
          <w:szCs w:val="28"/>
        </w:rPr>
      </w:pPr>
    </w:p>
    <w:p w:rsidR="00953D47" w:rsidRDefault="00953D47" w:rsidP="00953D47">
      <w:pPr>
        <w:spacing w:after="0" w:line="240" w:lineRule="auto"/>
        <w:jc w:val="center"/>
        <w:rPr>
          <w:rFonts w:ascii="Arial" w:hAnsi="Arial" w:cs="Arial"/>
          <w:b/>
          <w:sz w:val="28"/>
          <w:szCs w:val="28"/>
        </w:rPr>
      </w:pPr>
    </w:p>
    <w:p w:rsidR="00A82794" w:rsidRDefault="00A82794" w:rsidP="00A82794">
      <w:pPr>
        <w:spacing w:after="0" w:line="240" w:lineRule="auto"/>
        <w:jc w:val="center"/>
        <w:rPr>
          <w:rFonts w:ascii="Arial" w:hAnsi="Arial" w:cs="Arial"/>
          <w:b/>
          <w:sz w:val="28"/>
          <w:szCs w:val="28"/>
        </w:rPr>
      </w:pPr>
    </w:p>
    <w:p w:rsidR="005D400E" w:rsidRDefault="005D400E" w:rsidP="00A82794">
      <w:pPr>
        <w:spacing w:after="0" w:line="240" w:lineRule="auto"/>
        <w:jc w:val="center"/>
        <w:rPr>
          <w:rFonts w:ascii="Arial" w:hAnsi="Arial" w:cs="Arial"/>
          <w:b/>
          <w:sz w:val="28"/>
          <w:szCs w:val="28"/>
        </w:rPr>
      </w:pPr>
    </w:p>
    <w:p w:rsidR="005D400E" w:rsidRDefault="005D400E" w:rsidP="00A82794">
      <w:pPr>
        <w:spacing w:after="0" w:line="240" w:lineRule="auto"/>
        <w:jc w:val="center"/>
        <w:rPr>
          <w:rFonts w:ascii="Arial" w:hAnsi="Arial" w:cs="Arial"/>
          <w:b/>
          <w:sz w:val="28"/>
          <w:szCs w:val="28"/>
        </w:rPr>
      </w:pPr>
    </w:p>
    <w:p w:rsidR="00A82794" w:rsidRPr="00B52589" w:rsidRDefault="00A82794" w:rsidP="00A82794">
      <w:pPr>
        <w:spacing w:after="0" w:line="240" w:lineRule="auto"/>
        <w:jc w:val="center"/>
        <w:rPr>
          <w:rFonts w:ascii="Arial" w:hAnsi="Arial" w:cs="Arial"/>
          <w:b/>
          <w:sz w:val="28"/>
          <w:szCs w:val="28"/>
        </w:rPr>
      </w:pPr>
      <w:r w:rsidRPr="00B52589">
        <w:rPr>
          <w:rFonts w:ascii="Arial" w:hAnsi="Arial" w:cs="Arial"/>
          <w:b/>
          <w:sz w:val="28"/>
          <w:szCs w:val="28"/>
        </w:rPr>
        <w:lastRenderedPageBreak/>
        <w:t xml:space="preserve">CUPRINS </w:t>
      </w:r>
    </w:p>
    <w:p w:rsidR="00A82794" w:rsidRPr="00B52589" w:rsidRDefault="00A82794" w:rsidP="00A82794">
      <w:pPr>
        <w:spacing w:after="0" w:line="240" w:lineRule="auto"/>
        <w:ind w:left="720"/>
        <w:rPr>
          <w:rFonts w:ascii="Arial" w:hAnsi="Arial" w:cs="Arial"/>
          <w:b/>
          <w:sz w:val="20"/>
          <w:szCs w:val="20"/>
        </w:rPr>
      </w:pPr>
    </w:p>
    <w:p w:rsidR="00A82794" w:rsidRPr="00B52589" w:rsidRDefault="00A82794" w:rsidP="00A82794">
      <w:pPr>
        <w:tabs>
          <w:tab w:val="left" w:pos="540"/>
          <w:tab w:val="left" w:leader="dot" w:pos="9639"/>
        </w:tabs>
        <w:spacing w:after="0" w:line="240" w:lineRule="auto"/>
        <w:rPr>
          <w:rFonts w:ascii="Arial" w:hAnsi="Arial" w:cs="Arial"/>
          <w:b/>
          <w:sz w:val="20"/>
          <w:szCs w:val="20"/>
        </w:rPr>
      </w:pPr>
      <w:r w:rsidRPr="00B52589">
        <w:rPr>
          <w:rFonts w:ascii="Arial" w:hAnsi="Arial" w:cs="Arial"/>
          <w:b/>
          <w:sz w:val="20"/>
          <w:szCs w:val="20"/>
        </w:rPr>
        <w:t xml:space="preserve">I.CALITATEA ŞI POLUAREA AERULUI ÎNCONJURĂTOR </w:t>
      </w:r>
      <w:r w:rsidRPr="00617B28">
        <w:rPr>
          <w:rFonts w:ascii="Arial" w:hAnsi="Arial" w:cs="Arial"/>
          <w:b/>
          <w:sz w:val="20"/>
          <w:szCs w:val="20"/>
        </w:rPr>
        <w:t>........................................................................</w:t>
      </w:r>
      <w:r w:rsidR="00617B28">
        <w:rPr>
          <w:rFonts w:ascii="Arial" w:hAnsi="Arial" w:cs="Arial"/>
          <w:b/>
          <w:sz w:val="20"/>
          <w:szCs w:val="20"/>
        </w:rPr>
        <w:t>4</w:t>
      </w:r>
      <w:r w:rsidRPr="00617B28">
        <w:rPr>
          <w:rFonts w:ascii="Arial" w:hAnsi="Arial" w:cs="Arial"/>
          <w:b/>
          <w:sz w:val="20"/>
          <w:szCs w:val="20"/>
        </w:rPr>
        <w:t xml:space="preserve">  </w:t>
      </w:r>
      <w:r w:rsidRPr="00B52589">
        <w:rPr>
          <w:rFonts w:ascii="Arial" w:hAnsi="Arial" w:cs="Arial"/>
          <w:b/>
          <w:sz w:val="20"/>
          <w:szCs w:val="20"/>
        </w:rPr>
        <w:t xml:space="preserve">           </w:t>
      </w:r>
    </w:p>
    <w:p w:rsidR="00A82794" w:rsidRPr="00B52589" w:rsidRDefault="00A82794" w:rsidP="00A82794">
      <w:pPr>
        <w:tabs>
          <w:tab w:val="left" w:leader="dot" w:pos="9923"/>
        </w:tabs>
        <w:spacing w:after="0" w:line="240" w:lineRule="auto"/>
        <w:rPr>
          <w:rFonts w:ascii="Arial" w:hAnsi="Arial" w:cs="Arial"/>
          <w:b/>
          <w:sz w:val="20"/>
          <w:szCs w:val="20"/>
        </w:rPr>
      </w:pPr>
      <w:r w:rsidRPr="00B52589">
        <w:rPr>
          <w:rFonts w:ascii="Arial" w:hAnsi="Arial" w:cs="Arial"/>
          <w:b/>
          <w:sz w:val="20"/>
          <w:szCs w:val="20"/>
        </w:rPr>
        <w:t xml:space="preserve">   I.1.Calitatea aerului înconjurător: stare şi consecinţe .......................................................................... </w:t>
      </w:r>
      <w:r w:rsidR="00617B28">
        <w:rPr>
          <w:rFonts w:ascii="Arial" w:hAnsi="Arial" w:cs="Arial"/>
          <w:b/>
          <w:sz w:val="20"/>
          <w:szCs w:val="20"/>
        </w:rPr>
        <w:t>4</w:t>
      </w:r>
      <w:r w:rsidRPr="00B52589">
        <w:rPr>
          <w:rFonts w:ascii="Arial" w:hAnsi="Arial" w:cs="Arial"/>
          <w:b/>
          <w:sz w:val="20"/>
          <w:szCs w:val="20"/>
        </w:rPr>
        <w:t xml:space="preserve">   </w:t>
      </w:r>
    </w:p>
    <w:p w:rsidR="00A82794" w:rsidRPr="00617B28" w:rsidRDefault="00A82794" w:rsidP="00A82794">
      <w:pPr>
        <w:tabs>
          <w:tab w:val="left" w:pos="1134"/>
          <w:tab w:val="left" w:leader="dot" w:pos="9356"/>
        </w:tabs>
        <w:spacing w:after="0" w:line="240" w:lineRule="auto"/>
        <w:ind w:left="170"/>
        <w:rPr>
          <w:rFonts w:ascii="Arial" w:hAnsi="Arial" w:cs="Arial"/>
          <w:sz w:val="20"/>
          <w:szCs w:val="20"/>
        </w:rPr>
      </w:pPr>
      <w:r w:rsidRPr="00B52589">
        <w:rPr>
          <w:rFonts w:ascii="Arial" w:hAnsi="Arial" w:cs="Arial"/>
          <w:b/>
          <w:i/>
          <w:sz w:val="20"/>
          <w:szCs w:val="20"/>
        </w:rPr>
        <w:t xml:space="preserve">    I.1.1.</w:t>
      </w:r>
      <w:r w:rsidRPr="00B52589">
        <w:rPr>
          <w:rFonts w:ascii="Arial" w:hAnsi="Arial" w:cs="Arial"/>
          <w:i/>
          <w:sz w:val="20"/>
          <w:szCs w:val="20"/>
        </w:rPr>
        <w:t>Starea de calitate a aerului înconjurător..........................................................................................</w:t>
      </w:r>
      <w:r w:rsidR="00617B28">
        <w:rPr>
          <w:rFonts w:ascii="Arial" w:hAnsi="Arial" w:cs="Arial"/>
          <w:sz w:val="20"/>
          <w:szCs w:val="20"/>
        </w:rPr>
        <w:t>4</w:t>
      </w:r>
    </w:p>
    <w:p w:rsidR="00A82794" w:rsidRPr="00B52589" w:rsidRDefault="00A82794" w:rsidP="00A82794">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B52589">
        <w:rPr>
          <w:rFonts w:ascii="Arial" w:hAnsi="Arial" w:cs="Arial"/>
          <w:sz w:val="20"/>
          <w:szCs w:val="20"/>
        </w:rPr>
        <w:t xml:space="preserve">Nivelul concentraţiilor medii anuale ale poluanţilor atmosferici în aerul înconjurător </w:t>
      </w:r>
      <w:r w:rsidRPr="00B52589">
        <w:rPr>
          <w:rFonts w:ascii="Arial" w:hAnsi="Arial" w:cs="Arial"/>
          <w:sz w:val="20"/>
          <w:szCs w:val="20"/>
        </w:rPr>
        <w:tab/>
        <w:t xml:space="preserve"> </w:t>
      </w:r>
      <w:r w:rsidR="00617B28">
        <w:rPr>
          <w:rFonts w:ascii="Arial" w:hAnsi="Arial" w:cs="Arial"/>
          <w:sz w:val="20"/>
          <w:szCs w:val="20"/>
        </w:rPr>
        <w:t>6</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B52589">
        <w:rPr>
          <w:rFonts w:ascii="Arial" w:hAnsi="Arial" w:cs="Arial"/>
          <w:sz w:val="20"/>
          <w:szCs w:val="20"/>
        </w:rPr>
        <w:t xml:space="preserve">Tendinţe privind concentraţiile medii anuale ale anumitor poluanţi atmosferici </w:t>
      </w:r>
      <w:r w:rsidRPr="00B52589">
        <w:rPr>
          <w:rFonts w:ascii="Arial" w:hAnsi="Arial" w:cs="Arial"/>
          <w:sz w:val="20"/>
          <w:szCs w:val="20"/>
        </w:rPr>
        <w:tab/>
        <w:t>1</w:t>
      </w:r>
      <w:r w:rsidR="00617B28">
        <w:rPr>
          <w:rFonts w:ascii="Arial" w:hAnsi="Arial" w:cs="Arial"/>
          <w:sz w:val="20"/>
          <w:szCs w:val="20"/>
        </w:rPr>
        <w:t>4</w:t>
      </w:r>
    </w:p>
    <w:p w:rsidR="00EF7A62" w:rsidRPr="00B52589" w:rsidRDefault="00EF7A62" w:rsidP="00EF7A62">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B52589">
        <w:rPr>
          <w:rFonts w:ascii="Arial" w:hAnsi="Arial" w:cs="Arial"/>
          <w:sz w:val="20"/>
          <w:szCs w:val="20"/>
        </w:rPr>
        <w:t>Depășiri ale valorilor limită și valorilor țintă privind calitatea aerului înconjurător în zonele</w:t>
      </w:r>
    </w:p>
    <w:p w:rsidR="00EF7A62" w:rsidRPr="00B52589" w:rsidRDefault="00EF7A62" w:rsidP="00EF7A62">
      <w:pPr>
        <w:tabs>
          <w:tab w:val="left" w:leader="dot" w:pos="9356"/>
        </w:tabs>
        <w:spacing w:after="0" w:line="240" w:lineRule="auto"/>
        <w:ind w:left="1418"/>
        <w:rPr>
          <w:rFonts w:ascii="Arial" w:hAnsi="Arial" w:cs="Arial"/>
          <w:sz w:val="20"/>
          <w:szCs w:val="20"/>
        </w:rPr>
      </w:pPr>
      <w:r w:rsidRPr="00B52589">
        <w:rPr>
          <w:rFonts w:ascii="Arial" w:hAnsi="Arial" w:cs="Arial"/>
          <w:sz w:val="20"/>
          <w:szCs w:val="20"/>
        </w:rPr>
        <w:t>Urbane..................................................................................................................................</w:t>
      </w:r>
      <w:r w:rsidR="00617B28">
        <w:rPr>
          <w:rFonts w:ascii="Arial" w:hAnsi="Arial" w:cs="Arial"/>
          <w:sz w:val="20"/>
          <w:szCs w:val="20"/>
        </w:rPr>
        <w:t>19</w:t>
      </w:r>
    </w:p>
    <w:p w:rsidR="00A82794" w:rsidRPr="00617B28" w:rsidRDefault="00A82794" w:rsidP="00A82794">
      <w:pPr>
        <w:tabs>
          <w:tab w:val="left" w:leader="dot" w:pos="9356"/>
        </w:tabs>
        <w:spacing w:after="0" w:line="240" w:lineRule="auto"/>
        <w:rPr>
          <w:rFonts w:ascii="Arial" w:hAnsi="Arial" w:cs="Arial"/>
          <w:sz w:val="20"/>
          <w:szCs w:val="20"/>
        </w:rPr>
      </w:pPr>
      <w:r w:rsidRPr="00B52589">
        <w:rPr>
          <w:rFonts w:ascii="Arial" w:hAnsi="Arial" w:cs="Arial"/>
          <w:b/>
          <w:i/>
          <w:sz w:val="20"/>
          <w:szCs w:val="20"/>
        </w:rPr>
        <w:t xml:space="preserve">        I.1.2.  E</w:t>
      </w:r>
      <w:r w:rsidRPr="00B52589">
        <w:rPr>
          <w:rFonts w:ascii="Arial" w:hAnsi="Arial" w:cs="Arial"/>
          <w:i/>
          <w:sz w:val="20"/>
          <w:szCs w:val="20"/>
        </w:rPr>
        <w:t>fectele poluării aerului înconjurător............................................................................................</w:t>
      </w:r>
      <w:r w:rsidR="00617B28" w:rsidRPr="00617B28">
        <w:rPr>
          <w:rFonts w:ascii="Arial" w:hAnsi="Arial" w:cs="Arial"/>
          <w:sz w:val="20"/>
          <w:szCs w:val="20"/>
        </w:rPr>
        <w:t>19</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i/>
          <w:sz w:val="20"/>
          <w:szCs w:val="20"/>
        </w:rPr>
        <w:t xml:space="preserve">             </w:t>
      </w:r>
      <w:r w:rsidRPr="00B52589">
        <w:rPr>
          <w:rFonts w:ascii="Arial" w:hAnsi="Arial" w:cs="Arial"/>
          <w:sz w:val="20"/>
          <w:szCs w:val="20"/>
        </w:rPr>
        <w:t xml:space="preserve"> I.1.2.1. Efectele poluării aerului înconjurător asupra sănătății......................................................... </w:t>
      </w:r>
      <w:r w:rsidR="00617B28">
        <w:rPr>
          <w:rFonts w:ascii="Arial" w:hAnsi="Arial" w:cs="Arial"/>
          <w:sz w:val="20"/>
          <w:szCs w:val="20"/>
        </w:rPr>
        <w:t>19</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I.1.2.2. Efectele poluării aerului înconjurător asupra ecosistemelor.................................................</w:t>
      </w:r>
      <w:r w:rsidR="00617B28">
        <w:rPr>
          <w:rFonts w:ascii="Arial" w:hAnsi="Arial" w:cs="Arial"/>
          <w:sz w:val="20"/>
          <w:szCs w:val="20"/>
        </w:rPr>
        <w:t>.20</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I.1.2.3. Efectele poluării aerului înconjurător asupra solului și vegetației........................................</w:t>
      </w:r>
      <w:r w:rsidR="00617B28">
        <w:rPr>
          <w:rFonts w:ascii="Arial" w:hAnsi="Arial" w:cs="Arial"/>
          <w:sz w:val="20"/>
          <w:szCs w:val="20"/>
        </w:rPr>
        <w:t>.</w:t>
      </w:r>
      <w:r w:rsidRPr="00B52589">
        <w:rPr>
          <w:rFonts w:ascii="Arial" w:hAnsi="Arial" w:cs="Arial"/>
          <w:sz w:val="20"/>
          <w:szCs w:val="20"/>
        </w:rPr>
        <w:t>.</w:t>
      </w:r>
      <w:r w:rsidR="00617B28">
        <w:rPr>
          <w:rFonts w:ascii="Arial" w:hAnsi="Arial" w:cs="Arial"/>
          <w:sz w:val="20"/>
          <w:szCs w:val="20"/>
        </w:rPr>
        <w:t>20</w:t>
      </w:r>
    </w:p>
    <w:p w:rsidR="00A82794" w:rsidRPr="00B52589" w:rsidRDefault="00A82794" w:rsidP="00A82794">
      <w:pPr>
        <w:tabs>
          <w:tab w:val="left" w:leader="dot" w:pos="9356"/>
        </w:tabs>
        <w:spacing w:after="0" w:line="240" w:lineRule="auto"/>
        <w:rPr>
          <w:rFonts w:ascii="Arial" w:hAnsi="Arial" w:cs="Arial"/>
          <w:b/>
          <w:sz w:val="20"/>
          <w:szCs w:val="20"/>
        </w:rPr>
      </w:pPr>
      <w:r w:rsidRPr="00B52589">
        <w:rPr>
          <w:rFonts w:ascii="Arial" w:hAnsi="Arial" w:cs="Arial"/>
          <w:b/>
          <w:sz w:val="20"/>
          <w:szCs w:val="20"/>
        </w:rPr>
        <w:t xml:space="preserve">   I.2.Factorii determinanţi şi presiunile care afectează starea de </w:t>
      </w:r>
      <w:r w:rsidR="00617B28">
        <w:rPr>
          <w:rFonts w:ascii="Arial" w:hAnsi="Arial" w:cs="Arial"/>
          <w:b/>
          <w:sz w:val="20"/>
          <w:szCs w:val="20"/>
        </w:rPr>
        <w:t>calitate a aerului înconjurător..........20</w:t>
      </w:r>
    </w:p>
    <w:p w:rsidR="00A82794" w:rsidRPr="00617B28" w:rsidRDefault="00A82794" w:rsidP="00A82794">
      <w:pPr>
        <w:tabs>
          <w:tab w:val="left" w:pos="1134"/>
          <w:tab w:val="left" w:leader="dot" w:pos="9356"/>
        </w:tabs>
        <w:spacing w:after="0" w:line="240" w:lineRule="auto"/>
        <w:rPr>
          <w:rFonts w:ascii="Arial" w:hAnsi="Arial" w:cs="Arial"/>
          <w:sz w:val="20"/>
          <w:szCs w:val="20"/>
        </w:rPr>
      </w:pPr>
      <w:r w:rsidRPr="00B52589">
        <w:rPr>
          <w:rFonts w:ascii="Arial" w:hAnsi="Arial" w:cs="Arial"/>
          <w:b/>
          <w:sz w:val="20"/>
          <w:szCs w:val="20"/>
        </w:rPr>
        <w:t xml:space="preserve">       I.2.1. </w:t>
      </w:r>
      <w:r w:rsidRPr="00B52589">
        <w:rPr>
          <w:rFonts w:ascii="Arial" w:hAnsi="Arial" w:cs="Arial"/>
          <w:i/>
          <w:sz w:val="20"/>
          <w:szCs w:val="20"/>
        </w:rPr>
        <w:t xml:space="preserve">Emisiile de poluanţi atmosferici şi principale surse de emisie ........................................... ......      </w:t>
      </w:r>
      <w:r w:rsidR="00617B28">
        <w:rPr>
          <w:rFonts w:ascii="Arial" w:hAnsi="Arial" w:cs="Arial"/>
          <w:sz w:val="20"/>
          <w:szCs w:val="20"/>
        </w:rPr>
        <w:t>20</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I.2.1.1.Energia  ...............................................................................................................................  </w:t>
      </w:r>
      <w:r w:rsidR="00617B28">
        <w:rPr>
          <w:rFonts w:ascii="Arial" w:hAnsi="Arial" w:cs="Arial"/>
          <w:sz w:val="20"/>
          <w:szCs w:val="20"/>
        </w:rPr>
        <w:t>20</w:t>
      </w:r>
      <w:r w:rsidRPr="00B52589">
        <w:rPr>
          <w:rFonts w:ascii="Arial" w:hAnsi="Arial" w:cs="Arial"/>
          <w:sz w:val="20"/>
          <w:szCs w:val="20"/>
        </w:rPr>
        <w:t xml:space="preserve">   </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I.2.1.2.Industria ...........................................................................................................................      </w:t>
      </w:r>
      <w:r w:rsidR="00617B28">
        <w:rPr>
          <w:rFonts w:ascii="Arial" w:hAnsi="Arial" w:cs="Arial"/>
          <w:sz w:val="20"/>
          <w:szCs w:val="20"/>
        </w:rPr>
        <w:t>23</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I.2.1.3.Transportul ........................................................................................................................... 2</w:t>
      </w:r>
      <w:r w:rsidR="00617B28">
        <w:rPr>
          <w:rFonts w:ascii="Arial" w:hAnsi="Arial" w:cs="Arial"/>
          <w:sz w:val="20"/>
          <w:szCs w:val="20"/>
        </w:rPr>
        <w:t>5</w:t>
      </w:r>
      <w:r w:rsidRPr="00B52589">
        <w:rPr>
          <w:rFonts w:ascii="Arial" w:hAnsi="Arial" w:cs="Arial"/>
          <w:sz w:val="20"/>
          <w:szCs w:val="20"/>
        </w:rPr>
        <w:t xml:space="preserve">                  </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I.2.1.4.Agricultura </w:t>
      </w:r>
      <w:r w:rsidRPr="00B52589">
        <w:rPr>
          <w:rFonts w:ascii="Arial" w:hAnsi="Arial" w:cs="Arial"/>
          <w:sz w:val="20"/>
          <w:szCs w:val="20"/>
        </w:rPr>
        <w:tab/>
        <w:t xml:space="preserve"> 2</w:t>
      </w:r>
      <w:r w:rsidR="00617B28">
        <w:rPr>
          <w:rFonts w:ascii="Arial" w:hAnsi="Arial" w:cs="Arial"/>
          <w:sz w:val="20"/>
          <w:szCs w:val="20"/>
        </w:rPr>
        <w:t>6</w:t>
      </w:r>
      <w:r w:rsidRPr="00B52589">
        <w:rPr>
          <w:rFonts w:ascii="Arial" w:hAnsi="Arial" w:cs="Arial"/>
          <w:sz w:val="20"/>
          <w:szCs w:val="20"/>
        </w:rPr>
        <w:t xml:space="preserve">  </w:t>
      </w:r>
    </w:p>
    <w:p w:rsidR="00A82794" w:rsidRPr="00B52589" w:rsidRDefault="00A82794" w:rsidP="00A82794">
      <w:pPr>
        <w:tabs>
          <w:tab w:val="left" w:leader="dot" w:pos="9356"/>
        </w:tabs>
        <w:spacing w:after="0" w:line="240" w:lineRule="auto"/>
        <w:ind w:firstLine="360"/>
        <w:rPr>
          <w:rFonts w:ascii="Arial" w:hAnsi="Arial" w:cs="Arial"/>
          <w:b/>
          <w:sz w:val="20"/>
          <w:szCs w:val="20"/>
        </w:rPr>
      </w:pPr>
      <w:r w:rsidRPr="00B52589">
        <w:rPr>
          <w:rFonts w:ascii="Arial" w:hAnsi="Arial" w:cs="Arial"/>
          <w:b/>
          <w:sz w:val="20"/>
          <w:szCs w:val="20"/>
        </w:rPr>
        <w:t>I.3. Tendinţe şi prognoze privind poluarea aerului înconjurător   ...................................................  2</w:t>
      </w:r>
      <w:r w:rsidR="00617B28">
        <w:rPr>
          <w:rFonts w:ascii="Arial" w:hAnsi="Arial" w:cs="Arial"/>
          <w:b/>
          <w:sz w:val="20"/>
          <w:szCs w:val="20"/>
        </w:rPr>
        <w:t>7</w:t>
      </w:r>
    </w:p>
    <w:p w:rsidR="00A82794" w:rsidRPr="00B52589"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B52589">
        <w:rPr>
          <w:rFonts w:ascii="Arial" w:hAnsi="Arial" w:cs="Arial"/>
          <w:b/>
          <w:sz w:val="20"/>
          <w:szCs w:val="20"/>
        </w:rPr>
        <w:t xml:space="preserve">APA   </w:t>
      </w:r>
      <w:r w:rsidRPr="00B52589">
        <w:rPr>
          <w:rFonts w:ascii="Arial" w:hAnsi="Arial" w:cs="Arial"/>
          <w:b/>
          <w:sz w:val="20"/>
          <w:szCs w:val="20"/>
        </w:rPr>
        <w:tab/>
      </w:r>
      <w:r w:rsidR="00617B28">
        <w:rPr>
          <w:rFonts w:ascii="Arial" w:hAnsi="Arial" w:cs="Arial"/>
          <w:b/>
          <w:sz w:val="20"/>
          <w:szCs w:val="20"/>
        </w:rPr>
        <w:t xml:space="preserve"> 32</w:t>
      </w:r>
      <w:r w:rsidRPr="00B52589">
        <w:rPr>
          <w:rFonts w:ascii="Arial" w:hAnsi="Arial" w:cs="Arial"/>
          <w:b/>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Resursele de apă, Cantităţi şi debite </w:t>
      </w:r>
      <w:r w:rsidRPr="00B52589">
        <w:rPr>
          <w:rFonts w:ascii="Arial" w:hAnsi="Arial" w:cs="Arial"/>
          <w:b/>
          <w:sz w:val="20"/>
          <w:szCs w:val="20"/>
        </w:rPr>
        <w:tab/>
      </w:r>
      <w:r w:rsidRPr="00B52589">
        <w:rPr>
          <w:rFonts w:ascii="Arial" w:hAnsi="Arial" w:cs="Arial"/>
          <w:sz w:val="20"/>
          <w:szCs w:val="20"/>
        </w:rPr>
        <w:t xml:space="preserve"> </w:t>
      </w:r>
      <w:r w:rsidR="00617B28">
        <w:rPr>
          <w:rFonts w:ascii="Arial" w:hAnsi="Arial" w:cs="Arial"/>
          <w:sz w:val="20"/>
          <w:szCs w:val="20"/>
        </w:rPr>
        <w:t>32</w:t>
      </w:r>
      <w:r w:rsidRPr="00B52589">
        <w:rPr>
          <w:rFonts w:ascii="Arial" w:hAnsi="Arial" w:cs="Arial"/>
          <w:sz w:val="20"/>
          <w:szCs w:val="20"/>
        </w:rPr>
        <w:t xml:space="preserve"> </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Stare, presiuni şi consecinţe </w:t>
      </w:r>
      <w:r w:rsidRPr="00B52589">
        <w:rPr>
          <w:rFonts w:ascii="Arial" w:hAnsi="Arial" w:cs="Arial"/>
          <w:i/>
          <w:sz w:val="20"/>
          <w:szCs w:val="20"/>
        </w:rPr>
        <w:tab/>
        <w:t xml:space="preserve"> </w:t>
      </w:r>
      <w:r w:rsidR="00617B28">
        <w:rPr>
          <w:rFonts w:ascii="Arial" w:hAnsi="Arial" w:cs="Arial"/>
          <w:i/>
          <w:sz w:val="20"/>
          <w:szCs w:val="20"/>
        </w:rPr>
        <w:t>32</w:t>
      </w:r>
      <w:r w:rsidRPr="00B52589">
        <w:rPr>
          <w:rFonts w:ascii="Arial" w:hAnsi="Arial" w:cs="Arial"/>
          <w:i/>
          <w:sz w:val="20"/>
          <w:szCs w:val="20"/>
        </w:rPr>
        <w:t xml:space="preserve"> </w:t>
      </w:r>
    </w:p>
    <w:p w:rsidR="00A82794" w:rsidRPr="00B52589"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Resurse de apă potenţiale şi tehnic utilizabile </w:t>
      </w:r>
      <w:r w:rsidRPr="00B52589">
        <w:rPr>
          <w:rFonts w:ascii="Arial" w:hAnsi="Arial" w:cs="Arial"/>
          <w:sz w:val="20"/>
          <w:szCs w:val="20"/>
        </w:rPr>
        <w:tab/>
        <w:t xml:space="preserve"> </w:t>
      </w:r>
      <w:r w:rsidR="00617B28">
        <w:rPr>
          <w:rFonts w:ascii="Arial" w:hAnsi="Arial" w:cs="Arial"/>
          <w:sz w:val="20"/>
          <w:szCs w:val="20"/>
        </w:rPr>
        <w:t>32</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Utilizarea resurselor de apă </w:t>
      </w:r>
      <w:r w:rsidRPr="00B52589">
        <w:rPr>
          <w:rFonts w:ascii="Arial" w:hAnsi="Arial" w:cs="Arial"/>
          <w:sz w:val="20"/>
          <w:szCs w:val="20"/>
        </w:rPr>
        <w:tab/>
        <w:t xml:space="preserve"> </w:t>
      </w:r>
      <w:r w:rsidR="001A5CA3">
        <w:rPr>
          <w:rFonts w:ascii="Arial" w:hAnsi="Arial" w:cs="Arial"/>
          <w:sz w:val="20"/>
          <w:szCs w:val="20"/>
        </w:rPr>
        <w:t>38</w:t>
      </w:r>
    </w:p>
    <w:p w:rsidR="00A82794" w:rsidRPr="00B52589"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Evenimente extreme produse d</w:t>
      </w:r>
      <w:r w:rsidR="00617B28">
        <w:rPr>
          <w:rFonts w:ascii="Arial" w:hAnsi="Arial" w:cs="Arial"/>
          <w:sz w:val="20"/>
          <w:szCs w:val="20"/>
        </w:rPr>
        <w:t xml:space="preserve">e debitele cursurilor de apă </w:t>
      </w:r>
      <w:r w:rsidR="00617B28">
        <w:rPr>
          <w:rFonts w:ascii="Arial" w:hAnsi="Arial" w:cs="Arial"/>
          <w:sz w:val="20"/>
          <w:szCs w:val="20"/>
        </w:rPr>
        <w:tab/>
        <w:t xml:space="preserve"> 4</w:t>
      </w:r>
      <w:r w:rsidR="001A5CA3">
        <w:rPr>
          <w:rFonts w:ascii="Arial" w:hAnsi="Arial" w:cs="Arial"/>
          <w:sz w:val="20"/>
          <w:szCs w:val="20"/>
        </w:rPr>
        <w:t>0</w:t>
      </w:r>
    </w:p>
    <w:p w:rsidR="00A82794" w:rsidRPr="00B52589" w:rsidRDefault="000529C6" w:rsidP="000529C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Schimbări hidromorfologice ale cursurilor de apă...............................................................</w:t>
      </w:r>
      <w:r w:rsidR="001A5CA3">
        <w:rPr>
          <w:rFonts w:ascii="Arial" w:hAnsi="Arial" w:cs="Arial"/>
          <w:sz w:val="20"/>
          <w:szCs w:val="20"/>
        </w:rPr>
        <w:t xml:space="preserve">  41</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Prognoze  </w:t>
      </w:r>
      <w:r w:rsidRPr="00B52589">
        <w:rPr>
          <w:rFonts w:ascii="Arial" w:hAnsi="Arial" w:cs="Arial"/>
          <w:i/>
          <w:sz w:val="20"/>
          <w:szCs w:val="20"/>
        </w:rPr>
        <w:tab/>
        <w:t xml:space="preserve"> </w:t>
      </w:r>
      <w:r w:rsidR="001A5CA3" w:rsidRPr="001A5CA3">
        <w:rPr>
          <w:rFonts w:ascii="Arial" w:hAnsi="Arial" w:cs="Arial"/>
          <w:sz w:val="20"/>
          <w:szCs w:val="20"/>
        </w:rPr>
        <w:t>43</w:t>
      </w:r>
      <w:r w:rsidRPr="00B52589">
        <w:rPr>
          <w:rFonts w:ascii="Arial" w:hAnsi="Arial" w:cs="Arial"/>
          <w:i/>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Disponibilitatea, cererea şi deficitul de apă </w:t>
      </w:r>
      <w:r w:rsidRPr="00B52589">
        <w:rPr>
          <w:rFonts w:ascii="Arial" w:hAnsi="Arial" w:cs="Arial"/>
          <w:sz w:val="20"/>
          <w:szCs w:val="20"/>
        </w:rPr>
        <w:tab/>
        <w:t xml:space="preserve"> </w:t>
      </w:r>
      <w:r w:rsidR="001A5CA3">
        <w:rPr>
          <w:rFonts w:ascii="Arial" w:hAnsi="Arial" w:cs="Arial"/>
          <w:sz w:val="20"/>
          <w:szCs w:val="20"/>
        </w:rPr>
        <w:t>43</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Riscurile şi presiunile inundaţiilor </w:t>
      </w:r>
      <w:r w:rsidRPr="00B52589">
        <w:rPr>
          <w:rFonts w:ascii="Arial" w:hAnsi="Arial" w:cs="Arial"/>
          <w:sz w:val="20"/>
          <w:szCs w:val="20"/>
        </w:rPr>
        <w:tab/>
        <w:t xml:space="preserve"> 4</w:t>
      </w:r>
      <w:r w:rsidR="001A5CA3">
        <w:rPr>
          <w:rFonts w:ascii="Arial" w:hAnsi="Arial" w:cs="Arial"/>
          <w:sz w:val="20"/>
          <w:szCs w:val="20"/>
        </w:rPr>
        <w:t>6</w:t>
      </w:r>
      <w:r w:rsidRPr="00B52589">
        <w:rPr>
          <w:rFonts w:ascii="Arial" w:hAnsi="Arial" w:cs="Arial"/>
          <w:sz w:val="20"/>
          <w:szCs w:val="20"/>
        </w:rPr>
        <w:t xml:space="preserve"> </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Utilizarea şi gestionarea eficientă a resurselor de apă</w:t>
      </w:r>
      <w:r w:rsidRPr="00B52589">
        <w:rPr>
          <w:rFonts w:ascii="Arial" w:hAnsi="Arial" w:cs="Arial"/>
          <w:i/>
          <w:sz w:val="20"/>
          <w:szCs w:val="20"/>
        </w:rPr>
        <w:tab/>
      </w:r>
      <w:r w:rsidRPr="00B52589">
        <w:rPr>
          <w:rFonts w:ascii="Arial" w:hAnsi="Arial" w:cs="Arial"/>
          <w:sz w:val="20"/>
          <w:szCs w:val="20"/>
        </w:rPr>
        <w:t xml:space="preserve"> 4</w:t>
      </w:r>
      <w:r w:rsidR="001A5CA3">
        <w:rPr>
          <w:rFonts w:ascii="Arial" w:hAnsi="Arial" w:cs="Arial"/>
          <w:sz w:val="20"/>
          <w:szCs w:val="20"/>
        </w:rPr>
        <w:t>7</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Calitatea apei </w:t>
      </w:r>
      <w:r w:rsidRPr="00B52589">
        <w:rPr>
          <w:rFonts w:ascii="Arial" w:hAnsi="Arial" w:cs="Arial"/>
          <w:b/>
          <w:sz w:val="20"/>
          <w:szCs w:val="20"/>
        </w:rPr>
        <w:tab/>
      </w:r>
      <w:r w:rsidRPr="00B52589">
        <w:rPr>
          <w:rFonts w:ascii="Arial" w:hAnsi="Arial" w:cs="Arial"/>
          <w:sz w:val="20"/>
          <w:szCs w:val="20"/>
        </w:rPr>
        <w:t xml:space="preserve"> 4</w:t>
      </w:r>
      <w:r w:rsidR="00C62F50">
        <w:rPr>
          <w:rFonts w:ascii="Arial" w:hAnsi="Arial" w:cs="Arial"/>
          <w:sz w:val="20"/>
          <w:szCs w:val="20"/>
        </w:rPr>
        <w:t>8</w:t>
      </w:r>
      <w:r w:rsidRPr="00B52589">
        <w:rPr>
          <w:rFonts w:ascii="Arial" w:hAnsi="Arial" w:cs="Arial"/>
          <w:sz w:val="20"/>
          <w:szCs w:val="20"/>
        </w:rPr>
        <w:t xml:space="preserve"> </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Calitatea apei: stare şi consecinţe </w:t>
      </w:r>
      <w:r w:rsidRPr="00B52589">
        <w:rPr>
          <w:rFonts w:ascii="Arial" w:hAnsi="Arial" w:cs="Arial"/>
          <w:i/>
          <w:sz w:val="20"/>
          <w:szCs w:val="20"/>
        </w:rPr>
        <w:tab/>
      </w:r>
      <w:r w:rsidRPr="00B52589">
        <w:rPr>
          <w:rFonts w:ascii="Arial" w:hAnsi="Arial" w:cs="Arial"/>
          <w:sz w:val="20"/>
          <w:szCs w:val="20"/>
        </w:rPr>
        <w:t xml:space="preserve"> 4</w:t>
      </w:r>
      <w:r w:rsidR="00C62F50">
        <w:rPr>
          <w:rFonts w:ascii="Arial" w:hAnsi="Arial" w:cs="Arial"/>
          <w:sz w:val="20"/>
          <w:szCs w:val="20"/>
        </w:rPr>
        <w:t>8</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Calitatea apei cursurilor de apă </w:t>
      </w:r>
      <w:r w:rsidRPr="00B52589">
        <w:rPr>
          <w:rFonts w:ascii="Arial" w:hAnsi="Arial" w:cs="Arial"/>
          <w:sz w:val="20"/>
          <w:szCs w:val="20"/>
        </w:rPr>
        <w:tab/>
        <w:t xml:space="preserve"> 4</w:t>
      </w:r>
      <w:r w:rsidR="00C62F50">
        <w:rPr>
          <w:rFonts w:ascii="Arial" w:hAnsi="Arial" w:cs="Arial"/>
          <w:sz w:val="20"/>
          <w:szCs w:val="20"/>
        </w:rPr>
        <w:t>8</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Calitatea apei lacurilor </w:t>
      </w:r>
      <w:r w:rsidRPr="00B52589">
        <w:rPr>
          <w:rFonts w:ascii="Arial" w:hAnsi="Arial" w:cs="Arial"/>
          <w:sz w:val="20"/>
          <w:szCs w:val="20"/>
        </w:rPr>
        <w:tab/>
        <w:t xml:space="preserve"> </w:t>
      </w:r>
      <w:r w:rsidR="00C62F50">
        <w:rPr>
          <w:rFonts w:ascii="Arial" w:hAnsi="Arial" w:cs="Arial"/>
          <w:sz w:val="20"/>
          <w:szCs w:val="20"/>
        </w:rPr>
        <w:t>51</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Calitatea apelor subterane </w:t>
      </w:r>
      <w:r w:rsidRPr="00B52589">
        <w:rPr>
          <w:rFonts w:ascii="Arial" w:hAnsi="Arial" w:cs="Arial"/>
          <w:sz w:val="20"/>
          <w:szCs w:val="20"/>
        </w:rPr>
        <w:tab/>
        <w:t xml:space="preserve"> </w:t>
      </w:r>
      <w:r w:rsidR="00C62F50">
        <w:rPr>
          <w:rFonts w:ascii="Arial" w:hAnsi="Arial" w:cs="Arial"/>
          <w:sz w:val="20"/>
          <w:szCs w:val="20"/>
        </w:rPr>
        <w:t>53</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Calitatea apelor de îmbăiere    </w:t>
      </w:r>
      <w:r w:rsidRPr="00B52589">
        <w:rPr>
          <w:rFonts w:ascii="Arial" w:hAnsi="Arial" w:cs="Arial"/>
          <w:sz w:val="20"/>
          <w:szCs w:val="20"/>
        </w:rPr>
        <w:tab/>
        <w:t xml:space="preserve"> </w:t>
      </w:r>
      <w:r w:rsidR="00C62F50">
        <w:rPr>
          <w:rFonts w:ascii="Arial" w:hAnsi="Arial" w:cs="Arial"/>
          <w:sz w:val="20"/>
          <w:szCs w:val="20"/>
        </w:rPr>
        <w:t>54</w:t>
      </w:r>
      <w:r w:rsidRPr="00B52589">
        <w:rPr>
          <w:rFonts w:ascii="Arial" w:hAnsi="Arial" w:cs="Arial"/>
          <w:sz w:val="20"/>
          <w:szCs w:val="20"/>
        </w:rPr>
        <w:t xml:space="preserve"> </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Factorii determinanţi şi presiunile care afectează starea de calitate a apelor </w:t>
      </w:r>
      <w:r w:rsidRPr="00B52589">
        <w:rPr>
          <w:rFonts w:ascii="Arial" w:hAnsi="Arial" w:cs="Arial"/>
          <w:i/>
          <w:sz w:val="20"/>
          <w:szCs w:val="20"/>
        </w:rPr>
        <w:tab/>
      </w:r>
      <w:r w:rsidRPr="00B52589">
        <w:rPr>
          <w:rFonts w:ascii="Arial" w:hAnsi="Arial" w:cs="Arial"/>
          <w:sz w:val="20"/>
          <w:szCs w:val="20"/>
        </w:rPr>
        <w:t xml:space="preserve"> </w:t>
      </w:r>
      <w:r w:rsidR="00C62F50">
        <w:rPr>
          <w:rFonts w:ascii="Arial" w:hAnsi="Arial" w:cs="Arial"/>
          <w:sz w:val="20"/>
          <w:szCs w:val="20"/>
        </w:rPr>
        <w:t>55</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Presiuni semnificative asupra resurselor de apă din judet </w:t>
      </w:r>
      <w:r w:rsidRPr="00B52589">
        <w:rPr>
          <w:rFonts w:ascii="Arial" w:hAnsi="Arial" w:cs="Arial"/>
          <w:sz w:val="20"/>
          <w:szCs w:val="20"/>
        </w:rPr>
        <w:tab/>
        <w:t xml:space="preserve"> </w:t>
      </w:r>
      <w:r w:rsidR="00C62F50">
        <w:rPr>
          <w:rFonts w:ascii="Arial" w:hAnsi="Arial" w:cs="Arial"/>
          <w:sz w:val="20"/>
          <w:szCs w:val="20"/>
        </w:rPr>
        <w:t>55</w:t>
      </w:r>
      <w:r w:rsidRPr="00B52589">
        <w:rPr>
          <w:rFonts w:ascii="Arial" w:hAnsi="Arial" w:cs="Arial"/>
          <w:sz w:val="20"/>
          <w:szCs w:val="20"/>
        </w:rPr>
        <w:t xml:space="preserve"> </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Apele uzate şi reţelele de canalizare </w:t>
      </w:r>
      <w:r w:rsidRPr="00B52589">
        <w:rPr>
          <w:rFonts w:ascii="Arial" w:hAnsi="Arial" w:cs="Arial"/>
          <w:sz w:val="20"/>
          <w:szCs w:val="20"/>
        </w:rPr>
        <w:tab/>
        <w:t xml:space="preserve"> </w:t>
      </w:r>
      <w:r w:rsidR="00C62F50">
        <w:rPr>
          <w:rFonts w:ascii="Arial" w:hAnsi="Arial" w:cs="Arial"/>
          <w:sz w:val="20"/>
          <w:szCs w:val="20"/>
        </w:rPr>
        <w:t>57</w:t>
      </w:r>
      <w:r w:rsidRPr="00B52589">
        <w:rPr>
          <w:rFonts w:ascii="Arial" w:hAnsi="Arial" w:cs="Arial"/>
          <w:sz w:val="20"/>
          <w:szCs w:val="20"/>
        </w:rPr>
        <w:t xml:space="preserve">  </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Tendinţe şi prognoze privind calitatea apei </w:t>
      </w:r>
      <w:r w:rsidRPr="00B52589">
        <w:rPr>
          <w:rFonts w:ascii="Arial" w:hAnsi="Arial" w:cs="Arial"/>
          <w:i/>
          <w:sz w:val="20"/>
          <w:szCs w:val="20"/>
        </w:rPr>
        <w:tab/>
      </w:r>
      <w:r w:rsidRPr="00B52589">
        <w:rPr>
          <w:rFonts w:ascii="Arial" w:hAnsi="Arial" w:cs="Arial"/>
          <w:sz w:val="20"/>
          <w:szCs w:val="20"/>
        </w:rPr>
        <w:t xml:space="preserve"> 5</w:t>
      </w:r>
      <w:r w:rsidR="00C62F50">
        <w:rPr>
          <w:rFonts w:ascii="Arial" w:hAnsi="Arial" w:cs="Arial"/>
          <w:sz w:val="20"/>
          <w:szCs w:val="20"/>
        </w:rPr>
        <w:t>8</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Politici, acţiuni şi măsuri privind îmbunătăţirea stării de calitate a apelor </w:t>
      </w:r>
      <w:r w:rsidRPr="00B52589">
        <w:rPr>
          <w:rFonts w:ascii="Arial" w:hAnsi="Arial" w:cs="Arial"/>
          <w:i/>
          <w:sz w:val="20"/>
          <w:szCs w:val="20"/>
        </w:rPr>
        <w:tab/>
      </w:r>
      <w:r w:rsidR="00C62F50">
        <w:rPr>
          <w:rFonts w:ascii="Arial" w:hAnsi="Arial" w:cs="Arial"/>
          <w:sz w:val="20"/>
          <w:szCs w:val="20"/>
        </w:rPr>
        <w:t xml:space="preserve"> 61</w:t>
      </w:r>
    </w:p>
    <w:p w:rsidR="00A82794" w:rsidRPr="00B52589" w:rsidRDefault="00A82794" w:rsidP="00A82794">
      <w:pPr>
        <w:numPr>
          <w:ilvl w:val="0"/>
          <w:numId w:val="1"/>
        </w:numPr>
        <w:tabs>
          <w:tab w:val="left" w:pos="540"/>
          <w:tab w:val="left" w:leader="dot" w:pos="9356"/>
        </w:tabs>
        <w:spacing w:after="0" w:line="240" w:lineRule="auto"/>
        <w:ind w:left="784" w:hanging="784"/>
        <w:rPr>
          <w:rFonts w:ascii="Arial" w:hAnsi="Arial" w:cs="Arial"/>
          <w:b/>
          <w:sz w:val="20"/>
          <w:szCs w:val="20"/>
        </w:rPr>
      </w:pPr>
      <w:r w:rsidRPr="00B52589">
        <w:rPr>
          <w:rFonts w:ascii="Arial" w:hAnsi="Arial" w:cs="Arial"/>
          <w:b/>
          <w:sz w:val="20"/>
          <w:szCs w:val="20"/>
        </w:rPr>
        <w:t xml:space="preserve">SOLUL  </w:t>
      </w:r>
      <w:r w:rsidRPr="00B52589">
        <w:rPr>
          <w:rFonts w:ascii="Arial" w:hAnsi="Arial" w:cs="Arial"/>
          <w:b/>
          <w:sz w:val="20"/>
          <w:szCs w:val="20"/>
        </w:rPr>
        <w:tab/>
        <w:t xml:space="preserve"> </w:t>
      </w:r>
      <w:r w:rsidR="00C62F50">
        <w:rPr>
          <w:rFonts w:ascii="Arial" w:hAnsi="Arial" w:cs="Arial"/>
          <w:b/>
          <w:sz w:val="20"/>
          <w:szCs w:val="20"/>
        </w:rPr>
        <w:t>66</w:t>
      </w:r>
      <w:r w:rsidRPr="00B52589">
        <w:rPr>
          <w:rFonts w:ascii="Arial" w:hAnsi="Arial" w:cs="Arial"/>
          <w:b/>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Calitatea solurilor: stare şi tendinţe  </w:t>
      </w:r>
      <w:r w:rsidRPr="00B52589">
        <w:rPr>
          <w:rFonts w:ascii="Arial" w:hAnsi="Arial" w:cs="Arial"/>
          <w:b/>
          <w:sz w:val="20"/>
          <w:szCs w:val="20"/>
        </w:rPr>
        <w:tab/>
        <w:t xml:space="preserve"> </w:t>
      </w:r>
      <w:r w:rsidR="00C62F50">
        <w:rPr>
          <w:rFonts w:ascii="Arial" w:hAnsi="Arial" w:cs="Arial"/>
          <w:b/>
          <w:sz w:val="20"/>
          <w:szCs w:val="20"/>
        </w:rPr>
        <w:t>67</w:t>
      </w:r>
      <w:r w:rsidRPr="00B52589">
        <w:rPr>
          <w:rFonts w:ascii="Arial" w:hAnsi="Arial" w:cs="Arial"/>
          <w:b/>
          <w:sz w:val="20"/>
          <w:szCs w:val="20"/>
        </w:rPr>
        <w:t xml:space="preserve"> </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Repartiţia terenurilor pe clase de calitate </w:t>
      </w:r>
      <w:r w:rsidRPr="00B52589">
        <w:rPr>
          <w:rFonts w:ascii="Arial" w:hAnsi="Arial" w:cs="Arial"/>
          <w:i/>
          <w:sz w:val="20"/>
          <w:szCs w:val="20"/>
        </w:rPr>
        <w:tab/>
      </w:r>
      <w:r w:rsidRPr="00B52589">
        <w:rPr>
          <w:rFonts w:ascii="Arial" w:hAnsi="Arial" w:cs="Arial"/>
          <w:sz w:val="20"/>
          <w:szCs w:val="20"/>
        </w:rPr>
        <w:t xml:space="preserve"> </w:t>
      </w:r>
      <w:r w:rsidR="00C62F50">
        <w:rPr>
          <w:rFonts w:ascii="Arial" w:hAnsi="Arial" w:cs="Arial"/>
          <w:sz w:val="20"/>
          <w:szCs w:val="20"/>
        </w:rPr>
        <w:t>67</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Terenuri afectate de diverşi factori limitativi </w:t>
      </w:r>
      <w:r w:rsidRPr="00B52589">
        <w:rPr>
          <w:rFonts w:ascii="Arial" w:hAnsi="Arial" w:cs="Arial"/>
          <w:i/>
          <w:sz w:val="20"/>
          <w:szCs w:val="20"/>
        </w:rPr>
        <w:tab/>
      </w:r>
      <w:r w:rsidRPr="00B52589">
        <w:rPr>
          <w:rFonts w:ascii="Arial" w:hAnsi="Arial" w:cs="Arial"/>
          <w:sz w:val="20"/>
          <w:szCs w:val="20"/>
        </w:rPr>
        <w:t xml:space="preserve"> </w:t>
      </w:r>
      <w:r w:rsidR="00C62F50">
        <w:rPr>
          <w:rFonts w:ascii="Arial" w:hAnsi="Arial" w:cs="Arial"/>
          <w:sz w:val="20"/>
          <w:szCs w:val="20"/>
        </w:rPr>
        <w:t>68</w:t>
      </w:r>
      <w:r w:rsidRPr="00B52589">
        <w:rPr>
          <w:rFonts w:ascii="Arial" w:hAnsi="Arial" w:cs="Arial"/>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Zone critice sub aspectul deteriorării solurilor   </w:t>
      </w:r>
      <w:r w:rsidRPr="00B52589">
        <w:rPr>
          <w:rFonts w:ascii="Arial" w:hAnsi="Arial" w:cs="Arial"/>
          <w:b/>
          <w:sz w:val="20"/>
          <w:szCs w:val="20"/>
        </w:rPr>
        <w:tab/>
        <w:t xml:space="preserve"> 6</w:t>
      </w:r>
      <w:r w:rsidR="00C62F50">
        <w:rPr>
          <w:rFonts w:ascii="Arial" w:hAnsi="Arial" w:cs="Arial"/>
          <w:b/>
          <w:sz w:val="20"/>
          <w:szCs w:val="20"/>
        </w:rPr>
        <w:t>9</w:t>
      </w:r>
      <w:r w:rsidRPr="00B52589">
        <w:rPr>
          <w:rFonts w:ascii="Arial" w:hAnsi="Arial" w:cs="Arial"/>
          <w:b/>
          <w:sz w:val="20"/>
          <w:szCs w:val="20"/>
        </w:rPr>
        <w:t xml:space="preserve"> </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Zone afectate de procese naturale  ........................................................................................</w:t>
      </w:r>
      <w:r w:rsidRPr="00B52589">
        <w:rPr>
          <w:rFonts w:ascii="Arial" w:hAnsi="Arial" w:cs="Arial"/>
          <w:sz w:val="20"/>
          <w:szCs w:val="20"/>
        </w:rPr>
        <w:t xml:space="preserve"> 6</w:t>
      </w:r>
      <w:r w:rsidR="00C62F50">
        <w:rPr>
          <w:rFonts w:ascii="Arial" w:hAnsi="Arial" w:cs="Arial"/>
          <w:sz w:val="20"/>
          <w:szCs w:val="20"/>
        </w:rPr>
        <w:t>9</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Presiuni asupra stării de calitate a  solurilor   </w:t>
      </w:r>
      <w:r w:rsidRPr="00B52589">
        <w:rPr>
          <w:rFonts w:ascii="Arial" w:hAnsi="Arial" w:cs="Arial"/>
          <w:b/>
          <w:sz w:val="20"/>
          <w:szCs w:val="20"/>
        </w:rPr>
        <w:tab/>
      </w:r>
      <w:r w:rsidRPr="00B52589">
        <w:rPr>
          <w:rFonts w:ascii="Arial" w:hAnsi="Arial" w:cs="Arial"/>
          <w:sz w:val="20"/>
          <w:szCs w:val="20"/>
        </w:rPr>
        <w:t xml:space="preserve"> 6</w:t>
      </w:r>
      <w:r w:rsidR="00C62F50">
        <w:rPr>
          <w:rFonts w:ascii="Arial" w:hAnsi="Arial" w:cs="Arial"/>
          <w:sz w:val="20"/>
          <w:szCs w:val="20"/>
        </w:rPr>
        <w:t>9</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Utilizare şi consumul de îngrăşăminte </w:t>
      </w:r>
      <w:r w:rsidRPr="00B52589">
        <w:rPr>
          <w:rFonts w:ascii="Arial" w:hAnsi="Arial" w:cs="Arial"/>
          <w:i/>
          <w:sz w:val="20"/>
          <w:szCs w:val="20"/>
        </w:rPr>
        <w:tab/>
      </w:r>
      <w:r w:rsidRPr="00B52589">
        <w:rPr>
          <w:rFonts w:ascii="Arial" w:hAnsi="Arial" w:cs="Arial"/>
          <w:sz w:val="20"/>
          <w:szCs w:val="20"/>
        </w:rPr>
        <w:t xml:space="preserve"> 6</w:t>
      </w:r>
      <w:r w:rsidR="00C62F50">
        <w:rPr>
          <w:rFonts w:ascii="Arial" w:hAnsi="Arial" w:cs="Arial"/>
          <w:sz w:val="20"/>
          <w:szCs w:val="20"/>
        </w:rPr>
        <w:t>9</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Consumul de produse de protecţia plantelor  </w:t>
      </w:r>
      <w:r w:rsidRPr="00B52589">
        <w:rPr>
          <w:rFonts w:ascii="Arial" w:hAnsi="Arial" w:cs="Arial"/>
          <w:i/>
          <w:sz w:val="20"/>
          <w:szCs w:val="20"/>
        </w:rPr>
        <w:tab/>
      </w:r>
      <w:r w:rsidRPr="00B52589">
        <w:rPr>
          <w:rFonts w:ascii="Arial" w:hAnsi="Arial" w:cs="Arial"/>
          <w:sz w:val="20"/>
          <w:szCs w:val="20"/>
        </w:rPr>
        <w:t xml:space="preserve"> </w:t>
      </w:r>
      <w:r w:rsidR="00C62F50">
        <w:rPr>
          <w:rFonts w:ascii="Arial" w:hAnsi="Arial" w:cs="Arial"/>
          <w:sz w:val="20"/>
          <w:szCs w:val="20"/>
        </w:rPr>
        <w:t>71</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Evoluţia suprafeţelor de îmbunătățiri funciare </w:t>
      </w:r>
      <w:r w:rsidRPr="00B52589">
        <w:rPr>
          <w:rFonts w:ascii="Arial" w:hAnsi="Arial" w:cs="Arial"/>
          <w:i/>
          <w:sz w:val="20"/>
          <w:szCs w:val="20"/>
        </w:rPr>
        <w:tab/>
      </w:r>
      <w:r w:rsidRPr="00B52589">
        <w:rPr>
          <w:rFonts w:ascii="Arial" w:hAnsi="Arial" w:cs="Arial"/>
          <w:sz w:val="20"/>
          <w:szCs w:val="20"/>
        </w:rPr>
        <w:t xml:space="preserve"> </w:t>
      </w:r>
      <w:r w:rsidR="00C62F50">
        <w:rPr>
          <w:rFonts w:ascii="Arial" w:hAnsi="Arial" w:cs="Arial"/>
          <w:sz w:val="20"/>
          <w:szCs w:val="20"/>
        </w:rPr>
        <w:t>72</w:t>
      </w:r>
      <w:r w:rsidRPr="00B52589">
        <w:rPr>
          <w:rFonts w:ascii="Arial" w:hAnsi="Arial" w:cs="Arial"/>
          <w:i/>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Prognoze și acțiuni întreprinse pentru ameliorarea stării de calitate a solurilor </w:t>
      </w:r>
      <w:r w:rsidRPr="00B52589">
        <w:rPr>
          <w:rFonts w:ascii="Arial" w:hAnsi="Arial" w:cs="Arial"/>
          <w:b/>
          <w:sz w:val="20"/>
          <w:szCs w:val="20"/>
        </w:rPr>
        <w:tab/>
        <w:t xml:space="preserve"> </w:t>
      </w:r>
      <w:r w:rsidR="00C62F50">
        <w:rPr>
          <w:rFonts w:ascii="Arial" w:hAnsi="Arial" w:cs="Arial"/>
          <w:b/>
          <w:sz w:val="20"/>
          <w:szCs w:val="20"/>
        </w:rPr>
        <w:t>73</w:t>
      </w:r>
    </w:p>
    <w:p w:rsidR="00A82794" w:rsidRPr="00B52589" w:rsidRDefault="00A82794" w:rsidP="00A82794">
      <w:pPr>
        <w:numPr>
          <w:ilvl w:val="0"/>
          <w:numId w:val="1"/>
        </w:numPr>
        <w:tabs>
          <w:tab w:val="left" w:pos="540"/>
          <w:tab w:val="left" w:leader="dot" w:pos="9356"/>
        </w:tabs>
        <w:spacing w:after="0" w:line="240" w:lineRule="auto"/>
        <w:ind w:left="784" w:hanging="784"/>
        <w:rPr>
          <w:rFonts w:ascii="Arial" w:hAnsi="Arial" w:cs="Arial"/>
          <w:b/>
          <w:sz w:val="20"/>
          <w:szCs w:val="20"/>
        </w:rPr>
      </w:pPr>
      <w:r w:rsidRPr="00B52589">
        <w:rPr>
          <w:rFonts w:ascii="Arial" w:hAnsi="Arial" w:cs="Arial"/>
          <w:b/>
          <w:sz w:val="20"/>
          <w:szCs w:val="20"/>
        </w:rPr>
        <w:t xml:space="preserve">UTILIZAREA TERENURILOR </w:t>
      </w:r>
      <w:r w:rsidRPr="00B52589">
        <w:rPr>
          <w:rFonts w:ascii="Arial" w:hAnsi="Arial" w:cs="Arial"/>
          <w:b/>
          <w:sz w:val="20"/>
          <w:szCs w:val="20"/>
        </w:rPr>
        <w:tab/>
        <w:t>.</w:t>
      </w:r>
      <w:r w:rsidR="00D05713">
        <w:rPr>
          <w:rFonts w:ascii="Arial" w:hAnsi="Arial" w:cs="Arial"/>
          <w:b/>
          <w:sz w:val="20"/>
          <w:szCs w:val="20"/>
        </w:rPr>
        <w:t>74</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Stare şi tendinţe </w:t>
      </w:r>
      <w:r w:rsidRPr="00B52589">
        <w:rPr>
          <w:rFonts w:ascii="Arial" w:hAnsi="Arial" w:cs="Arial"/>
          <w:b/>
          <w:sz w:val="20"/>
          <w:szCs w:val="20"/>
        </w:rPr>
        <w:tab/>
        <w:t xml:space="preserve"> </w:t>
      </w:r>
      <w:r w:rsidR="00D05713">
        <w:rPr>
          <w:rFonts w:ascii="Arial" w:hAnsi="Arial" w:cs="Arial"/>
          <w:b/>
          <w:sz w:val="20"/>
          <w:szCs w:val="20"/>
        </w:rPr>
        <w:t>74</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Repartiţia terenurilor pe categorii de acoperire/utilizare </w:t>
      </w:r>
      <w:r w:rsidRPr="00B52589">
        <w:rPr>
          <w:rFonts w:ascii="Arial" w:hAnsi="Arial" w:cs="Arial"/>
          <w:i/>
          <w:sz w:val="20"/>
          <w:szCs w:val="20"/>
        </w:rPr>
        <w:tab/>
        <w:t xml:space="preserve"> </w:t>
      </w:r>
      <w:r w:rsidR="00D05713" w:rsidRPr="00D05713">
        <w:rPr>
          <w:rFonts w:ascii="Arial" w:hAnsi="Arial" w:cs="Arial"/>
          <w:sz w:val="20"/>
          <w:szCs w:val="20"/>
        </w:rPr>
        <w:t>74</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Tendinţe privind schimbarea destinaţiei utilizării terenurilor </w:t>
      </w:r>
      <w:r w:rsidRPr="00B52589">
        <w:rPr>
          <w:rFonts w:ascii="Arial" w:hAnsi="Arial" w:cs="Arial"/>
          <w:i/>
          <w:sz w:val="20"/>
          <w:szCs w:val="20"/>
        </w:rPr>
        <w:tab/>
        <w:t xml:space="preserve"> </w:t>
      </w:r>
      <w:r w:rsidR="00D05713" w:rsidRPr="00D05713">
        <w:rPr>
          <w:rFonts w:ascii="Arial" w:hAnsi="Arial" w:cs="Arial"/>
          <w:sz w:val="20"/>
          <w:szCs w:val="20"/>
        </w:rPr>
        <w:t>76</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Impactul schimbării utilizării terenurilor asupra mediului   </w:t>
      </w:r>
      <w:r w:rsidRPr="00B52589">
        <w:rPr>
          <w:rFonts w:ascii="Arial" w:hAnsi="Arial" w:cs="Arial"/>
          <w:b/>
          <w:sz w:val="20"/>
          <w:szCs w:val="20"/>
        </w:rPr>
        <w:tab/>
      </w:r>
      <w:r w:rsidR="00D05713">
        <w:rPr>
          <w:rFonts w:ascii="Arial" w:hAnsi="Arial" w:cs="Arial"/>
          <w:b/>
          <w:sz w:val="20"/>
          <w:szCs w:val="20"/>
        </w:rPr>
        <w:t xml:space="preserve"> </w:t>
      </w:r>
      <w:r w:rsidRPr="00B52589">
        <w:rPr>
          <w:rFonts w:ascii="Arial" w:hAnsi="Arial" w:cs="Arial"/>
          <w:b/>
          <w:sz w:val="20"/>
          <w:szCs w:val="20"/>
        </w:rPr>
        <w:t>7</w:t>
      </w:r>
      <w:r w:rsidR="00D05713">
        <w:rPr>
          <w:rFonts w:ascii="Arial" w:hAnsi="Arial" w:cs="Arial"/>
          <w:b/>
          <w:sz w:val="20"/>
          <w:szCs w:val="20"/>
        </w:rPr>
        <w:t>9</w:t>
      </w:r>
      <w:r w:rsidRPr="00B52589">
        <w:rPr>
          <w:rFonts w:ascii="Arial" w:hAnsi="Arial" w:cs="Arial"/>
          <w:b/>
          <w:sz w:val="20"/>
          <w:szCs w:val="20"/>
        </w:rPr>
        <w:t xml:space="preserve"> </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Impactul schimbării utilizării terenurilor asupra terenurilor agricole </w:t>
      </w:r>
      <w:r w:rsidRPr="00B52589">
        <w:rPr>
          <w:rFonts w:ascii="Arial" w:hAnsi="Arial" w:cs="Arial"/>
          <w:i/>
          <w:sz w:val="20"/>
          <w:szCs w:val="20"/>
        </w:rPr>
        <w:tab/>
      </w:r>
      <w:r w:rsidRPr="00B52589">
        <w:rPr>
          <w:rFonts w:ascii="Arial" w:hAnsi="Arial" w:cs="Arial"/>
          <w:sz w:val="20"/>
          <w:szCs w:val="20"/>
        </w:rPr>
        <w:t>7</w:t>
      </w:r>
      <w:r w:rsidR="00D05713">
        <w:rPr>
          <w:rFonts w:ascii="Arial" w:hAnsi="Arial" w:cs="Arial"/>
          <w:sz w:val="20"/>
          <w:szCs w:val="20"/>
        </w:rPr>
        <w:t>9</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Impactul schimbării utilizării terenurilor asupra habitatelor </w:t>
      </w:r>
      <w:r w:rsidRPr="00B52589">
        <w:rPr>
          <w:rFonts w:ascii="Arial" w:hAnsi="Arial" w:cs="Arial"/>
          <w:i/>
          <w:sz w:val="20"/>
          <w:szCs w:val="20"/>
        </w:rPr>
        <w:tab/>
      </w:r>
      <w:r w:rsidR="00D05713">
        <w:rPr>
          <w:rFonts w:ascii="Arial" w:hAnsi="Arial" w:cs="Arial"/>
          <w:sz w:val="20"/>
          <w:szCs w:val="20"/>
        </w:rPr>
        <w:t>80</w:t>
      </w:r>
      <w:r w:rsidRPr="00B52589">
        <w:rPr>
          <w:rFonts w:ascii="Arial" w:hAnsi="Arial" w:cs="Arial"/>
          <w:i/>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Factorii determinanţi ai schimbării utilizării terenurilor </w:t>
      </w:r>
      <w:r w:rsidRPr="00B52589">
        <w:rPr>
          <w:rFonts w:ascii="Arial" w:hAnsi="Arial" w:cs="Arial"/>
          <w:b/>
          <w:sz w:val="20"/>
          <w:szCs w:val="20"/>
        </w:rPr>
        <w:tab/>
      </w:r>
      <w:r w:rsidR="00D05713">
        <w:rPr>
          <w:rFonts w:ascii="Arial" w:hAnsi="Arial" w:cs="Arial"/>
          <w:b/>
          <w:sz w:val="20"/>
          <w:szCs w:val="20"/>
        </w:rPr>
        <w:t>81</w:t>
      </w:r>
      <w:r w:rsidRPr="00B52589">
        <w:rPr>
          <w:rFonts w:ascii="Arial" w:hAnsi="Arial" w:cs="Arial"/>
          <w:b/>
          <w:sz w:val="20"/>
          <w:szCs w:val="20"/>
        </w:rPr>
        <w:t xml:space="preserve"> </w:t>
      </w:r>
    </w:p>
    <w:p w:rsidR="00A82794" w:rsidRPr="00D05713" w:rsidRDefault="00A82794" w:rsidP="00A82794">
      <w:pPr>
        <w:numPr>
          <w:ilvl w:val="2"/>
          <w:numId w:val="1"/>
        </w:numPr>
        <w:tabs>
          <w:tab w:val="clear" w:pos="0"/>
          <w:tab w:val="left" w:pos="1276"/>
          <w:tab w:val="left" w:leader="dot" w:pos="9356"/>
        </w:tabs>
        <w:spacing w:after="0" w:line="240" w:lineRule="auto"/>
        <w:ind w:left="993"/>
        <w:rPr>
          <w:rFonts w:ascii="Arial" w:hAnsi="Arial" w:cs="Arial"/>
          <w:sz w:val="20"/>
          <w:szCs w:val="20"/>
        </w:rPr>
      </w:pPr>
      <w:r w:rsidRPr="00B52589">
        <w:rPr>
          <w:rFonts w:ascii="Arial" w:hAnsi="Arial" w:cs="Arial"/>
          <w:i/>
          <w:sz w:val="20"/>
          <w:szCs w:val="20"/>
        </w:rPr>
        <w:t xml:space="preserve">Modificarea densităţii populaţiei </w:t>
      </w:r>
      <w:r w:rsidRPr="00B52589">
        <w:rPr>
          <w:rFonts w:ascii="Arial" w:hAnsi="Arial" w:cs="Arial"/>
          <w:i/>
          <w:sz w:val="20"/>
          <w:szCs w:val="20"/>
        </w:rPr>
        <w:tab/>
      </w:r>
      <w:r w:rsidR="00D05713" w:rsidRPr="00D05713">
        <w:rPr>
          <w:rFonts w:ascii="Arial" w:hAnsi="Arial" w:cs="Arial"/>
          <w:sz w:val="20"/>
          <w:szCs w:val="20"/>
        </w:rPr>
        <w:t>81</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Expansiunea urbană </w:t>
      </w:r>
      <w:r w:rsidRPr="00B52589">
        <w:rPr>
          <w:rFonts w:ascii="Arial" w:hAnsi="Arial" w:cs="Arial"/>
          <w:i/>
          <w:sz w:val="20"/>
          <w:szCs w:val="20"/>
        </w:rPr>
        <w:tab/>
      </w:r>
      <w:r w:rsidR="00D05713">
        <w:rPr>
          <w:rFonts w:ascii="Arial" w:hAnsi="Arial" w:cs="Arial"/>
          <w:i/>
          <w:sz w:val="20"/>
          <w:szCs w:val="20"/>
        </w:rPr>
        <w:t>82</w:t>
      </w:r>
      <w:r w:rsidRPr="00B52589">
        <w:rPr>
          <w:rFonts w:ascii="Arial" w:hAnsi="Arial" w:cs="Arial"/>
          <w:i/>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 Prognoze și acțiuni întreprinse privind utilizarea terenurilor </w:t>
      </w:r>
      <w:r w:rsidRPr="00B52589">
        <w:rPr>
          <w:rFonts w:ascii="Arial" w:hAnsi="Arial" w:cs="Arial"/>
          <w:b/>
          <w:sz w:val="20"/>
          <w:szCs w:val="20"/>
        </w:rPr>
        <w:tab/>
      </w:r>
      <w:r w:rsidR="00D05713">
        <w:rPr>
          <w:rFonts w:ascii="Arial" w:hAnsi="Arial" w:cs="Arial"/>
          <w:b/>
          <w:sz w:val="20"/>
          <w:szCs w:val="20"/>
        </w:rPr>
        <w:t>83</w:t>
      </w:r>
      <w:r w:rsidRPr="00B52589">
        <w:rPr>
          <w:rFonts w:ascii="Arial" w:hAnsi="Arial" w:cs="Arial"/>
          <w:b/>
          <w:sz w:val="20"/>
          <w:szCs w:val="20"/>
        </w:rPr>
        <w:t xml:space="preserve"> </w:t>
      </w:r>
    </w:p>
    <w:p w:rsidR="00A82794" w:rsidRPr="00B52589" w:rsidRDefault="00A82794" w:rsidP="00A82794">
      <w:pPr>
        <w:numPr>
          <w:ilvl w:val="0"/>
          <w:numId w:val="1"/>
        </w:numPr>
        <w:tabs>
          <w:tab w:val="left" w:pos="540"/>
          <w:tab w:val="left" w:pos="9356"/>
        </w:tabs>
        <w:spacing w:after="0" w:line="240" w:lineRule="auto"/>
        <w:rPr>
          <w:rFonts w:ascii="Arial" w:hAnsi="Arial" w:cs="Arial"/>
          <w:b/>
          <w:sz w:val="20"/>
          <w:szCs w:val="20"/>
        </w:rPr>
      </w:pPr>
      <w:r w:rsidRPr="00B52589">
        <w:rPr>
          <w:rFonts w:ascii="Arial" w:hAnsi="Arial" w:cs="Arial"/>
          <w:b/>
          <w:sz w:val="20"/>
          <w:szCs w:val="20"/>
        </w:rPr>
        <w:t xml:space="preserve">PROTECŢIA NATURII ŞI BIODIVERSITATEA .................................................................................. </w:t>
      </w:r>
      <w:r w:rsidR="00D05713">
        <w:rPr>
          <w:rFonts w:ascii="Arial" w:hAnsi="Arial" w:cs="Arial"/>
          <w:b/>
          <w:sz w:val="20"/>
          <w:szCs w:val="20"/>
        </w:rPr>
        <w:t>84</w:t>
      </w:r>
      <w:r w:rsidRPr="00B52589">
        <w:rPr>
          <w:rFonts w:ascii="Arial" w:hAnsi="Arial" w:cs="Arial"/>
          <w:b/>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Ameninţări pentru biodiversitate şi presiuni exercitate asupra biodiversităţii </w:t>
      </w:r>
      <w:r w:rsidRPr="00B52589">
        <w:rPr>
          <w:rFonts w:ascii="Arial" w:hAnsi="Arial" w:cs="Arial"/>
          <w:b/>
          <w:sz w:val="20"/>
          <w:szCs w:val="20"/>
        </w:rPr>
        <w:tab/>
        <w:t xml:space="preserve"> </w:t>
      </w:r>
      <w:r w:rsidR="00D05713">
        <w:rPr>
          <w:rFonts w:ascii="Arial" w:hAnsi="Arial" w:cs="Arial"/>
          <w:b/>
          <w:sz w:val="20"/>
          <w:szCs w:val="20"/>
        </w:rPr>
        <w:t>90</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52589">
        <w:rPr>
          <w:rFonts w:ascii="Arial" w:hAnsi="Arial" w:cs="Arial"/>
          <w:i/>
          <w:sz w:val="20"/>
          <w:szCs w:val="20"/>
        </w:rPr>
        <w:lastRenderedPageBreak/>
        <w:t xml:space="preserve">Speciile invazive </w:t>
      </w:r>
      <w:r w:rsidRPr="00B52589">
        <w:rPr>
          <w:rFonts w:ascii="Arial" w:hAnsi="Arial" w:cs="Arial"/>
          <w:i/>
          <w:sz w:val="20"/>
          <w:szCs w:val="20"/>
        </w:rPr>
        <w:tab/>
        <w:t xml:space="preserve"> </w:t>
      </w:r>
      <w:r w:rsidR="007636E0">
        <w:rPr>
          <w:rFonts w:ascii="Arial" w:hAnsi="Arial" w:cs="Arial"/>
          <w:sz w:val="20"/>
          <w:szCs w:val="20"/>
        </w:rPr>
        <w:t>90</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Poluarea şi încărcarea cu nutrienţi </w:t>
      </w:r>
      <w:r w:rsidRPr="00B52589">
        <w:rPr>
          <w:rFonts w:ascii="Arial" w:hAnsi="Arial" w:cs="Arial"/>
          <w:i/>
          <w:sz w:val="20"/>
          <w:szCs w:val="20"/>
        </w:rPr>
        <w:tab/>
      </w:r>
      <w:r w:rsidRPr="00B52589">
        <w:rPr>
          <w:rFonts w:ascii="Arial" w:hAnsi="Arial" w:cs="Arial"/>
          <w:sz w:val="20"/>
          <w:szCs w:val="20"/>
        </w:rPr>
        <w:t xml:space="preserve"> </w:t>
      </w:r>
      <w:r w:rsidR="007636E0">
        <w:rPr>
          <w:rFonts w:ascii="Arial" w:hAnsi="Arial" w:cs="Arial"/>
          <w:sz w:val="20"/>
          <w:szCs w:val="20"/>
        </w:rPr>
        <w:t>91</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Schimbările climatice </w:t>
      </w:r>
      <w:r w:rsidRPr="00B52589">
        <w:rPr>
          <w:rFonts w:ascii="Arial" w:hAnsi="Arial" w:cs="Arial"/>
          <w:i/>
          <w:sz w:val="20"/>
          <w:szCs w:val="20"/>
        </w:rPr>
        <w:tab/>
      </w:r>
      <w:r w:rsidRPr="00B52589">
        <w:rPr>
          <w:rFonts w:ascii="Arial" w:hAnsi="Arial" w:cs="Arial"/>
          <w:sz w:val="20"/>
          <w:szCs w:val="20"/>
        </w:rPr>
        <w:t xml:space="preserve"> </w:t>
      </w:r>
      <w:r w:rsidR="007636E0">
        <w:rPr>
          <w:rFonts w:ascii="Arial" w:hAnsi="Arial" w:cs="Arial"/>
          <w:sz w:val="20"/>
          <w:szCs w:val="20"/>
        </w:rPr>
        <w:t>91</w:t>
      </w:r>
      <w:r w:rsidRPr="00B52589">
        <w:rPr>
          <w:rFonts w:ascii="Arial" w:hAnsi="Arial" w:cs="Arial"/>
          <w:i/>
          <w:sz w:val="20"/>
          <w:szCs w:val="20"/>
        </w:rPr>
        <w:t xml:space="preserve"> </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sz w:val="20"/>
          <w:szCs w:val="20"/>
        </w:rPr>
      </w:pPr>
      <w:r w:rsidRPr="00B52589">
        <w:rPr>
          <w:rFonts w:ascii="Arial" w:hAnsi="Arial" w:cs="Arial"/>
          <w:i/>
          <w:sz w:val="20"/>
          <w:szCs w:val="20"/>
        </w:rPr>
        <w:t xml:space="preserve">Modificarea habitatelor </w:t>
      </w:r>
      <w:r w:rsidRPr="00B52589">
        <w:rPr>
          <w:rFonts w:ascii="Arial" w:hAnsi="Arial" w:cs="Arial"/>
          <w:i/>
          <w:sz w:val="20"/>
          <w:szCs w:val="20"/>
        </w:rPr>
        <w:tab/>
      </w:r>
      <w:r w:rsidRPr="00B52589">
        <w:rPr>
          <w:rFonts w:ascii="Arial" w:hAnsi="Arial" w:cs="Arial"/>
          <w:sz w:val="20"/>
          <w:szCs w:val="20"/>
        </w:rPr>
        <w:t xml:space="preserve"> </w:t>
      </w:r>
      <w:r w:rsidR="007636E0">
        <w:rPr>
          <w:rFonts w:ascii="Arial" w:hAnsi="Arial" w:cs="Arial"/>
          <w:sz w:val="20"/>
          <w:szCs w:val="20"/>
        </w:rPr>
        <w:t>91</w:t>
      </w:r>
    </w:p>
    <w:p w:rsidR="00D30F36" w:rsidRDefault="00D30F36"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Pr>
          <w:rFonts w:ascii="Arial" w:hAnsi="Arial" w:cs="Arial"/>
          <w:sz w:val="20"/>
          <w:szCs w:val="20"/>
        </w:rPr>
        <w:t>Fragmentarea ecosistemelor</w:t>
      </w:r>
      <w:r w:rsidR="00A82794" w:rsidRPr="00B52589">
        <w:rPr>
          <w:rFonts w:ascii="Arial" w:hAnsi="Arial" w:cs="Arial"/>
          <w:sz w:val="20"/>
          <w:szCs w:val="20"/>
        </w:rPr>
        <w:tab/>
      </w:r>
      <w:r w:rsidR="007636E0">
        <w:rPr>
          <w:rFonts w:ascii="Arial" w:hAnsi="Arial" w:cs="Arial"/>
          <w:sz w:val="20"/>
          <w:szCs w:val="20"/>
        </w:rPr>
        <w:t xml:space="preserve"> 91</w:t>
      </w:r>
    </w:p>
    <w:p w:rsidR="00A82794" w:rsidRPr="00B52589" w:rsidRDefault="00D30F36"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Reducerea habitatelor naturale şi semi-naturale</w:t>
      </w:r>
      <w:r w:rsidR="00A82794" w:rsidRPr="00B52589">
        <w:rPr>
          <w:rFonts w:ascii="Arial" w:hAnsi="Arial" w:cs="Arial"/>
          <w:sz w:val="20"/>
          <w:szCs w:val="20"/>
        </w:rPr>
        <w:t xml:space="preserve"> </w:t>
      </w:r>
      <w:r>
        <w:rPr>
          <w:rFonts w:ascii="Arial" w:hAnsi="Arial" w:cs="Arial"/>
          <w:sz w:val="20"/>
          <w:szCs w:val="20"/>
        </w:rPr>
        <w:t>..............................................................</w:t>
      </w:r>
      <w:r w:rsidR="007636E0">
        <w:rPr>
          <w:rFonts w:ascii="Arial" w:hAnsi="Arial" w:cs="Arial"/>
          <w:sz w:val="20"/>
          <w:szCs w:val="20"/>
        </w:rPr>
        <w:t xml:space="preserve"> . 92</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Exploatarea excesivă a resurselor naturale </w:t>
      </w:r>
      <w:r w:rsidRPr="00B52589">
        <w:rPr>
          <w:rFonts w:ascii="Arial" w:hAnsi="Arial" w:cs="Arial"/>
          <w:i/>
          <w:sz w:val="20"/>
          <w:szCs w:val="20"/>
        </w:rPr>
        <w:tab/>
        <w:t xml:space="preserve"> </w:t>
      </w:r>
      <w:r w:rsidR="007636E0">
        <w:rPr>
          <w:rFonts w:ascii="Arial" w:hAnsi="Arial" w:cs="Arial"/>
          <w:sz w:val="20"/>
          <w:szCs w:val="20"/>
        </w:rPr>
        <w:t>93</w:t>
      </w:r>
    </w:p>
    <w:p w:rsidR="00A82794" w:rsidRPr="00B52589"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B52589">
        <w:rPr>
          <w:rFonts w:ascii="Arial" w:hAnsi="Arial" w:cs="Arial"/>
          <w:sz w:val="20"/>
          <w:szCs w:val="20"/>
        </w:rPr>
        <w:t xml:space="preserve">Exploatarea forestieră </w:t>
      </w:r>
      <w:r w:rsidRPr="00B52589">
        <w:rPr>
          <w:rFonts w:ascii="Arial" w:hAnsi="Arial" w:cs="Arial"/>
          <w:sz w:val="20"/>
          <w:szCs w:val="20"/>
        </w:rPr>
        <w:tab/>
        <w:t xml:space="preserve"> </w:t>
      </w:r>
      <w:r w:rsidR="007636E0">
        <w:rPr>
          <w:rFonts w:ascii="Arial" w:hAnsi="Arial" w:cs="Arial"/>
          <w:sz w:val="20"/>
          <w:szCs w:val="20"/>
        </w:rPr>
        <w:t>93</w:t>
      </w:r>
      <w:r w:rsidRPr="00B52589">
        <w:rPr>
          <w:rFonts w:ascii="Arial" w:hAnsi="Arial" w:cs="Arial"/>
          <w:sz w:val="20"/>
          <w:szCs w:val="20"/>
        </w:rPr>
        <w:t xml:space="preserve"> </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Protecţia naturii şi biodiversitatea: prognoze şi acţiuni întreprinse </w:t>
      </w:r>
      <w:r w:rsidRPr="00B52589">
        <w:rPr>
          <w:rFonts w:ascii="Arial" w:hAnsi="Arial" w:cs="Arial"/>
          <w:b/>
          <w:sz w:val="20"/>
          <w:szCs w:val="20"/>
        </w:rPr>
        <w:tab/>
      </w:r>
      <w:r w:rsidR="007636E0">
        <w:rPr>
          <w:rFonts w:ascii="Arial" w:hAnsi="Arial" w:cs="Arial"/>
          <w:b/>
          <w:sz w:val="20"/>
          <w:szCs w:val="20"/>
        </w:rPr>
        <w:t xml:space="preserve"> 94</w:t>
      </w:r>
    </w:p>
    <w:p w:rsidR="00A82794" w:rsidRPr="00B52589"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Reţeaua de arii protejate </w:t>
      </w:r>
      <w:r w:rsidRPr="00B52589">
        <w:rPr>
          <w:rFonts w:ascii="Arial" w:hAnsi="Arial" w:cs="Arial"/>
          <w:i/>
          <w:sz w:val="20"/>
          <w:szCs w:val="20"/>
        </w:rPr>
        <w:tab/>
        <w:t xml:space="preserve"> </w:t>
      </w:r>
      <w:r w:rsidR="007636E0" w:rsidRPr="007636E0">
        <w:rPr>
          <w:rFonts w:ascii="Arial" w:hAnsi="Arial" w:cs="Arial"/>
          <w:sz w:val="20"/>
          <w:szCs w:val="20"/>
        </w:rPr>
        <w:t>94</w:t>
      </w:r>
    </w:p>
    <w:p w:rsidR="00A82794" w:rsidRPr="00B52589"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B52589">
        <w:rPr>
          <w:rFonts w:ascii="Arial" w:hAnsi="Arial" w:cs="Arial"/>
          <w:b/>
          <w:sz w:val="20"/>
          <w:szCs w:val="20"/>
        </w:rPr>
        <w:t xml:space="preserve">PĂDURILE </w:t>
      </w:r>
      <w:r w:rsidRPr="00B52589">
        <w:rPr>
          <w:rFonts w:ascii="Arial" w:hAnsi="Arial" w:cs="Arial"/>
          <w:b/>
          <w:sz w:val="20"/>
          <w:szCs w:val="20"/>
        </w:rPr>
        <w:tab/>
        <w:t xml:space="preserve"> 10</w:t>
      </w:r>
      <w:r w:rsidR="00130CCB">
        <w:rPr>
          <w:rFonts w:ascii="Arial" w:hAnsi="Arial" w:cs="Arial"/>
          <w:b/>
          <w:sz w:val="20"/>
          <w:szCs w:val="20"/>
        </w:rPr>
        <w:t>6</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 xml:space="preserve">Fondul forestier naţional: stare şi consecinţe  </w:t>
      </w:r>
      <w:r w:rsidRPr="00B52589">
        <w:rPr>
          <w:rFonts w:ascii="Arial" w:hAnsi="Arial" w:cs="Arial"/>
          <w:b/>
          <w:sz w:val="20"/>
          <w:szCs w:val="20"/>
        </w:rPr>
        <w:tab/>
        <w:t xml:space="preserve"> 10</w:t>
      </w:r>
      <w:r w:rsidR="00130CCB">
        <w:rPr>
          <w:rFonts w:ascii="Arial" w:hAnsi="Arial" w:cs="Arial"/>
          <w:b/>
          <w:sz w:val="20"/>
          <w:szCs w:val="20"/>
        </w:rPr>
        <w:t>6</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Evoluţia suprafeţei fondului forestier </w:t>
      </w:r>
      <w:r w:rsidRPr="00B52589">
        <w:rPr>
          <w:rFonts w:ascii="Arial" w:hAnsi="Arial" w:cs="Arial"/>
          <w:i/>
          <w:sz w:val="20"/>
          <w:szCs w:val="20"/>
        </w:rPr>
        <w:tab/>
        <w:t xml:space="preserve"> </w:t>
      </w:r>
      <w:r w:rsidRPr="00B52589">
        <w:rPr>
          <w:rFonts w:ascii="Arial" w:hAnsi="Arial" w:cs="Arial"/>
          <w:sz w:val="20"/>
          <w:szCs w:val="20"/>
        </w:rPr>
        <w:t>10</w:t>
      </w:r>
      <w:r w:rsidR="00130CCB">
        <w:rPr>
          <w:rFonts w:ascii="Arial" w:hAnsi="Arial" w:cs="Arial"/>
          <w:sz w:val="20"/>
          <w:szCs w:val="20"/>
        </w:rPr>
        <w:t>6</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Distribuţia pădurilor după principalele forme de relief  </w:t>
      </w:r>
      <w:r w:rsidRPr="00B52589">
        <w:rPr>
          <w:rFonts w:ascii="Arial" w:hAnsi="Arial" w:cs="Arial"/>
          <w:i/>
          <w:sz w:val="20"/>
          <w:szCs w:val="20"/>
        </w:rPr>
        <w:tab/>
      </w:r>
      <w:r w:rsidRPr="00B52589">
        <w:rPr>
          <w:rFonts w:ascii="Arial" w:hAnsi="Arial" w:cs="Arial"/>
          <w:sz w:val="20"/>
          <w:szCs w:val="20"/>
        </w:rPr>
        <w:t xml:space="preserve"> 10</w:t>
      </w:r>
      <w:r w:rsidR="00130CCB">
        <w:rPr>
          <w:rFonts w:ascii="Arial" w:hAnsi="Arial" w:cs="Arial"/>
          <w:sz w:val="20"/>
          <w:szCs w:val="20"/>
        </w:rPr>
        <w:t>9</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Starea de sănătate a pădurilor  ...............................................................................................</w:t>
      </w:r>
      <w:r w:rsidR="00130CCB" w:rsidRPr="00130CCB">
        <w:rPr>
          <w:rFonts w:ascii="Arial" w:hAnsi="Arial" w:cs="Arial"/>
          <w:sz w:val="20"/>
          <w:szCs w:val="20"/>
        </w:rPr>
        <w:t>110</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Suprafeţe de păduri regenerate  .............................................................................................</w:t>
      </w:r>
      <w:r w:rsidRPr="00B52589">
        <w:rPr>
          <w:rFonts w:ascii="Arial" w:hAnsi="Arial" w:cs="Arial"/>
          <w:sz w:val="20"/>
          <w:szCs w:val="20"/>
        </w:rPr>
        <w:t>1</w:t>
      </w:r>
      <w:r w:rsidR="00130CCB">
        <w:rPr>
          <w:rFonts w:ascii="Arial" w:hAnsi="Arial" w:cs="Arial"/>
          <w:sz w:val="20"/>
          <w:szCs w:val="20"/>
        </w:rPr>
        <w:t>10</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Zone cu deficit de vegetaţie forestieră şi disponibilităţi de împădurire  .................................  </w:t>
      </w:r>
      <w:r w:rsidRPr="00B52589">
        <w:rPr>
          <w:rFonts w:ascii="Arial" w:hAnsi="Arial" w:cs="Arial"/>
          <w:sz w:val="20"/>
          <w:szCs w:val="20"/>
        </w:rPr>
        <w:t>1</w:t>
      </w:r>
      <w:r w:rsidR="00130CCB">
        <w:rPr>
          <w:rFonts w:ascii="Arial" w:hAnsi="Arial" w:cs="Arial"/>
          <w:sz w:val="20"/>
          <w:szCs w:val="20"/>
        </w:rPr>
        <w:t>11</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Ameninţări şi presiuni exercitate asupra pădurilor .................................................................  1</w:t>
      </w:r>
      <w:r w:rsidR="00130CCB">
        <w:rPr>
          <w:rFonts w:ascii="Arial" w:hAnsi="Arial" w:cs="Arial"/>
          <w:b/>
          <w:sz w:val="20"/>
          <w:szCs w:val="20"/>
        </w:rPr>
        <w:t>11</w:t>
      </w:r>
      <w:r w:rsidRPr="00B52589">
        <w:rPr>
          <w:rFonts w:ascii="Arial" w:hAnsi="Arial" w:cs="Arial"/>
          <w:b/>
          <w:sz w:val="20"/>
          <w:szCs w:val="20"/>
        </w:rPr>
        <w:t xml:space="preserve">  </w:t>
      </w:r>
    </w:p>
    <w:p w:rsidR="00A82794" w:rsidRPr="00B52589"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Suprafeţe de pădure parcurse cu tăieri ...................................................................................  </w:t>
      </w:r>
      <w:r w:rsidRPr="00B52589">
        <w:rPr>
          <w:rFonts w:ascii="Arial" w:hAnsi="Arial" w:cs="Arial"/>
          <w:sz w:val="20"/>
          <w:szCs w:val="20"/>
        </w:rPr>
        <w:t>1</w:t>
      </w:r>
      <w:r w:rsidR="00130CCB">
        <w:rPr>
          <w:rFonts w:ascii="Arial" w:hAnsi="Arial" w:cs="Arial"/>
          <w:sz w:val="20"/>
          <w:szCs w:val="20"/>
        </w:rPr>
        <w:t>11</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Schimbarea utilizării terenurilor .............................................................................................  </w:t>
      </w:r>
      <w:r w:rsidRPr="00B52589">
        <w:rPr>
          <w:rFonts w:ascii="Arial" w:hAnsi="Arial" w:cs="Arial"/>
          <w:sz w:val="20"/>
          <w:szCs w:val="20"/>
        </w:rPr>
        <w:t>11</w:t>
      </w:r>
      <w:r w:rsidR="00130CCB">
        <w:rPr>
          <w:rFonts w:ascii="Arial" w:hAnsi="Arial" w:cs="Arial"/>
          <w:sz w:val="20"/>
          <w:szCs w:val="20"/>
        </w:rPr>
        <w:t>2</w:t>
      </w:r>
    </w:p>
    <w:p w:rsidR="00A82794" w:rsidRPr="00B52589" w:rsidRDefault="00A82794" w:rsidP="00A82794">
      <w:pPr>
        <w:numPr>
          <w:ilvl w:val="3"/>
          <w:numId w:val="1"/>
        </w:numPr>
        <w:tabs>
          <w:tab w:val="clear" w:pos="2215"/>
          <w:tab w:val="num" w:pos="1701"/>
          <w:tab w:val="left" w:leader="dot" w:pos="9356"/>
        </w:tabs>
        <w:spacing w:after="0" w:line="240" w:lineRule="auto"/>
        <w:ind w:left="1560" w:hanging="780"/>
        <w:rPr>
          <w:rFonts w:ascii="Arial" w:hAnsi="Arial" w:cs="Arial"/>
          <w:sz w:val="20"/>
          <w:szCs w:val="20"/>
        </w:rPr>
      </w:pPr>
      <w:r w:rsidRPr="00B52589">
        <w:rPr>
          <w:rFonts w:ascii="Arial" w:hAnsi="Arial" w:cs="Arial"/>
          <w:sz w:val="20"/>
          <w:szCs w:val="20"/>
        </w:rPr>
        <w:t>Fragmentarea ecosistemelor .........................................................................................     11</w:t>
      </w:r>
      <w:r w:rsidR="00130CCB">
        <w:rPr>
          <w:rFonts w:ascii="Arial" w:hAnsi="Arial" w:cs="Arial"/>
          <w:sz w:val="20"/>
          <w:szCs w:val="20"/>
        </w:rPr>
        <w:t>2</w:t>
      </w:r>
    </w:p>
    <w:p w:rsidR="00A82794" w:rsidRPr="00B52589"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Schimbările climatice..............................................................................................................  </w:t>
      </w:r>
      <w:r w:rsidRPr="00B52589">
        <w:rPr>
          <w:rFonts w:ascii="Arial" w:hAnsi="Arial" w:cs="Arial"/>
          <w:sz w:val="20"/>
          <w:szCs w:val="20"/>
        </w:rPr>
        <w:t>11</w:t>
      </w:r>
      <w:r w:rsidR="00130CCB">
        <w:rPr>
          <w:rFonts w:ascii="Arial" w:hAnsi="Arial" w:cs="Arial"/>
          <w:sz w:val="20"/>
          <w:szCs w:val="20"/>
        </w:rPr>
        <w:t>2</w:t>
      </w:r>
    </w:p>
    <w:p w:rsidR="00A82794" w:rsidRPr="00B52589"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B52589">
        <w:rPr>
          <w:rFonts w:ascii="Arial" w:hAnsi="Arial" w:cs="Arial"/>
          <w:b/>
          <w:sz w:val="20"/>
          <w:szCs w:val="20"/>
        </w:rPr>
        <w:t xml:space="preserve">RESURSELE MATERIALE ŞI DEŞEURILE </w:t>
      </w:r>
      <w:r w:rsidRPr="00B52589">
        <w:rPr>
          <w:rFonts w:ascii="Arial" w:hAnsi="Arial" w:cs="Arial"/>
          <w:b/>
          <w:sz w:val="20"/>
          <w:szCs w:val="20"/>
        </w:rPr>
        <w:tab/>
        <w:t xml:space="preserve">  11</w:t>
      </w:r>
      <w:r w:rsidR="00130CCB">
        <w:rPr>
          <w:rFonts w:ascii="Arial" w:hAnsi="Arial" w:cs="Arial"/>
          <w:b/>
          <w:sz w:val="20"/>
          <w:szCs w:val="20"/>
        </w:rPr>
        <w:t>3</w:t>
      </w:r>
    </w:p>
    <w:p w:rsidR="00A82794" w:rsidRPr="00B52589"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B52589">
        <w:rPr>
          <w:rFonts w:ascii="Arial" w:hAnsi="Arial" w:cs="Arial"/>
          <w:b/>
          <w:sz w:val="20"/>
          <w:szCs w:val="20"/>
        </w:rPr>
        <w:t>Generarea şi gestionarea deşeurilor: tendinţe, impacturi şi prognoze ...............................    11</w:t>
      </w:r>
      <w:r w:rsidR="00130CCB">
        <w:rPr>
          <w:rFonts w:ascii="Arial" w:hAnsi="Arial" w:cs="Arial"/>
          <w:b/>
          <w:sz w:val="20"/>
          <w:szCs w:val="20"/>
        </w:rPr>
        <w:t>3</w:t>
      </w:r>
    </w:p>
    <w:p w:rsidR="00A82794" w:rsidRPr="00B52589"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52589">
        <w:rPr>
          <w:rFonts w:ascii="Arial" w:hAnsi="Arial" w:cs="Arial"/>
          <w:i/>
          <w:sz w:val="20"/>
          <w:szCs w:val="20"/>
        </w:rPr>
        <w:t>Generarea şi gestionarea deşeurilor municipale...................................................................</w:t>
      </w:r>
      <w:r w:rsidRPr="00B52589">
        <w:rPr>
          <w:rFonts w:ascii="Arial" w:hAnsi="Arial" w:cs="Arial"/>
          <w:sz w:val="20"/>
          <w:szCs w:val="20"/>
        </w:rPr>
        <w:t xml:space="preserve">  11</w:t>
      </w:r>
      <w:r w:rsidR="00130CCB">
        <w:rPr>
          <w:rFonts w:ascii="Arial" w:hAnsi="Arial" w:cs="Arial"/>
          <w:sz w:val="20"/>
          <w:szCs w:val="20"/>
        </w:rPr>
        <w:t>4</w:t>
      </w:r>
    </w:p>
    <w:p w:rsidR="00A82794" w:rsidRPr="00B52589" w:rsidRDefault="00A82794" w:rsidP="00A82794">
      <w:pPr>
        <w:numPr>
          <w:ilvl w:val="2"/>
          <w:numId w:val="1"/>
        </w:numPr>
        <w:tabs>
          <w:tab w:val="clear" w:pos="0"/>
          <w:tab w:val="left" w:pos="1358"/>
          <w:tab w:val="left" w:leader="dot" w:pos="9356"/>
        </w:tabs>
        <w:spacing w:after="0" w:line="240" w:lineRule="auto"/>
        <w:ind w:left="993"/>
        <w:rPr>
          <w:rFonts w:ascii="Arial" w:hAnsi="Arial" w:cs="Arial"/>
          <w:sz w:val="20"/>
          <w:szCs w:val="20"/>
        </w:rPr>
      </w:pPr>
      <w:r w:rsidRPr="00B52589">
        <w:rPr>
          <w:rFonts w:ascii="Arial" w:hAnsi="Arial" w:cs="Arial"/>
          <w:i/>
          <w:sz w:val="20"/>
          <w:szCs w:val="20"/>
        </w:rPr>
        <w:t>Generarea şi gestionarea deşeurilor industriale</w:t>
      </w:r>
      <w:r w:rsidRPr="00B52589">
        <w:rPr>
          <w:rFonts w:ascii="Arial" w:hAnsi="Arial" w:cs="Arial"/>
          <w:i/>
          <w:sz w:val="20"/>
          <w:szCs w:val="20"/>
        </w:rPr>
        <w:tab/>
      </w:r>
      <w:r w:rsidRPr="00B52589">
        <w:rPr>
          <w:rFonts w:ascii="Arial" w:hAnsi="Arial" w:cs="Arial"/>
          <w:sz w:val="20"/>
          <w:szCs w:val="20"/>
        </w:rPr>
        <w:t xml:space="preserve">  12</w:t>
      </w:r>
      <w:r w:rsidR="00130CCB">
        <w:rPr>
          <w:rFonts w:ascii="Arial" w:hAnsi="Arial" w:cs="Arial"/>
          <w:sz w:val="20"/>
          <w:szCs w:val="20"/>
        </w:rPr>
        <w:t>7</w:t>
      </w:r>
    </w:p>
    <w:p w:rsidR="00A82794" w:rsidRPr="00B52589"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Fluxuri speciale de deşeuri.................................................................................................... </w:t>
      </w:r>
      <w:r w:rsidRPr="00B52589">
        <w:rPr>
          <w:rFonts w:ascii="Arial" w:hAnsi="Arial" w:cs="Arial"/>
          <w:sz w:val="20"/>
          <w:szCs w:val="20"/>
        </w:rPr>
        <w:t xml:space="preserve"> 12</w:t>
      </w:r>
      <w:r w:rsidR="00130CCB">
        <w:rPr>
          <w:rFonts w:ascii="Arial" w:hAnsi="Arial" w:cs="Arial"/>
          <w:sz w:val="20"/>
          <w:szCs w:val="20"/>
        </w:rPr>
        <w:t>9</w:t>
      </w:r>
    </w:p>
    <w:p w:rsidR="00A82794" w:rsidRPr="00B52589"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52589">
        <w:rPr>
          <w:rFonts w:ascii="Arial" w:hAnsi="Arial" w:cs="Arial"/>
          <w:sz w:val="20"/>
          <w:szCs w:val="20"/>
        </w:rPr>
        <w:t xml:space="preserve">Deşeuri de echipamente electrice şi electronice (DEEE) </w:t>
      </w:r>
      <w:r w:rsidRPr="00B52589">
        <w:rPr>
          <w:rFonts w:ascii="Arial" w:hAnsi="Arial" w:cs="Arial"/>
          <w:sz w:val="20"/>
          <w:szCs w:val="20"/>
        </w:rPr>
        <w:tab/>
        <w:t xml:space="preserve">  12</w:t>
      </w:r>
      <w:r w:rsidR="00130CCB">
        <w:rPr>
          <w:rFonts w:ascii="Arial" w:hAnsi="Arial" w:cs="Arial"/>
          <w:sz w:val="20"/>
          <w:szCs w:val="20"/>
        </w:rPr>
        <w:t>9</w:t>
      </w:r>
    </w:p>
    <w:p w:rsidR="00A82794" w:rsidRPr="00B52589"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52589">
        <w:rPr>
          <w:rFonts w:ascii="Arial" w:hAnsi="Arial" w:cs="Arial"/>
          <w:sz w:val="20"/>
          <w:szCs w:val="20"/>
        </w:rPr>
        <w:t xml:space="preserve">Deşeuri de ambalaje </w:t>
      </w:r>
      <w:r w:rsidRPr="00B52589">
        <w:rPr>
          <w:rFonts w:ascii="Arial" w:hAnsi="Arial" w:cs="Arial"/>
          <w:sz w:val="20"/>
          <w:szCs w:val="20"/>
        </w:rPr>
        <w:tab/>
        <w:t xml:space="preserve">  1</w:t>
      </w:r>
      <w:r w:rsidR="00130CCB">
        <w:rPr>
          <w:rFonts w:ascii="Arial" w:hAnsi="Arial" w:cs="Arial"/>
          <w:sz w:val="20"/>
          <w:szCs w:val="20"/>
        </w:rPr>
        <w:t>30</w:t>
      </w:r>
    </w:p>
    <w:p w:rsidR="00A82794" w:rsidRPr="00B52589"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B52589">
        <w:rPr>
          <w:rFonts w:ascii="Arial" w:hAnsi="Arial" w:cs="Arial"/>
          <w:sz w:val="20"/>
          <w:szCs w:val="20"/>
        </w:rPr>
        <w:t xml:space="preserve">Vehicule scoase din uz (VSU) </w:t>
      </w:r>
      <w:r w:rsidRPr="00B52589">
        <w:rPr>
          <w:rFonts w:ascii="Arial" w:hAnsi="Arial" w:cs="Arial"/>
          <w:sz w:val="20"/>
          <w:szCs w:val="20"/>
        </w:rPr>
        <w:tab/>
        <w:t xml:space="preserve">  13</w:t>
      </w:r>
      <w:r w:rsidR="00130CCB">
        <w:rPr>
          <w:rFonts w:ascii="Arial" w:hAnsi="Arial" w:cs="Arial"/>
          <w:sz w:val="20"/>
          <w:szCs w:val="20"/>
        </w:rPr>
        <w:t>2</w:t>
      </w:r>
    </w:p>
    <w:p w:rsidR="00A82794" w:rsidRPr="00B52589"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52589">
        <w:rPr>
          <w:rFonts w:ascii="Arial" w:hAnsi="Arial" w:cs="Arial"/>
          <w:i/>
          <w:sz w:val="20"/>
          <w:szCs w:val="20"/>
        </w:rPr>
        <w:t>Impacturi şi presiuni privind deşeurile</w:t>
      </w:r>
      <w:r w:rsidRPr="00B52589">
        <w:rPr>
          <w:rFonts w:ascii="Arial" w:hAnsi="Arial" w:cs="Arial"/>
          <w:i/>
          <w:sz w:val="20"/>
          <w:szCs w:val="20"/>
        </w:rPr>
        <w:tab/>
        <w:t xml:space="preserve"> </w:t>
      </w:r>
      <w:r w:rsidRPr="00B52589">
        <w:rPr>
          <w:rFonts w:ascii="Arial" w:hAnsi="Arial" w:cs="Arial"/>
          <w:sz w:val="20"/>
          <w:szCs w:val="20"/>
        </w:rPr>
        <w:t xml:space="preserve"> 13</w:t>
      </w:r>
      <w:r w:rsidR="00130CCB">
        <w:rPr>
          <w:rFonts w:ascii="Arial" w:hAnsi="Arial" w:cs="Arial"/>
          <w:sz w:val="20"/>
          <w:szCs w:val="20"/>
        </w:rPr>
        <w:t>4</w:t>
      </w:r>
    </w:p>
    <w:p w:rsidR="00A82794" w:rsidRPr="00B52589"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B52589">
        <w:rPr>
          <w:rFonts w:ascii="Arial" w:hAnsi="Arial" w:cs="Arial"/>
          <w:i/>
          <w:sz w:val="20"/>
          <w:szCs w:val="20"/>
        </w:rPr>
        <w:t>Tendinţe şi prognoze privind generarea deşeurilor...............................................................</w:t>
      </w:r>
      <w:r w:rsidRPr="00B52589">
        <w:rPr>
          <w:rFonts w:ascii="Arial" w:hAnsi="Arial" w:cs="Arial"/>
          <w:sz w:val="20"/>
          <w:szCs w:val="20"/>
        </w:rPr>
        <w:t xml:space="preserve">   13</w:t>
      </w:r>
      <w:r w:rsidR="00130CCB">
        <w:rPr>
          <w:rFonts w:ascii="Arial" w:hAnsi="Arial" w:cs="Arial"/>
          <w:sz w:val="20"/>
          <w:szCs w:val="20"/>
        </w:rPr>
        <w:t>7</w:t>
      </w:r>
    </w:p>
    <w:p w:rsidR="00A82794" w:rsidRPr="00B52589" w:rsidRDefault="00A82794" w:rsidP="00A82794">
      <w:pPr>
        <w:tabs>
          <w:tab w:val="left" w:pos="540"/>
          <w:tab w:val="left" w:leader="dot" w:pos="9356"/>
        </w:tabs>
        <w:spacing w:after="0" w:line="240" w:lineRule="auto"/>
        <w:rPr>
          <w:rFonts w:ascii="Arial" w:hAnsi="Arial" w:cs="Arial"/>
          <w:sz w:val="20"/>
          <w:szCs w:val="20"/>
        </w:rPr>
      </w:pPr>
      <w:r w:rsidRPr="00B52589">
        <w:rPr>
          <w:rFonts w:ascii="Arial" w:hAnsi="Arial" w:cs="Arial"/>
          <w:b/>
          <w:sz w:val="20"/>
          <w:szCs w:val="20"/>
        </w:rPr>
        <w:t xml:space="preserve">VIII. MEDIUL URBAN, SĂNĂTATEA ŞI CALITATEA VIEŢII ......................................................................  </w:t>
      </w:r>
      <w:r w:rsidR="00130CCB">
        <w:rPr>
          <w:rFonts w:ascii="Arial" w:hAnsi="Arial" w:cs="Arial"/>
          <w:b/>
          <w:sz w:val="20"/>
          <w:szCs w:val="20"/>
        </w:rPr>
        <w:t xml:space="preserve"> </w:t>
      </w:r>
      <w:r w:rsidRPr="00B52589">
        <w:rPr>
          <w:rFonts w:ascii="Arial" w:hAnsi="Arial" w:cs="Arial"/>
          <w:b/>
          <w:sz w:val="20"/>
          <w:szCs w:val="20"/>
        </w:rPr>
        <w:t>13</w:t>
      </w:r>
      <w:r w:rsidR="00130CCB">
        <w:rPr>
          <w:rFonts w:ascii="Arial" w:hAnsi="Arial" w:cs="Arial"/>
          <w:b/>
          <w:sz w:val="20"/>
          <w:szCs w:val="20"/>
        </w:rPr>
        <w:t>7</w:t>
      </w:r>
      <w:r w:rsidRPr="00B52589">
        <w:rPr>
          <w:rFonts w:ascii="Arial" w:hAnsi="Arial" w:cs="Arial"/>
          <w:b/>
          <w:sz w:val="20"/>
          <w:szCs w:val="20"/>
        </w:rPr>
        <w:t xml:space="preserve">              </w:t>
      </w:r>
      <w:r w:rsidR="00DE32CE">
        <w:rPr>
          <w:rFonts w:ascii="Arial" w:hAnsi="Arial" w:cs="Arial"/>
          <w:b/>
          <w:sz w:val="20"/>
          <w:szCs w:val="20"/>
        </w:rPr>
        <w:t xml:space="preserve">         </w:t>
      </w:r>
      <w:r w:rsidRPr="00B52589">
        <w:rPr>
          <w:rFonts w:ascii="Arial" w:hAnsi="Arial" w:cs="Arial"/>
          <w:b/>
          <w:sz w:val="20"/>
          <w:szCs w:val="20"/>
        </w:rPr>
        <w:t>VIII.1. Mediul urban şi calitatea vieţii: stare şi consecinţe ................................................................</w:t>
      </w:r>
      <w:r w:rsidR="00DE32CE">
        <w:rPr>
          <w:rFonts w:ascii="Arial" w:hAnsi="Arial" w:cs="Arial"/>
          <w:b/>
          <w:sz w:val="20"/>
          <w:szCs w:val="20"/>
        </w:rPr>
        <w:t>.....</w:t>
      </w:r>
      <w:r w:rsidRPr="00B52589">
        <w:rPr>
          <w:rFonts w:ascii="Arial" w:hAnsi="Arial" w:cs="Arial"/>
          <w:b/>
          <w:sz w:val="20"/>
          <w:szCs w:val="20"/>
        </w:rPr>
        <w:t xml:space="preserve">   </w:t>
      </w:r>
      <w:r w:rsidR="00130CCB">
        <w:rPr>
          <w:rFonts w:ascii="Arial" w:hAnsi="Arial" w:cs="Arial"/>
          <w:b/>
          <w:sz w:val="20"/>
          <w:szCs w:val="20"/>
        </w:rPr>
        <w:t xml:space="preserve"> </w:t>
      </w:r>
      <w:r w:rsidRPr="00B52589">
        <w:rPr>
          <w:rFonts w:ascii="Arial" w:hAnsi="Arial" w:cs="Arial"/>
          <w:b/>
          <w:sz w:val="20"/>
          <w:szCs w:val="20"/>
        </w:rPr>
        <w:t>13</w:t>
      </w:r>
      <w:r w:rsidR="00130CCB">
        <w:rPr>
          <w:rFonts w:ascii="Arial" w:hAnsi="Arial" w:cs="Arial"/>
          <w:b/>
          <w:sz w:val="20"/>
          <w:szCs w:val="20"/>
        </w:rPr>
        <w:t>7</w:t>
      </w:r>
    </w:p>
    <w:p w:rsidR="00A82794" w:rsidRPr="00B52589" w:rsidRDefault="00A82794" w:rsidP="00A82794">
      <w:pPr>
        <w:tabs>
          <w:tab w:val="left" w:pos="1276"/>
          <w:tab w:val="left" w:leader="dot" w:pos="9356"/>
        </w:tabs>
        <w:spacing w:after="0" w:line="240" w:lineRule="auto"/>
        <w:rPr>
          <w:rFonts w:ascii="Arial" w:hAnsi="Arial" w:cs="Arial"/>
          <w:sz w:val="20"/>
          <w:szCs w:val="20"/>
        </w:rPr>
      </w:pPr>
      <w:r w:rsidRPr="00B52589">
        <w:rPr>
          <w:rFonts w:ascii="Arial" w:hAnsi="Arial" w:cs="Arial"/>
          <w:i/>
          <w:sz w:val="20"/>
          <w:szCs w:val="20"/>
        </w:rPr>
        <w:t xml:space="preserve">         VIII.1.1.Calitatea aerului din aglomerările urbane şi efectele asupra sănătăţii....................................    </w:t>
      </w:r>
      <w:r w:rsidRPr="00B52589">
        <w:rPr>
          <w:rFonts w:ascii="Arial" w:hAnsi="Arial" w:cs="Arial"/>
          <w:sz w:val="20"/>
          <w:szCs w:val="20"/>
        </w:rPr>
        <w:t>13</w:t>
      </w:r>
      <w:r w:rsidR="00130CCB">
        <w:rPr>
          <w:rFonts w:ascii="Arial" w:hAnsi="Arial" w:cs="Arial"/>
          <w:sz w:val="20"/>
          <w:szCs w:val="20"/>
        </w:rPr>
        <w:t>8</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VIII.1.1.1.Depăşiri ale concentraţiei medii anuale de PM10, NO2, SO2 şi O3 în anumite aglomerări </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urbane .......................................................................................................................           13</w:t>
      </w:r>
      <w:r w:rsidR="00130CCB">
        <w:rPr>
          <w:rFonts w:ascii="Arial" w:hAnsi="Arial" w:cs="Arial"/>
          <w:sz w:val="20"/>
          <w:szCs w:val="20"/>
        </w:rPr>
        <w:t>9</w:t>
      </w:r>
    </w:p>
    <w:p w:rsidR="00A82794" w:rsidRPr="00B52589" w:rsidRDefault="00A82794" w:rsidP="00A82794">
      <w:pPr>
        <w:tabs>
          <w:tab w:val="left" w:pos="1276"/>
          <w:tab w:val="left" w:leader="dot" w:pos="9356"/>
        </w:tabs>
        <w:spacing w:after="0" w:line="240" w:lineRule="auto"/>
        <w:rPr>
          <w:rFonts w:ascii="Arial" w:hAnsi="Arial" w:cs="Arial"/>
          <w:sz w:val="20"/>
          <w:szCs w:val="20"/>
        </w:rPr>
      </w:pPr>
      <w:r w:rsidRPr="00B52589">
        <w:rPr>
          <w:rFonts w:ascii="Arial" w:hAnsi="Arial" w:cs="Arial"/>
          <w:i/>
          <w:sz w:val="20"/>
          <w:szCs w:val="20"/>
        </w:rPr>
        <w:t xml:space="preserve">         VIII.1.2. Poluarea fonică şi efectele asupra sănătăţii şi calităţii vieţii.......................................... ....... </w:t>
      </w:r>
      <w:r w:rsidRPr="00B52589">
        <w:rPr>
          <w:rFonts w:ascii="Arial" w:hAnsi="Arial" w:cs="Arial"/>
          <w:sz w:val="20"/>
          <w:szCs w:val="20"/>
        </w:rPr>
        <w:t xml:space="preserve">    14</w:t>
      </w:r>
      <w:r w:rsidR="00130CCB">
        <w:rPr>
          <w:rFonts w:ascii="Arial" w:hAnsi="Arial" w:cs="Arial"/>
          <w:sz w:val="20"/>
          <w:szCs w:val="20"/>
        </w:rPr>
        <w:t>3</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i/>
          <w:sz w:val="20"/>
          <w:szCs w:val="20"/>
        </w:rPr>
        <w:t xml:space="preserve">               </w:t>
      </w:r>
      <w:r w:rsidRPr="00B52589">
        <w:rPr>
          <w:rFonts w:ascii="Arial" w:hAnsi="Arial" w:cs="Arial"/>
          <w:sz w:val="20"/>
          <w:szCs w:val="20"/>
        </w:rPr>
        <w:t>VIII.1.2.1.Expunerea la poluarea sonoră a aglomerărilor urbane cu peste 250.000 locuitori</w:t>
      </w:r>
      <w:r w:rsidRPr="00B52589">
        <w:rPr>
          <w:rFonts w:ascii="Arial" w:hAnsi="Arial" w:cs="Arial"/>
          <w:i/>
          <w:sz w:val="20"/>
          <w:szCs w:val="20"/>
        </w:rPr>
        <w:t xml:space="preserve"> ...... </w:t>
      </w:r>
      <w:r w:rsidRPr="00B52589">
        <w:rPr>
          <w:rFonts w:ascii="Arial" w:hAnsi="Arial" w:cs="Arial"/>
          <w:sz w:val="20"/>
          <w:szCs w:val="20"/>
        </w:rPr>
        <w:t xml:space="preserve">     14</w:t>
      </w:r>
      <w:r w:rsidR="00130CCB">
        <w:rPr>
          <w:rFonts w:ascii="Arial" w:hAnsi="Arial" w:cs="Arial"/>
          <w:sz w:val="20"/>
          <w:szCs w:val="20"/>
        </w:rPr>
        <w:t>3</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rPr>
        <w:t xml:space="preserve">      VIII.1.3.Calitatea apei potabile şi efectele asupra sănătăţii..........................................................           </w:t>
      </w:r>
      <w:r w:rsidRPr="00B52589">
        <w:rPr>
          <w:rFonts w:ascii="Arial" w:hAnsi="Arial" w:cs="Arial"/>
          <w:sz w:val="20"/>
          <w:szCs w:val="20"/>
        </w:rPr>
        <w:t xml:space="preserve"> 14</w:t>
      </w:r>
      <w:r w:rsidR="00323029">
        <w:rPr>
          <w:rFonts w:ascii="Arial" w:hAnsi="Arial" w:cs="Arial"/>
          <w:sz w:val="20"/>
          <w:szCs w:val="20"/>
        </w:rPr>
        <w:t>8</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rPr>
        <w:t xml:space="preserve">      VIII.1.4. Spaţiile verzi şi efectele asupra sănătăţii şi calităţii vieţii</w:t>
      </w:r>
      <w:r w:rsidRPr="00B52589">
        <w:rPr>
          <w:rFonts w:ascii="Arial" w:hAnsi="Arial" w:cs="Arial"/>
          <w:i/>
          <w:sz w:val="20"/>
          <w:szCs w:val="20"/>
        </w:rPr>
        <w:tab/>
        <w:t xml:space="preserve">  </w:t>
      </w:r>
      <w:r w:rsidR="00323029">
        <w:rPr>
          <w:rFonts w:ascii="Arial" w:hAnsi="Arial" w:cs="Arial"/>
          <w:sz w:val="20"/>
          <w:szCs w:val="20"/>
        </w:rPr>
        <w:t>150</w:t>
      </w:r>
    </w:p>
    <w:p w:rsidR="00A82794" w:rsidRPr="00B52589" w:rsidRDefault="00A82794" w:rsidP="00A82794">
      <w:pPr>
        <w:tabs>
          <w:tab w:val="left" w:leader="dot" w:pos="9356"/>
        </w:tabs>
        <w:spacing w:after="0" w:line="240" w:lineRule="auto"/>
        <w:rPr>
          <w:rFonts w:ascii="Arial" w:hAnsi="Arial" w:cs="Arial"/>
          <w:sz w:val="20"/>
          <w:szCs w:val="20"/>
          <w:lang w:val="fr-BE"/>
        </w:rPr>
      </w:pPr>
      <w:r w:rsidRPr="00B52589">
        <w:rPr>
          <w:rFonts w:ascii="Arial" w:hAnsi="Arial" w:cs="Arial"/>
          <w:sz w:val="20"/>
          <w:szCs w:val="20"/>
        </w:rPr>
        <w:t xml:space="preserve">                 VII</w:t>
      </w:r>
      <w:r w:rsidRPr="00B52589">
        <w:rPr>
          <w:rFonts w:ascii="Arial" w:hAnsi="Arial" w:cs="Arial"/>
          <w:sz w:val="20"/>
          <w:szCs w:val="20"/>
          <w:lang w:val="fr-BE"/>
        </w:rPr>
        <w:t>I.1.4.1.Suprafaţa ocupată de spaţiile verzi în aglomerările urbane ………………………………  1</w:t>
      </w:r>
      <w:r w:rsidR="00323029">
        <w:rPr>
          <w:rFonts w:ascii="Arial" w:hAnsi="Arial" w:cs="Arial"/>
          <w:sz w:val="20"/>
          <w:szCs w:val="20"/>
          <w:lang w:val="fr-BE"/>
        </w:rPr>
        <w:t>50</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lang w:val="fr-BE"/>
        </w:rPr>
        <w:t xml:space="preserve">     </w:t>
      </w:r>
      <w:r w:rsidRPr="00B52589">
        <w:rPr>
          <w:rFonts w:ascii="Arial" w:hAnsi="Arial" w:cs="Arial"/>
          <w:i/>
          <w:sz w:val="20"/>
          <w:szCs w:val="20"/>
        </w:rPr>
        <w:t xml:space="preserve"> VIII.1.5.Schimbările climatice şi efectele asupra mediului urban, sănătăţii şi calităţii vieţii</w:t>
      </w:r>
      <w:r w:rsidRPr="00B52589">
        <w:rPr>
          <w:rFonts w:ascii="Arial" w:hAnsi="Arial" w:cs="Arial"/>
          <w:i/>
          <w:sz w:val="20"/>
          <w:szCs w:val="20"/>
        </w:rPr>
        <w:tab/>
        <w:t xml:space="preserve">  </w:t>
      </w:r>
      <w:r w:rsidRPr="00B52589">
        <w:rPr>
          <w:rFonts w:ascii="Arial" w:hAnsi="Arial" w:cs="Arial"/>
          <w:sz w:val="20"/>
          <w:szCs w:val="20"/>
        </w:rPr>
        <w:t>15</w:t>
      </w:r>
      <w:r w:rsidR="00323029">
        <w:rPr>
          <w:rFonts w:ascii="Arial" w:hAnsi="Arial" w:cs="Arial"/>
          <w:sz w:val="20"/>
          <w:szCs w:val="20"/>
        </w:rPr>
        <w:t>7</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VIII.1.5.1. Rata de mortalitate în aglomerările urbane ca urmare a temperaturilor extreme în </w:t>
      </w:r>
    </w:p>
    <w:p w:rsidR="00A82794" w:rsidRPr="00B52589" w:rsidRDefault="00A82794" w:rsidP="00A82794">
      <w:pPr>
        <w:tabs>
          <w:tab w:val="left" w:leader="dot" w:pos="9356"/>
        </w:tabs>
        <w:spacing w:after="0" w:line="240" w:lineRule="auto"/>
        <w:rPr>
          <w:rFonts w:ascii="Arial" w:hAnsi="Arial" w:cs="Arial"/>
          <w:sz w:val="20"/>
          <w:szCs w:val="20"/>
        </w:rPr>
      </w:pPr>
      <w:r w:rsidRPr="00B52589">
        <w:rPr>
          <w:rFonts w:ascii="Arial" w:hAnsi="Arial" w:cs="Arial"/>
          <w:sz w:val="20"/>
          <w:szCs w:val="20"/>
        </w:rPr>
        <w:t xml:space="preserve">                     perioada de vară </w:t>
      </w:r>
      <w:r w:rsidRPr="00B52589">
        <w:rPr>
          <w:rFonts w:ascii="Arial" w:hAnsi="Arial" w:cs="Arial"/>
          <w:sz w:val="20"/>
          <w:szCs w:val="20"/>
        </w:rPr>
        <w:tab/>
        <w:t xml:space="preserve">  15</w:t>
      </w:r>
      <w:r w:rsidR="00323029">
        <w:rPr>
          <w:rFonts w:ascii="Arial" w:hAnsi="Arial" w:cs="Arial"/>
          <w:sz w:val="20"/>
          <w:szCs w:val="20"/>
        </w:rPr>
        <w:t>8</w:t>
      </w:r>
    </w:p>
    <w:p w:rsidR="00A82794" w:rsidRPr="00B52589" w:rsidRDefault="00A82794" w:rsidP="00A82794">
      <w:pPr>
        <w:tabs>
          <w:tab w:val="left" w:leader="dot" w:pos="9356"/>
        </w:tabs>
        <w:spacing w:after="0" w:line="240" w:lineRule="auto"/>
        <w:ind w:left="1135"/>
        <w:rPr>
          <w:rFonts w:ascii="Arial" w:hAnsi="Arial" w:cs="Arial"/>
          <w:sz w:val="20"/>
          <w:szCs w:val="20"/>
        </w:rPr>
      </w:pPr>
      <w:r w:rsidRPr="00B52589">
        <w:rPr>
          <w:rFonts w:ascii="Arial" w:hAnsi="Arial" w:cs="Arial"/>
          <w:sz w:val="20"/>
          <w:szCs w:val="20"/>
        </w:rPr>
        <w:t xml:space="preserve">VIII.1.5.2. Expunerea populaţiei din aglomerările urbane la riscul de inundaţii </w:t>
      </w:r>
      <w:r w:rsidRPr="00B52589">
        <w:rPr>
          <w:rFonts w:ascii="Arial" w:hAnsi="Arial" w:cs="Arial"/>
          <w:sz w:val="20"/>
          <w:szCs w:val="20"/>
        </w:rPr>
        <w:tab/>
        <w:t xml:space="preserve">  15</w:t>
      </w:r>
      <w:r w:rsidR="00323029">
        <w:rPr>
          <w:rFonts w:ascii="Arial" w:hAnsi="Arial" w:cs="Arial"/>
          <w:sz w:val="20"/>
          <w:szCs w:val="20"/>
        </w:rPr>
        <w:t>8</w:t>
      </w:r>
    </w:p>
    <w:p w:rsidR="00A82794" w:rsidRPr="00B52589" w:rsidRDefault="00A82794" w:rsidP="00A82794">
      <w:pPr>
        <w:tabs>
          <w:tab w:val="left" w:pos="540"/>
          <w:tab w:val="left" w:leader="dot" w:pos="9356"/>
        </w:tabs>
        <w:spacing w:after="0" w:line="240" w:lineRule="auto"/>
        <w:rPr>
          <w:rFonts w:ascii="Arial" w:hAnsi="Arial" w:cs="Arial"/>
          <w:sz w:val="20"/>
          <w:szCs w:val="20"/>
        </w:rPr>
      </w:pPr>
      <w:r w:rsidRPr="00B52589">
        <w:rPr>
          <w:rFonts w:ascii="Arial" w:hAnsi="Arial" w:cs="Arial"/>
          <w:b/>
          <w:sz w:val="20"/>
          <w:szCs w:val="20"/>
        </w:rPr>
        <w:t>IX.RADIOACTIVITATEA MEDIULUI ..........................................................................................................     15</w:t>
      </w:r>
      <w:r w:rsidR="00323029">
        <w:rPr>
          <w:rFonts w:ascii="Arial" w:hAnsi="Arial" w:cs="Arial"/>
          <w:b/>
          <w:sz w:val="20"/>
          <w:szCs w:val="20"/>
        </w:rPr>
        <w:t>8</w:t>
      </w:r>
    </w:p>
    <w:p w:rsidR="00A82794" w:rsidRPr="00B52589" w:rsidRDefault="00A82794" w:rsidP="00A82794">
      <w:pPr>
        <w:tabs>
          <w:tab w:val="left" w:leader="dot" w:pos="9356"/>
        </w:tabs>
        <w:spacing w:after="0" w:line="240" w:lineRule="auto"/>
        <w:ind w:left="567"/>
        <w:rPr>
          <w:rFonts w:ascii="Arial" w:hAnsi="Arial" w:cs="Arial"/>
          <w:sz w:val="20"/>
          <w:szCs w:val="20"/>
        </w:rPr>
      </w:pPr>
      <w:r w:rsidRPr="00B52589">
        <w:rPr>
          <w:rFonts w:ascii="Arial" w:hAnsi="Arial" w:cs="Arial"/>
          <w:b/>
          <w:sz w:val="20"/>
          <w:szCs w:val="20"/>
        </w:rPr>
        <w:t xml:space="preserve">IX.1. Monitorizarea radioactivităţii factorilor de mediu </w:t>
      </w:r>
      <w:r w:rsidRPr="00B52589">
        <w:rPr>
          <w:rFonts w:ascii="Arial" w:hAnsi="Arial" w:cs="Arial"/>
          <w:b/>
          <w:sz w:val="20"/>
          <w:szCs w:val="20"/>
        </w:rPr>
        <w:tab/>
        <w:t xml:space="preserve">  15</w:t>
      </w:r>
      <w:r w:rsidR="00323029">
        <w:rPr>
          <w:rFonts w:ascii="Arial" w:hAnsi="Arial" w:cs="Arial"/>
          <w:b/>
          <w:sz w:val="20"/>
          <w:szCs w:val="20"/>
        </w:rPr>
        <w:t>8</w:t>
      </w:r>
    </w:p>
    <w:p w:rsidR="00A82794" w:rsidRPr="00B52589" w:rsidRDefault="00A82794" w:rsidP="00A82794">
      <w:pPr>
        <w:tabs>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IX.1.1.Radioactivitatea aerului  ……………………………………………………………..…………   </w:t>
      </w:r>
      <w:r w:rsidR="00323029">
        <w:rPr>
          <w:rFonts w:ascii="Arial" w:hAnsi="Arial" w:cs="Arial"/>
          <w:i/>
          <w:sz w:val="20"/>
          <w:szCs w:val="20"/>
        </w:rPr>
        <w:t xml:space="preserve"> </w:t>
      </w:r>
      <w:r w:rsidRPr="00323029">
        <w:rPr>
          <w:rFonts w:ascii="Arial" w:hAnsi="Arial" w:cs="Arial"/>
          <w:sz w:val="20"/>
          <w:szCs w:val="20"/>
        </w:rPr>
        <w:t>15</w:t>
      </w:r>
      <w:r w:rsidR="00323029" w:rsidRPr="00323029">
        <w:rPr>
          <w:rFonts w:ascii="Arial" w:hAnsi="Arial" w:cs="Arial"/>
          <w:sz w:val="20"/>
          <w:szCs w:val="20"/>
        </w:rPr>
        <w:t>9</w:t>
      </w:r>
    </w:p>
    <w:p w:rsidR="00A82794" w:rsidRPr="00B52589" w:rsidRDefault="00A82794" w:rsidP="00A82794">
      <w:pPr>
        <w:tabs>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IX.1.2. Radioctivitatea apelor  ...................................................................................................     </w:t>
      </w:r>
      <w:r w:rsidRPr="00323029">
        <w:rPr>
          <w:rFonts w:ascii="Arial" w:hAnsi="Arial" w:cs="Arial"/>
          <w:sz w:val="20"/>
          <w:szCs w:val="20"/>
        </w:rPr>
        <w:t>1</w:t>
      </w:r>
      <w:r w:rsidR="00323029" w:rsidRPr="00323029">
        <w:rPr>
          <w:rFonts w:ascii="Arial" w:hAnsi="Arial" w:cs="Arial"/>
          <w:sz w:val="20"/>
          <w:szCs w:val="20"/>
        </w:rPr>
        <w:t>60</w:t>
      </w:r>
    </w:p>
    <w:p w:rsidR="00A82794" w:rsidRPr="00B52589" w:rsidRDefault="00A82794" w:rsidP="00A82794">
      <w:pPr>
        <w:tabs>
          <w:tab w:val="left" w:pos="1276"/>
          <w:tab w:val="left" w:leader="dot" w:pos="9356"/>
        </w:tabs>
        <w:spacing w:after="0" w:line="240" w:lineRule="auto"/>
        <w:ind w:left="993"/>
        <w:rPr>
          <w:rFonts w:ascii="Arial" w:hAnsi="Arial" w:cs="Arial"/>
          <w:i/>
          <w:sz w:val="20"/>
          <w:szCs w:val="20"/>
        </w:rPr>
      </w:pPr>
      <w:r w:rsidRPr="00B52589">
        <w:rPr>
          <w:rFonts w:ascii="Arial" w:hAnsi="Arial" w:cs="Arial"/>
          <w:i/>
          <w:sz w:val="20"/>
          <w:szCs w:val="20"/>
        </w:rPr>
        <w:t xml:space="preserve">IX.1.3. Radioactivitatea solului  .................................................................................................    </w:t>
      </w:r>
      <w:r w:rsidR="00323029">
        <w:rPr>
          <w:rFonts w:ascii="Arial" w:hAnsi="Arial" w:cs="Arial"/>
          <w:i/>
          <w:sz w:val="20"/>
          <w:szCs w:val="20"/>
        </w:rPr>
        <w:t xml:space="preserve"> </w:t>
      </w:r>
      <w:r w:rsidRPr="00323029">
        <w:rPr>
          <w:rFonts w:ascii="Arial" w:hAnsi="Arial" w:cs="Arial"/>
          <w:sz w:val="20"/>
          <w:szCs w:val="20"/>
        </w:rPr>
        <w:t>1</w:t>
      </w:r>
      <w:r w:rsidR="00323029" w:rsidRPr="00323029">
        <w:rPr>
          <w:rFonts w:ascii="Arial" w:hAnsi="Arial" w:cs="Arial"/>
          <w:sz w:val="20"/>
          <w:szCs w:val="20"/>
        </w:rPr>
        <w:t>60</w:t>
      </w:r>
    </w:p>
    <w:p w:rsidR="00A82794" w:rsidRPr="00323029" w:rsidRDefault="00A82794" w:rsidP="00A82794">
      <w:pPr>
        <w:tabs>
          <w:tab w:val="left" w:pos="1276"/>
          <w:tab w:val="left" w:leader="dot" w:pos="9356"/>
        </w:tabs>
        <w:spacing w:after="0" w:line="240" w:lineRule="auto"/>
        <w:ind w:left="993"/>
        <w:rPr>
          <w:rFonts w:ascii="Arial" w:hAnsi="Arial" w:cs="Arial"/>
          <w:sz w:val="20"/>
          <w:szCs w:val="20"/>
        </w:rPr>
      </w:pPr>
      <w:r w:rsidRPr="00B52589">
        <w:rPr>
          <w:rFonts w:ascii="Arial" w:hAnsi="Arial" w:cs="Arial"/>
          <w:i/>
          <w:sz w:val="20"/>
          <w:szCs w:val="20"/>
        </w:rPr>
        <w:t xml:space="preserve">IX.1.4. Radioactivitatea vegetației  ...............................................................................................  </w:t>
      </w:r>
      <w:r w:rsidRPr="00323029">
        <w:rPr>
          <w:rFonts w:ascii="Arial" w:hAnsi="Arial" w:cs="Arial"/>
          <w:sz w:val="20"/>
          <w:szCs w:val="20"/>
        </w:rPr>
        <w:t>1</w:t>
      </w:r>
      <w:r w:rsidR="00323029" w:rsidRPr="00323029">
        <w:rPr>
          <w:rFonts w:ascii="Arial" w:hAnsi="Arial" w:cs="Arial"/>
          <w:sz w:val="20"/>
          <w:szCs w:val="20"/>
        </w:rPr>
        <w:t>60</w:t>
      </w:r>
    </w:p>
    <w:p w:rsidR="00A82794" w:rsidRPr="00B52589" w:rsidRDefault="00A82794" w:rsidP="00A82794">
      <w:pPr>
        <w:tabs>
          <w:tab w:val="left" w:pos="540"/>
          <w:tab w:val="left" w:leader="dot" w:pos="9356"/>
        </w:tabs>
        <w:spacing w:after="0" w:line="240" w:lineRule="auto"/>
        <w:rPr>
          <w:rFonts w:ascii="Arial" w:hAnsi="Arial" w:cs="Arial"/>
          <w:sz w:val="20"/>
          <w:szCs w:val="20"/>
        </w:rPr>
      </w:pPr>
      <w:r w:rsidRPr="00B52589">
        <w:rPr>
          <w:rFonts w:ascii="Arial" w:hAnsi="Arial" w:cs="Arial"/>
          <w:b/>
          <w:sz w:val="20"/>
          <w:szCs w:val="20"/>
        </w:rPr>
        <w:t xml:space="preserve">X.CONSUMUL ŞI MEDIUL ÎNCONJURĂTOR </w:t>
      </w:r>
      <w:r w:rsidRPr="00B52589">
        <w:rPr>
          <w:rFonts w:ascii="Arial" w:hAnsi="Arial" w:cs="Arial"/>
          <w:b/>
          <w:sz w:val="20"/>
          <w:szCs w:val="20"/>
        </w:rPr>
        <w:tab/>
        <w:t>. 1</w:t>
      </w:r>
      <w:r w:rsidR="00323029">
        <w:rPr>
          <w:rFonts w:ascii="Arial" w:hAnsi="Arial" w:cs="Arial"/>
          <w:b/>
          <w:sz w:val="20"/>
          <w:szCs w:val="20"/>
        </w:rPr>
        <w:t>60</w:t>
      </w:r>
    </w:p>
    <w:p w:rsidR="00A82794" w:rsidRPr="00B52589" w:rsidRDefault="00A82794" w:rsidP="00A82794">
      <w:pPr>
        <w:tabs>
          <w:tab w:val="left" w:leader="dot" w:pos="9356"/>
        </w:tabs>
        <w:spacing w:after="0" w:line="240" w:lineRule="auto"/>
        <w:ind w:left="567"/>
        <w:rPr>
          <w:rFonts w:ascii="Arial" w:hAnsi="Arial" w:cs="Arial"/>
          <w:sz w:val="20"/>
          <w:szCs w:val="20"/>
        </w:rPr>
      </w:pPr>
      <w:r w:rsidRPr="00B52589">
        <w:rPr>
          <w:rFonts w:ascii="Arial" w:hAnsi="Arial" w:cs="Arial"/>
          <w:b/>
          <w:sz w:val="20"/>
          <w:szCs w:val="20"/>
        </w:rPr>
        <w:t xml:space="preserve">X.1.Tendinţe în consum   </w:t>
      </w:r>
      <w:r w:rsidRPr="00B52589">
        <w:rPr>
          <w:rFonts w:ascii="Arial" w:hAnsi="Arial" w:cs="Arial"/>
          <w:b/>
          <w:sz w:val="20"/>
          <w:szCs w:val="20"/>
        </w:rPr>
        <w:tab/>
        <w:t>. 1</w:t>
      </w:r>
      <w:r w:rsidR="00323029">
        <w:rPr>
          <w:rFonts w:ascii="Arial" w:hAnsi="Arial" w:cs="Arial"/>
          <w:b/>
          <w:sz w:val="20"/>
          <w:szCs w:val="20"/>
        </w:rPr>
        <w:t>60</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rPr>
        <w:t xml:space="preserve">              X.1.1.Alimente şi băuturi </w:t>
      </w:r>
      <w:r w:rsidRPr="00B52589">
        <w:rPr>
          <w:rFonts w:ascii="Arial" w:hAnsi="Arial" w:cs="Arial"/>
          <w:i/>
          <w:sz w:val="20"/>
          <w:szCs w:val="20"/>
        </w:rPr>
        <w:tab/>
        <w:t>.</w:t>
      </w:r>
      <w:r w:rsidRPr="00B52589">
        <w:rPr>
          <w:rFonts w:ascii="Arial" w:hAnsi="Arial" w:cs="Arial"/>
          <w:sz w:val="20"/>
          <w:szCs w:val="20"/>
        </w:rPr>
        <w:t xml:space="preserve"> 1</w:t>
      </w:r>
      <w:r w:rsidR="00323029">
        <w:rPr>
          <w:rFonts w:ascii="Arial" w:hAnsi="Arial" w:cs="Arial"/>
          <w:sz w:val="20"/>
          <w:szCs w:val="20"/>
        </w:rPr>
        <w:t>60</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rPr>
        <w:t xml:space="preserve">              X.1.2.Locuinţe </w:t>
      </w:r>
      <w:r w:rsidRPr="00B52589">
        <w:rPr>
          <w:rFonts w:ascii="Arial" w:hAnsi="Arial" w:cs="Arial"/>
          <w:i/>
          <w:sz w:val="20"/>
          <w:szCs w:val="20"/>
        </w:rPr>
        <w:tab/>
        <w:t xml:space="preserve">. </w:t>
      </w:r>
      <w:r w:rsidRPr="00B52589">
        <w:rPr>
          <w:rFonts w:ascii="Arial" w:hAnsi="Arial" w:cs="Arial"/>
          <w:sz w:val="20"/>
          <w:szCs w:val="20"/>
        </w:rPr>
        <w:t>1</w:t>
      </w:r>
      <w:r w:rsidR="00323029">
        <w:rPr>
          <w:rFonts w:ascii="Arial" w:hAnsi="Arial" w:cs="Arial"/>
          <w:sz w:val="20"/>
          <w:szCs w:val="20"/>
        </w:rPr>
        <w:t>60</w:t>
      </w:r>
    </w:p>
    <w:p w:rsidR="00A82794" w:rsidRPr="00B52589" w:rsidRDefault="00A82794" w:rsidP="00A82794">
      <w:pPr>
        <w:tabs>
          <w:tab w:val="left" w:pos="1276"/>
          <w:tab w:val="left" w:leader="dot" w:pos="9356"/>
        </w:tabs>
        <w:spacing w:after="0" w:line="240" w:lineRule="auto"/>
        <w:ind w:left="170"/>
        <w:rPr>
          <w:rFonts w:ascii="Arial" w:hAnsi="Arial" w:cs="Arial"/>
          <w:sz w:val="20"/>
          <w:szCs w:val="20"/>
        </w:rPr>
      </w:pPr>
      <w:r w:rsidRPr="00B52589">
        <w:rPr>
          <w:rFonts w:ascii="Arial" w:hAnsi="Arial" w:cs="Arial"/>
          <w:i/>
          <w:sz w:val="20"/>
          <w:szCs w:val="20"/>
        </w:rPr>
        <w:t xml:space="preserve">              X.1.3.Mobilitate </w:t>
      </w:r>
      <w:r w:rsidRPr="00B52589">
        <w:rPr>
          <w:rFonts w:ascii="Arial" w:hAnsi="Arial" w:cs="Arial"/>
          <w:i/>
          <w:sz w:val="20"/>
          <w:szCs w:val="20"/>
        </w:rPr>
        <w:tab/>
        <w:t>.</w:t>
      </w:r>
      <w:r w:rsidRPr="00B52589">
        <w:rPr>
          <w:rFonts w:ascii="Arial" w:hAnsi="Arial" w:cs="Arial"/>
          <w:sz w:val="20"/>
          <w:szCs w:val="20"/>
        </w:rPr>
        <w:t xml:space="preserve"> 16</w:t>
      </w:r>
      <w:r w:rsidR="00323029">
        <w:rPr>
          <w:rFonts w:ascii="Arial" w:hAnsi="Arial" w:cs="Arial"/>
          <w:sz w:val="20"/>
          <w:szCs w:val="20"/>
        </w:rPr>
        <w:t>1</w:t>
      </w:r>
    </w:p>
    <w:p w:rsidR="00A82794" w:rsidRPr="00B52589" w:rsidRDefault="00A82794" w:rsidP="00A82794">
      <w:pPr>
        <w:tabs>
          <w:tab w:val="left" w:leader="dot" w:pos="9356"/>
        </w:tabs>
        <w:spacing w:after="0" w:line="240" w:lineRule="auto"/>
        <w:ind w:left="1135"/>
        <w:rPr>
          <w:rFonts w:ascii="Arial" w:hAnsi="Arial" w:cs="Arial"/>
          <w:sz w:val="20"/>
          <w:szCs w:val="20"/>
        </w:rPr>
      </w:pPr>
      <w:r w:rsidRPr="00B52589">
        <w:rPr>
          <w:rFonts w:ascii="Arial" w:hAnsi="Arial" w:cs="Arial"/>
          <w:sz w:val="20"/>
          <w:szCs w:val="20"/>
        </w:rPr>
        <w:t xml:space="preserve">   X.1.3.1.Transportul de pasageri </w:t>
      </w:r>
      <w:r w:rsidRPr="00B52589">
        <w:rPr>
          <w:rFonts w:ascii="Arial" w:hAnsi="Arial" w:cs="Arial"/>
          <w:sz w:val="20"/>
          <w:szCs w:val="20"/>
        </w:rPr>
        <w:tab/>
        <w:t>. 16</w:t>
      </w:r>
      <w:r w:rsidR="00323029">
        <w:rPr>
          <w:rFonts w:ascii="Arial" w:hAnsi="Arial" w:cs="Arial"/>
          <w:sz w:val="20"/>
          <w:szCs w:val="20"/>
        </w:rPr>
        <w:t>1</w:t>
      </w:r>
    </w:p>
    <w:p w:rsidR="00A82794" w:rsidRPr="00B52589" w:rsidRDefault="00A82794" w:rsidP="00A82794">
      <w:pPr>
        <w:tabs>
          <w:tab w:val="left" w:leader="dot" w:pos="9356"/>
        </w:tabs>
        <w:spacing w:after="0" w:line="240" w:lineRule="auto"/>
        <w:ind w:left="1135"/>
        <w:rPr>
          <w:rFonts w:ascii="Arial" w:hAnsi="Arial" w:cs="Arial"/>
          <w:sz w:val="20"/>
          <w:szCs w:val="20"/>
        </w:rPr>
      </w:pPr>
      <w:r w:rsidRPr="00B52589">
        <w:rPr>
          <w:rFonts w:ascii="Arial" w:hAnsi="Arial" w:cs="Arial"/>
          <w:sz w:val="20"/>
          <w:szCs w:val="20"/>
        </w:rPr>
        <w:t xml:space="preserve">   X.1.3.2.Transportul de mărfuri ................................................................................................  16</w:t>
      </w:r>
      <w:r w:rsidR="00323029">
        <w:rPr>
          <w:rFonts w:ascii="Arial" w:hAnsi="Arial" w:cs="Arial"/>
          <w:sz w:val="20"/>
          <w:szCs w:val="20"/>
        </w:rPr>
        <w:t>3</w:t>
      </w:r>
    </w:p>
    <w:p w:rsidR="00A82794" w:rsidRPr="00B52589" w:rsidRDefault="00A82794" w:rsidP="00A82794">
      <w:pPr>
        <w:tabs>
          <w:tab w:val="left" w:leader="dot" w:pos="9356"/>
        </w:tabs>
        <w:spacing w:after="0" w:line="240" w:lineRule="auto"/>
        <w:ind w:left="567"/>
        <w:rPr>
          <w:rFonts w:ascii="Arial" w:hAnsi="Arial" w:cs="Arial"/>
          <w:sz w:val="20"/>
          <w:szCs w:val="20"/>
        </w:rPr>
      </w:pPr>
      <w:r w:rsidRPr="00B52589">
        <w:rPr>
          <w:rFonts w:ascii="Arial" w:hAnsi="Arial" w:cs="Arial"/>
          <w:b/>
          <w:sz w:val="20"/>
          <w:szCs w:val="20"/>
        </w:rPr>
        <w:t>X.2.Factori care influenţează consumul ..........................................................................................</w:t>
      </w:r>
      <w:r w:rsidRPr="00B52589">
        <w:rPr>
          <w:rFonts w:ascii="Arial" w:hAnsi="Arial" w:cs="Arial"/>
          <w:sz w:val="20"/>
          <w:szCs w:val="20"/>
        </w:rPr>
        <w:t xml:space="preserve">  16</w:t>
      </w:r>
      <w:r w:rsidR="00323029">
        <w:rPr>
          <w:rFonts w:ascii="Arial" w:hAnsi="Arial" w:cs="Arial"/>
          <w:sz w:val="20"/>
          <w:szCs w:val="20"/>
        </w:rPr>
        <w:t>3</w:t>
      </w:r>
    </w:p>
    <w:p w:rsidR="00A82794" w:rsidRPr="00B52589" w:rsidRDefault="00A82794" w:rsidP="00A82794">
      <w:pPr>
        <w:tabs>
          <w:tab w:val="left" w:leader="dot" w:pos="9356"/>
        </w:tabs>
        <w:spacing w:after="0" w:line="240" w:lineRule="auto"/>
        <w:ind w:left="567"/>
        <w:rPr>
          <w:rFonts w:ascii="Arial" w:hAnsi="Arial" w:cs="Arial"/>
          <w:sz w:val="20"/>
          <w:szCs w:val="20"/>
        </w:rPr>
      </w:pPr>
      <w:r w:rsidRPr="00B52589">
        <w:rPr>
          <w:rFonts w:ascii="Arial" w:hAnsi="Arial" w:cs="Arial"/>
          <w:b/>
          <w:sz w:val="20"/>
          <w:szCs w:val="20"/>
        </w:rPr>
        <w:t xml:space="preserve">X.3.Presiunile asupra mediului cauzate de consum </w:t>
      </w:r>
      <w:r w:rsidRPr="00B52589">
        <w:rPr>
          <w:rFonts w:ascii="Arial" w:hAnsi="Arial" w:cs="Arial"/>
          <w:b/>
          <w:sz w:val="20"/>
          <w:szCs w:val="20"/>
        </w:rPr>
        <w:tab/>
        <w:t xml:space="preserve">  1</w:t>
      </w:r>
      <w:r w:rsidR="00323029">
        <w:rPr>
          <w:rFonts w:ascii="Arial" w:hAnsi="Arial" w:cs="Arial"/>
          <w:b/>
          <w:sz w:val="20"/>
          <w:szCs w:val="20"/>
        </w:rPr>
        <w:t>65</w:t>
      </w:r>
    </w:p>
    <w:p w:rsidR="00A82794" w:rsidRPr="00B52589" w:rsidRDefault="00A82794" w:rsidP="00A82794">
      <w:pPr>
        <w:tabs>
          <w:tab w:val="left" w:pos="1276"/>
          <w:tab w:val="left" w:leader="dot" w:pos="9356"/>
        </w:tabs>
        <w:spacing w:after="0" w:line="240" w:lineRule="auto"/>
        <w:ind w:left="993" w:hanging="823"/>
        <w:rPr>
          <w:rFonts w:ascii="Arial" w:hAnsi="Arial" w:cs="Arial"/>
          <w:sz w:val="20"/>
          <w:szCs w:val="20"/>
        </w:rPr>
      </w:pPr>
      <w:r w:rsidRPr="00B52589">
        <w:rPr>
          <w:rFonts w:ascii="Arial" w:hAnsi="Arial" w:cs="Arial"/>
          <w:i/>
          <w:sz w:val="20"/>
          <w:szCs w:val="20"/>
        </w:rPr>
        <w:t xml:space="preserve">               X.3.1.Emisii de gaze cu efect de seră din sectorul rezidenţial </w:t>
      </w:r>
      <w:r w:rsidRPr="00B52589">
        <w:rPr>
          <w:rFonts w:ascii="Arial" w:hAnsi="Arial" w:cs="Arial"/>
          <w:i/>
          <w:sz w:val="20"/>
          <w:szCs w:val="20"/>
        </w:rPr>
        <w:tab/>
        <w:t xml:space="preserve">  </w:t>
      </w:r>
      <w:r w:rsidRPr="00323029">
        <w:rPr>
          <w:rFonts w:ascii="Arial" w:hAnsi="Arial" w:cs="Arial"/>
          <w:sz w:val="20"/>
          <w:szCs w:val="20"/>
        </w:rPr>
        <w:t>16</w:t>
      </w:r>
      <w:r w:rsidR="00323029" w:rsidRPr="00323029">
        <w:rPr>
          <w:rFonts w:ascii="Arial" w:hAnsi="Arial" w:cs="Arial"/>
          <w:sz w:val="20"/>
          <w:szCs w:val="20"/>
        </w:rPr>
        <w:t>5</w:t>
      </w:r>
      <w:r w:rsidRPr="00B52589">
        <w:rPr>
          <w:rFonts w:ascii="Arial" w:hAnsi="Arial" w:cs="Arial"/>
          <w:i/>
          <w:sz w:val="20"/>
          <w:szCs w:val="20"/>
        </w:rPr>
        <w:t xml:space="preserve">                        X.3.2.Consumul de energie pe locuitor ..........................................................</w:t>
      </w:r>
      <w:r w:rsidRPr="00B52589">
        <w:rPr>
          <w:rFonts w:ascii="Arial" w:hAnsi="Arial" w:cs="Arial"/>
          <w:sz w:val="20"/>
          <w:szCs w:val="20"/>
        </w:rPr>
        <w:t xml:space="preserve"> ............................   16</w:t>
      </w:r>
      <w:r w:rsidR="00323029">
        <w:rPr>
          <w:rFonts w:ascii="Arial" w:hAnsi="Arial" w:cs="Arial"/>
          <w:sz w:val="20"/>
          <w:szCs w:val="20"/>
        </w:rPr>
        <w:t>5</w:t>
      </w:r>
    </w:p>
    <w:p w:rsidR="00A82794" w:rsidRPr="00B52589" w:rsidRDefault="00A82794" w:rsidP="00A82794">
      <w:pPr>
        <w:tabs>
          <w:tab w:val="left" w:pos="1276"/>
          <w:tab w:val="left" w:leader="dot" w:pos="9356"/>
        </w:tabs>
        <w:spacing w:after="0" w:line="240" w:lineRule="auto"/>
        <w:ind w:left="993" w:hanging="823"/>
        <w:rPr>
          <w:rFonts w:ascii="Arial" w:hAnsi="Arial" w:cs="Arial"/>
          <w:sz w:val="20"/>
          <w:szCs w:val="20"/>
        </w:rPr>
      </w:pPr>
      <w:r w:rsidRPr="00B52589">
        <w:rPr>
          <w:rFonts w:ascii="Arial" w:hAnsi="Arial" w:cs="Arial"/>
          <w:i/>
          <w:sz w:val="20"/>
          <w:szCs w:val="20"/>
        </w:rPr>
        <w:t xml:space="preserve">               X.3.3 Utilizarea materialelor </w:t>
      </w:r>
      <w:r w:rsidRPr="00B52589">
        <w:rPr>
          <w:rFonts w:ascii="Arial" w:hAnsi="Arial" w:cs="Arial"/>
          <w:i/>
          <w:sz w:val="20"/>
          <w:szCs w:val="20"/>
        </w:rPr>
        <w:tab/>
        <w:t xml:space="preserve">  </w:t>
      </w:r>
      <w:r w:rsidRPr="00B52589">
        <w:rPr>
          <w:rFonts w:ascii="Arial" w:hAnsi="Arial" w:cs="Arial"/>
          <w:sz w:val="20"/>
          <w:szCs w:val="20"/>
        </w:rPr>
        <w:t>16</w:t>
      </w:r>
      <w:r w:rsidR="00323029">
        <w:rPr>
          <w:rFonts w:ascii="Arial" w:hAnsi="Arial" w:cs="Arial"/>
          <w:sz w:val="20"/>
          <w:szCs w:val="20"/>
        </w:rPr>
        <w:t>5</w:t>
      </w:r>
    </w:p>
    <w:p w:rsidR="00A82794" w:rsidRPr="00B52589" w:rsidRDefault="00A82794" w:rsidP="00A82794">
      <w:pPr>
        <w:tabs>
          <w:tab w:val="left" w:leader="dot" w:pos="9356"/>
        </w:tabs>
        <w:spacing w:after="0" w:line="240" w:lineRule="auto"/>
        <w:ind w:left="567"/>
        <w:rPr>
          <w:rFonts w:ascii="Arial" w:hAnsi="Arial" w:cs="Arial"/>
          <w:sz w:val="20"/>
          <w:szCs w:val="20"/>
        </w:rPr>
      </w:pPr>
      <w:r w:rsidRPr="00B52589">
        <w:rPr>
          <w:rFonts w:ascii="Arial" w:hAnsi="Arial" w:cs="Arial"/>
          <w:b/>
          <w:sz w:val="20"/>
          <w:szCs w:val="20"/>
        </w:rPr>
        <w:t>X.4.Prognoze, politici şi măsuri privind consumul şi mediul  ........................................</w:t>
      </w:r>
      <w:r w:rsidRPr="00B52589">
        <w:rPr>
          <w:rFonts w:ascii="Arial" w:hAnsi="Arial" w:cs="Arial"/>
          <w:sz w:val="20"/>
          <w:szCs w:val="20"/>
        </w:rPr>
        <w:t xml:space="preserve"> ..............  16</w:t>
      </w:r>
      <w:r w:rsidR="00323029">
        <w:rPr>
          <w:rFonts w:ascii="Arial" w:hAnsi="Arial" w:cs="Arial"/>
          <w:sz w:val="20"/>
          <w:szCs w:val="20"/>
        </w:rPr>
        <w:t>7</w:t>
      </w:r>
    </w:p>
    <w:p w:rsidR="00A82794" w:rsidRDefault="00A82794" w:rsidP="00A82794"/>
    <w:p w:rsidR="005D400E" w:rsidRDefault="005D400E" w:rsidP="000645BF">
      <w:pPr>
        <w:tabs>
          <w:tab w:val="left" w:pos="1260"/>
          <w:tab w:val="left" w:leader="dot" w:pos="8820"/>
        </w:tabs>
        <w:spacing w:after="0" w:line="240" w:lineRule="auto"/>
        <w:jc w:val="both"/>
        <w:rPr>
          <w:rFonts w:ascii="Arial" w:hAnsi="Arial" w:cs="Arial"/>
          <w:b/>
          <w:sz w:val="32"/>
          <w:szCs w:val="32"/>
        </w:rPr>
      </w:pPr>
    </w:p>
    <w:p w:rsidR="000645BF" w:rsidRPr="00C625DB" w:rsidRDefault="000645BF" w:rsidP="000645BF">
      <w:pPr>
        <w:tabs>
          <w:tab w:val="left" w:pos="1260"/>
          <w:tab w:val="left" w:leader="dot" w:pos="8820"/>
        </w:tabs>
        <w:spacing w:after="0" w:line="240" w:lineRule="auto"/>
        <w:jc w:val="both"/>
        <w:rPr>
          <w:rFonts w:ascii="Arial" w:hAnsi="Arial" w:cs="Arial"/>
          <w:b/>
          <w:sz w:val="32"/>
          <w:szCs w:val="32"/>
        </w:rPr>
      </w:pPr>
      <w:r w:rsidRPr="00C625DB">
        <w:rPr>
          <w:rFonts w:ascii="Arial" w:hAnsi="Arial" w:cs="Arial"/>
          <w:b/>
          <w:sz w:val="32"/>
          <w:szCs w:val="32"/>
        </w:rPr>
        <w:t xml:space="preserve">I.    CALITATEA ȘI POLUAREA AERULUI </w:t>
      </w:r>
      <w:r>
        <w:rPr>
          <w:rFonts w:ascii="Arial" w:hAnsi="Arial" w:cs="Arial"/>
          <w:b/>
          <w:sz w:val="32"/>
          <w:szCs w:val="32"/>
        </w:rPr>
        <w:t>Î</w:t>
      </w:r>
      <w:r w:rsidRPr="00C625DB">
        <w:rPr>
          <w:rFonts w:ascii="Arial" w:hAnsi="Arial" w:cs="Arial"/>
          <w:b/>
          <w:sz w:val="32"/>
          <w:szCs w:val="32"/>
        </w:rPr>
        <w:t>NCONJURĂTOR</w:t>
      </w:r>
    </w:p>
    <w:p w:rsidR="000645BF" w:rsidRPr="00601DC2" w:rsidRDefault="000645BF" w:rsidP="000645BF">
      <w:pPr>
        <w:tabs>
          <w:tab w:val="left" w:pos="1260"/>
          <w:tab w:val="left" w:leader="dot" w:pos="8820"/>
        </w:tabs>
        <w:spacing w:after="0" w:line="240" w:lineRule="auto"/>
        <w:jc w:val="both"/>
        <w:rPr>
          <w:rFonts w:ascii="Arial" w:hAnsi="Arial" w:cs="Arial"/>
          <w:b/>
          <w:sz w:val="24"/>
          <w:szCs w:val="24"/>
        </w:rPr>
      </w:pPr>
    </w:p>
    <w:p w:rsidR="000645BF" w:rsidRPr="00601DC2" w:rsidRDefault="000645BF" w:rsidP="000645BF">
      <w:pPr>
        <w:tabs>
          <w:tab w:val="left" w:pos="1260"/>
          <w:tab w:val="left" w:leader="dot" w:pos="8820"/>
        </w:tabs>
        <w:spacing w:after="0" w:line="240" w:lineRule="auto"/>
        <w:jc w:val="both"/>
        <w:rPr>
          <w:rFonts w:ascii="Arial" w:hAnsi="Arial" w:cs="Arial"/>
          <w:b/>
          <w:i/>
          <w:sz w:val="24"/>
          <w:szCs w:val="24"/>
        </w:rPr>
      </w:pPr>
      <w:r w:rsidRPr="00601DC2">
        <w:rPr>
          <w:rFonts w:ascii="Arial" w:hAnsi="Arial" w:cs="Arial"/>
          <w:b/>
          <w:sz w:val="24"/>
          <w:szCs w:val="24"/>
        </w:rPr>
        <w:t xml:space="preserve">           I.1. Calitatea aerului înconjurător: stare și consecințe </w:t>
      </w:r>
    </w:p>
    <w:p w:rsidR="000645BF" w:rsidRDefault="000645BF" w:rsidP="000645BF">
      <w:pPr>
        <w:tabs>
          <w:tab w:val="left" w:pos="1260"/>
          <w:tab w:val="left" w:leader="dot" w:pos="8820"/>
        </w:tabs>
        <w:spacing w:after="0" w:line="240" w:lineRule="auto"/>
        <w:jc w:val="center"/>
        <w:rPr>
          <w:rFonts w:ascii="Arial" w:hAnsi="Arial" w:cs="Arial"/>
          <w:b/>
          <w:i/>
          <w:sz w:val="24"/>
          <w:szCs w:val="24"/>
        </w:rPr>
      </w:pPr>
    </w:p>
    <w:p w:rsidR="000645BF" w:rsidRPr="00717595" w:rsidRDefault="000645BF" w:rsidP="000645BF">
      <w:pPr>
        <w:tabs>
          <w:tab w:val="left" w:pos="1260"/>
          <w:tab w:val="left" w:leader="dot" w:pos="8820"/>
        </w:tabs>
        <w:spacing w:after="0" w:line="240" w:lineRule="auto"/>
        <w:ind w:left="720" w:right="31"/>
        <w:jc w:val="both"/>
        <w:rPr>
          <w:rFonts w:ascii="Arial" w:hAnsi="Arial" w:cs="Arial"/>
          <w:b/>
          <w:sz w:val="24"/>
          <w:szCs w:val="24"/>
        </w:rPr>
      </w:pPr>
      <w:r w:rsidRPr="00717595">
        <w:rPr>
          <w:rFonts w:ascii="Arial" w:hAnsi="Arial" w:cs="Arial"/>
          <w:b/>
          <w:i/>
          <w:sz w:val="24"/>
          <w:szCs w:val="24"/>
        </w:rPr>
        <w:t>I.1.1.Starea de calitate a aerului înconjurător</w:t>
      </w:r>
    </w:p>
    <w:p w:rsidR="000645BF" w:rsidRDefault="000645BF" w:rsidP="000645BF">
      <w:pPr>
        <w:widowControl w:val="0"/>
        <w:autoSpaceDE w:val="0"/>
        <w:autoSpaceDN w:val="0"/>
        <w:adjustRightInd w:val="0"/>
        <w:spacing w:after="0" w:line="240" w:lineRule="auto"/>
        <w:ind w:firstLine="706"/>
        <w:jc w:val="both"/>
        <w:rPr>
          <w:rFonts w:ascii="Arial" w:hAnsi="Arial" w:cs="Arial"/>
          <w:color w:val="00B0F0"/>
          <w:sz w:val="24"/>
          <w:szCs w:val="24"/>
        </w:rPr>
      </w:pP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Calitatea aerului înconjurător este reglementată în România prin </w:t>
      </w:r>
      <w:r w:rsidRPr="00BC7FC5">
        <w:rPr>
          <w:rFonts w:ascii="Arial" w:hAnsi="Arial" w:cs="Arial"/>
          <w:b/>
          <w:sz w:val="24"/>
          <w:szCs w:val="24"/>
        </w:rPr>
        <w:t>Legea nr. 104/2011</w:t>
      </w:r>
      <w:r w:rsidRPr="00BC7FC5">
        <w:rPr>
          <w:rFonts w:ascii="Arial" w:hAnsi="Arial" w:cs="Arial"/>
          <w:sz w:val="24"/>
          <w:szCs w:val="24"/>
        </w:rPr>
        <w:t xml:space="preserve"> privind calitatea aerului înconjurător</w:t>
      </w:r>
      <w:r>
        <w:rPr>
          <w:rFonts w:ascii="Arial" w:hAnsi="Arial" w:cs="Arial"/>
          <w:sz w:val="24"/>
          <w:szCs w:val="24"/>
        </w:rPr>
        <w:t>cu modificările și completările ulterioare</w:t>
      </w:r>
      <w:r w:rsidRPr="00BC7FC5">
        <w:rPr>
          <w:rFonts w:ascii="Arial" w:hAnsi="Arial" w:cs="Arial"/>
          <w:sz w:val="24"/>
          <w:szCs w:val="24"/>
        </w:rPr>
        <w:t xml:space="preserve">, care transpune </w:t>
      </w:r>
      <w:r w:rsidRPr="00BC7FC5">
        <w:rPr>
          <w:rFonts w:ascii="Arial" w:hAnsi="Arial" w:cs="Arial"/>
          <w:i/>
          <w:sz w:val="24"/>
          <w:szCs w:val="24"/>
        </w:rPr>
        <w:t xml:space="preserve">Directiva 2008/50/CE  </w:t>
      </w:r>
      <w:r w:rsidRPr="00BC7FC5">
        <w:rPr>
          <w:rFonts w:ascii="Arial" w:hAnsi="Arial" w:cs="Arial"/>
          <w:sz w:val="24"/>
          <w:szCs w:val="24"/>
        </w:rPr>
        <w:t xml:space="preserve">a Parlamentului European și a Consiliului privind calitatea aerului şi un aer mai curat în Europa şi </w:t>
      </w:r>
      <w:r w:rsidRPr="00BC7FC5">
        <w:rPr>
          <w:rFonts w:ascii="Arial" w:hAnsi="Arial" w:cs="Arial"/>
          <w:i/>
          <w:sz w:val="24"/>
          <w:szCs w:val="24"/>
        </w:rPr>
        <w:t xml:space="preserve">Directiva 2004/107/CE </w:t>
      </w:r>
      <w:r w:rsidRPr="00BC7FC5">
        <w:rPr>
          <w:rFonts w:ascii="Arial" w:hAnsi="Arial" w:cs="Arial"/>
          <w:sz w:val="24"/>
          <w:szCs w:val="24"/>
        </w:rPr>
        <w:t xml:space="preserve">a Parlamentului European și a Consiliului privind arsenul, cadmiul, mercurul, nichelul şi hidrocarburile policiclice aromatice în aerul ambiental. </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Legea este pusă în aplicare prin intermediul </w:t>
      </w:r>
      <w:r w:rsidRPr="00BC7FC5">
        <w:rPr>
          <w:rFonts w:ascii="Arial" w:hAnsi="Arial" w:cs="Arial"/>
          <w:i/>
          <w:sz w:val="24"/>
          <w:szCs w:val="24"/>
        </w:rPr>
        <w:t xml:space="preserve">Sistemului Naţional de Evaluare şi Gestionare Integrată a Calităţii Aerului </w:t>
      </w:r>
      <w:r w:rsidRPr="00BC7FC5">
        <w:rPr>
          <w:rFonts w:ascii="Arial" w:hAnsi="Arial" w:cs="Arial"/>
          <w:sz w:val="24"/>
          <w:szCs w:val="24"/>
        </w:rPr>
        <w:t>(SNEGICA), care cuprinde, ca părţi integrante, următoarele două sisteme:</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a) </w:t>
      </w:r>
      <w:r w:rsidRPr="00BC7FC5">
        <w:rPr>
          <w:rFonts w:ascii="Arial" w:hAnsi="Arial" w:cs="Arial"/>
          <w:i/>
          <w:sz w:val="24"/>
          <w:szCs w:val="24"/>
        </w:rPr>
        <w:t>Sistemul Naţional de Monitorizare a Calităţii Aerului (</w:t>
      </w:r>
      <w:r w:rsidRPr="00BC7FC5">
        <w:rPr>
          <w:rFonts w:ascii="Arial" w:hAnsi="Arial" w:cs="Arial"/>
          <w:sz w:val="24"/>
          <w:szCs w:val="24"/>
        </w:rPr>
        <w:t xml:space="preserve">SNMCA), denumit în continuare SNMCA, care asigură cadrul organizatoric, instituţional şi legal pentru desfăşurarea activităţilor de monitorizare a calităţii aerului înconjurător, în mod unitar, pe teritoriul României, prin </w:t>
      </w:r>
      <w:r w:rsidRPr="00BC7FC5">
        <w:rPr>
          <w:rFonts w:ascii="Arial" w:hAnsi="Arial" w:cs="Arial"/>
          <w:b/>
          <w:sz w:val="24"/>
          <w:szCs w:val="24"/>
        </w:rPr>
        <w:t>Reţeaua Naţională de Monitorizare a Calităţii Aerului</w:t>
      </w:r>
      <w:r w:rsidRPr="00BC7FC5">
        <w:rPr>
          <w:rFonts w:ascii="Arial" w:hAnsi="Arial" w:cs="Arial"/>
          <w:sz w:val="24"/>
          <w:szCs w:val="24"/>
        </w:rPr>
        <w:t xml:space="preserve"> (RNMCA);</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b) </w:t>
      </w:r>
      <w:r w:rsidRPr="00BC7FC5">
        <w:rPr>
          <w:rFonts w:ascii="Arial" w:hAnsi="Arial" w:cs="Arial"/>
          <w:i/>
          <w:sz w:val="24"/>
          <w:szCs w:val="24"/>
        </w:rPr>
        <w:t xml:space="preserve">Sistemul Naţional de Inventariere a Emisiilor de Poluanţi Atmosferici </w:t>
      </w:r>
      <w:r w:rsidRPr="00BC7FC5">
        <w:rPr>
          <w:rFonts w:ascii="Arial" w:hAnsi="Arial" w:cs="Arial"/>
          <w:sz w:val="24"/>
          <w:szCs w:val="24"/>
        </w:rPr>
        <w:t>(SNIEPA), care asigură cadrul organizatoric, instituţional şi legal pentru realizarea inventarelor privind emisiile de poluanţi în atmosferă, în mod unitar, pe întreg teritoriul ţării.</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Evaluarea calităţii aerului, pe teritoriul </w:t>
      </w:r>
      <w:r>
        <w:rPr>
          <w:rFonts w:ascii="Arial" w:hAnsi="Arial" w:cs="Arial"/>
          <w:sz w:val="24"/>
          <w:szCs w:val="24"/>
        </w:rPr>
        <w:t>țării</w:t>
      </w:r>
      <w:r w:rsidRPr="00BC7FC5">
        <w:rPr>
          <w:rFonts w:ascii="Arial" w:hAnsi="Arial" w:cs="Arial"/>
          <w:sz w:val="24"/>
          <w:szCs w:val="24"/>
        </w:rPr>
        <w:t>, se realizează pe baza unor metode şi criterii comune, stabilite la nivel european, prin:</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 măsurări în puncte fixe a poluanţilor reglementaţi prin legea 104/2011, realizate continuu, în staţiile automate de monitorizare aparţinând RNMCA. </w:t>
      </w:r>
    </w:p>
    <w:p w:rsidR="000645BF" w:rsidRPr="00BC7FC5" w:rsidRDefault="000645BF" w:rsidP="000645BF">
      <w:pPr>
        <w:widowControl w:val="0"/>
        <w:spacing w:after="0" w:line="240" w:lineRule="auto"/>
        <w:ind w:firstLine="720"/>
        <w:jc w:val="both"/>
        <w:rPr>
          <w:rFonts w:ascii="Arial" w:hAnsi="Arial" w:cs="Arial"/>
          <w:sz w:val="24"/>
          <w:szCs w:val="24"/>
        </w:rPr>
      </w:pPr>
      <w:r w:rsidRPr="00BC7FC5">
        <w:rPr>
          <w:rFonts w:ascii="Arial" w:hAnsi="Arial" w:cs="Arial"/>
          <w:sz w:val="24"/>
          <w:szCs w:val="24"/>
        </w:rPr>
        <w:t xml:space="preserve">- tehnici de modelare </w:t>
      </w:r>
    </w:p>
    <w:p w:rsidR="000645BF" w:rsidRDefault="000645BF" w:rsidP="004E444C">
      <w:pPr>
        <w:widowControl w:val="0"/>
        <w:spacing w:after="0" w:line="240" w:lineRule="auto"/>
        <w:ind w:firstLine="720"/>
        <w:jc w:val="both"/>
        <w:rPr>
          <w:rFonts w:ascii="Arial" w:eastAsia="Times New Roman" w:hAnsi="Arial" w:cs="Arial"/>
          <w:sz w:val="24"/>
          <w:szCs w:val="24"/>
        </w:rPr>
      </w:pPr>
      <w:r w:rsidRPr="00BC7FC5">
        <w:rPr>
          <w:rFonts w:ascii="Arial" w:hAnsi="Arial" w:cs="Arial"/>
          <w:sz w:val="24"/>
          <w:szCs w:val="24"/>
        </w:rPr>
        <w:t xml:space="preserve"> - măsurări indicative</w:t>
      </w:r>
    </w:p>
    <w:p w:rsidR="000645BF" w:rsidRPr="00BC7FC5" w:rsidRDefault="000645BF" w:rsidP="000645BF">
      <w:pPr>
        <w:widowControl w:val="0"/>
        <w:autoSpaceDE w:val="0"/>
        <w:autoSpaceDN w:val="0"/>
        <w:adjustRightInd w:val="0"/>
        <w:spacing w:after="0" w:line="240" w:lineRule="auto"/>
        <w:ind w:firstLine="708"/>
        <w:jc w:val="both"/>
        <w:rPr>
          <w:rFonts w:ascii="Arial" w:hAnsi="Arial" w:cs="Arial"/>
        </w:rPr>
      </w:pPr>
      <w:r w:rsidRPr="00BC7FC5">
        <w:rPr>
          <w:rFonts w:ascii="Arial" w:hAnsi="Arial" w:cs="Arial"/>
          <w:sz w:val="24"/>
          <w:szCs w:val="24"/>
        </w:rPr>
        <w:t xml:space="preserve">Pentru informarea publicului cu privire la calitatea aerului înconjurător, în România sunt utilizaţi </w:t>
      </w:r>
      <w:r w:rsidRPr="00BC7FC5">
        <w:rPr>
          <w:rFonts w:ascii="Arial" w:hAnsi="Arial" w:cs="Arial"/>
          <w:b/>
          <w:sz w:val="24"/>
          <w:szCs w:val="24"/>
        </w:rPr>
        <w:t>indiciide calitate a aerului</w:t>
      </w:r>
      <w:r w:rsidRPr="00BC7FC5">
        <w:rPr>
          <w:rFonts w:ascii="Arial" w:hAnsi="Arial" w:cs="Arial"/>
          <w:sz w:val="24"/>
          <w:szCs w:val="24"/>
        </w:rPr>
        <w:t xml:space="preserve">, conform </w:t>
      </w:r>
      <w:r w:rsidRPr="00BC7FC5">
        <w:rPr>
          <w:rFonts w:ascii="Arial" w:hAnsi="Arial" w:cs="Arial"/>
          <w:i/>
          <w:sz w:val="24"/>
          <w:szCs w:val="24"/>
        </w:rPr>
        <w:t>Ordinului M.M.D.D. nr. 1095/2007 pentru aprobarea Normativului privind stabilirea indicilor de calitate a aerului în vederea facilitării informării publicului</w:t>
      </w:r>
      <w:r w:rsidRPr="00BC7FC5">
        <w:rPr>
          <w:rFonts w:ascii="Arial" w:hAnsi="Arial" w:cs="Arial"/>
          <w:sz w:val="24"/>
          <w:szCs w:val="24"/>
        </w:rPr>
        <w:t xml:space="preserve">. Astfel, pe baza concentraţiilor măsurate pentru fiecare dintre poluanţii atmosferici monitorizaţi, se stabileşte </w:t>
      </w:r>
      <w:r w:rsidRPr="00BC7FC5">
        <w:rPr>
          <w:rFonts w:ascii="Arial" w:hAnsi="Arial" w:cs="Arial"/>
          <w:b/>
          <w:sz w:val="24"/>
          <w:szCs w:val="24"/>
        </w:rPr>
        <w:t>indicele specific</w:t>
      </w:r>
      <w:r w:rsidRPr="00BC7FC5">
        <w:rPr>
          <w:rFonts w:ascii="Arial" w:hAnsi="Arial" w:cs="Arial"/>
          <w:sz w:val="24"/>
          <w:szCs w:val="24"/>
        </w:rPr>
        <w:t xml:space="preserve"> fiecărui poluant. Fiecare indice, de la 1 la 6, corespunde unui calificativ, de la excelent la foarte rău, acestora fiindu-le asociat de asemenea un cod de culori:</w:t>
      </w:r>
    </w:p>
    <w:p w:rsidR="000645BF" w:rsidRPr="00BC7FC5" w:rsidRDefault="000645BF" w:rsidP="000645BF">
      <w:pPr>
        <w:widowControl w:val="0"/>
        <w:autoSpaceDE w:val="0"/>
        <w:autoSpaceDN w:val="0"/>
        <w:adjustRightInd w:val="0"/>
        <w:spacing w:after="0" w:line="240" w:lineRule="auto"/>
        <w:ind w:firstLine="708"/>
        <w:jc w:val="both"/>
        <w:rPr>
          <w:rFonts w:ascii="Arial" w:hAnsi="Arial" w:cs="Arial"/>
          <w:sz w:val="6"/>
          <w:szCs w:val="6"/>
        </w:rPr>
      </w:pPr>
    </w:p>
    <w:tbl>
      <w:tblPr>
        <w:tblStyle w:val="TableGrid"/>
        <w:tblW w:w="0" w:type="auto"/>
        <w:jc w:val="center"/>
        <w:tblInd w:w="942" w:type="dxa"/>
        <w:tblLook w:val="04A0"/>
      </w:tblPr>
      <w:tblGrid>
        <w:gridCol w:w="1009"/>
        <w:gridCol w:w="1692"/>
      </w:tblGrid>
      <w:tr w:rsidR="000645BF" w:rsidRPr="00BC7FC5" w:rsidTr="004E444C">
        <w:trPr>
          <w:trHeight w:val="206"/>
          <w:jc w:val="center"/>
        </w:trPr>
        <w:tc>
          <w:tcPr>
            <w:tcW w:w="1009" w:type="dxa"/>
            <w:shd w:val="clear" w:color="auto" w:fill="FFFF99"/>
          </w:tcPr>
          <w:p w:rsidR="000645BF" w:rsidRPr="007B5C9E" w:rsidRDefault="000645BF" w:rsidP="004E444C">
            <w:pPr>
              <w:widowControl w:val="0"/>
              <w:autoSpaceDE w:val="0"/>
              <w:autoSpaceDN w:val="0"/>
              <w:adjustRightInd w:val="0"/>
              <w:spacing w:before="40" w:after="40"/>
              <w:jc w:val="both"/>
              <w:rPr>
                <w:rFonts w:ascii="Arial" w:hAnsi="Arial" w:cs="Arial"/>
                <w:b/>
              </w:rPr>
            </w:pPr>
            <w:r w:rsidRPr="007B5C9E">
              <w:rPr>
                <w:rFonts w:ascii="Arial" w:hAnsi="Arial" w:cs="Arial"/>
                <w:b/>
              </w:rPr>
              <w:t>Indice</w:t>
            </w:r>
          </w:p>
        </w:tc>
        <w:tc>
          <w:tcPr>
            <w:tcW w:w="1692" w:type="dxa"/>
            <w:shd w:val="clear" w:color="auto" w:fill="FFFF99"/>
          </w:tcPr>
          <w:p w:rsidR="000645BF" w:rsidRPr="007B5C9E" w:rsidRDefault="000645BF" w:rsidP="004E444C">
            <w:pPr>
              <w:widowControl w:val="0"/>
              <w:autoSpaceDE w:val="0"/>
              <w:autoSpaceDN w:val="0"/>
              <w:adjustRightInd w:val="0"/>
              <w:spacing w:before="40" w:after="40"/>
              <w:jc w:val="both"/>
              <w:rPr>
                <w:rFonts w:ascii="Arial" w:hAnsi="Arial" w:cs="Arial"/>
                <w:b/>
              </w:rPr>
            </w:pPr>
            <w:r w:rsidRPr="007B5C9E">
              <w:rPr>
                <w:rFonts w:ascii="Arial" w:hAnsi="Arial" w:cs="Arial"/>
                <w:b/>
              </w:rPr>
              <w:t>Calificativ</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1</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Excelent</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2</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Foarte bun</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3</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Bun</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4</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Mediu</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5</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Rău</w:t>
            </w:r>
          </w:p>
        </w:tc>
      </w:tr>
      <w:tr w:rsidR="000645BF" w:rsidRPr="00BC7FC5" w:rsidTr="004E444C">
        <w:trPr>
          <w:trHeight w:val="206"/>
          <w:jc w:val="center"/>
        </w:trPr>
        <w:tc>
          <w:tcPr>
            <w:tcW w:w="1009" w:type="dxa"/>
          </w:tcPr>
          <w:p w:rsidR="000645BF" w:rsidRPr="00BC7FC5" w:rsidRDefault="000645BF" w:rsidP="004E444C">
            <w:pPr>
              <w:widowControl w:val="0"/>
              <w:autoSpaceDE w:val="0"/>
              <w:autoSpaceDN w:val="0"/>
              <w:adjustRightInd w:val="0"/>
              <w:spacing w:before="40" w:after="40"/>
              <w:jc w:val="both"/>
              <w:rPr>
                <w:rFonts w:ascii="Arial" w:hAnsi="Arial" w:cs="Arial"/>
                <w:b/>
              </w:rPr>
            </w:pPr>
            <w:r w:rsidRPr="00BC7FC5">
              <w:rPr>
                <w:rFonts w:ascii="Arial" w:hAnsi="Arial" w:cs="Arial"/>
                <w:b/>
              </w:rPr>
              <w:t>6</w:t>
            </w:r>
          </w:p>
        </w:tc>
        <w:tc>
          <w:tcPr>
            <w:tcW w:w="1692" w:type="dxa"/>
          </w:tcPr>
          <w:p w:rsidR="000645BF" w:rsidRPr="00BC7FC5" w:rsidRDefault="000645BF" w:rsidP="004E444C">
            <w:pPr>
              <w:widowControl w:val="0"/>
              <w:autoSpaceDE w:val="0"/>
              <w:autoSpaceDN w:val="0"/>
              <w:adjustRightInd w:val="0"/>
              <w:spacing w:before="40" w:after="40"/>
              <w:jc w:val="both"/>
              <w:rPr>
                <w:rFonts w:ascii="Arial" w:hAnsi="Arial" w:cs="Arial"/>
              </w:rPr>
            </w:pPr>
            <w:r w:rsidRPr="00BC7FC5">
              <w:rPr>
                <w:rFonts w:ascii="Arial" w:hAnsi="Arial" w:cs="Arial"/>
              </w:rPr>
              <w:t>Foarte rău</w:t>
            </w:r>
          </w:p>
        </w:tc>
      </w:tr>
    </w:tbl>
    <w:p w:rsidR="000645BF" w:rsidRPr="00BC7FC5" w:rsidRDefault="000645BF" w:rsidP="000645BF">
      <w:pPr>
        <w:widowControl w:val="0"/>
        <w:autoSpaceDE w:val="0"/>
        <w:autoSpaceDN w:val="0"/>
        <w:adjustRightInd w:val="0"/>
        <w:spacing w:after="0" w:line="240" w:lineRule="auto"/>
        <w:ind w:firstLine="708"/>
        <w:jc w:val="both"/>
        <w:rPr>
          <w:rFonts w:ascii="Arial" w:hAnsi="Arial" w:cs="Arial"/>
          <w:sz w:val="4"/>
          <w:szCs w:val="4"/>
        </w:rPr>
      </w:pPr>
    </w:p>
    <w:p w:rsidR="000645BF" w:rsidRPr="00BC7FC5" w:rsidRDefault="000645BF" w:rsidP="000645BF">
      <w:pPr>
        <w:widowControl w:val="0"/>
        <w:autoSpaceDE w:val="0"/>
        <w:autoSpaceDN w:val="0"/>
        <w:adjustRightInd w:val="0"/>
        <w:spacing w:after="0" w:line="240" w:lineRule="auto"/>
        <w:ind w:firstLine="708"/>
        <w:jc w:val="both"/>
        <w:rPr>
          <w:rFonts w:ascii="Arial" w:hAnsi="Arial" w:cs="Arial"/>
          <w:b/>
          <w:sz w:val="6"/>
          <w:szCs w:val="6"/>
        </w:rPr>
      </w:pPr>
    </w:p>
    <w:p w:rsidR="000645BF" w:rsidRPr="00BC7FC5" w:rsidRDefault="000645BF" w:rsidP="000645BF">
      <w:pPr>
        <w:widowControl w:val="0"/>
        <w:autoSpaceDE w:val="0"/>
        <w:autoSpaceDN w:val="0"/>
        <w:adjustRightInd w:val="0"/>
        <w:spacing w:after="0" w:line="240" w:lineRule="auto"/>
        <w:ind w:firstLine="708"/>
        <w:jc w:val="both"/>
        <w:rPr>
          <w:rFonts w:ascii="Arial" w:hAnsi="Arial" w:cs="Arial"/>
          <w:sz w:val="24"/>
          <w:szCs w:val="24"/>
        </w:rPr>
      </w:pPr>
      <w:r w:rsidRPr="000C6C77">
        <w:rPr>
          <w:rFonts w:ascii="Arial" w:hAnsi="Arial" w:cs="Arial"/>
          <w:sz w:val="24"/>
          <w:szCs w:val="24"/>
        </w:rPr>
        <w:t>Indicele general zilnic se stabileşte ca fiind cel mai mare dintre indicii specifici corespunzători poluanţilor monitorizaţi din acea zi, cu condiţia să fie disponibili cel puţin 3 dintre indicii specifici corespunzători</w:t>
      </w:r>
      <w:r w:rsidRPr="00BC7FC5">
        <w:rPr>
          <w:rFonts w:ascii="Arial" w:hAnsi="Arial" w:cs="Arial"/>
          <w:sz w:val="24"/>
          <w:szCs w:val="24"/>
        </w:rPr>
        <w:t xml:space="preserve"> poluanţilor monitorizaţi.</w:t>
      </w:r>
    </w:p>
    <w:p w:rsidR="000645BF" w:rsidRDefault="000645BF" w:rsidP="004E444C">
      <w:pPr>
        <w:widowControl w:val="0"/>
        <w:autoSpaceDE w:val="0"/>
        <w:autoSpaceDN w:val="0"/>
        <w:adjustRightInd w:val="0"/>
        <w:spacing w:after="0" w:line="240" w:lineRule="auto"/>
        <w:ind w:firstLine="706"/>
        <w:jc w:val="both"/>
        <w:rPr>
          <w:rFonts w:ascii="Arial" w:hAnsi="Arial" w:cs="Arial"/>
          <w:sz w:val="24"/>
          <w:szCs w:val="24"/>
        </w:rPr>
      </w:pPr>
      <w:r w:rsidRPr="000C6C77">
        <w:rPr>
          <w:rFonts w:ascii="Arial" w:eastAsia="Times New Roman" w:hAnsi="Arial" w:cs="Arial"/>
          <w:sz w:val="24"/>
          <w:szCs w:val="24"/>
        </w:rPr>
        <w:t>La nivel local, calitatea aerului este dependentă de topografia aşezărilor umane şi condiţiile climatice specifice zonei. Fenomenele locale, cum sunt cele de calm atmosferic sau inversiunea termică, pot împiedica dispersia poluanţilor atmosferici, ducând uneori la acumularea acestora pe acel areal, pe perioade scurte de timp. Lipsa precipitaţiilor pe perioade lungi de timp împiedică autopurificarea aerului, ducând, alături de celelalte condiţii favorizante, la acumularea poluanţilor în aerul înconjurător.</w:t>
      </w:r>
    </w:p>
    <w:p w:rsidR="000645BF" w:rsidRDefault="000645BF" w:rsidP="000645BF">
      <w:pPr>
        <w:widowControl w:val="0"/>
        <w:spacing w:after="0" w:line="240" w:lineRule="auto"/>
        <w:ind w:firstLine="720"/>
        <w:jc w:val="both"/>
        <w:rPr>
          <w:rFonts w:ascii="Arial" w:hAnsi="Arial" w:cs="Arial"/>
          <w:sz w:val="24"/>
          <w:szCs w:val="24"/>
        </w:rPr>
      </w:pPr>
      <w:r w:rsidRPr="00717595">
        <w:rPr>
          <w:rFonts w:ascii="Arial" w:hAnsi="Arial" w:cs="Arial"/>
          <w:sz w:val="24"/>
          <w:szCs w:val="24"/>
        </w:rPr>
        <w:t xml:space="preserve">La nivelul anului </w:t>
      </w:r>
      <w:r w:rsidRPr="007B5C9E">
        <w:rPr>
          <w:rFonts w:ascii="Arial" w:hAnsi="Arial" w:cs="Arial"/>
          <w:sz w:val="24"/>
          <w:szCs w:val="24"/>
        </w:rPr>
        <w:t>2017</w:t>
      </w:r>
      <w:r w:rsidRPr="00717595">
        <w:rPr>
          <w:rFonts w:ascii="Arial" w:hAnsi="Arial" w:cs="Arial"/>
          <w:sz w:val="24"/>
          <w:szCs w:val="24"/>
        </w:rPr>
        <w:t xml:space="preserve">, calitatea aerului în judeţul </w:t>
      </w:r>
      <w:r>
        <w:rPr>
          <w:rFonts w:ascii="Arial" w:hAnsi="Arial" w:cs="Arial"/>
          <w:sz w:val="24"/>
          <w:szCs w:val="24"/>
        </w:rPr>
        <w:t>Brăila</w:t>
      </w:r>
      <w:r w:rsidRPr="00717595">
        <w:rPr>
          <w:rFonts w:ascii="Arial" w:hAnsi="Arial" w:cs="Arial"/>
          <w:sz w:val="24"/>
          <w:szCs w:val="24"/>
        </w:rPr>
        <w:t xml:space="preserve"> a fost monitorizată prin intermediul staţiilor automate de monitorizare a calităţii aerului care fac parte din Reţeaua </w:t>
      </w:r>
      <w:r w:rsidRPr="00717595">
        <w:rPr>
          <w:rFonts w:ascii="Arial" w:hAnsi="Arial" w:cs="Arial"/>
          <w:sz w:val="24"/>
          <w:szCs w:val="24"/>
        </w:rPr>
        <w:lastRenderedPageBreak/>
        <w:t xml:space="preserve">Naţională de Monitorizare a Calităţii Aerului. </w:t>
      </w:r>
    </w:p>
    <w:p w:rsidR="000645BF" w:rsidRPr="00717595" w:rsidRDefault="000645BF" w:rsidP="000645BF">
      <w:pPr>
        <w:widowControl w:val="0"/>
        <w:spacing w:after="0" w:line="240" w:lineRule="auto"/>
        <w:ind w:firstLine="720"/>
        <w:jc w:val="both"/>
        <w:rPr>
          <w:rFonts w:ascii="Arial" w:hAnsi="Arial" w:cs="Arial"/>
          <w:sz w:val="24"/>
          <w:szCs w:val="24"/>
        </w:rPr>
      </w:pPr>
    </w:p>
    <w:p w:rsidR="000645BF" w:rsidRPr="00717595" w:rsidRDefault="005D0BB6" w:rsidP="000645BF">
      <w:pPr>
        <w:autoSpaceDE w:val="0"/>
        <w:autoSpaceDN w:val="0"/>
        <w:adjustRightInd w:val="0"/>
        <w:jc w:val="cente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297.6pt;margin-top:279.15pt;width:152.7pt;height:11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" strokecolor="white [3212]">
            <v:textbox>
              <w:txbxContent>
                <w:p w:rsidR="00DE32CE" w:rsidRPr="0083241E" w:rsidRDefault="00DE32CE" w:rsidP="000645BF">
                  <w:pPr>
                    <w:rPr>
                      <w:b/>
                    </w:rPr>
                  </w:pPr>
                  <w:r w:rsidRPr="0083241E">
                    <w:rPr>
                      <w:b/>
                    </w:rPr>
                    <w:t>Legendă</w:t>
                  </w:r>
                </w:p>
                <w:p w:rsidR="00DE32CE" w:rsidRPr="0083241E" w:rsidRDefault="00DE32CE" w:rsidP="000645BF">
                  <w:pPr>
                    <w:pStyle w:val="ListParagraph"/>
                    <w:spacing w:line="276" w:lineRule="auto"/>
                    <w:ind w:left="0"/>
                  </w:pPr>
                  <w:r w:rsidRPr="0083241E">
                    <w:t>BR 1 – stație de trafic</w:t>
                  </w:r>
                </w:p>
                <w:p w:rsidR="00DE32CE" w:rsidRPr="0083241E" w:rsidRDefault="00DE32CE" w:rsidP="000645BF">
                  <w:pPr>
                    <w:pStyle w:val="ListParagraph"/>
                    <w:spacing w:line="276" w:lineRule="auto"/>
                    <w:ind w:left="0"/>
                  </w:pPr>
                  <w:r w:rsidRPr="0083241E">
                    <w:t>BR 2 – stație fond urban</w:t>
                  </w:r>
                </w:p>
                <w:p w:rsidR="00DE32CE" w:rsidRPr="0083241E" w:rsidRDefault="00DE32CE" w:rsidP="000645BF">
                  <w:pPr>
                    <w:pStyle w:val="ListParagraph"/>
                    <w:spacing w:line="276" w:lineRule="auto"/>
                    <w:ind w:left="0"/>
                  </w:pPr>
                  <w:r w:rsidRPr="0083241E">
                    <w:t>BR 3 – stație fond suburban</w:t>
                  </w:r>
                </w:p>
                <w:p w:rsidR="00DE32CE" w:rsidRDefault="00DE32CE" w:rsidP="000645BF">
                  <w:pPr>
                    <w:pStyle w:val="ListParagraph"/>
                    <w:spacing w:line="276" w:lineRule="auto"/>
                    <w:ind w:left="0"/>
                  </w:pPr>
                  <w:r w:rsidRPr="0083241E">
                    <w:t>BR 4 – stație industrial 1</w:t>
                  </w:r>
                </w:p>
                <w:p w:rsidR="00DE32CE" w:rsidRDefault="00DE32CE" w:rsidP="000645BF">
                  <w:pPr>
                    <w:pStyle w:val="ListParagraph"/>
                    <w:spacing w:line="276" w:lineRule="auto"/>
                    <w:ind w:left="0"/>
                  </w:pPr>
                  <w:r w:rsidRPr="00456EC8">
                    <w:t>BR 5 – stație industrial 2</w:t>
                  </w:r>
                </w:p>
                <w:p w:rsidR="00DE32CE" w:rsidRPr="00DC243A" w:rsidRDefault="00DE32CE" w:rsidP="000645BF"/>
              </w:txbxContent>
            </v:textbox>
          </v:shape>
        </w:pict>
      </w:r>
      <w:r w:rsidR="000645BF" w:rsidRPr="00717595">
        <w:rPr>
          <w:rFonts w:ascii="Arial" w:hAnsi="Arial" w:cs="Arial"/>
          <w:noProof/>
          <w:sz w:val="24"/>
          <w:szCs w:val="24"/>
        </w:rPr>
        <w:drawing>
          <wp:inline distT="0" distB="0" distL="0" distR="0">
            <wp:extent cx="5571460" cy="5635256"/>
            <wp:effectExtent l="0" t="0" r="0" b="3810"/>
            <wp:docPr id="122" name="Imagine 8" descr="pozitionare s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onare statii.jpg"/>
                    <pic:cNvPicPr/>
                  </pic:nvPicPr>
                  <pic:blipFill>
                    <a:blip r:embed="rId7"/>
                    <a:stretch>
                      <a:fillRect/>
                    </a:stretch>
                  </pic:blipFill>
                  <pic:spPr>
                    <a:xfrm>
                      <a:off x="0" y="0"/>
                      <a:ext cx="5578938" cy="5642820"/>
                    </a:xfrm>
                    <a:prstGeom prst="rect">
                      <a:avLst/>
                    </a:prstGeom>
                  </pic:spPr>
                </pic:pic>
              </a:graphicData>
            </a:graphic>
          </wp:inline>
        </w:drawing>
      </w:r>
    </w:p>
    <w:p w:rsidR="000645BF" w:rsidRPr="00717595" w:rsidRDefault="000645BF" w:rsidP="000645BF">
      <w:pPr>
        <w:tabs>
          <w:tab w:val="left" w:pos="1276"/>
          <w:tab w:val="left" w:leader="dot" w:pos="8820"/>
        </w:tabs>
        <w:spacing w:after="0" w:line="240" w:lineRule="auto"/>
        <w:ind w:right="31" w:firstLine="720"/>
        <w:jc w:val="both"/>
        <w:rPr>
          <w:rFonts w:ascii="Arial" w:hAnsi="Arial" w:cs="Arial"/>
          <w:sz w:val="24"/>
          <w:szCs w:val="24"/>
        </w:rPr>
      </w:pPr>
      <w:r w:rsidRPr="00717595">
        <w:rPr>
          <w:rFonts w:ascii="Arial" w:hAnsi="Arial" w:cs="Arial"/>
          <w:sz w:val="24"/>
          <w:szCs w:val="24"/>
        </w:rPr>
        <w:t>Reţeaua automată este formată din 5 puncte de prelevare a probelor, amplasate după cum urmează:</w:t>
      </w:r>
    </w:p>
    <w:p w:rsidR="000645BF" w:rsidRPr="00717595" w:rsidRDefault="000645BF" w:rsidP="000645BF">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Pr>
          <w:rFonts w:ascii="Arial" w:hAnsi="Arial" w:cs="Arial"/>
          <w:b/>
          <w:sz w:val="24"/>
          <w:szCs w:val="24"/>
        </w:rPr>
        <w:t>Brăila</w:t>
      </w:r>
      <w:r w:rsidRPr="00717595">
        <w:rPr>
          <w:rFonts w:ascii="Arial" w:hAnsi="Arial" w:cs="Arial"/>
          <w:b/>
          <w:sz w:val="24"/>
          <w:szCs w:val="24"/>
        </w:rPr>
        <w:t xml:space="preserve"> 1 - </w:t>
      </w:r>
      <w:r w:rsidRPr="00717595">
        <w:rPr>
          <w:rFonts w:ascii="Arial" w:hAnsi="Arial" w:cs="Arial"/>
          <w:bCs/>
          <w:sz w:val="24"/>
          <w:szCs w:val="24"/>
        </w:rPr>
        <w:t>Staţi</w:t>
      </w:r>
      <w:r>
        <w:rPr>
          <w:rFonts w:ascii="Arial" w:hAnsi="Arial" w:cs="Arial"/>
          <w:bCs/>
          <w:sz w:val="24"/>
          <w:szCs w:val="24"/>
        </w:rPr>
        <w:t>e</w:t>
      </w:r>
      <w:r w:rsidRPr="00717595">
        <w:rPr>
          <w:rFonts w:ascii="Arial" w:hAnsi="Arial" w:cs="Arial"/>
          <w:bCs/>
          <w:sz w:val="24"/>
          <w:szCs w:val="24"/>
        </w:rPr>
        <w:t xml:space="preserve"> de monitorizare a calităţii aerului de tip – trafic, care este amp</w:t>
      </w:r>
      <w:r>
        <w:rPr>
          <w:rFonts w:ascii="Arial" w:hAnsi="Arial" w:cs="Arial"/>
          <w:bCs/>
          <w:sz w:val="24"/>
          <w:szCs w:val="24"/>
        </w:rPr>
        <w:t xml:space="preserve">lasată pe Calea Galaţi, nr. 53. </w:t>
      </w:r>
      <w:r w:rsidRPr="00717595">
        <w:rPr>
          <w:rFonts w:ascii="Arial" w:hAnsi="Arial" w:cs="Arial"/>
          <w:bCs/>
          <w:sz w:val="24"/>
          <w:szCs w:val="24"/>
        </w:rPr>
        <w:t>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PM</w:t>
      </w:r>
      <w:r w:rsidRPr="009F4B16">
        <w:rPr>
          <w:rFonts w:ascii="Arial" w:hAnsi="Arial" w:cs="Arial"/>
          <w:bCs/>
          <w:sz w:val="24"/>
          <w:szCs w:val="24"/>
          <w:vertAlign w:val="subscript"/>
        </w:rPr>
        <w:t>10</w:t>
      </w:r>
      <w:r w:rsidRPr="00717595">
        <w:rPr>
          <w:rFonts w:ascii="Arial" w:hAnsi="Arial" w:cs="Arial"/>
          <w:bCs/>
          <w:sz w:val="24"/>
          <w:szCs w:val="24"/>
        </w:rPr>
        <w:t xml:space="preserve">, </w:t>
      </w:r>
      <w:r>
        <w:rPr>
          <w:rFonts w:ascii="Arial" w:hAnsi="Arial" w:cs="Arial"/>
          <w:bCs/>
          <w:sz w:val="24"/>
          <w:szCs w:val="24"/>
        </w:rPr>
        <w:t>benzen.</w:t>
      </w:r>
    </w:p>
    <w:p w:rsidR="000645BF" w:rsidRPr="00717595" w:rsidRDefault="000645BF" w:rsidP="000645BF">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Pr>
          <w:rFonts w:ascii="Arial" w:hAnsi="Arial" w:cs="Arial"/>
          <w:b/>
          <w:sz w:val="24"/>
          <w:szCs w:val="24"/>
        </w:rPr>
        <w:t>Bră</w:t>
      </w:r>
      <w:r w:rsidRPr="00717595">
        <w:rPr>
          <w:rFonts w:ascii="Arial" w:hAnsi="Arial" w:cs="Arial"/>
          <w:b/>
          <w:sz w:val="24"/>
          <w:szCs w:val="24"/>
        </w:rPr>
        <w:t>ila 2 -</w:t>
      </w:r>
      <w:r w:rsidRPr="00717595">
        <w:rPr>
          <w:rFonts w:ascii="Arial" w:hAnsi="Arial" w:cs="Arial"/>
          <w:bCs/>
          <w:sz w:val="24"/>
          <w:szCs w:val="24"/>
        </w:rPr>
        <w:t>Staţi</w:t>
      </w:r>
      <w:r>
        <w:rPr>
          <w:rFonts w:ascii="Arial" w:hAnsi="Arial" w:cs="Arial"/>
          <w:bCs/>
          <w:sz w:val="24"/>
          <w:szCs w:val="24"/>
        </w:rPr>
        <w:t>e</w:t>
      </w:r>
      <w:r w:rsidRPr="00717595">
        <w:rPr>
          <w:rFonts w:ascii="Arial" w:hAnsi="Arial" w:cs="Arial"/>
          <w:bCs/>
          <w:sz w:val="24"/>
          <w:szCs w:val="24"/>
        </w:rPr>
        <w:t xml:space="preserve"> de monitorizare a calităţii aerului de tip – urban, care este amplasată în Piaţa Independenţei nr. 1</w:t>
      </w:r>
      <w:r>
        <w:rPr>
          <w:rFonts w:ascii="Arial" w:hAnsi="Arial" w:cs="Arial"/>
          <w:bCs/>
          <w:sz w:val="24"/>
          <w:szCs w:val="24"/>
        </w:rPr>
        <w:t>.</w:t>
      </w:r>
      <w:r w:rsidRPr="00717595">
        <w:rPr>
          <w:rFonts w:ascii="Arial" w:hAnsi="Arial" w:cs="Arial"/>
          <w:bCs/>
          <w:sz w:val="24"/>
          <w:szCs w:val="24"/>
        </w:rPr>
        <w:t xml:space="preserve"> 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PM</w:t>
      </w:r>
      <w:r w:rsidRPr="009F4B16">
        <w:rPr>
          <w:rFonts w:ascii="Arial" w:hAnsi="Arial" w:cs="Arial"/>
          <w:bCs/>
          <w:sz w:val="24"/>
          <w:szCs w:val="24"/>
          <w:vertAlign w:val="subscript"/>
        </w:rPr>
        <w:t>10</w:t>
      </w:r>
      <w:r w:rsidRPr="00717595">
        <w:rPr>
          <w:rFonts w:ascii="Arial" w:hAnsi="Arial" w:cs="Arial"/>
          <w:bCs/>
          <w:sz w:val="24"/>
          <w:szCs w:val="24"/>
        </w:rPr>
        <w:t>, PM</w:t>
      </w:r>
      <w:r w:rsidRPr="00156E35">
        <w:rPr>
          <w:rFonts w:ascii="Arial" w:hAnsi="Arial" w:cs="Arial"/>
          <w:bCs/>
          <w:sz w:val="24"/>
          <w:szCs w:val="24"/>
          <w:vertAlign w:val="subscript"/>
        </w:rPr>
        <w:t>2,5</w:t>
      </w:r>
      <w:r w:rsidRPr="00717595">
        <w:rPr>
          <w:rFonts w:ascii="Arial" w:hAnsi="Arial" w:cs="Arial"/>
          <w:bCs/>
          <w:sz w:val="24"/>
          <w:szCs w:val="24"/>
        </w:rPr>
        <w:t xml:space="preserve">, </w:t>
      </w:r>
      <w:r>
        <w:rPr>
          <w:rFonts w:ascii="Arial" w:hAnsi="Arial" w:cs="Arial"/>
          <w:bCs/>
          <w:sz w:val="24"/>
          <w:szCs w:val="24"/>
        </w:rPr>
        <w:t>benzen, parametri</w:t>
      </w:r>
      <w:r w:rsidRPr="00717595">
        <w:rPr>
          <w:rFonts w:ascii="Arial" w:hAnsi="Arial" w:cs="Arial"/>
          <w:bCs/>
          <w:sz w:val="24"/>
          <w:szCs w:val="24"/>
        </w:rPr>
        <w:t xml:space="preserve"> meteo.</w:t>
      </w:r>
    </w:p>
    <w:p w:rsidR="000645BF" w:rsidRPr="00717595" w:rsidRDefault="000645BF" w:rsidP="000645BF">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Pr>
          <w:rFonts w:ascii="Arial" w:hAnsi="Arial" w:cs="Arial"/>
          <w:b/>
          <w:sz w:val="24"/>
          <w:szCs w:val="24"/>
        </w:rPr>
        <w:t>Brăila</w:t>
      </w:r>
      <w:r w:rsidRPr="00717595">
        <w:rPr>
          <w:rFonts w:ascii="Arial" w:hAnsi="Arial" w:cs="Arial"/>
          <w:b/>
          <w:sz w:val="24"/>
          <w:szCs w:val="24"/>
        </w:rPr>
        <w:t xml:space="preserve"> 3 - </w:t>
      </w:r>
      <w:r w:rsidRPr="00717595">
        <w:rPr>
          <w:rFonts w:ascii="Arial" w:hAnsi="Arial" w:cs="Arial"/>
          <w:sz w:val="24"/>
          <w:szCs w:val="24"/>
        </w:rPr>
        <w:t>Staţi</w:t>
      </w:r>
      <w:r>
        <w:rPr>
          <w:rFonts w:ascii="Arial" w:hAnsi="Arial" w:cs="Arial"/>
          <w:sz w:val="24"/>
          <w:szCs w:val="24"/>
        </w:rPr>
        <w:t>e</w:t>
      </w:r>
      <w:r w:rsidRPr="00717595">
        <w:rPr>
          <w:rFonts w:ascii="Arial" w:hAnsi="Arial" w:cs="Arial"/>
          <w:bCs/>
          <w:sz w:val="24"/>
          <w:szCs w:val="24"/>
        </w:rPr>
        <w:t>de monitorizare a calităţii aerului de tip –</w:t>
      </w:r>
      <w:r w:rsidRPr="00717595">
        <w:rPr>
          <w:rFonts w:ascii="Arial" w:hAnsi="Arial" w:cs="Arial"/>
          <w:sz w:val="24"/>
          <w:szCs w:val="24"/>
        </w:rPr>
        <w:t xml:space="preserve"> suburban, care este situată în Comuna Cazasu, jud. </w:t>
      </w:r>
      <w:r>
        <w:rPr>
          <w:rFonts w:ascii="Arial" w:hAnsi="Arial" w:cs="Arial"/>
          <w:sz w:val="24"/>
          <w:szCs w:val="24"/>
        </w:rPr>
        <w:t>Brăila.</w:t>
      </w:r>
      <w:r w:rsidRPr="00717595">
        <w:rPr>
          <w:rFonts w:ascii="Arial" w:hAnsi="Arial" w:cs="Arial"/>
          <w:bCs/>
          <w:sz w:val="24"/>
          <w:szCs w:val="24"/>
        </w:rPr>
        <w:t xml:space="preserve"> 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xml:space="preserve">, PM10, </w:t>
      </w:r>
      <w:r>
        <w:rPr>
          <w:rFonts w:ascii="Arial" w:hAnsi="Arial" w:cs="Arial"/>
          <w:bCs/>
          <w:sz w:val="24"/>
          <w:szCs w:val="24"/>
        </w:rPr>
        <w:t>benzen, parametri</w:t>
      </w:r>
      <w:r w:rsidRPr="00717595">
        <w:rPr>
          <w:rFonts w:ascii="Arial" w:hAnsi="Arial" w:cs="Arial"/>
          <w:bCs/>
          <w:sz w:val="24"/>
          <w:szCs w:val="24"/>
        </w:rPr>
        <w:t xml:space="preserve"> meteo.</w:t>
      </w:r>
    </w:p>
    <w:p w:rsidR="000645BF" w:rsidRPr="00717595" w:rsidRDefault="000645BF" w:rsidP="000645BF">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Pr>
          <w:rFonts w:ascii="Arial" w:hAnsi="Arial" w:cs="Arial"/>
          <w:b/>
          <w:sz w:val="24"/>
          <w:szCs w:val="24"/>
        </w:rPr>
        <w:t>Brăila</w:t>
      </w:r>
      <w:r w:rsidRPr="00717595">
        <w:rPr>
          <w:rFonts w:ascii="Arial" w:hAnsi="Arial" w:cs="Arial"/>
          <w:b/>
          <w:sz w:val="24"/>
          <w:szCs w:val="24"/>
        </w:rPr>
        <w:t xml:space="preserve"> 4 - </w:t>
      </w:r>
      <w:r w:rsidRPr="00717595">
        <w:rPr>
          <w:rFonts w:ascii="Arial" w:hAnsi="Arial" w:cs="Arial"/>
          <w:sz w:val="24"/>
          <w:szCs w:val="24"/>
        </w:rPr>
        <w:t>Staţi</w:t>
      </w:r>
      <w:r>
        <w:rPr>
          <w:rFonts w:ascii="Arial" w:hAnsi="Arial" w:cs="Arial"/>
          <w:sz w:val="24"/>
          <w:szCs w:val="24"/>
        </w:rPr>
        <w:t>e</w:t>
      </w:r>
      <w:r w:rsidRPr="00717595">
        <w:rPr>
          <w:rFonts w:ascii="Arial" w:hAnsi="Arial" w:cs="Arial"/>
          <w:bCs/>
          <w:sz w:val="24"/>
          <w:szCs w:val="24"/>
        </w:rPr>
        <w:t>de monitorizare a calităţii aerului de tip – industrial,care</w:t>
      </w:r>
      <w:r w:rsidRPr="00717595">
        <w:rPr>
          <w:rFonts w:ascii="Arial" w:hAnsi="Arial" w:cs="Arial"/>
          <w:sz w:val="24"/>
          <w:szCs w:val="24"/>
        </w:rPr>
        <w:t>este amplasată pe Şoseaua Baldovineşti (Staţia Nord)</w:t>
      </w:r>
      <w:r>
        <w:rPr>
          <w:rFonts w:ascii="Arial" w:hAnsi="Arial" w:cs="Arial"/>
          <w:sz w:val="24"/>
          <w:szCs w:val="24"/>
        </w:rPr>
        <w:t>.</w:t>
      </w:r>
      <w:r w:rsidRPr="00717595">
        <w:rPr>
          <w:rFonts w:ascii="Arial" w:hAnsi="Arial" w:cs="Arial"/>
          <w:bCs/>
          <w:sz w:val="24"/>
          <w:szCs w:val="24"/>
        </w:rPr>
        <w:t>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Pr>
          <w:rFonts w:ascii="Arial" w:hAnsi="Arial" w:cs="Arial"/>
          <w:bCs/>
          <w:sz w:val="24"/>
          <w:szCs w:val="24"/>
        </w:rPr>
        <w:t>, PM10, parametri</w:t>
      </w:r>
      <w:r w:rsidRPr="00717595">
        <w:rPr>
          <w:rFonts w:ascii="Arial" w:hAnsi="Arial" w:cs="Arial"/>
          <w:bCs/>
          <w:sz w:val="24"/>
          <w:szCs w:val="24"/>
        </w:rPr>
        <w:t xml:space="preserve"> meteo.</w:t>
      </w:r>
    </w:p>
    <w:p w:rsidR="000645BF" w:rsidRPr="00717595" w:rsidRDefault="000645BF" w:rsidP="000645BF">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Pr>
          <w:rFonts w:ascii="Arial" w:hAnsi="Arial" w:cs="Arial"/>
          <w:b/>
          <w:sz w:val="24"/>
          <w:szCs w:val="24"/>
        </w:rPr>
        <w:t>Brăila</w:t>
      </w:r>
      <w:r w:rsidRPr="00717595">
        <w:rPr>
          <w:rFonts w:ascii="Arial" w:hAnsi="Arial" w:cs="Arial"/>
          <w:b/>
          <w:sz w:val="24"/>
          <w:szCs w:val="24"/>
        </w:rPr>
        <w:t xml:space="preserve"> 5 - </w:t>
      </w:r>
      <w:r w:rsidRPr="00717595">
        <w:rPr>
          <w:rFonts w:ascii="Arial" w:hAnsi="Arial" w:cs="Arial"/>
          <w:sz w:val="24"/>
          <w:szCs w:val="24"/>
        </w:rPr>
        <w:t>Staţi</w:t>
      </w:r>
      <w:r>
        <w:rPr>
          <w:rFonts w:ascii="Arial" w:hAnsi="Arial" w:cs="Arial"/>
          <w:sz w:val="24"/>
          <w:szCs w:val="24"/>
        </w:rPr>
        <w:t>e</w:t>
      </w:r>
      <w:r w:rsidRPr="00717595">
        <w:rPr>
          <w:rFonts w:ascii="Arial" w:hAnsi="Arial" w:cs="Arial"/>
          <w:bCs/>
          <w:sz w:val="24"/>
          <w:szCs w:val="24"/>
        </w:rPr>
        <w:t xml:space="preserve">de monitorizare a calităţii aerului de tip – industrial, care </w:t>
      </w:r>
      <w:r w:rsidRPr="00717595">
        <w:rPr>
          <w:rFonts w:ascii="Arial" w:hAnsi="Arial" w:cs="Arial"/>
          <w:sz w:val="24"/>
          <w:szCs w:val="24"/>
        </w:rPr>
        <w:t>este amplasată în Comuna Chiscani, în vecinătatea SC. CET S.A</w:t>
      </w:r>
      <w:r>
        <w:rPr>
          <w:rFonts w:ascii="Arial" w:hAnsi="Arial" w:cs="Arial"/>
          <w:sz w:val="24"/>
          <w:szCs w:val="24"/>
        </w:rPr>
        <w:t xml:space="preserve">. </w:t>
      </w:r>
      <w:r w:rsidRPr="00717595">
        <w:rPr>
          <w:rFonts w:ascii="Arial" w:hAnsi="Arial" w:cs="Arial"/>
          <w:bCs/>
          <w:sz w:val="24"/>
          <w:szCs w:val="24"/>
        </w:rPr>
        <w:t>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PM</w:t>
      </w:r>
      <w:r w:rsidRPr="009F4B16">
        <w:rPr>
          <w:rFonts w:ascii="Arial" w:hAnsi="Arial" w:cs="Arial"/>
          <w:bCs/>
          <w:sz w:val="24"/>
          <w:szCs w:val="24"/>
          <w:vertAlign w:val="subscript"/>
        </w:rPr>
        <w:t>10</w:t>
      </w:r>
      <w:r>
        <w:rPr>
          <w:rFonts w:ascii="Arial" w:hAnsi="Arial" w:cs="Arial"/>
          <w:bCs/>
          <w:sz w:val="24"/>
          <w:szCs w:val="24"/>
        </w:rPr>
        <w:t>, COV, parametri</w:t>
      </w:r>
      <w:r w:rsidRPr="00717595">
        <w:rPr>
          <w:rFonts w:ascii="Arial" w:hAnsi="Arial" w:cs="Arial"/>
          <w:bCs/>
          <w:sz w:val="24"/>
          <w:szCs w:val="24"/>
        </w:rPr>
        <w:t xml:space="preserve"> meteo</w:t>
      </w:r>
      <w:r>
        <w:rPr>
          <w:rFonts w:ascii="Arial" w:hAnsi="Arial" w:cs="Arial"/>
          <w:bCs/>
          <w:sz w:val="24"/>
          <w:szCs w:val="24"/>
        </w:rPr>
        <w:t>.</w:t>
      </w:r>
    </w:p>
    <w:p w:rsidR="000645BF" w:rsidRDefault="000645BF" w:rsidP="000645BF">
      <w:pPr>
        <w:autoSpaceDE w:val="0"/>
        <w:autoSpaceDN w:val="0"/>
        <w:adjustRightInd w:val="0"/>
        <w:spacing w:after="0" w:line="240" w:lineRule="auto"/>
        <w:ind w:firstLine="720"/>
        <w:jc w:val="both"/>
        <w:rPr>
          <w:rFonts w:ascii="Arial" w:hAnsi="Arial" w:cs="Arial"/>
          <w:color w:val="00B0F0"/>
          <w:sz w:val="24"/>
          <w:szCs w:val="24"/>
        </w:rPr>
      </w:pPr>
    </w:p>
    <w:p w:rsidR="000645BF" w:rsidRPr="00CB321C" w:rsidRDefault="000645BF" w:rsidP="000645BF">
      <w:pPr>
        <w:autoSpaceDE w:val="0"/>
        <w:autoSpaceDN w:val="0"/>
        <w:adjustRightInd w:val="0"/>
        <w:spacing w:after="0" w:line="240" w:lineRule="auto"/>
        <w:ind w:firstLine="720"/>
        <w:jc w:val="both"/>
        <w:rPr>
          <w:rFonts w:ascii="Arial" w:hAnsi="Arial" w:cs="Arial"/>
          <w:sz w:val="24"/>
          <w:szCs w:val="24"/>
        </w:rPr>
      </w:pPr>
      <w:r w:rsidRPr="00CB321C">
        <w:rPr>
          <w:rFonts w:ascii="Arial" w:hAnsi="Arial" w:cs="Arial"/>
          <w:sz w:val="24"/>
          <w:szCs w:val="24"/>
        </w:rPr>
        <w:t xml:space="preserve">Poluanţii monitorizaţi sunt cei prevăzuţi în legislaţia română, transpusă din legislaţia europeană, valorile limită impuse prin Legea 104/2011având scopul de a evita, preveni şi reduce efectele nocive asupra sănătăţii umane şi a mediului în întregul său. </w:t>
      </w:r>
    </w:p>
    <w:p w:rsidR="000645BF" w:rsidRPr="00FF5EA3" w:rsidRDefault="000645BF" w:rsidP="000645BF">
      <w:pPr>
        <w:widowControl w:val="0"/>
        <w:spacing w:after="0" w:line="240" w:lineRule="auto"/>
        <w:ind w:firstLine="720"/>
        <w:jc w:val="both"/>
        <w:rPr>
          <w:rFonts w:ascii="Arial" w:hAnsi="Arial" w:cs="Arial"/>
          <w:sz w:val="24"/>
          <w:szCs w:val="24"/>
        </w:rPr>
      </w:pPr>
      <w:r w:rsidRPr="00FF5EA3">
        <w:rPr>
          <w:rFonts w:ascii="Arial" w:hAnsi="Arial" w:cs="Arial"/>
          <w:sz w:val="24"/>
          <w:szCs w:val="24"/>
        </w:rPr>
        <w:t xml:space="preserve">Conform anexei 4 la Legea nr. 104/2011, obiectivul de calitate a datelor din monitorizare </w:t>
      </w:r>
      <w:r w:rsidRPr="00FF5EA3">
        <w:rPr>
          <w:rFonts w:ascii="Arial" w:hAnsi="Arial" w:cs="Arial"/>
          <w:sz w:val="24"/>
          <w:szCs w:val="24"/>
        </w:rPr>
        <w:lastRenderedPageBreak/>
        <w:t xml:space="preserve">în ceea ce priveşte captura minimă de date pe perioada de mediere de un an, pentru toţi poluanţii monitorizaţi, este de 90%. Având în vedere că cerința de captură minimă de 90% nu include pierderile de date datorate calibrării, verificărilor și întreținerilor curente, sunt considerate conforme capturile de date valide de minimum 75%. </w:t>
      </w:r>
    </w:p>
    <w:p w:rsidR="000645BF" w:rsidRDefault="000645BF" w:rsidP="000645BF">
      <w:pPr>
        <w:widowControl w:val="0"/>
        <w:spacing w:after="0" w:line="240" w:lineRule="auto"/>
        <w:ind w:firstLine="720"/>
        <w:jc w:val="both"/>
        <w:rPr>
          <w:rFonts w:ascii="Arial" w:hAnsi="Arial" w:cs="Arial"/>
          <w:sz w:val="24"/>
          <w:szCs w:val="24"/>
        </w:rPr>
      </w:pPr>
    </w:p>
    <w:p w:rsidR="000645BF" w:rsidRDefault="000645BF" w:rsidP="000645BF">
      <w:pPr>
        <w:tabs>
          <w:tab w:val="left" w:leader="dot" w:pos="9356"/>
        </w:tabs>
        <w:spacing w:after="0" w:line="240" w:lineRule="auto"/>
        <w:jc w:val="both"/>
        <w:rPr>
          <w:rFonts w:ascii="Arial" w:hAnsi="Arial" w:cs="Arial"/>
          <w:b/>
          <w:sz w:val="24"/>
          <w:szCs w:val="24"/>
        </w:rPr>
      </w:pPr>
      <w:r w:rsidRPr="00717595">
        <w:rPr>
          <w:rFonts w:ascii="Arial" w:hAnsi="Arial" w:cs="Arial"/>
          <w:b/>
          <w:sz w:val="24"/>
          <w:szCs w:val="24"/>
        </w:rPr>
        <w:t>I.1.1.1. Nivelul concentraţiilor medii anuale ale poluanţilor atmosferici în aerul înconjurător</w:t>
      </w:r>
    </w:p>
    <w:p w:rsidR="000645BF" w:rsidRPr="00CB321C" w:rsidRDefault="000645BF" w:rsidP="000645BF">
      <w:pPr>
        <w:autoSpaceDE w:val="0"/>
        <w:autoSpaceDN w:val="0"/>
        <w:adjustRightInd w:val="0"/>
        <w:spacing w:after="0" w:line="240" w:lineRule="auto"/>
        <w:ind w:firstLine="720"/>
        <w:jc w:val="both"/>
        <w:rPr>
          <w:rFonts w:ascii="Arial" w:hAnsi="Arial" w:cs="Arial"/>
          <w:sz w:val="24"/>
          <w:szCs w:val="24"/>
        </w:rPr>
      </w:pPr>
      <w:r w:rsidRPr="00CB321C">
        <w:rPr>
          <w:rFonts w:ascii="Arial" w:hAnsi="Arial" w:cs="Arial"/>
          <w:sz w:val="24"/>
          <w:szCs w:val="24"/>
        </w:rPr>
        <w:t xml:space="preserve">În acest subcapitol sunt prezentate date şi informaţii sintetice privind rezultatele monitorizării calităţii aerului în anul 2017, care ilustrează calitatea aerului în raport cu valorile limită, valorile ţintă, pragurile de alertă sau de informare stabilite în legislaţia specifică pentru fiecare poluant. </w:t>
      </w:r>
    </w:p>
    <w:p w:rsidR="000645BF" w:rsidRPr="00BC7FC5" w:rsidRDefault="000645BF" w:rsidP="000645BF">
      <w:pPr>
        <w:widowControl w:val="0"/>
        <w:tabs>
          <w:tab w:val="num" w:pos="220"/>
        </w:tabs>
        <w:overflowPunct w:val="0"/>
        <w:autoSpaceDE w:val="0"/>
        <w:autoSpaceDN w:val="0"/>
        <w:adjustRightInd w:val="0"/>
        <w:spacing w:after="0" w:line="240" w:lineRule="auto"/>
        <w:ind w:firstLine="720"/>
        <w:jc w:val="both"/>
        <w:textAlignment w:val="baseline"/>
        <w:rPr>
          <w:rFonts w:ascii="Arial" w:eastAsia="Times New Roman" w:hAnsi="Arial" w:cs="Arial"/>
          <w:sz w:val="24"/>
          <w:szCs w:val="24"/>
        </w:rPr>
      </w:pPr>
      <w:r w:rsidRPr="00BC7FC5">
        <w:rPr>
          <w:rFonts w:ascii="Arial" w:eastAsia="Times New Roman" w:hAnsi="Arial" w:cs="Arial"/>
          <w:sz w:val="24"/>
          <w:szCs w:val="24"/>
        </w:rPr>
        <w:t>Legea nr. 104/2011 reglementează, pentru anumiţi poluanţi prevăzuţi de lege: SO</w:t>
      </w:r>
      <w:r w:rsidRPr="00BC7FC5">
        <w:rPr>
          <w:rFonts w:ascii="Arial" w:eastAsia="Times New Roman" w:hAnsi="Arial" w:cs="Arial"/>
          <w:sz w:val="24"/>
          <w:szCs w:val="24"/>
          <w:vertAlign w:val="subscript"/>
        </w:rPr>
        <w:t>2</w:t>
      </w:r>
      <w:r w:rsidRPr="00BC7FC5">
        <w:rPr>
          <w:rFonts w:ascii="Arial" w:eastAsia="Times New Roman" w:hAnsi="Arial" w:cs="Arial"/>
          <w:sz w:val="24"/>
          <w:szCs w:val="24"/>
        </w:rPr>
        <w:t>, NO</w:t>
      </w:r>
      <w:r w:rsidRPr="00BC7FC5">
        <w:rPr>
          <w:rFonts w:ascii="Arial" w:eastAsia="Times New Roman" w:hAnsi="Arial" w:cs="Arial"/>
          <w:sz w:val="24"/>
          <w:szCs w:val="24"/>
          <w:vertAlign w:val="subscript"/>
        </w:rPr>
        <w:t>2</w:t>
      </w:r>
      <w:r w:rsidRPr="00BC7FC5">
        <w:rPr>
          <w:rFonts w:ascii="Arial" w:eastAsia="Times New Roman" w:hAnsi="Arial" w:cs="Arial"/>
          <w:sz w:val="24"/>
          <w:szCs w:val="24"/>
        </w:rPr>
        <w:t>, CO, O</w:t>
      </w:r>
      <w:r w:rsidRPr="00BC7FC5">
        <w:rPr>
          <w:rFonts w:ascii="Arial" w:eastAsia="Times New Roman" w:hAnsi="Arial" w:cs="Arial"/>
          <w:sz w:val="24"/>
          <w:szCs w:val="24"/>
          <w:vertAlign w:val="subscript"/>
        </w:rPr>
        <w:t>3</w:t>
      </w:r>
      <w:r w:rsidRPr="00BC7FC5">
        <w:rPr>
          <w:rFonts w:ascii="Arial" w:eastAsia="Times New Roman" w:hAnsi="Arial" w:cs="Arial"/>
          <w:sz w:val="24"/>
          <w:szCs w:val="24"/>
        </w:rPr>
        <w:t>, benzen, PM</w:t>
      </w:r>
      <w:r w:rsidRPr="00C23BCB">
        <w:rPr>
          <w:rFonts w:ascii="Arial" w:eastAsia="Times New Roman" w:hAnsi="Arial" w:cs="Arial"/>
          <w:sz w:val="24"/>
          <w:szCs w:val="24"/>
          <w:vertAlign w:val="subscript"/>
        </w:rPr>
        <w:t>10</w:t>
      </w:r>
      <w:r w:rsidRPr="00BC7FC5">
        <w:rPr>
          <w:rFonts w:ascii="Arial" w:eastAsia="Times New Roman" w:hAnsi="Arial" w:cs="Arial"/>
          <w:sz w:val="24"/>
          <w:szCs w:val="24"/>
        </w:rPr>
        <w:t>, PM</w:t>
      </w:r>
      <w:r w:rsidRPr="00C23BCB">
        <w:rPr>
          <w:rFonts w:ascii="Arial" w:eastAsia="Times New Roman" w:hAnsi="Arial" w:cs="Arial"/>
          <w:sz w:val="24"/>
          <w:szCs w:val="24"/>
          <w:vertAlign w:val="subscript"/>
        </w:rPr>
        <w:t>2,5</w:t>
      </w:r>
      <w:r w:rsidRPr="00BC7FC5">
        <w:rPr>
          <w:rFonts w:ascii="Arial" w:eastAsia="Times New Roman" w:hAnsi="Arial" w:cs="Arial"/>
          <w:sz w:val="24"/>
          <w:szCs w:val="24"/>
        </w:rPr>
        <w:t xml:space="preserve"> şi Pb, Cd, As şi Ni, benzo(a)piren, o serie de obiective de calitate</w:t>
      </w:r>
      <w:r w:rsidRPr="00BC7FC5">
        <w:rPr>
          <w:rFonts w:ascii="Arial" w:hAnsi="Arial" w:cs="Arial"/>
          <w:sz w:val="24"/>
          <w:szCs w:val="24"/>
        </w:rPr>
        <w:t>, şi anume:</w:t>
      </w:r>
    </w:p>
    <w:p w:rsidR="000645BF" w:rsidRPr="00BC7FC5" w:rsidRDefault="000645BF" w:rsidP="000645BF">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BC7FC5">
        <w:rPr>
          <w:rFonts w:ascii="Arial" w:hAnsi="Arial" w:cs="Arial"/>
          <w:sz w:val="24"/>
          <w:szCs w:val="24"/>
        </w:rPr>
        <w:t>valori limită (VL) pentru protecţia sănătăţii umane la poluanţii: SO</w:t>
      </w:r>
      <w:r w:rsidRPr="00BC7FC5">
        <w:rPr>
          <w:rFonts w:ascii="Arial" w:hAnsi="Arial" w:cs="Arial"/>
          <w:sz w:val="24"/>
          <w:szCs w:val="24"/>
          <w:vertAlign w:val="subscript"/>
        </w:rPr>
        <w:t>2</w:t>
      </w:r>
      <w:r w:rsidRPr="00BC7FC5">
        <w:rPr>
          <w:rFonts w:ascii="Arial" w:hAnsi="Arial" w:cs="Arial"/>
          <w:sz w:val="24"/>
          <w:szCs w:val="24"/>
        </w:rPr>
        <w:t>, NO</w:t>
      </w:r>
      <w:r w:rsidRPr="00BC7FC5">
        <w:rPr>
          <w:rFonts w:ascii="Arial" w:hAnsi="Arial" w:cs="Arial"/>
          <w:sz w:val="24"/>
          <w:szCs w:val="24"/>
          <w:vertAlign w:val="subscript"/>
        </w:rPr>
        <w:t>2</w:t>
      </w:r>
      <w:r>
        <w:rPr>
          <w:rFonts w:ascii="Arial" w:hAnsi="Arial" w:cs="Arial"/>
          <w:sz w:val="24"/>
          <w:szCs w:val="24"/>
        </w:rPr>
        <w:t>, CO</w:t>
      </w:r>
      <w:r w:rsidRPr="00BC7FC5">
        <w:rPr>
          <w:rFonts w:ascii="Arial" w:hAnsi="Arial" w:cs="Arial"/>
          <w:sz w:val="24"/>
          <w:szCs w:val="24"/>
        </w:rPr>
        <w:t>, PM</w:t>
      </w:r>
      <w:r w:rsidRPr="00C23BCB">
        <w:rPr>
          <w:rFonts w:ascii="Arial" w:hAnsi="Arial" w:cs="Arial"/>
          <w:sz w:val="24"/>
          <w:szCs w:val="24"/>
          <w:vertAlign w:val="subscript"/>
        </w:rPr>
        <w:t>2,5</w:t>
      </w:r>
      <w:r w:rsidRPr="00BC7FC5">
        <w:rPr>
          <w:rFonts w:ascii="Arial" w:hAnsi="Arial" w:cs="Arial"/>
          <w:sz w:val="24"/>
          <w:szCs w:val="24"/>
        </w:rPr>
        <w:t>PM</w:t>
      </w:r>
      <w:r w:rsidRPr="00C23BCB">
        <w:rPr>
          <w:rFonts w:ascii="Arial" w:hAnsi="Arial" w:cs="Arial"/>
          <w:sz w:val="24"/>
          <w:szCs w:val="24"/>
          <w:vertAlign w:val="subscript"/>
        </w:rPr>
        <w:t>10</w:t>
      </w:r>
      <w:r w:rsidRPr="00BC7FC5">
        <w:rPr>
          <w:rFonts w:ascii="Arial" w:hAnsi="Arial" w:cs="Arial"/>
          <w:sz w:val="24"/>
          <w:szCs w:val="24"/>
        </w:rPr>
        <w:t>şi Pb;</w:t>
      </w:r>
    </w:p>
    <w:p w:rsidR="000645BF" w:rsidRPr="00BC7FC5" w:rsidRDefault="000645BF" w:rsidP="000645BF">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BC7FC5">
        <w:rPr>
          <w:rFonts w:ascii="Arial" w:hAnsi="Arial" w:cs="Arial"/>
          <w:sz w:val="24"/>
          <w:szCs w:val="24"/>
        </w:rPr>
        <w:t>valo</w:t>
      </w:r>
      <w:r>
        <w:rPr>
          <w:rFonts w:ascii="Arial" w:hAnsi="Arial" w:cs="Arial"/>
          <w:sz w:val="24"/>
          <w:szCs w:val="24"/>
        </w:rPr>
        <w:t xml:space="preserve">ri ţintă (VT) pentru Cd, As, Ni, </w:t>
      </w:r>
      <w:r w:rsidRPr="00BC7FC5">
        <w:rPr>
          <w:rFonts w:ascii="Arial" w:eastAsia="Times New Roman" w:hAnsi="Arial" w:cs="Arial"/>
          <w:sz w:val="24"/>
          <w:szCs w:val="24"/>
        </w:rPr>
        <w:t>benzo(a)piren</w:t>
      </w:r>
      <w:r w:rsidRPr="00BC7FC5">
        <w:rPr>
          <w:rFonts w:ascii="Arial" w:hAnsi="Arial" w:cs="Arial"/>
          <w:sz w:val="24"/>
          <w:szCs w:val="24"/>
        </w:rPr>
        <w:t>şi O</w:t>
      </w:r>
      <w:r w:rsidRPr="00BC7FC5">
        <w:rPr>
          <w:rFonts w:ascii="Arial" w:hAnsi="Arial" w:cs="Arial"/>
          <w:sz w:val="24"/>
          <w:szCs w:val="24"/>
          <w:vertAlign w:val="subscript"/>
        </w:rPr>
        <w:t xml:space="preserve">3 </w:t>
      </w:r>
      <w:r w:rsidRPr="00BC7FC5">
        <w:rPr>
          <w:rFonts w:ascii="Arial" w:hAnsi="Arial" w:cs="Arial"/>
          <w:sz w:val="24"/>
          <w:szCs w:val="24"/>
        </w:rPr>
        <w:t xml:space="preserve">(pentru protecţia sănătăţii umane şi a vegetaţiei, după caz) </w:t>
      </w:r>
    </w:p>
    <w:p w:rsidR="000645BF" w:rsidRPr="00BC7FC5" w:rsidRDefault="000645BF" w:rsidP="000645BF">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BC7FC5">
        <w:rPr>
          <w:rFonts w:ascii="Arial" w:hAnsi="Arial" w:cs="Arial"/>
          <w:sz w:val="24"/>
          <w:szCs w:val="24"/>
        </w:rPr>
        <w:t>niveluri critice pentru protecţia vegetaţieila SO</w:t>
      </w:r>
      <w:r w:rsidRPr="00BC7FC5">
        <w:rPr>
          <w:rFonts w:ascii="Arial" w:hAnsi="Arial" w:cs="Arial"/>
          <w:sz w:val="24"/>
          <w:szCs w:val="24"/>
          <w:vertAlign w:val="subscript"/>
        </w:rPr>
        <w:t>2</w:t>
      </w:r>
      <w:r w:rsidRPr="00BC7FC5">
        <w:rPr>
          <w:rFonts w:ascii="Arial" w:hAnsi="Arial" w:cs="Arial"/>
          <w:sz w:val="24"/>
          <w:szCs w:val="24"/>
        </w:rPr>
        <w:t xml:space="preserve"> şi NO</w:t>
      </w:r>
      <w:r w:rsidRPr="00BC7FC5">
        <w:rPr>
          <w:rFonts w:ascii="Arial" w:hAnsi="Arial" w:cs="Arial"/>
          <w:sz w:val="24"/>
          <w:szCs w:val="24"/>
          <w:vertAlign w:val="subscript"/>
        </w:rPr>
        <w:t>x</w:t>
      </w:r>
      <w:r w:rsidRPr="00BC7FC5">
        <w:rPr>
          <w:rFonts w:ascii="Arial" w:hAnsi="Arial" w:cs="Arial"/>
          <w:sz w:val="24"/>
          <w:szCs w:val="24"/>
        </w:rPr>
        <w:t xml:space="preserve">, </w:t>
      </w:r>
    </w:p>
    <w:p w:rsidR="000645BF" w:rsidRPr="00BC7FC5" w:rsidRDefault="000645BF" w:rsidP="000645BF">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BC7FC5">
        <w:rPr>
          <w:rFonts w:ascii="Arial" w:hAnsi="Arial" w:cs="Arial"/>
          <w:sz w:val="24"/>
          <w:szCs w:val="24"/>
        </w:rPr>
        <w:t xml:space="preserve">obiective pe termen lung pentru protecţia sănătăţii şi a vegetaţiei la ozon prag de informare (PI)  a publicului </w:t>
      </w:r>
    </w:p>
    <w:p w:rsidR="000645BF" w:rsidRPr="00BC7FC5" w:rsidRDefault="000645BF" w:rsidP="000645BF">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BC7FC5">
        <w:rPr>
          <w:rFonts w:ascii="Arial" w:hAnsi="Arial" w:cs="Arial"/>
          <w:sz w:val="24"/>
          <w:szCs w:val="24"/>
        </w:rPr>
        <w:t>praguri de alertă (PA) la O</w:t>
      </w:r>
      <w:r w:rsidRPr="00BC7FC5">
        <w:rPr>
          <w:rFonts w:ascii="Arial" w:hAnsi="Arial" w:cs="Arial"/>
          <w:sz w:val="24"/>
          <w:szCs w:val="24"/>
          <w:vertAlign w:val="subscript"/>
        </w:rPr>
        <w:t>3</w:t>
      </w:r>
      <w:r w:rsidRPr="00BC7FC5">
        <w:rPr>
          <w:rFonts w:ascii="Arial" w:hAnsi="Arial" w:cs="Arial"/>
          <w:sz w:val="24"/>
          <w:szCs w:val="24"/>
        </w:rPr>
        <w:t>, SO</w:t>
      </w:r>
      <w:r w:rsidRPr="00BC7FC5">
        <w:rPr>
          <w:rFonts w:ascii="Arial" w:hAnsi="Arial" w:cs="Arial"/>
          <w:sz w:val="24"/>
          <w:szCs w:val="24"/>
          <w:vertAlign w:val="subscript"/>
        </w:rPr>
        <w:t>2</w:t>
      </w:r>
      <w:r w:rsidRPr="00BC7FC5">
        <w:rPr>
          <w:rFonts w:ascii="Arial" w:hAnsi="Arial" w:cs="Arial"/>
          <w:sz w:val="24"/>
          <w:szCs w:val="24"/>
        </w:rPr>
        <w:t xml:space="preserve"> şi NO</w:t>
      </w:r>
      <w:r w:rsidRPr="00BC7FC5">
        <w:rPr>
          <w:rFonts w:ascii="Arial" w:hAnsi="Arial" w:cs="Arial"/>
          <w:sz w:val="24"/>
          <w:szCs w:val="24"/>
          <w:vertAlign w:val="subscript"/>
        </w:rPr>
        <w:t>2</w:t>
      </w:r>
      <w:r w:rsidRPr="00BC7FC5">
        <w:rPr>
          <w:rFonts w:ascii="Arial" w:hAnsi="Arial" w:cs="Arial"/>
          <w:sz w:val="24"/>
          <w:szCs w:val="24"/>
        </w:rPr>
        <w:t xml:space="preserve">. </w:t>
      </w:r>
    </w:p>
    <w:p w:rsidR="000645BF" w:rsidRPr="00FF5EA3" w:rsidRDefault="000645BF" w:rsidP="000645BF">
      <w:pPr>
        <w:tabs>
          <w:tab w:val="left" w:pos="709"/>
        </w:tabs>
        <w:spacing w:after="0" w:line="240" w:lineRule="auto"/>
        <w:jc w:val="both"/>
        <w:rPr>
          <w:rFonts w:ascii="Arial" w:hAnsi="Arial" w:cs="Arial"/>
          <w:sz w:val="24"/>
          <w:szCs w:val="24"/>
        </w:rPr>
      </w:pPr>
      <w:r>
        <w:rPr>
          <w:rFonts w:ascii="Arial" w:hAnsi="Arial" w:cs="Arial"/>
          <w:sz w:val="24"/>
          <w:szCs w:val="24"/>
        </w:rPr>
        <w:tab/>
      </w:r>
      <w:r w:rsidRPr="00FF5EA3">
        <w:rPr>
          <w:rFonts w:ascii="Arial" w:hAnsi="Arial" w:cs="Arial"/>
          <w:sz w:val="24"/>
          <w:szCs w:val="24"/>
        </w:rPr>
        <w:t>În Tabelul I.1.1.1. sunt prezentate datele statistice rezultate din staţiile automate de monitorizare a calităţii aerului din judeţul Brăila, în anul 2017.</w:t>
      </w:r>
    </w:p>
    <w:p w:rsidR="000645BF" w:rsidRPr="003B4FF4" w:rsidRDefault="000645BF" w:rsidP="000645BF">
      <w:pPr>
        <w:pStyle w:val="Title"/>
        <w:ind w:left="720"/>
        <w:jc w:val="left"/>
        <w:rPr>
          <w:rFonts w:ascii="Arial" w:hAnsi="Arial" w:cs="Arial"/>
        </w:rPr>
      </w:pPr>
      <w:r w:rsidRPr="00FF5EA3">
        <w:rPr>
          <w:rFonts w:ascii="Arial" w:hAnsi="Arial" w:cs="Arial"/>
        </w:rPr>
        <w:tab/>
      </w:r>
      <w:r w:rsidRPr="00FF5EA3">
        <w:rPr>
          <w:rFonts w:ascii="Arial" w:hAnsi="Arial" w:cs="Arial"/>
        </w:rPr>
        <w:tab/>
      </w:r>
      <w:r w:rsidRPr="00FF5EA3">
        <w:rPr>
          <w:rFonts w:ascii="Arial" w:hAnsi="Arial" w:cs="Arial"/>
        </w:rPr>
        <w:tab/>
      </w:r>
      <w:r w:rsidRPr="00FF5EA3">
        <w:rPr>
          <w:rFonts w:ascii="Arial" w:hAnsi="Arial" w:cs="Arial"/>
        </w:rPr>
        <w:tab/>
      </w:r>
      <w:r w:rsidRPr="00FF5EA3">
        <w:rPr>
          <w:rFonts w:ascii="Arial" w:hAnsi="Arial" w:cs="Arial"/>
        </w:rPr>
        <w:tab/>
      </w:r>
      <w:r w:rsidRPr="00FF5EA3">
        <w:rPr>
          <w:rFonts w:ascii="Arial" w:hAnsi="Arial" w:cs="Arial"/>
        </w:rPr>
        <w:tab/>
      </w:r>
      <w:r w:rsidRPr="00FF5EA3">
        <w:rPr>
          <w:rFonts w:ascii="Arial" w:hAnsi="Arial" w:cs="Arial"/>
        </w:rPr>
        <w:tab/>
      </w:r>
      <w:r w:rsidRPr="003B4FF4">
        <w:rPr>
          <w:rFonts w:ascii="Arial" w:hAnsi="Arial" w:cs="Arial"/>
        </w:rPr>
        <w:t>Tabelul I.1.1.1.</w:t>
      </w:r>
    </w:p>
    <w:tbl>
      <w:tblPr>
        <w:tblW w:w="3726" w:type="pct"/>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393"/>
        <w:gridCol w:w="1286"/>
        <w:gridCol w:w="2156"/>
        <w:gridCol w:w="1873"/>
        <w:gridCol w:w="1058"/>
      </w:tblGrid>
      <w:tr w:rsidR="000645BF" w:rsidRPr="00FF5EA3" w:rsidTr="004E444C">
        <w:trPr>
          <w:trHeight w:val="255"/>
          <w:jc w:val="center"/>
        </w:trPr>
        <w:tc>
          <w:tcPr>
            <w:tcW w:w="897" w:type="pct"/>
            <w:tcBorders>
              <w:top w:val="single" w:sz="12"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rPr>
              <w:t>POLUANT</w:t>
            </w:r>
          </w:p>
        </w:tc>
        <w:tc>
          <w:tcPr>
            <w:tcW w:w="828" w:type="pct"/>
            <w:tcBorders>
              <w:top w:val="single" w:sz="12"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rPr>
              <w:t>Tip staţie</w:t>
            </w:r>
          </w:p>
        </w:tc>
        <w:tc>
          <w:tcPr>
            <w:tcW w:w="1388" w:type="pct"/>
            <w:tcBorders>
              <w:top w:val="single" w:sz="12" w:space="0" w:color="000000"/>
              <w:left w:val="single" w:sz="6" w:space="0" w:color="000000"/>
              <w:bottom w:val="single" w:sz="6" w:space="0" w:color="000000"/>
              <w:right w:val="single" w:sz="12" w:space="0" w:color="000000"/>
            </w:tcBorders>
            <w:noWrap/>
            <w:vAlign w:val="center"/>
          </w:tcPr>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rPr>
              <w:t>Concentraţia</w:t>
            </w:r>
          </w:p>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rPr>
              <w:t>medie anuală</w:t>
            </w:r>
          </w:p>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rPr>
              <w:t>2017</w:t>
            </w:r>
          </w:p>
        </w:tc>
        <w:tc>
          <w:tcPr>
            <w:tcW w:w="1206" w:type="pct"/>
            <w:tcBorders>
              <w:top w:val="single" w:sz="12" w:space="0" w:color="000000"/>
              <w:left w:val="single" w:sz="6" w:space="0" w:color="000000"/>
              <w:bottom w:val="single" w:sz="6" w:space="0" w:color="000000"/>
              <w:right w:val="single" w:sz="12" w:space="0" w:color="000000"/>
            </w:tcBorders>
            <w:vAlign w:val="center"/>
          </w:tcPr>
          <w:p w:rsidR="000645BF" w:rsidRPr="00FF5EA3" w:rsidRDefault="000645BF" w:rsidP="004E444C">
            <w:pPr>
              <w:tabs>
                <w:tab w:val="center" w:pos="4680"/>
                <w:tab w:val="right" w:pos="9000"/>
              </w:tabs>
              <w:spacing w:after="0" w:line="240" w:lineRule="auto"/>
              <w:jc w:val="center"/>
              <w:rPr>
                <w:rFonts w:ascii="Arial" w:hAnsi="Arial" w:cs="Arial"/>
                <w:b/>
                <w:sz w:val="20"/>
                <w:szCs w:val="20"/>
              </w:rPr>
            </w:pPr>
          </w:p>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sz w:val="20"/>
                <w:szCs w:val="20"/>
              </w:rPr>
              <w:t>UM</w:t>
            </w:r>
          </w:p>
        </w:tc>
        <w:tc>
          <w:tcPr>
            <w:tcW w:w="681" w:type="pct"/>
            <w:tcBorders>
              <w:top w:val="single" w:sz="12" w:space="0" w:color="000000"/>
              <w:left w:val="single" w:sz="6" w:space="0" w:color="000000"/>
              <w:bottom w:val="single" w:sz="6" w:space="0" w:color="000000"/>
              <w:right w:val="single" w:sz="12" w:space="0" w:color="000000"/>
            </w:tcBorders>
            <w:shd w:val="clear" w:color="auto" w:fill="auto"/>
            <w:vAlign w:val="center"/>
          </w:tcPr>
          <w:p w:rsidR="000645BF" w:rsidRPr="00FF5EA3" w:rsidRDefault="000645BF" w:rsidP="004E444C">
            <w:pPr>
              <w:spacing w:after="0" w:line="240" w:lineRule="auto"/>
              <w:jc w:val="center"/>
              <w:rPr>
                <w:rFonts w:ascii="Arial" w:hAnsi="Arial" w:cs="Arial"/>
                <w:b/>
                <w:sz w:val="20"/>
                <w:szCs w:val="20"/>
              </w:rPr>
            </w:pPr>
            <w:r w:rsidRPr="00FF5EA3">
              <w:rPr>
                <w:rFonts w:ascii="Arial" w:hAnsi="Arial" w:cs="Arial"/>
                <w:b/>
                <w:sz w:val="20"/>
                <w:szCs w:val="20"/>
              </w:rPr>
              <w:t>Captura</w:t>
            </w:r>
          </w:p>
          <w:p w:rsidR="000645BF" w:rsidRPr="00FF5EA3" w:rsidRDefault="000645BF" w:rsidP="004E444C">
            <w:pPr>
              <w:spacing w:after="0" w:line="240" w:lineRule="auto"/>
              <w:jc w:val="center"/>
              <w:rPr>
                <w:rFonts w:ascii="Arial" w:hAnsi="Arial" w:cs="Arial"/>
                <w:b/>
                <w:sz w:val="20"/>
                <w:szCs w:val="20"/>
              </w:rPr>
            </w:pPr>
            <w:r w:rsidRPr="00FF5EA3">
              <w:rPr>
                <w:rFonts w:ascii="Arial" w:hAnsi="Arial" w:cs="Arial"/>
                <w:b/>
                <w:sz w:val="20"/>
                <w:szCs w:val="20"/>
              </w:rPr>
              <w:t>de date</w:t>
            </w:r>
          </w:p>
          <w:p w:rsidR="000645BF" w:rsidRPr="00FF5EA3" w:rsidRDefault="000645BF" w:rsidP="004E444C">
            <w:pPr>
              <w:tabs>
                <w:tab w:val="center" w:pos="4680"/>
                <w:tab w:val="right" w:pos="9000"/>
              </w:tabs>
              <w:spacing w:after="0" w:line="240" w:lineRule="auto"/>
              <w:jc w:val="center"/>
              <w:rPr>
                <w:rFonts w:ascii="Arial" w:hAnsi="Arial" w:cs="Arial"/>
                <w:b/>
              </w:rPr>
            </w:pPr>
            <w:r w:rsidRPr="00FF5EA3">
              <w:rPr>
                <w:rFonts w:ascii="Arial" w:hAnsi="Arial" w:cs="Arial"/>
                <w:b/>
                <w:sz w:val="20"/>
                <w:szCs w:val="20"/>
              </w:rPr>
              <w:t>(%)</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vertAlign w:val="subscript"/>
              </w:rPr>
            </w:pPr>
            <w:r w:rsidRPr="00FF5EA3">
              <w:rPr>
                <w:rFonts w:ascii="Arial" w:hAnsi="Arial" w:cs="Arial"/>
              </w:rPr>
              <w:t>SO</w:t>
            </w:r>
            <w:r w:rsidRPr="00FF5EA3">
              <w:rPr>
                <w:rFonts w:ascii="Arial" w:hAnsi="Arial" w:cs="Arial"/>
                <w:vertAlign w:val="subscript"/>
              </w:rPr>
              <w:t>2</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4,41</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90,95</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4,97</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90,92</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5,08</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94,27</w:t>
            </w:r>
          </w:p>
        </w:tc>
      </w:tr>
      <w:tr w:rsidR="000645BF" w:rsidRPr="00FF5EA3" w:rsidTr="004E444C">
        <w:trPr>
          <w:trHeight w:val="255"/>
          <w:jc w:val="center"/>
        </w:trPr>
        <w:tc>
          <w:tcPr>
            <w:tcW w:w="897" w:type="pct"/>
            <w:vMerge w:val="restart"/>
            <w:tcBorders>
              <w:top w:val="single" w:sz="6" w:space="0" w:color="000000"/>
              <w:left w:val="single" w:sz="12" w:space="0" w:color="000000"/>
              <w:right w:val="single" w:sz="6" w:space="0" w:color="000000"/>
            </w:tcBorders>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PM</w:t>
            </w:r>
            <w:r w:rsidRPr="00FF5EA3">
              <w:rPr>
                <w:rFonts w:ascii="Arial" w:hAnsi="Arial" w:cs="Arial"/>
                <w:vertAlign w:val="subscript"/>
              </w:rPr>
              <w:t>10</w:t>
            </w:r>
            <w:r w:rsidRPr="00FF5EA3">
              <w:rPr>
                <w:rFonts w:ascii="Arial" w:hAnsi="Arial" w:cs="Arial"/>
              </w:rPr>
              <w:t xml:space="preserve"> nef</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19,11</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88,89</w:t>
            </w:r>
          </w:p>
        </w:tc>
      </w:tr>
      <w:tr w:rsidR="000645BF" w:rsidRPr="00FF5EA3" w:rsidTr="004E444C">
        <w:trPr>
          <w:trHeight w:val="255"/>
          <w:jc w:val="center"/>
        </w:trPr>
        <w:tc>
          <w:tcPr>
            <w:tcW w:w="897" w:type="pct"/>
            <w:vMerge/>
            <w:tcBorders>
              <w:left w:val="single" w:sz="12"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20,70</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89,42</w:t>
            </w:r>
          </w:p>
        </w:tc>
      </w:tr>
      <w:tr w:rsidR="000645BF" w:rsidRPr="00FF5EA3" w:rsidTr="004E444C">
        <w:trPr>
          <w:trHeight w:val="255"/>
          <w:jc w:val="center"/>
        </w:trPr>
        <w:tc>
          <w:tcPr>
            <w:tcW w:w="897" w:type="pct"/>
            <w:vMerge/>
            <w:tcBorders>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21,79</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98,71</w:t>
            </w:r>
          </w:p>
        </w:tc>
      </w:tr>
      <w:tr w:rsidR="000645BF" w:rsidRPr="00FF5EA3" w:rsidTr="004E444C">
        <w:trPr>
          <w:trHeight w:val="255"/>
          <w:jc w:val="center"/>
        </w:trPr>
        <w:tc>
          <w:tcPr>
            <w:tcW w:w="897" w:type="pct"/>
            <w:vMerge w:val="restart"/>
            <w:tcBorders>
              <w:left w:val="single" w:sz="12" w:space="0" w:color="000000"/>
              <w:right w:val="single" w:sz="6" w:space="0" w:color="000000"/>
            </w:tcBorders>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PM</w:t>
            </w:r>
            <w:r w:rsidRPr="00FF5EA3">
              <w:rPr>
                <w:rFonts w:ascii="Arial" w:hAnsi="Arial" w:cs="Arial"/>
                <w:vertAlign w:val="subscript"/>
              </w:rPr>
              <w:t>10</w:t>
            </w:r>
            <w:r w:rsidRPr="00FF5EA3">
              <w:rPr>
                <w:rFonts w:ascii="Arial" w:hAnsi="Arial" w:cs="Arial"/>
              </w:rPr>
              <w:t xml:space="preserve"> grv.</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17,12</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72,89</w:t>
            </w:r>
          </w:p>
        </w:tc>
      </w:tr>
      <w:tr w:rsidR="000645BF" w:rsidRPr="00FF5EA3" w:rsidTr="004E444C">
        <w:trPr>
          <w:trHeight w:val="255"/>
          <w:jc w:val="center"/>
        </w:trPr>
        <w:tc>
          <w:tcPr>
            <w:tcW w:w="897" w:type="pct"/>
            <w:vMerge/>
            <w:tcBorders>
              <w:left w:val="single" w:sz="12"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19,18</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60,82</w:t>
            </w:r>
          </w:p>
        </w:tc>
      </w:tr>
      <w:tr w:rsidR="000645BF" w:rsidRPr="00FF5EA3" w:rsidTr="004E444C">
        <w:trPr>
          <w:trHeight w:val="255"/>
          <w:jc w:val="center"/>
        </w:trPr>
        <w:tc>
          <w:tcPr>
            <w:tcW w:w="897" w:type="pct"/>
            <w:vMerge/>
            <w:tcBorders>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22,98</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80,82</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vertAlign w:val="subscript"/>
              </w:rPr>
            </w:pPr>
            <w:r w:rsidRPr="00FF5EA3">
              <w:rPr>
                <w:rFonts w:ascii="Arial" w:hAnsi="Arial" w:cs="Arial"/>
              </w:rPr>
              <w:t>O</w:t>
            </w:r>
            <w:r w:rsidRPr="00FF5EA3">
              <w:rPr>
                <w:rFonts w:ascii="Arial" w:hAnsi="Arial" w:cs="Arial"/>
                <w:vertAlign w:val="subscript"/>
              </w:rPr>
              <w:t>3</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43,37</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91,35</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58,21</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92,79</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vertAlign w:val="subscript"/>
              </w:rPr>
            </w:pPr>
            <w:r w:rsidRPr="00FF5EA3">
              <w:rPr>
                <w:rFonts w:ascii="Arial" w:hAnsi="Arial" w:cs="Arial"/>
              </w:rPr>
              <w:t>NO</w:t>
            </w:r>
            <w:r w:rsidRPr="00FF5EA3">
              <w:rPr>
                <w:rFonts w:ascii="Arial" w:hAnsi="Arial" w:cs="Arial"/>
                <w:vertAlign w:val="subscript"/>
              </w:rPr>
              <w:t>2</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17,17</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92,32</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10,90</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90,86</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26,25</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86,52</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vertAlign w:val="subscript"/>
              </w:rPr>
            </w:pPr>
            <w:r w:rsidRPr="00FF5EA3">
              <w:rPr>
                <w:rFonts w:ascii="Arial" w:hAnsi="Arial" w:cs="Arial"/>
              </w:rPr>
              <w:t>NO</w:t>
            </w:r>
            <w:r w:rsidRPr="00FF5EA3">
              <w:rPr>
                <w:rFonts w:ascii="Arial" w:hAnsi="Arial" w:cs="Arial"/>
                <w:vertAlign w:val="subscript"/>
              </w:rPr>
              <w:t>x</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25,92</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92,32</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16,71</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90,86</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41,51</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86,52</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CO</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0,09</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(mg/mc)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93,99</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tabs>
                <w:tab w:val="center" w:pos="4680"/>
                <w:tab w:val="right" w:pos="9000"/>
              </w:tabs>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0,085</w:t>
            </w:r>
          </w:p>
        </w:tc>
        <w:tc>
          <w:tcPr>
            <w:tcW w:w="1206" w:type="pct"/>
            <w:vMerge/>
            <w:tcBorders>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93,71</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0,16</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92,13</w:t>
            </w:r>
          </w:p>
        </w:tc>
      </w:tr>
      <w:tr w:rsidR="000645BF" w:rsidRPr="00FF5EA3" w:rsidTr="004E444C">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Benzen</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1,4</w:t>
            </w:r>
          </w:p>
        </w:tc>
        <w:tc>
          <w:tcPr>
            <w:tcW w:w="1206" w:type="pct"/>
            <w:vMerge w:val="restart"/>
            <w:tcBorders>
              <w:top w:val="single" w:sz="6" w:space="0" w:color="000000"/>
              <w:left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94,86</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1,91</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85,77</w:t>
            </w:r>
          </w:p>
        </w:tc>
      </w:tr>
      <w:tr w:rsidR="000645BF" w:rsidRPr="00FF5EA3" w:rsidTr="004E444C">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0645BF" w:rsidRPr="00FF5EA3" w:rsidRDefault="000645BF" w:rsidP="004E444C">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2,39</w:t>
            </w:r>
          </w:p>
        </w:tc>
        <w:tc>
          <w:tcPr>
            <w:tcW w:w="1206" w:type="pct"/>
            <w:vMerge/>
            <w:tcBorders>
              <w:left w:val="single" w:sz="6" w:space="0" w:color="000000"/>
              <w:bottom w:val="single" w:sz="6" w:space="0" w:color="000000"/>
              <w:right w:val="single" w:sz="12" w:space="0" w:color="000000"/>
            </w:tcBorders>
            <w:vAlign w:val="center"/>
          </w:tcPr>
          <w:p w:rsidR="000645BF" w:rsidRPr="00FF5EA3" w:rsidRDefault="000645BF" w:rsidP="004E444C">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92,75</w:t>
            </w:r>
          </w:p>
        </w:tc>
      </w:tr>
      <w:tr w:rsidR="000645BF" w:rsidRPr="00FF5EA3" w:rsidTr="004E444C">
        <w:trPr>
          <w:trHeight w:val="255"/>
          <w:jc w:val="center"/>
        </w:trPr>
        <w:tc>
          <w:tcPr>
            <w:tcW w:w="897" w:type="pct"/>
            <w:tcBorders>
              <w:top w:val="single" w:sz="6" w:space="0" w:color="000000"/>
              <w:left w:val="single" w:sz="12" w:space="0" w:color="000000"/>
              <w:bottom w:val="single" w:sz="12" w:space="0" w:color="000000"/>
              <w:right w:val="single" w:sz="6" w:space="0" w:color="000000"/>
            </w:tcBorders>
            <w:noWrap/>
            <w:vAlign w:val="center"/>
          </w:tcPr>
          <w:p w:rsidR="000645BF" w:rsidRPr="00FF5EA3" w:rsidRDefault="000645BF" w:rsidP="004E444C">
            <w:pPr>
              <w:spacing w:after="0"/>
              <w:jc w:val="center"/>
              <w:rPr>
                <w:rFonts w:ascii="Arial" w:hAnsi="Arial" w:cs="Arial"/>
                <w:vertAlign w:val="subscript"/>
              </w:rPr>
            </w:pPr>
            <w:r w:rsidRPr="00FF5EA3">
              <w:rPr>
                <w:rFonts w:ascii="Arial" w:hAnsi="Arial" w:cs="Arial"/>
              </w:rPr>
              <w:t>PM</w:t>
            </w:r>
            <w:r w:rsidRPr="00FF5EA3">
              <w:rPr>
                <w:rFonts w:ascii="Arial" w:hAnsi="Arial" w:cs="Arial"/>
                <w:vertAlign w:val="subscript"/>
              </w:rPr>
              <w:t>2.5</w:t>
            </w:r>
          </w:p>
        </w:tc>
        <w:tc>
          <w:tcPr>
            <w:tcW w:w="828" w:type="pct"/>
            <w:tcBorders>
              <w:top w:val="single" w:sz="6" w:space="0" w:color="000000"/>
              <w:left w:val="single" w:sz="6" w:space="0" w:color="000000"/>
              <w:bottom w:val="single" w:sz="12" w:space="0" w:color="000000"/>
              <w:right w:val="single" w:sz="6" w:space="0" w:color="000000"/>
            </w:tcBorders>
            <w:noWrap/>
            <w:vAlign w:val="center"/>
          </w:tcPr>
          <w:p w:rsidR="000645BF" w:rsidRPr="00FF5EA3" w:rsidRDefault="000645BF" w:rsidP="004E444C">
            <w:pPr>
              <w:spacing w:after="0"/>
              <w:jc w:val="center"/>
              <w:rPr>
                <w:rFonts w:ascii="Arial" w:hAnsi="Arial" w:cs="Arial"/>
              </w:rPr>
            </w:pPr>
            <w:r w:rsidRPr="00FF5EA3">
              <w:rPr>
                <w:rFonts w:ascii="Arial" w:hAnsi="Arial" w:cs="Arial"/>
              </w:rPr>
              <w:t>Fd urban</w:t>
            </w:r>
          </w:p>
        </w:tc>
        <w:tc>
          <w:tcPr>
            <w:tcW w:w="1388" w:type="pct"/>
            <w:tcBorders>
              <w:top w:val="single" w:sz="6" w:space="0" w:color="000000"/>
              <w:left w:val="single" w:sz="6" w:space="0" w:color="000000"/>
              <w:bottom w:val="single" w:sz="12"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13,56</w:t>
            </w:r>
          </w:p>
        </w:tc>
        <w:tc>
          <w:tcPr>
            <w:tcW w:w="1206" w:type="pct"/>
            <w:tcBorders>
              <w:top w:val="single" w:sz="6" w:space="0" w:color="000000"/>
              <w:left w:val="single" w:sz="6" w:space="0" w:color="000000"/>
              <w:bottom w:val="single" w:sz="12" w:space="0" w:color="000000"/>
              <w:right w:val="single" w:sz="12" w:space="0" w:color="000000"/>
            </w:tcBorders>
            <w:vAlign w:val="center"/>
          </w:tcPr>
          <w:p w:rsidR="000645BF" w:rsidRPr="00FF5EA3" w:rsidRDefault="000645BF" w:rsidP="004E444C">
            <w:pPr>
              <w:spacing w:after="0"/>
              <w:jc w:val="center"/>
              <w:rPr>
                <w:rFonts w:ascii="Arial" w:hAnsi="Arial" w:cs="Arial"/>
              </w:rPr>
            </w:pPr>
            <w:r w:rsidRPr="00FF5EA3">
              <w:rPr>
                <w:rFonts w:ascii="Arial" w:hAnsi="Arial" w:cs="Arial"/>
              </w:rPr>
              <w:t>(µg/mc)</w:t>
            </w:r>
          </w:p>
        </w:tc>
        <w:tc>
          <w:tcPr>
            <w:tcW w:w="681" w:type="pct"/>
            <w:tcBorders>
              <w:top w:val="single" w:sz="6" w:space="0" w:color="000000"/>
              <w:left w:val="single" w:sz="6" w:space="0" w:color="000000"/>
              <w:bottom w:val="single" w:sz="12" w:space="0" w:color="000000"/>
              <w:right w:val="single" w:sz="12" w:space="0" w:color="000000"/>
            </w:tcBorders>
            <w:shd w:val="clear" w:color="auto" w:fill="auto"/>
          </w:tcPr>
          <w:p w:rsidR="000645BF" w:rsidRPr="00FF5EA3" w:rsidRDefault="000645BF" w:rsidP="004E444C">
            <w:pPr>
              <w:spacing w:after="0"/>
              <w:jc w:val="center"/>
              <w:rPr>
                <w:rFonts w:ascii="Arial" w:hAnsi="Arial" w:cs="Arial"/>
              </w:rPr>
            </w:pPr>
            <w:r w:rsidRPr="00FF5EA3">
              <w:rPr>
                <w:rFonts w:ascii="Arial" w:hAnsi="Arial" w:cs="Arial"/>
              </w:rPr>
              <w:t>66,85</w:t>
            </w:r>
          </w:p>
        </w:tc>
      </w:tr>
    </w:tbl>
    <w:p w:rsidR="000645BF" w:rsidRDefault="000645BF" w:rsidP="000645BF">
      <w:pPr>
        <w:tabs>
          <w:tab w:val="left" w:pos="709"/>
        </w:tabs>
        <w:spacing w:line="240" w:lineRule="auto"/>
        <w:jc w:val="both"/>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p>
    <w:p w:rsidR="000645BF" w:rsidRDefault="000645BF" w:rsidP="000645BF">
      <w:pPr>
        <w:tabs>
          <w:tab w:val="left" w:pos="709"/>
        </w:tabs>
        <w:spacing w:line="240" w:lineRule="auto"/>
        <w:jc w:val="both"/>
        <w:rPr>
          <w:rFonts w:ascii="Arial" w:hAnsi="Arial" w:cs="Arial"/>
          <w:sz w:val="24"/>
          <w:szCs w:val="24"/>
        </w:rPr>
      </w:pPr>
      <w:r>
        <w:rPr>
          <w:rFonts w:ascii="Arial" w:hAnsi="Arial" w:cs="Arial"/>
          <w:sz w:val="24"/>
          <w:szCs w:val="24"/>
        </w:rPr>
        <w:lastRenderedPageBreak/>
        <w:tab/>
      </w:r>
      <w:r w:rsidRPr="00717595">
        <w:rPr>
          <w:rFonts w:ascii="Arial" w:hAnsi="Arial" w:cs="Arial"/>
          <w:sz w:val="24"/>
          <w:szCs w:val="24"/>
        </w:rPr>
        <w:t xml:space="preserve">Din cauza defecţiunilor apărute în cursul anului </w:t>
      </w:r>
      <w:r w:rsidRPr="00FF5EA3">
        <w:rPr>
          <w:rFonts w:ascii="Arial" w:hAnsi="Arial" w:cs="Arial"/>
          <w:sz w:val="24"/>
          <w:szCs w:val="24"/>
        </w:rPr>
        <w:t>2017 l</w:t>
      </w:r>
      <w:r w:rsidRPr="00717595">
        <w:rPr>
          <w:rFonts w:ascii="Arial" w:hAnsi="Arial" w:cs="Arial"/>
          <w:sz w:val="24"/>
          <w:szCs w:val="24"/>
        </w:rPr>
        <w:t>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0645BF" w:rsidRPr="001A2A9C" w:rsidRDefault="000645BF" w:rsidP="000645BF">
      <w:pPr>
        <w:widowControl w:val="0"/>
        <w:spacing w:after="0" w:line="240" w:lineRule="auto"/>
        <w:jc w:val="both"/>
        <w:rPr>
          <w:rFonts w:ascii="Arial" w:eastAsia="Times New Roman" w:hAnsi="Arial" w:cs="Arial"/>
          <w:i/>
          <w:sz w:val="24"/>
          <w:szCs w:val="24"/>
        </w:rPr>
      </w:pPr>
      <w:r w:rsidRPr="001A2A9C">
        <w:rPr>
          <w:rFonts w:ascii="Arial" w:eastAsia="Times New Roman" w:hAnsi="Arial" w:cs="Arial"/>
          <w:i/>
          <w:sz w:val="24"/>
          <w:szCs w:val="24"/>
          <w:u w:val="single"/>
        </w:rPr>
        <w:t>NOTĂ:</w:t>
      </w:r>
      <w:r w:rsidRPr="001A2A9C">
        <w:rPr>
          <w:rFonts w:ascii="Arial" w:eastAsia="Times New Roman" w:hAnsi="Arial" w:cs="Arial"/>
          <w:i/>
          <w:sz w:val="24"/>
          <w:szCs w:val="24"/>
        </w:rPr>
        <w:t xml:space="preserve"> Datele rezultate din monitorizarea calităţii aerului în cele </w:t>
      </w:r>
      <w:r>
        <w:rPr>
          <w:rFonts w:ascii="Arial" w:eastAsia="Times New Roman" w:hAnsi="Arial" w:cs="Arial"/>
          <w:i/>
          <w:sz w:val="24"/>
          <w:szCs w:val="24"/>
        </w:rPr>
        <w:t>5</w:t>
      </w:r>
      <w:r w:rsidRPr="001A2A9C">
        <w:rPr>
          <w:rFonts w:ascii="Arial" w:eastAsia="Times New Roman" w:hAnsi="Arial" w:cs="Arial"/>
          <w:i/>
          <w:sz w:val="24"/>
          <w:szCs w:val="24"/>
        </w:rPr>
        <w:t xml:space="preserve"> staţii de monitorizare automată prezentate în cadrul acestui capitol au fost validate local dar nu au fost încă certificate la nivel naţional, având încă un caracter provizoriu. După certificarea datelor de către CECA - ANPM, se vor realiza eventualele modificări necesare.</w:t>
      </w:r>
    </w:p>
    <w:p w:rsidR="000645BF" w:rsidRDefault="000645BF" w:rsidP="000645BF">
      <w:pPr>
        <w:tabs>
          <w:tab w:val="left" w:pos="709"/>
        </w:tabs>
        <w:spacing w:after="0" w:line="240" w:lineRule="auto"/>
        <w:ind w:left="720" w:right="31"/>
        <w:rPr>
          <w:rFonts w:ascii="Arial" w:hAnsi="Arial" w:cs="Arial"/>
          <w:b/>
          <w:sz w:val="24"/>
          <w:szCs w:val="24"/>
        </w:rPr>
      </w:pPr>
    </w:p>
    <w:p w:rsidR="000645BF" w:rsidRDefault="000645BF" w:rsidP="000645BF">
      <w:pPr>
        <w:tabs>
          <w:tab w:val="left" w:pos="709"/>
        </w:tabs>
        <w:spacing w:after="0" w:line="240" w:lineRule="auto"/>
        <w:ind w:left="720" w:right="31"/>
        <w:rPr>
          <w:rFonts w:ascii="Arial" w:hAnsi="Arial" w:cs="Arial"/>
          <w:b/>
          <w:sz w:val="24"/>
          <w:szCs w:val="24"/>
        </w:rPr>
      </w:pPr>
      <w:r w:rsidRPr="00717595">
        <w:rPr>
          <w:rFonts w:ascii="Arial" w:hAnsi="Arial" w:cs="Arial"/>
          <w:b/>
          <w:sz w:val="24"/>
          <w:szCs w:val="24"/>
        </w:rPr>
        <w:t>I.1.1.1.1.Dioxidul de azot</w:t>
      </w:r>
    </w:p>
    <w:p w:rsidR="000645BF" w:rsidRPr="00334AE7" w:rsidRDefault="000645BF" w:rsidP="000645BF">
      <w:pPr>
        <w:pStyle w:val="BodyText"/>
        <w:spacing w:after="0" w:line="240" w:lineRule="auto"/>
        <w:ind w:firstLine="720"/>
        <w:jc w:val="both"/>
        <w:rPr>
          <w:rFonts w:ascii="Arial" w:hAnsi="Arial" w:cs="Arial"/>
          <w:b/>
          <w:sz w:val="24"/>
          <w:szCs w:val="24"/>
          <w:lang w:val="ro-RO"/>
        </w:rPr>
      </w:pPr>
      <w:r w:rsidRPr="00334AE7">
        <w:rPr>
          <w:rFonts w:ascii="Arial" w:hAnsi="Arial" w:cs="Arial"/>
          <w:sz w:val="24"/>
          <w:szCs w:val="24"/>
          <w:lang w:val="ro-RO"/>
        </w:rPr>
        <w:t xml:space="preserve">Oxizii de azot provin în principal din arderea combustibililor solizi, lichizi şi gazoşi în diferite instalaţii industriale, rezidenţiale, comerciale, instituţionale şi din transportul rutier. </w:t>
      </w:r>
      <w:r w:rsidRPr="00334AE7">
        <w:rPr>
          <w:rFonts w:ascii="Arial" w:hAnsi="Arial" w:cs="Arial"/>
          <w:sz w:val="24"/>
          <w:szCs w:val="24"/>
          <w:lang w:val="ro-RO"/>
        </w:rPr>
        <w:tab/>
        <w:t>Oxizii de azot au efect eutrofizant şi/sau de acidifiere asupra multor componente ale mediului, cum sunt: solul, apele, ecosistemele terestre sau acvatice, dar şi construcţiile şi monumentele.</w:t>
      </w:r>
    </w:p>
    <w:p w:rsidR="000645BF" w:rsidRPr="00334AE7" w:rsidRDefault="000645BF" w:rsidP="000645BF">
      <w:pPr>
        <w:autoSpaceDE w:val="0"/>
        <w:autoSpaceDN w:val="0"/>
        <w:adjustRightInd w:val="0"/>
        <w:spacing w:after="0" w:line="240" w:lineRule="auto"/>
        <w:ind w:firstLine="720"/>
        <w:jc w:val="both"/>
        <w:rPr>
          <w:rFonts w:ascii="Arial" w:hAnsi="Arial" w:cs="Arial"/>
          <w:sz w:val="24"/>
          <w:szCs w:val="24"/>
        </w:rPr>
      </w:pPr>
      <w:r w:rsidRPr="00334AE7">
        <w:rPr>
          <w:rFonts w:ascii="Arial" w:hAnsi="Arial" w:cs="Arial"/>
          <w:sz w:val="24"/>
          <w:szCs w:val="24"/>
        </w:rPr>
        <w:t xml:space="preserve">Dioxidul de azot este un gaz ce se transportă pe distanţe lungi şi are un rol important în chimia atmosferei, inclusiv în formarea ozonului troposferic. Expunerea la dioxid de azot în concentraţii mari determină inflamaţii ale căilor respiratorii şi reduce funcţiile pulmonare, crescând riscul de afecţiuni respiratorii şi agravând astmul bronşic. </w:t>
      </w:r>
    </w:p>
    <w:p w:rsidR="000645BF" w:rsidRPr="00334AE7" w:rsidRDefault="000645BF" w:rsidP="000645BF">
      <w:pPr>
        <w:spacing w:after="0" w:line="240" w:lineRule="auto"/>
        <w:ind w:firstLine="720"/>
        <w:jc w:val="both"/>
        <w:rPr>
          <w:rFonts w:ascii="Arial" w:hAnsi="Arial" w:cs="Arial"/>
          <w:i/>
          <w:sz w:val="24"/>
          <w:szCs w:val="24"/>
        </w:rPr>
      </w:pPr>
      <w:r w:rsidRPr="00334AE7">
        <w:rPr>
          <w:rFonts w:ascii="Arial" w:hAnsi="Arial" w:cs="Arial"/>
          <w:i/>
          <w:sz w:val="24"/>
          <w:szCs w:val="24"/>
        </w:rPr>
        <w:t>Concentraţiile de NO</w:t>
      </w:r>
      <w:r w:rsidRPr="00334AE7">
        <w:rPr>
          <w:rFonts w:ascii="Arial" w:hAnsi="Arial" w:cs="Arial"/>
          <w:i/>
          <w:sz w:val="24"/>
          <w:szCs w:val="24"/>
          <w:vertAlign w:val="subscript"/>
        </w:rPr>
        <w:t>2</w:t>
      </w:r>
      <w:r w:rsidRPr="00334AE7">
        <w:rPr>
          <w:rFonts w:ascii="Arial" w:hAnsi="Arial" w:cs="Arial"/>
          <w:i/>
          <w:sz w:val="24"/>
          <w:szCs w:val="24"/>
        </w:rPr>
        <w:t xml:space="preserve"> din aerul înconjurător se evaluează folosind valoarea limită orară pentru protecţia sănătăţii umane (200 µg/mc), care permite a se depăşi de 18 ori/an şi valoarea limită anuală pentru protecţia sănătăţii umane (40 µg/mc), în conformitate cu Legea nr. 104/2011.</w:t>
      </w:r>
    </w:p>
    <w:p w:rsidR="000645BF" w:rsidRPr="00334AE7" w:rsidRDefault="000645BF" w:rsidP="000645BF">
      <w:pPr>
        <w:spacing w:after="0" w:line="240" w:lineRule="auto"/>
        <w:ind w:firstLine="720"/>
        <w:jc w:val="both"/>
        <w:rPr>
          <w:rFonts w:ascii="Arial" w:hAnsi="Arial" w:cs="Arial"/>
          <w:sz w:val="24"/>
          <w:szCs w:val="24"/>
        </w:rPr>
      </w:pPr>
      <w:r w:rsidRPr="00334AE7">
        <w:rPr>
          <w:rFonts w:ascii="Arial" w:hAnsi="Arial" w:cs="Arial"/>
          <w:sz w:val="24"/>
          <w:szCs w:val="24"/>
        </w:rPr>
        <w:t>Valoarea limită orară pentru protecţia sănătăţii umane (200 μg/mc), nu a fost depăşită la nicio staţie.</w:t>
      </w:r>
    </w:p>
    <w:p w:rsidR="000645BF" w:rsidRPr="00334AE7" w:rsidRDefault="000645BF" w:rsidP="000645BF">
      <w:pPr>
        <w:spacing w:after="0" w:line="240" w:lineRule="auto"/>
        <w:ind w:firstLine="720"/>
        <w:jc w:val="both"/>
        <w:rPr>
          <w:rFonts w:ascii="Arial" w:hAnsi="Arial" w:cs="Arial"/>
          <w:sz w:val="24"/>
          <w:szCs w:val="24"/>
        </w:rPr>
      </w:pPr>
      <w:r w:rsidRPr="00334AE7">
        <w:rPr>
          <w:rFonts w:ascii="Arial" w:hAnsi="Arial" w:cs="Arial"/>
          <w:sz w:val="24"/>
          <w:szCs w:val="24"/>
        </w:rPr>
        <w:t>Nu s-au înregistrat depăşiri ale valorii pragului de alertă (400 μg/mc media pe 1 oră, măsurată 3 ore consecutiv) pentru dioxidului de azot.</w:t>
      </w:r>
    </w:p>
    <w:p w:rsidR="000645BF" w:rsidRPr="00334AE7" w:rsidRDefault="000645BF" w:rsidP="000645BF">
      <w:pPr>
        <w:tabs>
          <w:tab w:val="left" w:pos="709"/>
        </w:tabs>
        <w:ind w:left="720" w:right="31"/>
        <w:rPr>
          <w:rFonts w:ascii="Arial" w:hAnsi="Arial" w:cs="Arial"/>
          <w:b/>
          <w:sz w:val="24"/>
          <w:szCs w:val="24"/>
        </w:rPr>
      </w:pPr>
    </w:p>
    <w:p w:rsidR="000645BF" w:rsidRPr="00717595" w:rsidRDefault="000645BF" w:rsidP="000645BF">
      <w:pPr>
        <w:tabs>
          <w:tab w:val="left" w:pos="709"/>
        </w:tabs>
        <w:ind w:left="720" w:right="31"/>
        <w:jc w:val="center"/>
        <w:rPr>
          <w:rFonts w:ascii="Arial" w:hAnsi="Arial" w:cs="Arial"/>
          <w:sz w:val="24"/>
          <w:szCs w:val="24"/>
        </w:rPr>
      </w:pPr>
      <w:r w:rsidRPr="00717595">
        <w:rPr>
          <w:rFonts w:ascii="Arial" w:hAnsi="Arial" w:cs="Arial"/>
          <w:noProof/>
          <w:sz w:val="24"/>
          <w:szCs w:val="24"/>
        </w:rPr>
        <w:drawing>
          <wp:inline distT="0" distB="0" distL="0" distR="0">
            <wp:extent cx="5105400" cy="1504950"/>
            <wp:effectExtent l="0" t="0" r="0" b="0"/>
            <wp:docPr id="12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645BF" w:rsidRPr="00FF5EA3" w:rsidRDefault="000645BF" w:rsidP="000645BF">
      <w:pPr>
        <w:tabs>
          <w:tab w:val="num" w:pos="0"/>
        </w:tabs>
        <w:jc w:val="center"/>
        <w:rPr>
          <w:rFonts w:ascii="Arial" w:hAnsi="Arial" w:cs="Arial"/>
          <w:sz w:val="24"/>
          <w:szCs w:val="24"/>
        </w:rPr>
      </w:pPr>
      <w:r w:rsidRPr="003B4FF4">
        <w:rPr>
          <w:rFonts w:ascii="Arial" w:hAnsi="Arial" w:cs="Arial"/>
          <w:b/>
          <w:sz w:val="24"/>
          <w:szCs w:val="24"/>
        </w:rPr>
        <w:t>Fig.I.1.1.1.1</w:t>
      </w:r>
      <w:r w:rsidRPr="00FF5EA3">
        <w:rPr>
          <w:rFonts w:ascii="Arial" w:hAnsi="Arial" w:cs="Arial"/>
          <w:sz w:val="24"/>
          <w:szCs w:val="24"/>
        </w:rPr>
        <w:t>.Concentraţia medie anuală a dioxidului de azot în anul 2017</w:t>
      </w:r>
    </w:p>
    <w:p w:rsidR="000645BF" w:rsidRPr="003B4FF4" w:rsidRDefault="000645BF" w:rsidP="000645BF">
      <w:pPr>
        <w:tabs>
          <w:tab w:val="num" w:pos="0"/>
        </w:tabs>
        <w:spacing w:after="0" w:line="240" w:lineRule="auto"/>
        <w:ind w:firstLine="720"/>
        <w:jc w:val="right"/>
        <w:rPr>
          <w:rFonts w:ascii="Arial" w:hAnsi="Arial" w:cs="Arial"/>
          <w:b/>
          <w:sz w:val="24"/>
          <w:szCs w:val="24"/>
        </w:rPr>
      </w:pPr>
      <w:r w:rsidRPr="003B4FF4">
        <w:rPr>
          <w:rFonts w:ascii="Arial" w:hAnsi="Arial" w:cs="Arial"/>
          <w:b/>
          <w:sz w:val="24"/>
          <w:szCs w:val="24"/>
        </w:rPr>
        <w:t>Tabel I.1.1.1.1.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0645BF" w:rsidRPr="00FF5EA3" w:rsidTr="004E444C">
        <w:trPr>
          <w:jc w:val="center"/>
        </w:trPr>
        <w:tc>
          <w:tcPr>
            <w:tcW w:w="2207" w:type="dxa"/>
            <w:shd w:val="clear" w:color="auto" w:fill="E6E6E6"/>
          </w:tcPr>
          <w:p w:rsidR="000645BF" w:rsidRPr="00FF5EA3" w:rsidRDefault="000645BF" w:rsidP="004E444C">
            <w:pPr>
              <w:tabs>
                <w:tab w:val="num" w:pos="0"/>
              </w:tabs>
              <w:spacing w:after="0"/>
              <w:rPr>
                <w:rFonts w:ascii="Arial" w:hAnsi="Arial" w:cs="Arial"/>
              </w:rPr>
            </w:pPr>
            <w:r w:rsidRPr="00FF5EA3">
              <w:rPr>
                <w:rFonts w:ascii="Arial" w:hAnsi="Arial" w:cs="Arial"/>
                <w:b/>
              </w:rPr>
              <w:t>NO</w:t>
            </w:r>
            <w:r w:rsidRPr="00FF5EA3">
              <w:rPr>
                <w:rFonts w:ascii="Arial" w:hAnsi="Arial" w:cs="Arial"/>
                <w:b/>
                <w:vertAlign w:val="subscript"/>
              </w:rPr>
              <w:t>2</w:t>
            </w:r>
            <w:r w:rsidRPr="00FF5EA3">
              <w:rPr>
                <w:rFonts w:ascii="Arial" w:hAnsi="Arial" w:cs="Arial"/>
              </w:rPr>
              <w:t xml:space="preserve">    (</w:t>
            </w:r>
            <w:r w:rsidRPr="00FF5EA3">
              <w:rPr>
                <w:rFonts w:ascii="Arial" w:hAnsi="Arial" w:cs="Arial"/>
              </w:rPr>
              <w:sym w:font="Symbol" w:char="F06D"/>
            </w:r>
            <w:r w:rsidRPr="00FF5EA3">
              <w:rPr>
                <w:rFonts w:ascii="Arial" w:hAnsi="Arial" w:cs="Arial"/>
              </w:rPr>
              <w:t>g/mc)</w:t>
            </w:r>
          </w:p>
        </w:tc>
        <w:tc>
          <w:tcPr>
            <w:tcW w:w="1080" w:type="dxa"/>
            <w:shd w:val="clear" w:color="auto" w:fill="E6E6E6"/>
          </w:tcPr>
          <w:p w:rsidR="000645BF" w:rsidRPr="00FF5EA3" w:rsidRDefault="000645BF" w:rsidP="004E444C">
            <w:pPr>
              <w:spacing w:after="0"/>
              <w:jc w:val="center"/>
              <w:rPr>
                <w:rFonts w:ascii="Arial" w:hAnsi="Arial" w:cs="Arial"/>
                <w:b/>
              </w:rPr>
            </w:pPr>
            <w:r w:rsidRPr="00FF5EA3">
              <w:rPr>
                <w:rFonts w:ascii="Arial" w:hAnsi="Arial" w:cs="Arial"/>
                <w:b/>
              </w:rPr>
              <w:t>BR1</w:t>
            </w:r>
          </w:p>
        </w:tc>
        <w:tc>
          <w:tcPr>
            <w:tcW w:w="951" w:type="dxa"/>
            <w:shd w:val="clear" w:color="auto" w:fill="E6E6E6"/>
          </w:tcPr>
          <w:p w:rsidR="000645BF" w:rsidRPr="00FF5EA3" w:rsidRDefault="000645BF" w:rsidP="004E444C">
            <w:pPr>
              <w:spacing w:after="0"/>
              <w:jc w:val="center"/>
              <w:rPr>
                <w:rFonts w:ascii="Arial" w:hAnsi="Arial" w:cs="Arial"/>
                <w:b/>
              </w:rPr>
            </w:pPr>
            <w:r w:rsidRPr="00FF5EA3">
              <w:rPr>
                <w:rFonts w:ascii="Arial" w:hAnsi="Arial" w:cs="Arial"/>
                <w:b/>
              </w:rPr>
              <w:t>BR2</w:t>
            </w:r>
          </w:p>
        </w:tc>
        <w:tc>
          <w:tcPr>
            <w:tcW w:w="1007" w:type="dxa"/>
            <w:shd w:val="clear" w:color="auto" w:fill="E6E6E6"/>
          </w:tcPr>
          <w:p w:rsidR="000645BF" w:rsidRPr="00FF5EA3" w:rsidRDefault="000645BF" w:rsidP="004E444C">
            <w:pPr>
              <w:spacing w:after="0"/>
              <w:jc w:val="center"/>
              <w:rPr>
                <w:rFonts w:ascii="Arial" w:hAnsi="Arial" w:cs="Arial"/>
                <w:b/>
              </w:rPr>
            </w:pPr>
            <w:r w:rsidRPr="00FF5EA3">
              <w:rPr>
                <w:rFonts w:ascii="Arial" w:hAnsi="Arial" w:cs="Arial"/>
                <w:b/>
              </w:rPr>
              <w:t>BR3</w:t>
            </w:r>
          </w:p>
        </w:tc>
        <w:tc>
          <w:tcPr>
            <w:tcW w:w="951" w:type="dxa"/>
            <w:shd w:val="clear" w:color="auto" w:fill="E6E6E6"/>
          </w:tcPr>
          <w:p w:rsidR="000645BF" w:rsidRPr="00FF5EA3" w:rsidRDefault="000645BF" w:rsidP="004E444C">
            <w:pPr>
              <w:spacing w:after="0"/>
              <w:jc w:val="center"/>
              <w:rPr>
                <w:rFonts w:ascii="Arial" w:hAnsi="Arial" w:cs="Arial"/>
                <w:b/>
              </w:rPr>
            </w:pPr>
            <w:r w:rsidRPr="00FF5EA3">
              <w:rPr>
                <w:rFonts w:ascii="Arial" w:hAnsi="Arial" w:cs="Arial"/>
                <w:b/>
              </w:rPr>
              <w:t>BR4</w:t>
            </w:r>
          </w:p>
        </w:tc>
        <w:tc>
          <w:tcPr>
            <w:tcW w:w="951" w:type="dxa"/>
            <w:shd w:val="clear" w:color="auto" w:fill="E6E6E6"/>
          </w:tcPr>
          <w:p w:rsidR="000645BF" w:rsidRPr="00FF5EA3" w:rsidRDefault="000645BF" w:rsidP="004E444C">
            <w:pPr>
              <w:spacing w:after="0"/>
              <w:jc w:val="center"/>
              <w:rPr>
                <w:rFonts w:ascii="Arial" w:hAnsi="Arial" w:cs="Arial"/>
                <w:b/>
              </w:rPr>
            </w:pPr>
            <w:r w:rsidRPr="00FF5EA3">
              <w:rPr>
                <w:rFonts w:ascii="Arial" w:hAnsi="Arial" w:cs="Arial"/>
                <w:b/>
              </w:rPr>
              <w:t>BR5</w:t>
            </w:r>
          </w:p>
        </w:tc>
      </w:tr>
      <w:tr w:rsidR="000645BF" w:rsidRPr="00FF5EA3" w:rsidTr="004E444C">
        <w:trPr>
          <w:jc w:val="center"/>
        </w:trPr>
        <w:tc>
          <w:tcPr>
            <w:tcW w:w="2207" w:type="dxa"/>
          </w:tcPr>
          <w:p w:rsidR="000645BF" w:rsidRPr="00FF5EA3" w:rsidRDefault="000645BF" w:rsidP="004E444C">
            <w:pPr>
              <w:tabs>
                <w:tab w:val="num" w:pos="0"/>
              </w:tabs>
              <w:spacing w:after="0"/>
              <w:jc w:val="center"/>
              <w:rPr>
                <w:rFonts w:ascii="Arial" w:hAnsi="Arial" w:cs="Arial"/>
              </w:rPr>
            </w:pPr>
            <w:r w:rsidRPr="00FF5EA3">
              <w:rPr>
                <w:rFonts w:ascii="Arial" w:hAnsi="Arial" w:cs="Arial"/>
              </w:rPr>
              <w:t>2017 Medii anuale</w:t>
            </w:r>
          </w:p>
        </w:tc>
        <w:tc>
          <w:tcPr>
            <w:tcW w:w="1080" w:type="dxa"/>
          </w:tcPr>
          <w:p w:rsidR="000645BF" w:rsidRPr="00FF5EA3" w:rsidRDefault="000645BF" w:rsidP="004E444C">
            <w:pPr>
              <w:spacing w:after="0"/>
              <w:jc w:val="center"/>
              <w:rPr>
                <w:rFonts w:ascii="Arial" w:hAnsi="Arial" w:cs="Arial"/>
              </w:rPr>
            </w:pPr>
            <w:r w:rsidRPr="00FF5EA3">
              <w:rPr>
                <w:rFonts w:ascii="Arial" w:hAnsi="Arial" w:cs="Arial"/>
              </w:rPr>
              <w:t>26,25</w:t>
            </w:r>
          </w:p>
        </w:tc>
        <w:tc>
          <w:tcPr>
            <w:tcW w:w="951" w:type="dxa"/>
          </w:tcPr>
          <w:p w:rsidR="000645BF" w:rsidRPr="00FF5EA3" w:rsidRDefault="000645BF" w:rsidP="004E444C">
            <w:pPr>
              <w:spacing w:after="0"/>
              <w:jc w:val="center"/>
              <w:rPr>
                <w:rFonts w:ascii="Arial" w:hAnsi="Arial" w:cs="Arial"/>
              </w:rPr>
            </w:pPr>
            <w:r w:rsidRPr="00FF5EA3">
              <w:rPr>
                <w:rFonts w:ascii="Arial" w:hAnsi="Arial" w:cs="Arial"/>
              </w:rPr>
              <w:t>17,17</w:t>
            </w:r>
          </w:p>
        </w:tc>
        <w:tc>
          <w:tcPr>
            <w:tcW w:w="1007" w:type="dxa"/>
          </w:tcPr>
          <w:p w:rsidR="000645BF" w:rsidRPr="00FF5EA3" w:rsidRDefault="000645BF" w:rsidP="004E444C">
            <w:pPr>
              <w:spacing w:after="0"/>
              <w:jc w:val="center"/>
              <w:rPr>
                <w:rFonts w:ascii="Arial" w:hAnsi="Arial" w:cs="Arial"/>
              </w:rPr>
            </w:pPr>
            <w:r w:rsidRPr="00FF5EA3">
              <w:rPr>
                <w:rFonts w:ascii="Arial" w:hAnsi="Arial" w:cs="Arial"/>
              </w:rPr>
              <w:t>12,13</w:t>
            </w:r>
          </w:p>
        </w:tc>
        <w:tc>
          <w:tcPr>
            <w:tcW w:w="951" w:type="dxa"/>
          </w:tcPr>
          <w:p w:rsidR="000645BF" w:rsidRPr="00FF5EA3" w:rsidRDefault="000645BF" w:rsidP="004E444C">
            <w:pPr>
              <w:spacing w:after="0"/>
              <w:jc w:val="center"/>
              <w:rPr>
                <w:rFonts w:ascii="Arial" w:hAnsi="Arial" w:cs="Arial"/>
              </w:rPr>
            </w:pPr>
            <w:r w:rsidRPr="00FF5EA3">
              <w:rPr>
                <w:rFonts w:ascii="Arial" w:hAnsi="Arial" w:cs="Arial"/>
              </w:rPr>
              <w:t>11,05</w:t>
            </w:r>
          </w:p>
        </w:tc>
        <w:tc>
          <w:tcPr>
            <w:tcW w:w="951" w:type="dxa"/>
          </w:tcPr>
          <w:p w:rsidR="000645BF" w:rsidRPr="00FF5EA3" w:rsidRDefault="000645BF" w:rsidP="004E444C">
            <w:pPr>
              <w:spacing w:after="0"/>
              <w:jc w:val="center"/>
              <w:rPr>
                <w:rFonts w:ascii="Arial" w:hAnsi="Arial" w:cs="Arial"/>
              </w:rPr>
            </w:pPr>
            <w:r w:rsidRPr="00FF5EA3">
              <w:rPr>
                <w:rFonts w:ascii="Arial" w:hAnsi="Arial" w:cs="Arial"/>
              </w:rPr>
              <w:t>10,75</w:t>
            </w:r>
          </w:p>
        </w:tc>
      </w:tr>
    </w:tbl>
    <w:p w:rsidR="000645BF" w:rsidRPr="00FF5EA3" w:rsidRDefault="000645BF" w:rsidP="000645BF">
      <w:pPr>
        <w:tabs>
          <w:tab w:val="left" w:pos="709"/>
        </w:tabs>
        <w:spacing w:after="0"/>
        <w:ind w:right="31"/>
        <w:rPr>
          <w:rFonts w:ascii="Arial" w:hAnsi="Arial" w:cs="Arial"/>
          <w:sz w:val="24"/>
          <w:szCs w:val="24"/>
        </w:rPr>
      </w:pPr>
    </w:p>
    <w:p w:rsidR="000645BF" w:rsidRDefault="000645BF" w:rsidP="000645BF">
      <w:pPr>
        <w:tabs>
          <w:tab w:val="left" w:pos="709"/>
        </w:tabs>
        <w:spacing w:line="240" w:lineRule="auto"/>
        <w:ind w:right="31"/>
        <w:rPr>
          <w:rFonts w:ascii="Arial" w:hAnsi="Arial" w:cs="Arial"/>
          <w:sz w:val="24"/>
          <w:szCs w:val="24"/>
        </w:rPr>
      </w:pPr>
      <w:r w:rsidRPr="00717595">
        <w:rPr>
          <w:rFonts w:ascii="Arial" w:hAnsi="Arial" w:cs="Arial"/>
          <w:sz w:val="24"/>
          <w:szCs w:val="24"/>
        </w:rPr>
        <w:tab/>
      </w:r>
      <w:r w:rsidRPr="00FF5EA3">
        <w:rPr>
          <w:rFonts w:ascii="Arial" w:hAnsi="Arial" w:cs="Arial"/>
          <w:sz w:val="24"/>
          <w:szCs w:val="24"/>
        </w:rPr>
        <w:t xml:space="preserve">În anul 2017, valorile </w:t>
      </w:r>
      <w:r w:rsidRPr="00717595">
        <w:rPr>
          <w:rFonts w:ascii="Arial" w:hAnsi="Arial" w:cs="Arial"/>
          <w:sz w:val="24"/>
          <w:szCs w:val="24"/>
        </w:rPr>
        <w:t xml:space="preserve">medii anuale în urma măsurătorilor sunt </w:t>
      </w:r>
      <w:r>
        <w:rPr>
          <w:rFonts w:ascii="Arial" w:hAnsi="Arial" w:cs="Arial"/>
          <w:sz w:val="24"/>
          <w:szCs w:val="24"/>
        </w:rPr>
        <w:t xml:space="preserve">situate </w:t>
      </w:r>
      <w:r w:rsidRPr="00717595">
        <w:rPr>
          <w:rFonts w:ascii="Arial" w:hAnsi="Arial" w:cs="Arial"/>
          <w:sz w:val="24"/>
          <w:szCs w:val="24"/>
        </w:rPr>
        <w:t>sub valoarea limită de 40 µg/m</w:t>
      </w:r>
      <w:r w:rsidRPr="00717595">
        <w:rPr>
          <w:rFonts w:ascii="Arial" w:hAnsi="Arial" w:cs="Arial"/>
          <w:sz w:val="24"/>
          <w:szCs w:val="24"/>
          <w:vertAlign w:val="superscript"/>
        </w:rPr>
        <w:t>3</w:t>
      </w:r>
      <w:r w:rsidRPr="00717595">
        <w:rPr>
          <w:rFonts w:ascii="Arial" w:hAnsi="Arial" w:cs="Arial"/>
          <w:sz w:val="24"/>
          <w:szCs w:val="24"/>
        </w:rPr>
        <w:t xml:space="preserve"> admisă de către Legea </w:t>
      </w:r>
      <w:r>
        <w:rPr>
          <w:rFonts w:ascii="Arial" w:hAnsi="Arial" w:cs="Arial"/>
          <w:sz w:val="24"/>
          <w:szCs w:val="24"/>
        </w:rPr>
        <w:t>nr.</w:t>
      </w:r>
      <w:r w:rsidRPr="00717595">
        <w:rPr>
          <w:rFonts w:ascii="Arial" w:hAnsi="Arial" w:cs="Arial"/>
          <w:sz w:val="24"/>
          <w:szCs w:val="24"/>
        </w:rPr>
        <w:t>104/2011.</w:t>
      </w:r>
    </w:p>
    <w:p w:rsidR="000645BF" w:rsidRDefault="000645BF" w:rsidP="000645BF">
      <w:pPr>
        <w:tabs>
          <w:tab w:val="left" w:pos="709"/>
        </w:tabs>
        <w:spacing w:after="0" w:line="240" w:lineRule="auto"/>
        <w:ind w:left="720" w:right="31"/>
        <w:rPr>
          <w:rFonts w:ascii="Arial" w:hAnsi="Arial" w:cs="Arial"/>
          <w:b/>
          <w:sz w:val="24"/>
          <w:szCs w:val="24"/>
        </w:rPr>
      </w:pPr>
      <w:r w:rsidRPr="00717595">
        <w:rPr>
          <w:rFonts w:ascii="Arial" w:hAnsi="Arial" w:cs="Arial"/>
          <w:b/>
          <w:sz w:val="24"/>
          <w:szCs w:val="24"/>
        </w:rPr>
        <w:t>I.1.1.1.2. Dioxid de sulf</w:t>
      </w:r>
    </w:p>
    <w:p w:rsidR="000645BF" w:rsidRPr="00334AE7" w:rsidRDefault="000645BF" w:rsidP="000645BF">
      <w:pPr>
        <w:autoSpaceDE w:val="0"/>
        <w:autoSpaceDN w:val="0"/>
        <w:adjustRightInd w:val="0"/>
        <w:spacing w:after="0" w:line="240" w:lineRule="auto"/>
        <w:ind w:firstLine="720"/>
        <w:jc w:val="both"/>
        <w:rPr>
          <w:rFonts w:ascii="Arial" w:hAnsi="Arial" w:cs="Arial"/>
          <w:sz w:val="24"/>
          <w:szCs w:val="24"/>
        </w:rPr>
      </w:pPr>
      <w:r w:rsidRPr="00334AE7">
        <w:rPr>
          <w:rFonts w:ascii="Arial" w:hAnsi="Arial" w:cs="Arial"/>
          <w:sz w:val="24"/>
          <w:szCs w:val="24"/>
        </w:rPr>
        <w:t xml:space="preserve">Dioxidul de sulf este un gaz puternic reactiv, provenit în principal din arderea  combustibililor fosili sulfuroşi (cărbuni, păcură) pentru producerea de energie electrică şi termică sau a combustibililor lichizi (motorină) în motoarele cu ardere internă ale autovehiculelor rutiere. </w:t>
      </w:r>
    </w:p>
    <w:p w:rsidR="000645BF" w:rsidRPr="00334AE7" w:rsidRDefault="000645BF" w:rsidP="000645BF">
      <w:pPr>
        <w:autoSpaceDE w:val="0"/>
        <w:autoSpaceDN w:val="0"/>
        <w:adjustRightInd w:val="0"/>
        <w:spacing w:after="0" w:line="240" w:lineRule="auto"/>
        <w:ind w:firstLine="720"/>
        <w:jc w:val="both"/>
        <w:rPr>
          <w:rFonts w:ascii="Arial" w:hAnsi="Arial" w:cs="Arial"/>
          <w:sz w:val="24"/>
          <w:szCs w:val="24"/>
        </w:rPr>
      </w:pPr>
      <w:r w:rsidRPr="00334AE7">
        <w:rPr>
          <w:rFonts w:ascii="Arial" w:hAnsi="Arial" w:cs="Arial"/>
          <w:sz w:val="24"/>
          <w:szCs w:val="24"/>
        </w:rPr>
        <w:t>Dioxidul de sulf poate afecta atât sănătatea oamenilor prin efecte asupra sistemului respirator cât şi mediul în general (ecosisteme, materiale, construcţii, monumente) prin efectul de acidifiere.</w:t>
      </w:r>
    </w:p>
    <w:p w:rsidR="000645BF" w:rsidRPr="00334AE7" w:rsidRDefault="000645BF" w:rsidP="000645BF">
      <w:pPr>
        <w:spacing w:after="0" w:line="240" w:lineRule="auto"/>
        <w:ind w:firstLine="720"/>
        <w:jc w:val="both"/>
        <w:rPr>
          <w:rFonts w:ascii="Arial" w:hAnsi="Arial" w:cs="Arial"/>
          <w:i/>
          <w:sz w:val="24"/>
          <w:szCs w:val="24"/>
        </w:rPr>
      </w:pPr>
      <w:r w:rsidRPr="00334AE7">
        <w:rPr>
          <w:rFonts w:ascii="Arial" w:hAnsi="Arial" w:cs="Arial"/>
          <w:i/>
          <w:sz w:val="24"/>
          <w:szCs w:val="24"/>
        </w:rPr>
        <w:lastRenderedPageBreak/>
        <w:t>Concentraţiile de SO</w:t>
      </w:r>
      <w:r w:rsidRPr="00334AE7">
        <w:rPr>
          <w:rFonts w:ascii="Arial" w:hAnsi="Arial" w:cs="Arial"/>
          <w:i/>
          <w:sz w:val="24"/>
          <w:szCs w:val="24"/>
          <w:vertAlign w:val="subscript"/>
        </w:rPr>
        <w:t>2</w:t>
      </w:r>
      <w:r w:rsidRPr="00334AE7">
        <w:rPr>
          <w:rFonts w:ascii="Arial" w:hAnsi="Arial" w:cs="Arial"/>
          <w:i/>
          <w:sz w:val="24"/>
          <w:szCs w:val="24"/>
        </w:rPr>
        <w:t xml:space="preserve"> din aerul înconjurător se evaluează folosind valoarea limită orară pentru protectia sănătătii umane (350 μg/mc) care nu trebuie depăşită mai mult de 24 ori/an şi valoarea limită zilnică pentru protecţia sănătăţii umane (125 μg/mc) care nu trebuie depăşită mai mult de 3 ori/an.</w:t>
      </w:r>
    </w:p>
    <w:p w:rsidR="000645BF" w:rsidRPr="00334AE7" w:rsidRDefault="000645BF" w:rsidP="000645BF">
      <w:pPr>
        <w:widowControl w:val="0"/>
        <w:spacing w:after="0" w:line="240" w:lineRule="auto"/>
        <w:jc w:val="both"/>
        <w:rPr>
          <w:rFonts w:ascii="Arial" w:hAnsi="Arial" w:cs="Arial"/>
          <w:i/>
          <w:sz w:val="24"/>
          <w:szCs w:val="24"/>
        </w:rPr>
      </w:pPr>
      <w:r w:rsidRPr="00334AE7">
        <w:rPr>
          <w:rFonts w:ascii="Arial" w:hAnsi="Arial" w:cs="Arial"/>
          <w:i/>
          <w:sz w:val="24"/>
          <w:szCs w:val="24"/>
        </w:rPr>
        <w:tab/>
        <w:t>Legea nr.104/2011 nu stabileşte valoare</w:t>
      </w:r>
      <w:r>
        <w:rPr>
          <w:rFonts w:ascii="Arial" w:hAnsi="Arial" w:cs="Arial"/>
          <w:i/>
          <w:sz w:val="24"/>
          <w:szCs w:val="24"/>
        </w:rPr>
        <w:t>a</w:t>
      </w:r>
      <w:r w:rsidRPr="00334AE7">
        <w:rPr>
          <w:rFonts w:ascii="Arial" w:hAnsi="Arial" w:cs="Arial"/>
          <w:i/>
          <w:sz w:val="24"/>
          <w:szCs w:val="24"/>
        </w:rPr>
        <w:t xml:space="preserve"> limită anuală pentru dioxidul de sulf, doar valoare</w:t>
      </w:r>
      <w:r>
        <w:rPr>
          <w:rFonts w:ascii="Arial" w:hAnsi="Arial" w:cs="Arial"/>
          <w:i/>
          <w:sz w:val="24"/>
          <w:szCs w:val="24"/>
        </w:rPr>
        <w:t>a</w:t>
      </w:r>
      <w:r w:rsidRPr="00334AE7">
        <w:rPr>
          <w:rFonts w:ascii="Arial" w:hAnsi="Arial" w:cs="Arial"/>
          <w:i/>
          <w:sz w:val="24"/>
          <w:szCs w:val="24"/>
        </w:rPr>
        <w:t xml:space="preserve"> limită orară şi zilnică.</w:t>
      </w:r>
    </w:p>
    <w:p w:rsidR="000645BF" w:rsidRPr="00334AE7" w:rsidRDefault="000645BF" w:rsidP="000645BF">
      <w:pPr>
        <w:spacing w:after="0" w:line="240" w:lineRule="auto"/>
        <w:ind w:firstLine="720"/>
        <w:jc w:val="both"/>
        <w:rPr>
          <w:rFonts w:ascii="Arial" w:hAnsi="Arial" w:cs="Arial"/>
          <w:b/>
          <w:sz w:val="24"/>
          <w:szCs w:val="24"/>
        </w:rPr>
      </w:pPr>
      <w:r w:rsidRPr="00334AE7">
        <w:rPr>
          <w:rFonts w:ascii="Arial" w:hAnsi="Arial" w:cs="Arial"/>
          <w:sz w:val="24"/>
          <w:szCs w:val="24"/>
        </w:rPr>
        <w:t>Valoarea maximă orară în 2017 a fost 55,06 μg/m</w:t>
      </w:r>
      <w:r w:rsidRPr="00334AE7">
        <w:rPr>
          <w:rFonts w:ascii="Arial" w:hAnsi="Arial" w:cs="Arial"/>
          <w:sz w:val="24"/>
          <w:szCs w:val="24"/>
          <w:vertAlign w:val="superscript"/>
        </w:rPr>
        <w:t>3</w:t>
      </w:r>
      <w:r w:rsidRPr="00334AE7">
        <w:rPr>
          <w:rFonts w:ascii="Arial" w:hAnsi="Arial" w:cs="Arial"/>
          <w:sz w:val="24"/>
          <w:szCs w:val="24"/>
        </w:rPr>
        <w:t>, înregistrată în staţia BR1 în data de 13.01.2017 la ora 13.00, sub valoarea limită orară pentru protecţia sănătăţii umane (350 μg/m</w:t>
      </w:r>
      <w:r w:rsidRPr="00334AE7">
        <w:rPr>
          <w:rFonts w:ascii="Arial" w:hAnsi="Arial" w:cs="Arial"/>
          <w:sz w:val="24"/>
          <w:szCs w:val="24"/>
          <w:vertAlign w:val="superscript"/>
        </w:rPr>
        <w:t>3</w:t>
      </w:r>
      <w:r w:rsidRPr="00334AE7">
        <w:rPr>
          <w:rFonts w:ascii="Arial" w:hAnsi="Arial" w:cs="Arial"/>
          <w:sz w:val="24"/>
          <w:szCs w:val="24"/>
        </w:rPr>
        <w:t>) prevazută în Legea nr.104 din 15 iunie 2011 privind calitatea aerului înconjurător.</w:t>
      </w:r>
    </w:p>
    <w:p w:rsidR="000645BF" w:rsidRPr="00334AE7" w:rsidRDefault="000645BF" w:rsidP="000645BF">
      <w:pPr>
        <w:spacing w:after="0" w:line="240" w:lineRule="auto"/>
        <w:ind w:firstLine="720"/>
        <w:jc w:val="both"/>
        <w:rPr>
          <w:rFonts w:ascii="Arial" w:hAnsi="Arial" w:cs="Arial"/>
          <w:b/>
          <w:sz w:val="24"/>
          <w:szCs w:val="24"/>
        </w:rPr>
      </w:pPr>
      <w:r w:rsidRPr="00334AE7">
        <w:rPr>
          <w:rFonts w:ascii="Arial" w:hAnsi="Arial" w:cs="Arial"/>
          <w:sz w:val="24"/>
          <w:szCs w:val="24"/>
        </w:rPr>
        <w:t>Valoarea maximă zilnică înregistrată în cursul anului 2017 a fost de 28,23 μg/m</w:t>
      </w:r>
      <w:r w:rsidRPr="00334AE7">
        <w:rPr>
          <w:rFonts w:ascii="Arial" w:hAnsi="Arial" w:cs="Arial"/>
          <w:sz w:val="24"/>
          <w:szCs w:val="24"/>
          <w:vertAlign w:val="superscript"/>
        </w:rPr>
        <w:t>3</w:t>
      </w:r>
      <w:r w:rsidRPr="00334AE7">
        <w:rPr>
          <w:rFonts w:ascii="Arial" w:hAnsi="Arial" w:cs="Arial"/>
          <w:sz w:val="24"/>
          <w:szCs w:val="24"/>
        </w:rPr>
        <w:t>, înregistrată pe 10.09.2017 în staţia BR3, valoare sub valoarea limită zilnică pentru protecţia sănătăţii umane (</w:t>
      </w:r>
      <w:r w:rsidRPr="00334AE7">
        <w:rPr>
          <w:rFonts w:ascii="Arial" w:hAnsi="Arial" w:cs="Arial"/>
          <w:bCs/>
          <w:sz w:val="24"/>
          <w:szCs w:val="24"/>
        </w:rPr>
        <w:t>125</w:t>
      </w:r>
      <w:r w:rsidRPr="00334AE7">
        <w:rPr>
          <w:rFonts w:ascii="Arial" w:hAnsi="Arial" w:cs="Arial"/>
          <w:sz w:val="24"/>
          <w:szCs w:val="24"/>
        </w:rPr>
        <w:t>μg/m</w:t>
      </w:r>
      <w:r w:rsidRPr="00334AE7">
        <w:rPr>
          <w:rFonts w:ascii="Arial" w:hAnsi="Arial" w:cs="Arial"/>
          <w:sz w:val="24"/>
          <w:szCs w:val="24"/>
          <w:vertAlign w:val="superscript"/>
        </w:rPr>
        <w:t>3</w:t>
      </w:r>
      <w:r w:rsidRPr="00334AE7">
        <w:rPr>
          <w:rFonts w:ascii="Arial" w:hAnsi="Arial" w:cs="Arial"/>
          <w:sz w:val="24"/>
          <w:szCs w:val="24"/>
        </w:rPr>
        <w:t>) prevăzută în Legea nr.104/2011.</w:t>
      </w:r>
    </w:p>
    <w:p w:rsidR="000645BF" w:rsidRPr="00717595" w:rsidRDefault="000645BF" w:rsidP="000645BF">
      <w:pPr>
        <w:tabs>
          <w:tab w:val="left" w:pos="709"/>
        </w:tabs>
        <w:ind w:left="720" w:right="31"/>
        <w:rPr>
          <w:rFonts w:ascii="Arial" w:hAnsi="Arial" w:cs="Arial"/>
          <w:sz w:val="24"/>
          <w:szCs w:val="24"/>
        </w:rPr>
      </w:pPr>
      <w:r w:rsidRPr="00717595">
        <w:rPr>
          <w:rFonts w:ascii="Arial" w:hAnsi="Arial" w:cs="Arial"/>
          <w:noProof/>
          <w:sz w:val="24"/>
          <w:szCs w:val="24"/>
        </w:rPr>
        <w:drawing>
          <wp:inline distT="0" distB="0" distL="0" distR="0">
            <wp:extent cx="5267325" cy="1809750"/>
            <wp:effectExtent l="0" t="0" r="0" b="0"/>
            <wp:docPr id="12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45BF" w:rsidRDefault="000645BF" w:rsidP="000645BF">
      <w:pPr>
        <w:tabs>
          <w:tab w:val="num" w:pos="0"/>
        </w:tabs>
        <w:spacing w:after="0"/>
        <w:rPr>
          <w:rFonts w:ascii="Arial" w:hAnsi="Arial" w:cs="Arial"/>
          <w:sz w:val="24"/>
          <w:szCs w:val="24"/>
        </w:rPr>
      </w:pPr>
      <w:r w:rsidRPr="003B4FF4">
        <w:rPr>
          <w:rFonts w:ascii="Arial" w:hAnsi="Arial" w:cs="Arial"/>
          <w:b/>
          <w:sz w:val="24"/>
          <w:szCs w:val="24"/>
        </w:rPr>
        <w:t>Fig. I.1.1.1.2.</w:t>
      </w:r>
      <w:r w:rsidRPr="002D37E6">
        <w:rPr>
          <w:rFonts w:ascii="Arial" w:hAnsi="Arial" w:cs="Arial"/>
          <w:sz w:val="24"/>
          <w:szCs w:val="24"/>
        </w:rPr>
        <w:t xml:space="preserve"> Concentraţia medie anuală a dioxidului de sulf în anul </w:t>
      </w:r>
      <w:r w:rsidRPr="009068D5">
        <w:rPr>
          <w:rFonts w:ascii="Arial" w:hAnsi="Arial" w:cs="Arial"/>
          <w:sz w:val="24"/>
          <w:szCs w:val="24"/>
        </w:rPr>
        <w:t>2017</w:t>
      </w:r>
      <w:r w:rsidRPr="009068D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p>
    <w:p w:rsidR="000645BF" w:rsidRPr="003B4FF4" w:rsidRDefault="000645BF" w:rsidP="000645BF">
      <w:pPr>
        <w:tabs>
          <w:tab w:val="num" w:pos="0"/>
        </w:tabs>
        <w:spacing w:after="0"/>
        <w:jc w:val="right"/>
        <w:rPr>
          <w:rFonts w:ascii="Arial" w:hAnsi="Arial" w:cs="Arial"/>
          <w:b/>
          <w:sz w:val="24"/>
          <w:szCs w:val="24"/>
        </w:rPr>
      </w:pPr>
      <w:r w:rsidRPr="003B4FF4">
        <w:rPr>
          <w:rFonts w:ascii="Arial" w:hAnsi="Arial" w:cs="Arial"/>
          <w:b/>
          <w:sz w:val="24"/>
          <w:szCs w:val="24"/>
        </w:rPr>
        <w:t>Tabel I.1.1.1.2.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0645BF" w:rsidRPr="00FF5EA3" w:rsidTr="004E444C">
        <w:trPr>
          <w:jc w:val="center"/>
        </w:trPr>
        <w:tc>
          <w:tcPr>
            <w:tcW w:w="2480" w:type="dxa"/>
            <w:shd w:val="clear" w:color="auto" w:fill="E6E6E6"/>
          </w:tcPr>
          <w:p w:rsidR="000645BF" w:rsidRPr="00FF5EA3" w:rsidRDefault="000645BF" w:rsidP="004E444C">
            <w:pPr>
              <w:tabs>
                <w:tab w:val="num" w:pos="0"/>
              </w:tabs>
              <w:spacing w:after="0" w:line="240" w:lineRule="auto"/>
              <w:rPr>
                <w:rFonts w:ascii="Arial" w:hAnsi="Arial" w:cs="Arial"/>
                <w:sz w:val="24"/>
                <w:szCs w:val="24"/>
              </w:rPr>
            </w:pPr>
            <w:r w:rsidRPr="00FF5EA3">
              <w:rPr>
                <w:rFonts w:ascii="Arial" w:hAnsi="Arial" w:cs="Arial"/>
                <w:b/>
                <w:sz w:val="24"/>
                <w:szCs w:val="24"/>
              </w:rPr>
              <w:t>SO</w:t>
            </w:r>
            <w:r w:rsidRPr="00FF5EA3">
              <w:rPr>
                <w:rFonts w:ascii="Arial" w:hAnsi="Arial" w:cs="Arial"/>
                <w:b/>
                <w:sz w:val="24"/>
                <w:szCs w:val="24"/>
                <w:vertAlign w:val="subscript"/>
              </w:rPr>
              <w:t>2</w:t>
            </w:r>
            <w:r w:rsidRPr="00FF5EA3">
              <w:rPr>
                <w:rFonts w:ascii="Arial" w:hAnsi="Arial" w:cs="Arial"/>
                <w:sz w:val="24"/>
                <w:szCs w:val="24"/>
              </w:rPr>
              <w:t xml:space="preserve">  (</w:t>
            </w:r>
            <w:r w:rsidRPr="00FF5EA3">
              <w:rPr>
                <w:rFonts w:ascii="Arial" w:hAnsi="Arial" w:cs="Arial"/>
                <w:sz w:val="24"/>
                <w:szCs w:val="24"/>
              </w:rPr>
              <w:sym w:font="Symbol" w:char="F06D"/>
            </w:r>
            <w:r w:rsidRPr="00FF5EA3">
              <w:rPr>
                <w:rFonts w:ascii="Arial" w:hAnsi="Arial" w:cs="Arial"/>
                <w:sz w:val="24"/>
                <w:szCs w:val="24"/>
              </w:rPr>
              <w:t>g/mc)</w:t>
            </w:r>
          </w:p>
        </w:tc>
        <w:tc>
          <w:tcPr>
            <w:tcW w:w="1080" w:type="dxa"/>
            <w:shd w:val="clear" w:color="auto" w:fill="E6E6E6"/>
          </w:tcPr>
          <w:p w:rsidR="000645BF" w:rsidRPr="00FF5EA3" w:rsidRDefault="000645BF" w:rsidP="004E444C">
            <w:pPr>
              <w:spacing w:after="0" w:line="240" w:lineRule="auto"/>
              <w:jc w:val="center"/>
              <w:rPr>
                <w:rFonts w:ascii="Arial" w:hAnsi="Arial" w:cs="Arial"/>
                <w:b/>
                <w:sz w:val="24"/>
                <w:szCs w:val="24"/>
              </w:rPr>
            </w:pPr>
            <w:r w:rsidRPr="00FF5EA3">
              <w:rPr>
                <w:rFonts w:ascii="Arial" w:hAnsi="Arial" w:cs="Arial"/>
                <w:b/>
                <w:sz w:val="24"/>
                <w:szCs w:val="24"/>
              </w:rPr>
              <w:t>BR1</w:t>
            </w:r>
          </w:p>
        </w:tc>
        <w:tc>
          <w:tcPr>
            <w:tcW w:w="1167" w:type="dxa"/>
            <w:shd w:val="clear" w:color="auto" w:fill="E6E6E6"/>
          </w:tcPr>
          <w:p w:rsidR="000645BF" w:rsidRPr="00FF5EA3" w:rsidRDefault="000645BF" w:rsidP="004E444C">
            <w:pPr>
              <w:spacing w:after="0" w:line="240" w:lineRule="auto"/>
              <w:jc w:val="center"/>
              <w:rPr>
                <w:rFonts w:ascii="Arial" w:hAnsi="Arial" w:cs="Arial"/>
                <w:b/>
                <w:sz w:val="24"/>
                <w:szCs w:val="24"/>
              </w:rPr>
            </w:pPr>
            <w:r w:rsidRPr="00FF5EA3">
              <w:rPr>
                <w:rFonts w:ascii="Arial" w:hAnsi="Arial" w:cs="Arial"/>
                <w:b/>
                <w:sz w:val="24"/>
                <w:szCs w:val="24"/>
              </w:rPr>
              <w:t>BR2</w:t>
            </w:r>
          </w:p>
        </w:tc>
        <w:tc>
          <w:tcPr>
            <w:tcW w:w="1167" w:type="dxa"/>
            <w:shd w:val="clear" w:color="auto" w:fill="E6E6E6"/>
          </w:tcPr>
          <w:p w:rsidR="000645BF" w:rsidRPr="00FF5EA3" w:rsidRDefault="000645BF" w:rsidP="004E444C">
            <w:pPr>
              <w:spacing w:after="0" w:line="240" w:lineRule="auto"/>
              <w:jc w:val="center"/>
              <w:rPr>
                <w:rFonts w:ascii="Arial" w:hAnsi="Arial" w:cs="Arial"/>
                <w:b/>
                <w:sz w:val="24"/>
                <w:szCs w:val="24"/>
              </w:rPr>
            </w:pPr>
            <w:r w:rsidRPr="00FF5EA3">
              <w:rPr>
                <w:rFonts w:ascii="Arial" w:hAnsi="Arial" w:cs="Arial"/>
                <w:b/>
                <w:sz w:val="24"/>
                <w:szCs w:val="24"/>
              </w:rPr>
              <w:t>BR3</w:t>
            </w:r>
          </w:p>
        </w:tc>
        <w:tc>
          <w:tcPr>
            <w:tcW w:w="1265" w:type="dxa"/>
            <w:shd w:val="clear" w:color="auto" w:fill="E6E6E6"/>
          </w:tcPr>
          <w:p w:rsidR="000645BF" w:rsidRPr="00FF5EA3" w:rsidRDefault="000645BF" w:rsidP="004E444C">
            <w:pPr>
              <w:spacing w:after="0" w:line="240" w:lineRule="auto"/>
              <w:jc w:val="center"/>
              <w:rPr>
                <w:rFonts w:ascii="Arial" w:hAnsi="Arial" w:cs="Arial"/>
                <w:b/>
                <w:sz w:val="24"/>
                <w:szCs w:val="24"/>
              </w:rPr>
            </w:pPr>
            <w:r w:rsidRPr="00FF5EA3">
              <w:rPr>
                <w:rFonts w:ascii="Arial" w:hAnsi="Arial" w:cs="Arial"/>
                <w:b/>
                <w:sz w:val="24"/>
                <w:szCs w:val="24"/>
              </w:rPr>
              <w:t>BR4</w:t>
            </w:r>
          </w:p>
        </w:tc>
        <w:tc>
          <w:tcPr>
            <w:tcW w:w="1265" w:type="dxa"/>
            <w:shd w:val="clear" w:color="auto" w:fill="E6E6E6"/>
          </w:tcPr>
          <w:p w:rsidR="000645BF" w:rsidRPr="00FF5EA3" w:rsidRDefault="000645BF" w:rsidP="004E444C">
            <w:pPr>
              <w:spacing w:after="0" w:line="240" w:lineRule="auto"/>
              <w:jc w:val="center"/>
              <w:rPr>
                <w:rFonts w:ascii="Arial" w:hAnsi="Arial" w:cs="Arial"/>
                <w:b/>
                <w:sz w:val="24"/>
                <w:szCs w:val="24"/>
              </w:rPr>
            </w:pPr>
            <w:r w:rsidRPr="00FF5EA3">
              <w:rPr>
                <w:rFonts w:ascii="Arial" w:hAnsi="Arial" w:cs="Arial"/>
                <w:b/>
                <w:sz w:val="24"/>
                <w:szCs w:val="24"/>
              </w:rPr>
              <w:t>BR5</w:t>
            </w:r>
          </w:p>
        </w:tc>
      </w:tr>
      <w:tr w:rsidR="000645BF" w:rsidRPr="00FF5EA3" w:rsidTr="004E444C">
        <w:trPr>
          <w:jc w:val="center"/>
        </w:trPr>
        <w:tc>
          <w:tcPr>
            <w:tcW w:w="2480" w:type="dxa"/>
          </w:tcPr>
          <w:p w:rsidR="000645BF" w:rsidRPr="00FF5EA3" w:rsidRDefault="000645BF" w:rsidP="004E444C">
            <w:pPr>
              <w:spacing w:after="0" w:line="240" w:lineRule="auto"/>
              <w:rPr>
                <w:rFonts w:ascii="Arial" w:hAnsi="Arial" w:cs="Arial"/>
                <w:sz w:val="24"/>
                <w:szCs w:val="24"/>
              </w:rPr>
            </w:pPr>
            <w:r w:rsidRPr="00FF5EA3">
              <w:rPr>
                <w:rFonts w:ascii="Arial" w:hAnsi="Arial" w:cs="Arial"/>
                <w:sz w:val="24"/>
                <w:szCs w:val="24"/>
              </w:rPr>
              <w:t>2017 Medii anuale</w:t>
            </w:r>
          </w:p>
        </w:tc>
        <w:tc>
          <w:tcPr>
            <w:tcW w:w="1080" w:type="dxa"/>
            <w:vAlign w:val="center"/>
          </w:tcPr>
          <w:p w:rsidR="000645BF" w:rsidRPr="00FF5EA3" w:rsidRDefault="000645BF" w:rsidP="004E444C">
            <w:pPr>
              <w:autoSpaceDE w:val="0"/>
              <w:autoSpaceDN w:val="0"/>
              <w:adjustRightInd w:val="0"/>
              <w:spacing w:after="0" w:line="240" w:lineRule="auto"/>
              <w:jc w:val="center"/>
              <w:rPr>
                <w:rFonts w:ascii="Arial" w:eastAsia="Times New Roman" w:hAnsi="Arial" w:cs="Arial"/>
                <w:bCs/>
                <w:sz w:val="24"/>
                <w:szCs w:val="24"/>
              </w:rPr>
            </w:pPr>
            <w:r w:rsidRPr="00FF5EA3">
              <w:rPr>
                <w:rFonts w:ascii="Arial" w:eastAsia="Times New Roman" w:hAnsi="Arial" w:cs="Arial"/>
                <w:bCs/>
                <w:sz w:val="24"/>
                <w:szCs w:val="24"/>
              </w:rPr>
              <w:t>5,08</w:t>
            </w:r>
          </w:p>
        </w:tc>
        <w:tc>
          <w:tcPr>
            <w:tcW w:w="1167" w:type="dxa"/>
            <w:vAlign w:val="center"/>
          </w:tcPr>
          <w:p w:rsidR="000645BF" w:rsidRPr="00FF5EA3" w:rsidRDefault="000645BF" w:rsidP="004E444C">
            <w:pPr>
              <w:autoSpaceDE w:val="0"/>
              <w:autoSpaceDN w:val="0"/>
              <w:adjustRightInd w:val="0"/>
              <w:spacing w:after="0" w:line="240" w:lineRule="auto"/>
              <w:jc w:val="center"/>
              <w:rPr>
                <w:rFonts w:ascii="Arial" w:eastAsia="Times New Roman" w:hAnsi="Arial" w:cs="Arial"/>
                <w:bCs/>
                <w:sz w:val="24"/>
                <w:szCs w:val="24"/>
              </w:rPr>
            </w:pPr>
            <w:r w:rsidRPr="00FF5EA3">
              <w:rPr>
                <w:rFonts w:ascii="Arial" w:eastAsia="Times New Roman" w:hAnsi="Arial" w:cs="Arial"/>
                <w:bCs/>
                <w:sz w:val="24"/>
                <w:szCs w:val="24"/>
              </w:rPr>
              <w:t>4,41</w:t>
            </w:r>
          </w:p>
        </w:tc>
        <w:tc>
          <w:tcPr>
            <w:tcW w:w="1167" w:type="dxa"/>
            <w:vAlign w:val="center"/>
          </w:tcPr>
          <w:p w:rsidR="000645BF" w:rsidRPr="00FF5EA3" w:rsidRDefault="000645BF" w:rsidP="004E444C">
            <w:pPr>
              <w:autoSpaceDE w:val="0"/>
              <w:autoSpaceDN w:val="0"/>
              <w:adjustRightInd w:val="0"/>
              <w:spacing w:after="0" w:line="240" w:lineRule="auto"/>
              <w:jc w:val="center"/>
              <w:rPr>
                <w:rFonts w:ascii="Arial" w:eastAsia="Times New Roman" w:hAnsi="Arial" w:cs="Arial"/>
                <w:bCs/>
                <w:sz w:val="24"/>
                <w:szCs w:val="24"/>
              </w:rPr>
            </w:pPr>
            <w:r w:rsidRPr="00FF5EA3">
              <w:rPr>
                <w:rFonts w:ascii="Arial" w:eastAsia="Times New Roman" w:hAnsi="Arial" w:cs="Arial"/>
                <w:bCs/>
                <w:sz w:val="24"/>
                <w:szCs w:val="24"/>
              </w:rPr>
              <w:t>5,27</w:t>
            </w:r>
          </w:p>
        </w:tc>
        <w:tc>
          <w:tcPr>
            <w:tcW w:w="1265" w:type="dxa"/>
            <w:vAlign w:val="center"/>
          </w:tcPr>
          <w:p w:rsidR="000645BF" w:rsidRPr="00FF5EA3" w:rsidRDefault="000645BF" w:rsidP="004E444C">
            <w:pPr>
              <w:autoSpaceDE w:val="0"/>
              <w:autoSpaceDN w:val="0"/>
              <w:adjustRightInd w:val="0"/>
              <w:spacing w:after="0" w:line="240" w:lineRule="auto"/>
              <w:jc w:val="center"/>
              <w:rPr>
                <w:rFonts w:ascii="Arial" w:eastAsia="Times New Roman" w:hAnsi="Arial" w:cs="Arial"/>
                <w:bCs/>
                <w:sz w:val="24"/>
                <w:szCs w:val="24"/>
              </w:rPr>
            </w:pPr>
            <w:r w:rsidRPr="00FF5EA3">
              <w:rPr>
                <w:rFonts w:ascii="Arial" w:eastAsia="Times New Roman" w:hAnsi="Arial" w:cs="Arial"/>
                <w:bCs/>
                <w:sz w:val="24"/>
                <w:szCs w:val="24"/>
              </w:rPr>
              <w:t>5,36</w:t>
            </w:r>
          </w:p>
        </w:tc>
        <w:tc>
          <w:tcPr>
            <w:tcW w:w="1265" w:type="dxa"/>
            <w:vAlign w:val="center"/>
          </w:tcPr>
          <w:p w:rsidR="000645BF" w:rsidRPr="00FF5EA3" w:rsidRDefault="000645BF" w:rsidP="004E444C">
            <w:pPr>
              <w:autoSpaceDE w:val="0"/>
              <w:autoSpaceDN w:val="0"/>
              <w:adjustRightInd w:val="0"/>
              <w:spacing w:after="0" w:line="240" w:lineRule="auto"/>
              <w:jc w:val="center"/>
              <w:rPr>
                <w:rFonts w:ascii="Arial" w:eastAsia="Times New Roman" w:hAnsi="Arial" w:cs="Arial"/>
                <w:bCs/>
                <w:sz w:val="24"/>
                <w:szCs w:val="24"/>
              </w:rPr>
            </w:pPr>
            <w:r w:rsidRPr="00FF5EA3">
              <w:rPr>
                <w:rFonts w:ascii="Arial" w:eastAsia="Times New Roman" w:hAnsi="Arial" w:cs="Arial"/>
                <w:bCs/>
                <w:sz w:val="24"/>
                <w:szCs w:val="24"/>
              </w:rPr>
              <w:t>4,59</w:t>
            </w:r>
          </w:p>
        </w:tc>
      </w:tr>
    </w:tbl>
    <w:p w:rsidR="000645BF" w:rsidRPr="00FF5EA3" w:rsidRDefault="000645BF" w:rsidP="000645BF">
      <w:pPr>
        <w:tabs>
          <w:tab w:val="num" w:pos="0"/>
        </w:tabs>
        <w:spacing w:after="0"/>
        <w:rPr>
          <w:rFonts w:ascii="Arial" w:hAnsi="Arial" w:cs="Arial"/>
          <w:sz w:val="24"/>
          <w:szCs w:val="24"/>
          <w:highlight w:val="cyan"/>
        </w:rPr>
      </w:pPr>
    </w:p>
    <w:p w:rsidR="000645BF" w:rsidRPr="00717595" w:rsidRDefault="000645BF" w:rsidP="000645BF">
      <w:pPr>
        <w:tabs>
          <w:tab w:val="num" w:pos="0"/>
        </w:tabs>
        <w:spacing w:after="0" w:line="240" w:lineRule="auto"/>
        <w:jc w:val="both"/>
        <w:rPr>
          <w:rFonts w:ascii="Arial" w:hAnsi="Arial" w:cs="Arial"/>
          <w:b/>
          <w:sz w:val="24"/>
          <w:szCs w:val="24"/>
        </w:rPr>
      </w:pPr>
      <w:r w:rsidRPr="00FF5EA3">
        <w:rPr>
          <w:rFonts w:ascii="Arial" w:hAnsi="Arial" w:cs="Arial"/>
          <w:sz w:val="24"/>
          <w:szCs w:val="24"/>
        </w:rPr>
        <w:tab/>
      </w:r>
      <w:r w:rsidRPr="00FF5EA3">
        <w:rPr>
          <w:rFonts w:ascii="Arial" w:hAnsi="Arial" w:cs="Arial"/>
          <w:b/>
          <w:sz w:val="24"/>
          <w:szCs w:val="24"/>
        </w:rPr>
        <w:t>I.1.1.1.3. Pulberi în suspensie – PM</w:t>
      </w:r>
      <w:r w:rsidRPr="00FF5EA3">
        <w:rPr>
          <w:rFonts w:ascii="Arial" w:hAnsi="Arial" w:cs="Arial"/>
          <w:b/>
          <w:sz w:val="24"/>
          <w:szCs w:val="24"/>
          <w:vertAlign w:val="subscript"/>
        </w:rPr>
        <w:t>10</w:t>
      </w:r>
      <w:r w:rsidRPr="00FF5EA3">
        <w:rPr>
          <w:rFonts w:ascii="Arial" w:hAnsi="Arial" w:cs="Arial"/>
          <w:b/>
          <w:sz w:val="24"/>
          <w:szCs w:val="24"/>
        </w:rPr>
        <w:t xml:space="preserve"> şi PM</w:t>
      </w:r>
      <w:r w:rsidRPr="00FF5EA3">
        <w:rPr>
          <w:rFonts w:ascii="Arial" w:hAnsi="Arial" w:cs="Arial"/>
          <w:b/>
          <w:sz w:val="24"/>
          <w:szCs w:val="24"/>
          <w:vertAlign w:val="subscript"/>
        </w:rPr>
        <w:t>2,</w:t>
      </w:r>
      <w:r w:rsidRPr="0027518A">
        <w:rPr>
          <w:rFonts w:ascii="Arial" w:hAnsi="Arial" w:cs="Arial"/>
          <w:b/>
          <w:sz w:val="24"/>
          <w:szCs w:val="24"/>
          <w:vertAlign w:val="subscript"/>
        </w:rPr>
        <w:t>5</w:t>
      </w:r>
      <w:r w:rsidRPr="00717595">
        <w:rPr>
          <w:rFonts w:ascii="Arial" w:hAnsi="Arial" w:cs="Arial"/>
          <w:b/>
          <w:sz w:val="24"/>
          <w:szCs w:val="24"/>
        </w:rPr>
        <w:t>(gravimetric şi nefelometric)</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rPr>
      </w:pPr>
      <w:r w:rsidRPr="0027518A">
        <w:rPr>
          <w:rFonts w:ascii="Arial" w:hAnsi="Arial" w:cs="Arial"/>
          <w:sz w:val="24"/>
          <w:szCs w:val="24"/>
        </w:rPr>
        <w:t xml:space="preserve">Particulele în suspensie din atmosferă, sunt poluanţi ce se transportă pe distanţe lungi, proveniţi din cauze naturale, ca de exemplu antrenarea particulelor de la suprafaţa solului de către vânt, sau din surse antropice cum ar fi: arderile din sectorul energetic, procesele de producţie (industria chimică,etc), şantierele de construcţii, transportul rutier, haldele şi depozitele de deşeuri industriale şi municipale, sisteme de încălzire individuale, îndeosebi cele care utilizează combustibili solizi, etc. </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rPr>
      </w:pPr>
      <w:r w:rsidRPr="0027518A">
        <w:rPr>
          <w:rFonts w:ascii="Arial" w:hAnsi="Arial" w:cs="Arial"/>
          <w:sz w:val="24"/>
          <w:szCs w:val="24"/>
        </w:rPr>
        <w:t>Natura acestor particule este foarte diversă. Astfel, ele pot conţine particule de carbon (funingine), metale grele (plumb, cadmiu, crom, mangan etc.), oxizi de fier, sulfaţi, dar şi alte noxe toxice, unele dintre acestea având efecte cancerigene</w:t>
      </w:r>
      <w:r>
        <w:rPr>
          <w:rFonts w:ascii="Arial" w:hAnsi="Arial" w:cs="Arial"/>
          <w:sz w:val="24"/>
          <w:szCs w:val="24"/>
        </w:rPr>
        <w:t>.</w:t>
      </w:r>
    </w:p>
    <w:p w:rsidR="000645BF" w:rsidRPr="0027518A" w:rsidRDefault="000645BF" w:rsidP="000645BF">
      <w:pPr>
        <w:spacing w:after="0" w:line="240" w:lineRule="auto"/>
        <w:ind w:firstLine="720"/>
        <w:jc w:val="both"/>
        <w:rPr>
          <w:rFonts w:ascii="Arial" w:hAnsi="Arial" w:cs="Arial"/>
          <w:sz w:val="24"/>
          <w:szCs w:val="24"/>
        </w:rPr>
      </w:pPr>
      <w:r w:rsidRPr="0027518A">
        <w:rPr>
          <w:rFonts w:ascii="Arial" w:hAnsi="Arial" w:cs="Arial"/>
          <w:sz w:val="24"/>
          <w:szCs w:val="24"/>
        </w:rPr>
        <w:t>Monitorizarea particulelor în suspensie s-a realizat pe parcursul anului 2017, în cele cinci staţii automate de monitorizare a calităţii aerului şi a fost urmărită :</w:t>
      </w:r>
    </w:p>
    <w:p w:rsidR="000645BF" w:rsidRPr="0027518A" w:rsidRDefault="000645BF" w:rsidP="000645BF">
      <w:pPr>
        <w:numPr>
          <w:ilvl w:val="0"/>
          <w:numId w:val="7"/>
        </w:numPr>
        <w:spacing w:after="0" w:line="240" w:lineRule="auto"/>
        <w:jc w:val="both"/>
        <w:rPr>
          <w:rFonts w:ascii="Arial" w:hAnsi="Arial" w:cs="Arial"/>
          <w:sz w:val="24"/>
          <w:szCs w:val="24"/>
        </w:rPr>
      </w:pPr>
      <w:r w:rsidRPr="0027518A">
        <w:rPr>
          <w:rFonts w:ascii="Arial" w:hAnsi="Arial" w:cs="Arial"/>
          <w:sz w:val="24"/>
          <w:szCs w:val="24"/>
        </w:rPr>
        <w:t>fracţia PM</w:t>
      </w:r>
      <w:r w:rsidRPr="0027518A">
        <w:rPr>
          <w:rFonts w:ascii="Arial" w:hAnsi="Arial" w:cs="Arial"/>
          <w:sz w:val="24"/>
          <w:szCs w:val="24"/>
          <w:vertAlign w:val="subscript"/>
        </w:rPr>
        <w:t>10</w:t>
      </w:r>
      <w:r w:rsidRPr="0027518A">
        <w:rPr>
          <w:rFonts w:ascii="Arial" w:hAnsi="Arial" w:cs="Arial"/>
          <w:sz w:val="24"/>
          <w:szCs w:val="24"/>
        </w:rPr>
        <w:t>, prin măsurări nefelometrice (staţiile BR1, BR2, BR3, BR4, BR5) şi determinări gravimetrice (staţiile BR1, BR2, BR3, BR4).</w:t>
      </w:r>
    </w:p>
    <w:p w:rsidR="000645BF" w:rsidRPr="0027518A" w:rsidRDefault="000645BF" w:rsidP="000645BF">
      <w:pPr>
        <w:numPr>
          <w:ilvl w:val="0"/>
          <w:numId w:val="7"/>
        </w:numPr>
        <w:spacing w:after="0" w:line="240" w:lineRule="auto"/>
        <w:jc w:val="both"/>
        <w:rPr>
          <w:rFonts w:ascii="Arial" w:hAnsi="Arial" w:cs="Arial"/>
          <w:sz w:val="24"/>
          <w:szCs w:val="24"/>
        </w:rPr>
      </w:pPr>
      <w:r w:rsidRPr="0027518A">
        <w:rPr>
          <w:rFonts w:ascii="Arial" w:hAnsi="Arial" w:cs="Arial"/>
          <w:sz w:val="24"/>
          <w:szCs w:val="24"/>
        </w:rPr>
        <w:t>fracţia PM</w:t>
      </w:r>
      <w:r w:rsidRPr="0027518A">
        <w:rPr>
          <w:rFonts w:ascii="Arial" w:hAnsi="Arial" w:cs="Arial"/>
          <w:sz w:val="24"/>
          <w:szCs w:val="24"/>
          <w:vertAlign w:val="subscript"/>
        </w:rPr>
        <w:t xml:space="preserve">2,5 </w:t>
      </w:r>
      <w:r w:rsidRPr="0027518A">
        <w:rPr>
          <w:rFonts w:ascii="Arial" w:hAnsi="Arial" w:cs="Arial"/>
          <w:sz w:val="24"/>
          <w:szCs w:val="24"/>
        </w:rPr>
        <w:t>prin determinări gravimetrice la staţia BR2.</w:t>
      </w:r>
    </w:p>
    <w:p w:rsidR="000645BF" w:rsidRPr="0027518A" w:rsidRDefault="000645BF" w:rsidP="000645BF">
      <w:pPr>
        <w:autoSpaceDE w:val="0"/>
        <w:autoSpaceDN w:val="0"/>
        <w:adjustRightInd w:val="0"/>
        <w:spacing w:after="0" w:line="240" w:lineRule="auto"/>
        <w:ind w:firstLine="720"/>
        <w:jc w:val="both"/>
        <w:rPr>
          <w:rFonts w:ascii="Arial" w:hAnsi="Arial" w:cs="Arial"/>
          <w:i/>
          <w:sz w:val="24"/>
          <w:szCs w:val="24"/>
          <w:lang w:val="it-IT"/>
        </w:rPr>
      </w:pPr>
      <w:r w:rsidRPr="0027518A">
        <w:rPr>
          <w:rFonts w:ascii="Arial" w:hAnsi="Arial" w:cs="Arial"/>
          <w:sz w:val="24"/>
          <w:szCs w:val="24"/>
        </w:rPr>
        <w:t xml:space="preserve">Măsurările automate (prin metoda nefelometrică) au scop informativ, iar depăşirile înregistrate pot fi confirmate/infirmate ulterior de către rezultatul analizei prin metoda de referinţă gravimetrică. </w:t>
      </w:r>
      <w:r w:rsidRPr="0027518A">
        <w:rPr>
          <w:rFonts w:ascii="Arial" w:hAnsi="Arial" w:cs="Arial"/>
          <w:sz w:val="24"/>
          <w:szCs w:val="24"/>
          <w:lang w:val="it-IT"/>
        </w:rPr>
        <w:t>Precizăm că măsurările nefelometrice nu constituie bază de prelucrări statistice definitive</w:t>
      </w:r>
      <w:r w:rsidRPr="0027518A">
        <w:rPr>
          <w:rFonts w:ascii="Arial" w:hAnsi="Arial" w:cs="Arial"/>
          <w:i/>
          <w:sz w:val="24"/>
          <w:szCs w:val="24"/>
          <w:lang w:val="it-IT"/>
        </w:rPr>
        <w:t xml:space="preserve">. </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lang w:val="it-IT"/>
        </w:rPr>
      </w:pPr>
      <w:r w:rsidRPr="0027518A">
        <w:rPr>
          <w:rFonts w:ascii="Arial" w:hAnsi="Arial" w:cs="Arial"/>
          <w:sz w:val="24"/>
          <w:szCs w:val="24"/>
          <w:lang w:val="it-IT"/>
        </w:rPr>
        <w:t>În cazul măsurărilor automate a particulelor PM</w:t>
      </w:r>
      <w:r w:rsidRPr="0027518A">
        <w:rPr>
          <w:rFonts w:ascii="Arial" w:hAnsi="Arial" w:cs="Arial"/>
          <w:sz w:val="24"/>
          <w:szCs w:val="24"/>
          <w:vertAlign w:val="subscript"/>
          <w:lang w:val="it-IT"/>
        </w:rPr>
        <w:t>10</w:t>
      </w:r>
      <w:r w:rsidRPr="0027518A">
        <w:rPr>
          <w:rFonts w:ascii="Arial" w:hAnsi="Arial" w:cs="Arial"/>
          <w:sz w:val="24"/>
          <w:szCs w:val="24"/>
          <w:lang w:val="it-IT"/>
        </w:rPr>
        <w:t xml:space="preserve"> a fost atins obiectivul de calitate în ceea ce priveşte captura minimă de date conform Anexei 4 la legea 104/2011, la toate staţiile APM Brăila. În cazul măsurărilor gravimetrice nu a fost atins obiectivul de calitate pentru PM</w:t>
      </w:r>
      <w:r w:rsidRPr="0027518A">
        <w:rPr>
          <w:rFonts w:ascii="Arial" w:hAnsi="Arial" w:cs="Arial"/>
          <w:sz w:val="24"/>
          <w:szCs w:val="24"/>
          <w:vertAlign w:val="subscript"/>
          <w:lang w:val="it-IT"/>
        </w:rPr>
        <w:t>10</w:t>
      </w:r>
      <w:r w:rsidRPr="0027518A">
        <w:rPr>
          <w:rFonts w:ascii="Arial" w:hAnsi="Arial" w:cs="Arial"/>
          <w:sz w:val="24"/>
          <w:szCs w:val="24"/>
          <w:lang w:val="it-IT"/>
        </w:rPr>
        <w:t xml:space="preserve"> la staţiile </w:t>
      </w:r>
      <w:r>
        <w:rPr>
          <w:rFonts w:ascii="Arial" w:hAnsi="Arial" w:cs="Arial"/>
          <w:sz w:val="24"/>
          <w:szCs w:val="24"/>
          <w:lang w:val="it-IT"/>
        </w:rPr>
        <w:t xml:space="preserve">BR2,BR4 </w:t>
      </w:r>
      <w:r w:rsidRPr="0027518A">
        <w:rPr>
          <w:rFonts w:ascii="Arial" w:hAnsi="Arial" w:cs="Arial"/>
          <w:sz w:val="24"/>
          <w:szCs w:val="24"/>
          <w:lang w:val="it-IT"/>
        </w:rPr>
        <w:t>realizându-se o captură de date de 72,89% si respectiv 60,82%, iar  pentru particule PM</w:t>
      </w:r>
      <w:r w:rsidRPr="0027518A">
        <w:rPr>
          <w:rFonts w:ascii="Arial" w:hAnsi="Arial" w:cs="Arial"/>
          <w:sz w:val="24"/>
          <w:szCs w:val="24"/>
          <w:vertAlign w:val="subscript"/>
          <w:lang w:val="it-IT"/>
        </w:rPr>
        <w:t>2,5</w:t>
      </w:r>
      <w:r w:rsidRPr="0027518A">
        <w:rPr>
          <w:rFonts w:ascii="Arial" w:hAnsi="Arial" w:cs="Arial"/>
          <w:sz w:val="24"/>
          <w:szCs w:val="24"/>
          <w:lang w:val="it-IT"/>
        </w:rPr>
        <w:t xml:space="preserve"> s-a realizat o captură de 66,85%.</w:t>
      </w:r>
    </w:p>
    <w:p w:rsidR="000645BF" w:rsidRPr="0027518A" w:rsidRDefault="000645BF" w:rsidP="000645BF">
      <w:pPr>
        <w:spacing w:after="0" w:line="240" w:lineRule="auto"/>
        <w:ind w:firstLine="720"/>
        <w:jc w:val="both"/>
        <w:rPr>
          <w:rFonts w:ascii="Arial" w:hAnsi="Arial" w:cs="Arial"/>
          <w:b/>
          <w:i/>
          <w:sz w:val="24"/>
          <w:szCs w:val="24"/>
          <w:lang w:val="fr-FR"/>
        </w:rPr>
      </w:pPr>
      <w:r w:rsidRPr="0027518A">
        <w:rPr>
          <w:rFonts w:ascii="Arial" w:hAnsi="Arial" w:cs="Arial"/>
          <w:i/>
          <w:sz w:val="24"/>
          <w:szCs w:val="24"/>
          <w:lang w:val="fr-FR"/>
        </w:rPr>
        <w:t>Concentraţiile de particule în suspensie PM</w:t>
      </w:r>
      <w:r w:rsidRPr="0027518A">
        <w:rPr>
          <w:rFonts w:ascii="Arial" w:hAnsi="Arial" w:cs="Arial"/>
          <w:i/>
          <w:sz w:val="24"/>
          <w:szCs w:val="24"/>
          <w:vertAlign w:val="subscript"/>
          <w:lang w:val="fr-FR"/>
        </w:rPr>
        <w:t>10</w:t>
      </w:r>
      <w:r w:rsidRPr="0027518A">
        <w:rPr>
          <w:rFonts w:ascii="Arial" w:hAnsi="Arial" w:cs="Arial"/>
          <w:i/>
          <w:sz w:val="24"/>
          <w:szCs w:val="24"/>
          <w:lang w:val="fr-FR"/>
        </w:rPr>
        <w:t xml:space="preserve"> din aerul înconjurător se evaluează, conform Legii nr. 104/2011, folosind </w:t>
      </w:r>
      <w:r w:rsidRPr="0027518A">
        <w:rPr>
          <w:rFonts w:ascii="Arial" w:hAnsi="Arial" w:cs="Arial"/>
          <w:i/>
          <w:iCs/>
          <w:sz w:val="24"/>
          <w:szCs w:val="24"/>
          <w:lang w:val="fr-FR"/>
        </w:rPr>
        <w:t>valoarea limită zilnică (</w:t>
      </w:r>
      <w:r w:rsidRPr="0027518A">
        <w:rPr>
          <w:rFonts w:ascii="Arial" w:hAnsi="Arial" w:cs="Arial"/>
          <w:b/>
          <w:i/>
          <w:iCs/>
          <w:sz w:val="24"/>
          <w:szCs w:val="24"/>
          <w:lang w:val="fr-FR"/>
        </w:rPr>
        <w:t xml:space="preserve">50 </w:t>
      </w:r>
      <w:r w:rsidRPr="0027518A">
        <w:rPr>
          <w:rFonts w:ascii="Arial" w:hAnsi="Arial" w:cs="Arial"/>
          <w:b/>
          <w:i/>
          <w:iCs/>
          <w:sz w:val="24"/>
          <w:szCs w:val="24"/>
        </w:rPr>
        <w:t>μ</w:t>
      </w:r>
      <w:r w:rsidRPr="0027518A">
        <w:rPr>
          <w:rFonts w:ascii="Arial" w:hAnsi="Arial" w:cs="Arial"/>
          <w:b/>
          <w:i/>
          <w:iCs/>
          <w:sz w:val="24"/>
          <w:szCs w:val="24"/>
          <w:lang w:val="fr-FR"/>
        </w:rPr>
        <w:t>g/mc</w:t>
      </w:r>
      <w:r w:rsidRPr="0027518A">
        <w:rPr>
          <w:rFonts w:ascii="Arial" w:hAnsi="Arial" w:cs="Arial"/>
          <w:i/>
          <w:iCs/>
          <w:sz w:val="24"/>
          <w:szCs w:val="24"/>
          <w:lang w:val="fr-FR"/>
        </w:rPr>
        <w:t xml:space="preserve">) </w:t>
      </w:r>
      <w:r w:rsidRPr="0027518A">
        <w:rPr>
          <w:rFonts w:ascii="Arial" w:hAnsi="Arial" w:cs="Arial"/>
          <w:i/>
          <w:sz w:val="24"/>
          <w:szCs w:val="24"/>
          <w:lang w:val="fr-FR"/>
        </w:rPr>
        <w:t xml:space="preserve">care nu trebuie depăşită mai mult de 35 ori/an şi </w:t>
      </w:r>
      <w:r w:rsidRPr="0027518A">
        <w:rPr>
          <w:rFonts w:ascii="Arial" w:hAnsi="Arial" w:cs="Arial"/>
          <w:i/>
          <w:iCs/>
          <w:sz w:val="24"/>
          <w:szCs w:val="24"/>
          <w:lang w:val="fr-FR"/>
        </w:rPr>
        <w:t>valoarea limită anuală, determinată gravimetric (</w:t>
      </w:r>
      <w:r w:rsidRPr="0027518A">
        <w:rPr>
          <w:rFonts w:ascii="Arial" w:hAnsi="Arial" w:cs="Arial"/>
          <w:b/>
          <w:i/>
          <w:iCs/>
          <w:sz w:val="24"/>
          <w:szCs w:val="24"/>
          <w:lang w:val="fr-FR"/>
        </w:rPr>
        <w:t xml:space="preserve">40 </w:t>
      </w:r>
      <w:r w:rsidRPr="0027518A">
        <w:rPr>
          <w:rFonts w:ascii="Arial" w:hAnsi="Arial" w:cs="Arial"/>
          <w:b/>
          <w:i/>
          <w:iCs/>
          <w:sz w:val="24"/>
          <w:szCs w:val="24"/>
        </w:rPr>
        <w:t>μ</w:t>
      </w:r>
      <w:r w:rsidRPr="0027518A">
        <w:rPr>
          <w:rFonts w:ascii="Arial" w:hAnsi="Arial" w:cs="Arial"/>
          <w:b/>
          <w:i/>
          <w:iCs/>
          <w:sz w:val="24"/>
          <w:szCs w:val="24"/>
          <w:lang w:val="fr-FR"/>
        </w:rPr>
        <w:t>g/mc</w:t>
      </w:r>
      <w:r w:rsidRPr="0027518A">
        <w:rPr>
          <w:rFonts w:ascii="Arial" w:hAnsi="Arial" w:cs="Arial"/>
          <w:i/>
          <w:iCs/>
          <w:sz w:val="24"/>
          <w:szCs w:val="24"/>
          <w:lang w:val="fr-FR"/>
        </w:rPr>
        <w:t>).</w:t>
      </w:r>
    </w:p>
    <w:p w:rsidR="000645BF" w:rsidRPr="0027518A" w:rsidRDefault="000645BF" w:rsidP="000645BF">
      <w:pPr>
        <w:autoSpaceDE w:val="0"/>
        <w:autoSpaceDN w:val="0"/>
        <w:adjustRightInd w:val="0"/>
        <w:spacing w:after="0" w:line="240" w:lineRule="auto"/>
        <w:rPr>
          <w:rFonts w:ascii="Arial" w:hAnsi="Arial" w:cs="Arial"/>
          <w:b/>
          <w:sz w:val="24"/>
          <w:szCs w:val="24"/>
        </w:rPr>
      </w:pPr>
      <w:r w:rsidRPr="0027518A">
        <w:rPr>
          <w:rFonts w:ascii="Arial" w:hAnsi="Arial" w:cs="Arial"/>
          <w:b/>
          <w:sz w:val="24"/>
          <w:szCs w:val="24"/>
          <w:lang w:val="fr-FR"/>
        </w:rPr>
        <w:lastRenderedPageBreak/>
        <w:tab/>
      </w:r>
      <w:r w:rsidRPr="0027518A">
        <w:rPr>
          <w:rFonts w:ascii="Arial" w:hAnsi="Arial" w:cs="Arial"/>
          <w:sz w:val="24"/>
          <w:szCs w:val="24"/>
          <w:lang w:val="fr-FR"/>
        </w:rPr>
        <w:t xml:space="preserve">Rezultatele monitorizării calităţii aerului în anul 2017 în municipiul Brăila, au evidenţiat </w:t>
      </w:r>
      <w:r w:rsidRPr="0027518A">
        <w:rPr>
          <w:rFonts w:ascii="Arial" w:hAnsi="Arial" w:cs="Arial"/>
          <w:sz w:val="24"/>
          <w:szCs w:val="24"/>
        </w:rPr>
        <w:t xml:space="preserve">un număr total de </w:t>
      </w:r>
      <w:r w:rsidRPr="0027518A">
        <w:rPr>
          <w:rFonts w:ascii="Arial" w:hAnsi="Arial" w:cs="Arial"/>
          <w:b/>
          <w:bCs/>
          <w:sz w:val="24"/>
          <w:szCs w:val="24"/>
        </w:rPr>
        <w:t xml:space="preserve">12 </w:t>
      </w:r>
      <w:r w:rsidRPr="0027518A">
        <w:rPr>
          <w:rFonts w:ascii="Arial" w:hAnsi="Arial" w:cs="Arial"/>
          <w:sz w:val="24"/>
          <w:szCs w:val="24"/>
        </w:rPr>
        <w:t>depăşiri ale valorii limită zilnice pentru protecţia sănătăţii umane la indicatorul particule în suspensie PM</w:t>
      </w:r>
      <w:r w:rsidRPr="0027518A">
        <w:rPr>
          <w:rFonts w:ascii="Arial" w:hAnsi="Arial" w:cs="Arial"/>
          <w:sz w:val="24"/>
          <w:szCs w:val="24"/>
          <w:vertAlign w:val="subscript"/>
        </w:rPr>
        <w:t>10</w:t>
      </w:r>
      <w:r w:rsidRPr="0027518A">
        <w:rPr>
          <w:rFonts w:ascii="Arial" w:hAnsi="Arial" w:cs="Arial"/>
          <w:sz w:val="24"/>
          <w:szCs w:val="24"/>
        </w:rPr>
        <w:t xml:space="preserve"> înregistrate la staţiile de monitorizare (BR1, BR3 si BR5)</w:t>
      </w:r>
      <w:r w:rsidRPr="0027518A">
        <w:rPr>
          <w:rFonts w:ascii="Arial" w:hAnsi="Arial" w:cs="Arial"/>
          <w:b/>
          <w:bCs/>
          <w:i/>
          <w:iCs/>
          <w:sz w:val="24"/>
          <w:szCs w:val="24"/>
        </w:rPr>
        <w:t>.</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rPr>
      </w:pPr>
      <w:r w:rsidRPr="0027518A">
        <w:rPr>
          <w:rFonts w:ascii="Arial" w:hAnsi="Arial" w:cs="Arial"/>
          <w:sz w:val="24"/>
          <w:szCs w:val="24"/>
        </w:rPr>
        <w:t>În anul 2017 se observă că numărul de depăşiri ale valorii limită zilnice la indicatorul particule în suspensie PM</w:t>
      </w:r>
      <w:r w:rsidRPr="0027518A">
        <w:rPr>
          <w:rFonts w:ascii="Arial" w:hAnsi="Arial" w:cs="Arial"/>
          <w:sz w:val="24"/>
          <w:szCs w:val="24"/>
          <w:vertAlign w:val="subscript"/>
        </w:rPr>
        <w:t>10</w:t>
      </w:r>
      <w:r w:rsidRPr="0027518A">
        <w:rPr>
          <w:rFonts w:ascii="Arial" w:hAnsi="Arial" w:cs="Arial"/>
          <w:sz w:val="24"/>
          <w:szCs w:val="24"/>
        </w:rPr>
        <w:t xml:space="preserve"> s-a situat sub numărul de 35 stabilit conform Legii nr. 104/2011 privind calitatea aerului înconjurător. Trebuie menţionat faptul că în legislaţia în vigoare referitoare la calitatea aerului ambiental este permis un număr maxim de 35 depăşiri ale valorii limită zilnice, într-un an calendaristic, în fiecare punct de monitorizare.</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rPr>
      </w:pPr>
      <w:r w:rsidRPr="0027518A">
        <w:rPr>
          <w:rFonts w:ascii="Arial" w:hAnsi="Arial" w:cs="Arial"/>
          <w:sz w:val="24"/>
          <w:szCs w:val="24"/>
        </w:rPr>
        <w:t xml:space="preserve">În anul 2017, rezultatele monitorizării calităţii aerului, în municipiul Brăila, nu a evidenţiat valori care să depăşească valoarea limită anuală la indicatorul </w:t>
      </w:r>
      <w:r w:rsidRPr="0027518A">
        <w:rPr>
          <w:rFonts w:ascii="Arial" w:hAnsi="Arial" w:cs="Arial"/>
          <w:i/>
          <w:sz w:val="24"/>
          <w:szCs w:val="24"/>
        </w:rPr>
        <w:t xml:space="preserve">particule în suspensie </w:t>
      </w:r>
      <w:r w:rsidRPr="0027518A">
        <w:rPr>
          <w:rFonts w:ascii="Arial" w:hAnsi="Arial" w:cs="Arial"/>
          <w:i/>
          <w:iCs/>
          <w:sz w:val="24"/>
          <w:szCs w:val="24"/>
        </w:rPr>
        <w:t>PM</w:t>
      </w:r>
      <w:r w:rsidRPr="0027518A">
        <w:rPr>
          <w:rFonts w:ascii="Arial" w:hAnsi="Arial" w:cs="Arial"/>
          <w:i/>
          <w:iCs/>
          <w:sz w:val="24"/>
          <w:szCs w:val="24"/>
          <w:vertAlign w:val="subscript"/>
        </w:rPr>
        <w:t>10</w:t>
      </w:r>
      <w:r w:rsidRPr="0027518A">
        <w:rPr>
          <w:rFonts w:ascii="Arial" w:hAnsi="Arial" w:cs="Arial"/>
          <w:sz w:val="24"/>
          <w:szCs w:val="24"/>
        </w:rPr>
        <w:t>.</w:t>
      </w:r>
    </w:p>
    <w:p w:rsidR="000645BF" w:rsidRPr="0027518A" w:rsidRDefault="000645BF" w:rsidP="000645BF">
      <w:pPr>
        <w:autoSpaceDE w:val="0"/>
        <w:autoSpaceDN w:val="0"/>
        <w:adjustRightInd w:val="0"/>
        <w:spacing w:after="0" w:line="240" w:lineRule="auto"/>
        <w:ind w:firstLine="720"/>
        <w:jc w:val="both"/>
        <w:rPr>
          <w:rFonts w:ascii="Arial" w:hAnsi="Arial" w:cs="Arial"/>
          <w:sz w:val="24"/>
          <w:szCs w:val="24"/>
        </w:rPr>
      </w:pP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018567" cy="1903228"/>
            <wp:effectExtent l="0" t="0" r="0" b="0"/>
            <wp:docPr id="12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45BF" w:rsidRPr="009E0929" w:rsidRDefault="000645BF" w:rsidP="000645BF">
      <w:pPr>
        <w:tabs>
          <w:tab w:val="left" w:pos="0"/>
        </w:tabs>
        <w:ind w:right="31"/>
        <w:jc w:val="center"/>
        <w:rPr>
          <w:rFonts w:ascii="Arial" w:hAnsi="Arial" w:cs="Arial"/>
          <w:b/>
          <w:sz w:val="24"/>
          <w:szCs w:val="24"/>
        </w:rPr>
      </w:pPr>
      <w:r w:rsidRPr="003B4FF4">
        <w:rPr>
          <w:rFonts w:ascii="Arial" w:hAnsi="Arial" w:cs="Arial"/>
          <w:b/>
          <w:sz w:val="24"/>
          <w:szCs w:val="24"/>
        </w:rPr>
        <w:t>Fig.I.1.1.1.3.1</w:t>
      </w:r>
      <w:r w:rsidRPr="009E0929">
        <w:rPr>
          <w:rFonts w:ascii="Arial" w:hAnsi="Arial" w:cs="Arial"/>
          <w:sz w:val="24"/>
          <w:szCs w:val="24"/>
        </w:rPr>
        <w:t>. Concentraţia medie anuală PM</w:t>
      </w:r>
      <w:r w:rsidRPr="009E0929">
        <w:rPr>
          <w:rFonts w:ascii="Arial" w:hAnsi="Arial" w:cs="Arial"/>
          <w:sz w:val="24"/>
          <w:szCs w:val="24"/>
          <w:vertAlign w:val="subscript"/>
        </w:rPr>
        <w:t xml:space="preserve">10 </w:t>
      </w:r>
      <w:r w:rsidRPr="009E0929">
        <w:rPr>
          <w:rFonts w:ascii="Arial" w:hAnsi="Arial" w:cs="Arial"/>
          <w:sz w:val="24"/>
          <w:szCs w:val="24"/>
        </w:rPr>
        <w:t>nefelometric în anul 2017</w:t>
      </w:r>
    </w:p>
    <w:p w:rsidR="000645BF" w:rsidRPr="003B4FF4" w:rsidRDefault="000645BF" w:rsidP="000645BF">
      <w:pPr>
        <w:tabs>
          <w:tab w:val="num" w:pos="0"/>
        </w:tabs>
        <w:spacing w:after="0" w:line="240" w:lineRule="auto"/>
        <w:rPr>
          <w:rFonts w:ascii="Arial" w:hAnsi="Arial" w:cs="Arial"/>
          <w:b/>
          <w:sz w:val="24"/>
          <w:szCs w:val="24"/>
        </w:rPr>
      </w:pPr>
      <w:r>
        <w:rPr>
          <w:rFonts w:ascii="Arial" w:hAnsi="Arial" w:cs="Arial"/>
          <w:b/>
          <w:sz w:val="24"/>
          <w:szCs w:val="24"/>
        </w:rPr>
        <w:t xml:space="preserve">                 </w:t>
      </w:r>
      <w:r w:rsidRPr="003B4FF4">
        <w:rPr>
          <w:rFonts w:ascii="Arial" w:hAnsi="Arial" w:cs="Arial"/>
          <w:b/>
          <w:sz w:val="24"/>
          <w:szCs w:val="24"/>
        </w:rPr>
        <w:t>Tabel I.1.1.1.3.1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0645BF" w:rsidRPr="009E0929" w:rsidTr="004E444C">
        <w:trPr>
          <w:jc w:val="center"/>
        </w:trPr>
        <w:tc>
          <w:tcPr>
            <w:tcW w:w="3381" w:type="dxa"/>
            <w:vAlign w:val="center"/>
          </w:tcPr>
          <w:p w:rsidR="000645BF" w:rsidRPr="009E0929" w:rsidRDefault="000645BF" w:rsidP="004E444C">
            <w:pPr>
              <w:tabs>
                <w:tab w:val="num" w:pos="0"/>
              </w:tabs>
              <w:spacing w:after="0" w:line="240" w:lineRule="auto"/>
              <w:rPr>
                <w:rFonts w:ascii="Arial" w:hAnsi="Arial" w:cs="Arial"/>
                <w:sz w:val="24"/>
                <w:szCs w:val="24"/>
              </w:rPr>
            </w:pPr>
            <w:r w:rsidRPr="009E0929">
              <w:rPr>
                <w:rFonts w:ascii="Arial" w:hAnsi="Arial" w:cs="Arial"/>
                <w:b/>
                <w:sz w:val="24"/>
                <w:szCs w:val="24"/>
              </w:rPr>
              <w:t>PM</w:t>
            </w:r>
            <w:r w:rsidRPr="009E0929">
              <w:rPr>
                <w:rFonts w:ascii="Arial" w:hAnsi="Arial" w:cs="Arial"/>
                <w:b/>
                <w:sz w:val="24"/>
                <w:szCs w:val="24"/>
                <w:vertAlign w:val="subscript"/>
              </w:rPr>
              <w:t>10</w:t>
            </w:r>
            <w:r w:rsidRPr="009E0929">
              <w:rPr>
                <w:rFonts w:ascii="Arial" w:hAnsi="Arial" w:cs="Arial"/>
                <w:b/>
                <w:sz w:val="24"/>
                <w:szCs w:val="24"/>
              </w:rPr>
              <w:t xml:space="preserve"> nefelometric</w:t>
            </w:r>
            <w:r w:rsidRPr="009E0929">
              <w:rPr>
                <w:rFonts w:ascii="Arial" w:hAnsi="Arial" w:cs="Arial"/>
                <w:sz w:val="24"/>
                <w:szCs w:val="24"/>
              </w:rPr>
              <w:t xml:space="preserve"> (</w:t>
            </w:r>
            <w:r w:rsidRPr="009E0929">
              <w:rPr>
                <w:rFonts w:ascii="Arial" w:hAnsi="Arial" w:cs="Arial"/>
                <w:sz w:val="24"/>
                <w:szCs w:val="24"/>
              </w:rPr>
              <w:sym w:font="Symbol" w:char="F06D"/>
            </w:r>
            <w:r w:rsidRPr="009E0929">
              <w:rPr>
                <w:rFonts w:ascii="Arial" w:hAnsi="Arial" w:cs="Arial"/>
                <w:sz w:val="24"/>
                <w:szCs w:val="24"/>
              </w:rPr>
              <w:t>g/mc)</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BR1</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BR2</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BR3</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BR4</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BR5</w:t>
            </w:r>
          </w:p>
        </w:tc>
      </w:tr>
      <w:tr w:rsidR="000645BF" w:rsidRPr="009E0929" w:rsidTr="004E444C">
        <w:trPr>
          <w:jc w:val="center"/>
        </w:trPr>
        <w:tc>
          <w:tcPr>
            <w:tcW w:w="3381" w:type="dxa"/>
            <w:vAlign w:val="center"/>
          </w:tcPr>
          <w:p w:rsidR="000645BF" w:rsidRPr="009E0929" w:rsidRDefault="000645BF" w:rsidP="004E444C">
            <w:pPr>
              <w:tabs>
                <w:tab w:val="num" w:pos="0"/>
              </w:tabs>
              <w:spacing w:after="0" w:line="240" w:lineRule="auto"/>
              <w:rPr>
                <w:rFonts w:ascii="Arial" w:hAnsi="Arial" w:cs="Arial"/>
                <w:sz w:val="24"/>
                <w:szCs w:val="24"/>
              </w:rPr>
            </w:pPr>
            <w:r w:rsidRPr="009E0929">
              <w:rPr>
                <w:rFonts w:ascii="Arial" w:hAnsi="Arial" w:cs="Arial"/>
                <w:sz w:val="24"/>
                <w:szCs w:val="24"/>
              </w:rPr>
              <w:t>2017 Medii anuale</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21,79</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19,11</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22,09</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18,86</w:t>
            </w:r>
          </w:p>
        </w:tc>
        <w:tc>
          <w:tcPr>
            <w:tcW w:w="951" w:type="dxa"/>
            <w:tcBorders>
              <w:bottom w:val="single" w:sz="4" w:space="0" w:color="auto"/>
            </w:tcBorders>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22,54</w:t>
            </w:r>
          </w:p>
        </w:tc>
      </w:tr>
    </w:tbl>
    <w:p w:rsidR="000645BF" w:rsidRDefault="000645BF" w:rsidP="000645BF">
      <w:pPr>
        <w:tabs>
          <w:tab w:val="left" w:pos="709"/>
        </w:tabs>
        <w:spacing w:after="0"/>
        <w:ind w:left="720" w:right="31"/>
        <w:rPr>
          <w:rFonts w:ascii="Arial" w:hAnsi="Arial" w:cs="Arial"/>
          <w:b/>
          <w:sz w:val="24"/>
          <w:szCs w:val="24"/>
        </w:rPr>
      </w:pP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429250" cy="2180674"/>
            <wp:effectExtent l="0" t="0" r="0" b="0"/>
            <wp:docPr id="237"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45BF" w:rsidRPr="009E0929" w:rsidRDefault="000645BF" w:rsidP="000645BF">
      <w:pPr>
        <w:tabs>
          <w:tab w:val="left" w:pos="0"/>
        </w:tabs>
        <w:ind w:right="31"/>
        <w:jc w:val="center"/>
        <w:rPr>
          <w:rFonts w:ascii="Arial" w:hAnsi="Arial" w:cs="Arial"/>
          <w:b/>
          <w:sz w:val="24"/>
          <w:szCs w:val="24"/>
        </w:rPr>
      </w:pPr>
      <w:r w:rsidRPr="003B4FF4">
        <w:rPr>
          <w:rFonts w:ascii="Arial" w:hAnsi="Arial" w:cs="Arial"/>
          <w:b/>
          <w:sz w:val="24"/>
          <w:szCs w:val="24"/>
        </w:rPr>
        <w:t>Fig.I.1.1.1.3.2</w:t>
      </w:r>
      <w:r w:rsidRPr="009E0929">
        <w:rPr>
          <w:rFonts w:ascii="Arial" w:hAnsi="Arial" w:cs="Arial"/>
          <w:sz w:val="24"/>
          <w:szCs w:val="24"/>
        </w:rPr>
        <w:t>. Concentraţia medie anuală PM</w:t>
      </w:r>
      <w:r w:rsidRPr="009E0929">
        <w:rPr>
          <w:rFonts w:ascii="Arial" w:hAnsi="Arial" w:cs="Arial"/>
          <w:sz w:val="24"/>
          <w:szCs w:val="24"/>
          <w:vertAlign w:val="subscript"/>
        </w:rPr>
        <w:t>10</w:t>
      </w:r>
      <w:r w:rsidRPr="009E0929">
        <w:rPr>
          <w:rFonts w:ascii="Arial" w:hAnsi="Arial" w:cs="Arial"/>
          <w:sz w:val="24"/>
          <w:szCs w:val="24"/>
        </w:rPr>
        <w:t xml:space="preserve"> gravimetric în anul 2017</w:t>
      </w:r>
    </w:p>
    <w:p w:rsidR="000645BF" w:rsidRPr="003B4FF4" w:rsidRDefault="000645BF" w:rsidP="000645BF">
      <w:pPr>
        <w:tabs>
          <w:tab w:val="num" w:pos="0"/>
        </w:tabs>
        <w:spacing w:after="0" w:line="240" w:lineRule="auto"/>
        <w:jc w:val="right"/>
        <w:rPr>
          <w:rFonts w:ascii="Arial" w:hAnsi="Arial" w:cs="Arial"/>
          <w:b/>
          <w:sz w:val="24"/>
          <w:szCs w:val="24"/>
        </w:rPr>
      </w:pPr>
      <w:r w:rsidRPr="003B4FF4">
        <w:rPr>
          <w:rFonts w:ascii="Arial" w:hAnsi="Arial" w:cs="Arial"/>
          <w:b/>
          <w:sz w:val="24"/>
          <w:szCs w:val="24"/>
        </w:rPr>
        <w:t>Tabel I.1.1.1.3.2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0645BF" w:rsidRPr="009E0929" w:rsidTr="004E444C">
        <w:trPr>
          <w:jc w:val="center"/>
        </w:trPr>
        <w:tc>
          <w:tcPr>
            <w:tcW w:w="3381" w:type="dxa"/>
            <w:vAlign w:val="center"/>
          </w:tcPr>
          <w:p w:rsidR="000645BF" w:rsidRPr="009E0929" w:rsidRDefault="000645BF" w:rsidP="004E444C">
            <w:pPr>
              <w:tabs>
                <w:tab w:val="num" w:pos="0"/>
              </w:tabs>
              <w:spacing w:after="0" w:line="240" w:lineRule="auto"/>
              <w:rPr>
                <w:rFonts w:ascii="Arial" w:hAnsi="Arial" w:cs="Arial"/>
                <w:sz w:val="24"/>
                <w:szCs w:val="24"/>
              </w:rPr>
            </w:pPr>
            <w:r w:rsidRPr="009E0929">
              <w:rPr>
                <w:rFonts w:ascii="Arial" w:hAnsi="Arial" w:cs="Arial"/>
                <w:b/>
                <w:sz w:val="24"/>
                <w:szCs w:val="24"/>
              </w:rPr>
              <w:t>PM</w:t>
            </w:r>
            <w:r w:rsidRPr="009E0929">
              <w:rPr>
                <w:rFonts w:ascii="Arial" w:hAnsi="Arial" w:cs="Arial"/>
                <w:b/>
                <w:sz w:val="24"/>
                <w:szCs w:val="24"/>
                <w:vertAlign w:val="subscript"/>
              </w:rPr>
              <w:t>10</w:t>
            </w:r>
            <w:r w:rsidRPr="009E0929">
              <w:rPr>
                <w:rFonts w:ascii="Arial" w:hAnsi="Arial" w:cs="Arial"/>
                <w:b/>
                <w:sz w:val="24"/>
                <w:szCs w:val="24"/>
              </w:rPr>
              <w:t xml:space="preserve"> gravimetric</w:t>
            </w:r>
            <w:r w:rsidRPr="009E0929">
              <w:rPr>
                <w:rFonts w:ascii="Arial" w:hAnsi="Arial" w:cs="Arial"/>
                <w:sz w:val="24"/>
                <w:szCs w:val="24"/>
              </w:rPr>
              <w:t xml:space="preserve"> (</w:t>
            </w:r>
            <w:r w:rsidRPr="009E0929">
              <w:rPr>
                <w:rFonts w:ascii="Arial" w:hAnsi="Arial" w:cs="Arial"/>
                <w:sz w:val="24"/>
                <w:szCs w:val="24"/>
              </w:rPr>
              <w:sym w:font="Symbol" w:char="F06D"/>
            </w:r>
            <w:r w:rsidRPr="009E0929">
              <w:rPr>
                <w:rFonts w:ascii="Arial" w:hAnsi="Arial" w:cs="Arial"/>
                <w:sz w:val="24"/>
                <w:szCs w:val="24"/>
              </w:rPr>
              <w:t>g/mc)</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BR1</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BR2</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BR3</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BR4</w:t>
            </w:r>
          </w:p>
        </w:tc>
        <w:tc>
          <w:tcPr>
            <w:tcW w:w="951" w:type="dxa"/>
            <w:vAlign w:val="center"/>
          </w:tcPr>
          <w:p w:rsidR="000645BF" w:rsidRPr="009E0929" w:rsidRDefault="000645BF" w:rsidP="004E444C">
            <w:pPr>
              <w:spacing w:after="0" w:line="240" w:lineRule="auto"/>
              <w:jc w:val="center"/>
              <w:rPr>
                <w:rFonts w:ascii="Arial" w:hAnsi="Arial" w:cs="Arial"/>
                <w:b/>
                <w:sz w:val="24"/>
                <w:szCs w:val="24"/>
              </w:rPr>
            </w:pPr>
            <w:r w:rsidRPr="009E0929">
              <w:rPr>
                <w:rFonts w:ascii="Arial" w:hAnsi="Arial" w:cs="Arial"/>
                <w:b/>
                <w:sz w:val="24"/>
                <w:szCs w:val="24"/>
              </w:rPr>
              <w:t>BR5</w:t>
            </w:r>
          </w:p>
        </w:tc>
      </w:tr>
      <w:tr w:rsidR="000645BF" w:rsidRPr="009E0929" w:rsidTr="004E444C">
        <w:trPr>
          <w:jc w:val="center"/>
        </w:trPr>
        <w:tc>
          <w:tcPr>
            <w:tcW w:w="3381" w:type="dxa"/>
            <w:vAlign w:val="center"/>
          </w:tcPr>
          <w:p w:rsidR="000645BF" w:rsidRPr="009E0929" w:rsidRDefault="000645BF" w:rsidP="004E444C">
            <w:pPr>
              <w:tabs>
                <w:tab w:val="num" w:pos="0"/>
              </w:tabs>
              <w:spacing w:after="0" w:line="240" w:lineRule="auto"/>
              <w:rPr>
                <w:rFonts w:ascii="Arial" w:hAnsi="Arial" w:cs="Arial"/>
                <w:sz w:val="24"/>
                <w:szCs w:val="24"/>
              </w:rPr>
            </w:pPr>
            <w:r w:rsidRPr="009E0929">
              <w:rPr>
                <w:rFonts w:ascii="Arial" w:hAnsi="Arial" w:cs="Arial"/>
                <w:sz w:val="24"/>
                <w:szCs w:val="24"/>
              </w:rPr>
              <w:t>2017 Medii anuale</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22,98</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17,12</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24,58</w:t>
            </w:r>
          </w:p>
        </w:tc>
        <w:tc>
          <w:tcPr>
            <w:tcW w:w="951" w:type="dxa"/>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19,18</w:t>
            </w:r>
          </w:p>
        </w:tc>
        <w:tc>
          <w:tcPr>
            <w:tcW w:w="951" w:type="dxa"/>
            <w:tcBorders>
              <w:bottom w:val="single" w:sz="4" w:space="0" w:color="auto"/>
            </w:tcBorders>
            <w:vAlign w:val="center"/>
          </w:tcPr>
          <w:p w:rsidR="000645BF" w:rsidRPr="009E0929" w:rsidRDefault="000645BF" w:rsidP="004E444C">
            <w:pPr>
              <w:spacing w:after="0" w:line="240" w:lineRule="auto"/>
              <w:jc w:val="center"/>
              <w:rPr>
                <w:rFonts w:ascii="Arial" w:hAnsi="Arial" w:cs="Arial"/>
                <w:sz w:val="24"/>
                <w:szCs w:val="24"/>
              </w:rPr>
            </w:pPr>
            <w:r w:rsidRPr="009E0929">
              <w:rPr>
                <w:rFonts w:ascii="Arial" w:hAnsi="Arial" w:cs="Arial"/>
                <w:sz w:val="24"/>
                <w:szCs w:val="24"/>
              </w:rPr>
              <w:t>-</w:t>
            </w:r>
          </w:p>
        </w:tc>
      </w:tr>
    </w:tbl>
    <w:p w:rsidR="004E444C" w:rsidRDefault="004E444C" w:rsidP="000645BF">
      <w:pPr>
        <w:spacing w:after="0" w:line="240" w:lineRule="auto"/>
        <w:ind w:firstLine="720"/>
        <w:rPr>
          <w:rFonts w:ascii="Arial" w:hAnsi="Arial" w:cs="Arial"/>
          <w:b/>
          <w:sz w:val="24"/>
          <w:szCs w:val="24"/>
          <w:lang w:val="pl-PL"/>
        </w:rPr>
      </w:pPr>
    </w:p>
    <w:p w:rsidR="000645BF" w:rsidRPr="0065128A" w:rsidRDefault="000645BF" w:rsidP="000645BF">
      <w:pPr>
        <w:spacing w:after="0" w:line="240" w:lineRule="auto"/>
        <w:ind w:firstLine="720"/>
        <w:rPr>
          <w:rFonts w:ascii="Arial" w:hAnsi="Arial" w:cs="Arial"/>
          <w:b/>
          <w:sz w:val="24"/>
          <w:szCs w:val="24"/>
          <w:lang w:val="pl-PL"/>
        </w:rPr>
      </w:pPr>
      <w:r w:rsidRPr="0065128A">
        <w:rPr>
          <w:rFonts w:ascii="Arial" w:hAnsi="Arial" w:cs="Arial"/>
          <w:b/>
          <w:sz w:val="24"/>
          <w:szCs w:val="24"/>
          <w:lang w:val="pl-PL"/>
        </w:rPr>
        <w:t>Particule în suspensie PM</w:t>
      </w:r>
      <w:r w:rsidRPr="0065128A">
        <w:rPr>
          <w:rFonts w:ascii="Arial" w:hAnsi="Arial" w:cs="Arial"/>
          <w:b/>
          <w:sz w:val="24"/>
          <w:szCs w:val="24"/>
          <w:vertAlign w:val="subscript"/>
          <w:lang w:val="pl-PL"/>
        </w:rPr>
        <w:t xml:space="preserve">2,5 </w:t>
      </w:r>
    </w:p>
    <w:p w:rsidR="000645BF" w:rsidRPr="009E0929" w:rsidRDefault="000645BF" w:rsidP="000645BF">
      <w:pPr>
        <w:spacing w:after="0" w:line="240" w:lineRule="auto"/>
        <w:ind w:firstLine="720"/>
        <w:jc w:val="both"/>
        <w:rPr>
          <w:rFonts w:ascii="Arial" w:hAnsi="Arial" w:cs="Arial"/>
          <w:sz w:val="24"/>
          <w:szCs w:val="24"/>
          <w:lang w:val="pl-PL"/>
        </w:rPr>
      </w:pPr>
      <w:r w:rsidRPr="009E0929">
        <w:rPr>
          <w:rFonts w:ascii="Arial" w:hAnsi="Arial" w:cs="Arial"/>
          <w:iCs/>
          <w:sz w:val="24"/>
          <w:szCs w:val="24"/>
          <w:lang w:val="pl-PL"/>
        </w:rPr>
        <w:t>Fracţiunea de particule PM</w:t>
      </w:r>
      <w:r w:rsidRPr="009E0929">
        <w:rPr>
          <w:rFonts w:ascii="Arial" w:hAnsi="Arial" w:cs="Arial"/>
          <w:iCs/>
          <w:sz w:val="24"/>
          <w:szCs w:val="24"/>
          <w:vertAlign w:val="subscript"/>
          <w:lang w:val="pl-PL"/>
        </w:rPr>
        <w:t>2,5</w:t>
      </w:r>
      <w:r w:rsidRPr="009E0929">
        <w:rPr>
          <w:rFonts w:ascii="Arial" w:hAnsi="Arial" w:cs="Arial"/>
          <w:iCs/>
          <w:sz w:val="24"/>
          <w:szCs w:val="24"/>
          <w:lang w:val="pl-PL"/>
        </w:rPr>
        <w:t xml:space="preserve"> reprezintă o problemă </w:t>
      </w:r>
      <w:r>
        <w:rPr>
          <w:rFonts w:ascii="Arial" w:hAnsi="Arial" w:cs="Arial"/>
          <w:iCs/>
          <w:sz w:val="24"/>
          <w:szCs w:val="24"/>
          <w:lang w:val="pl-PL"/>
        </w:rPr>
        <w:t>pentru</w:t>
      </w:r>
      <w:r w:rsidRPr="009E0929">
        <w:rPr>
          <w:rFonts w:ascii="Arial" w:hAnsi="Arial" w:cs="Arial"/>
          <w:iCs/>
          <w:sz w:val="24"/>
          <w:szCs w:val="24"/>
          <w:lang w:val="pl-PL"/>
        </w:rPr>
        <w:t xml:space="preserve"> sănătate, datorită faptului că acestea pot penetra sistemul respirator profund şi pot fi absorbite în sânge.</w:t>
      </w:r>
    </w:p>
    <w:p w:rsidR="000645BF" w:rsidRPr="009E0929" w:rsidRDefault="000645BF" w:rsidP="000645BF">
      <w:pPr>
        <w:spacing w:after="0" w:line="240" w:lineRule="auto"/>
        <w:ind w:firstLine="720"/>
        <w:jc w:val="both"/>
        <w:rPr>
          <w:rFonts w:ascii="Arial" w:hAnsi="Arial" w:cs="Arial"/>
          <w:sz w:val="24"/>
          <w:szCs w:val="24"/>
          <w:lang w:val="pl-PL"/>
        </w:rPr>
      </w:pPr>
      <w:r w:rsidRPr="009E0929">
        <w:rPr>
          <w:rFonts w:ascii="Arial" w:hAnsi="Arial" w:cs="Arial"/>
          <w:sz w:val="24"/>
          <w:szCs w:val="24"/>
          <w:lang w:val="pl-PL"/>
        </w:rPr>
        <w:t xml:space="preserve">Monitorizarea pulberilor în suspensie este necesară pentru conformarea cu cerinţele Directivei 2008/50/CE privind calitatea aerului înconjurător şi un aer mai curat pentru Europa. </w:t>
      </w:r>
    </w:p>
    <w:p w:rsidR="000645BF" w:rsidRPr="009E0929" w:rsidRDefault="000645BF" w:rsidP="000645BF">
      <w:pPr>
        <w:spacing w:after="0" w:line="240" w:lineRule="auto"/>
        <w:ind w:firstLine="720"/>
        <w:jc w:val="both"/>
        <w:rPr>
          <w:rFonts w:ascii="Arial" w:hAnsi="Arial" w:cs="Arial"/>
          <w:i/>
          <w:sz w:val="24"/>
          <w:szCs w:val="24"/>
        </w:rPr>
      </w:pPr>
      <w:r w:rsidRPr="009E0929">
        <w:rPr>
          <w:rFonts w:ascii="Arial" w:hAnsi="Arial" w:cs="Arial"/>
          <w:i/>
          <w:sz w:val="24"/>
          <w:szCs w:val="24"/>
        </w:rPr>
        <w:t>Valoarea limită, pentru o perioadă de mediere de 1 an calendaristic, stabilită în Legea nr. 104 din 15 iunie 2011 privind calitatea aerului înconjurător, este</w:t>
      </w:r>
      <w:r w:rsidRPr="009E0929">
        <w:rPr>
          <w:rFonts w:ascii="Arial" w:hAnsi="Arial" w:cs="Arial"/>
          <w:b/>
          <w:i/>
          <w:sz w:val="24"/>
          <w:szCs w:val="24"/>
        </w:rPr>
        <w:t>25 μg/mc</w:t>
      </w:r>
      <w:r w:rsidRPr="009E0929">
        <w:rPr>
          <w:rFonts w:ascii="Arial" w:hAnsi="Arial" w:cs="Arial"/>
          <w:i/>
          <w:sz w:val="24"/>
          <w:szCs w:val="24"/>
        </w:rPr>
        <w:t>.</w:t>
      </w:r>
    </w:p>
    <w:p w:rsidR="000645BF" w:rsidRPr="009E0929" w:rsidRDefault="000645BF" w:rsidP="000645BF">
      <w:pPr>
        <w:spacing w:after="0" w:line="240" w:lineRule="auto"/>
        <w:ind w:firstLine="720"/>
        <w:jc w:val="both"/>
        <w:rPr>
          <w:rFonts w:ascii="Arial" w:hAnsi="Arial" w:cs="Arial"/>
          <w:sz w:val="24"/>
          <w:szCs w:val="24"/>
          <w:lang w:val="pt-BR"/>
        </w:rPr>
      </w:pPr>
      <w:r w:rsidRPr="009E0929">
        <w:rPr>
          <w:rFonts w:ascii="Arial" w:hAnsi="Arial" w:cs="Arial"/>
          <w:sz w:val="24"/>
          <w:szCs w:val="24"/>
          <w:lang w:val="pt-BR"/>
        </w:rPr>
        <w:lastRenderedPageBreak/>
        <w:t>Media anuală înregistrată a fost de 13,56</w:t>
      </w:r>
      <w:r w:rsidRPr="009E0929">
        <w:rPr>
          <w:rFonts w:ascii="Arial" w:hAnsi="Arial" w:cs="Arial"/>
          <w:sz w:val="24"/>
          <w:szCs w:val="24"/>
        </w:rPr>
        <w:t xml:space="preserve"> μg/m</w:t>
      </w:r>
      <w:r w:rsidRPr="009E0929">
        <w:rPr>
          <w:rFonts w:ascii="Arial" w:hAnsi="Arial" w:cs="Arial"/>
          <w:sz w:val="24"/>
          <w:szCs w:val="24"/>
          <w:vertAlign w:val="superscript"/>
        </w:rPr>
        <w:t>3</w:t>
      </w:r>
      <w:r w:rsidRPr="009E0929">
        <w:rPr>
          <w:rFonts w:ascii="Arial" w:hAnsi="Arial" w:cs="Arial"/>
          <w:sz w:val="24"/>
          <w:szCs w:val="24"/>
        </w:rPr>
        <w:t xml:space="preserve">, fiind doar orientativă, având în vedere faptul că nu a fost atins obiectivul de calitate privind captura de date, aceasta fiind de </w:t>
      </w:r>
      <w:r w:rsidRPr="009E0929">
        <w:rPr>
          <w:rFonts w:ascii="Arial" w:hAnsi="Arial" w:cs="Arial"/>
          <w:sz w:val="24"/>
          <w:szCs w:val="24"/>
          <w:lang w:val="it-IT"/>
        </w:rPr>
        <w:t>66,85%.</w:t>
      </w:r>
    </w:p>
    <w:p w:rsidR="000645BF" w:rsidRPr="009E0929" w:rsidRDefault="000645BF" w:rsidP="000645BF">
      <w:pPr>
        <w:tabs>
          <w:tab w:val="left" w:pos="709"/>
        </w:tabs>
        <w:spacing w:after="0" w:line="240" w:lineRule="auto"/>
        <w:ind w:left="720" w:right="31"/>
        <w:rPr>
          <w:rFonts w:ascii="Arial" w:hAnsi="Arial" w:cs="Arial"/>
          <w:b/>
          <w:sz w:val="24"/>
          <w:szCs w:val="24"/>
        </w:rPr>
      </w:pPr>
    </w:p>
    <w:p w:rsidR="000645BF" w:rsidRPr="00717595" w:rsidRDefault="000645BF" w:rsidP="000645BF">
      <w:pPr>
        <w:tabs>
          <w:tab w:val="left" w:pos="709"/>
        </w:tabs>
        <w:spacing w:after="0" w:line="240" w:lineRule="auto"/>
        <w:ind w:left="720" w:right="31"/>
        <w:rPr>
          <w:rFonts w:ascii="Arial" w:hAnsi="Arial" w:cs="Arial"/>
          <w:sz w:val="24"/>
          <w:szCs w:val="24"/>
        </w:rPr>
      </w:pPr>
      <w:r w:rsidRPr="00717595">
        <w:rPr>
          <w:rFonts w:ascii="Arial" w:hAnsi="Arial" w:cs="Arial"/>
          <w:b/>
          <w:sz w:val="24"/>
          <w:szCs w:val="24"/>
        </w:rPr>
        <w:t>I.1.1.1.4.Metale grele – plumb</w:t>
      </w:r>
    </w:p>
    <w:p w:rsidR="000645BF" w:rsidRPr="00D7609A" w:rsidRDefault="000645BF" w:rsidP="000645BF">
      <w:pPr>
        <w:spacing w:after="0" w:line="240" w:lineRule="auto"/>
        <w:ind w:firstLine="720"/>
        <w:jc w:val="both"/>
        <w:rPr>
          <w:rFonts w:ascii="Arial" w:eastAsia="Calibri" w:hAnsi="Arial" w:cs="Arial"/>
          <w:sz w:val="24"/>
          <w:szCs w:val="24"/>
          <w:lang w:val="pl-PL"/>
        </w:rPr>
      </w:pPr>
      <w:r w:rsidRPr="00D7609A">
        <w:rPr>
          <w:rFonts w:ascii="Arial" w:eastAsia="Calibri" w:hAnsi="Arial" w:cs="Arial"/>
          <w:sz w:val="24"/>
          <w:szCs w:val="24"/>
          <w:lang w:val="pl-PL"/>
        </w:rPr>
        <w:t xml:space="preserve">Metalele grele sunt emise în atmosferă ca rezultat al diferitelor procese de combustie şi a unor activităţi industriale, putând fi incluse sau ataşate de particulele de pulberi emise. Ele se pot depune pe sol sau în apele de suprafaţă, acumulându-se astfel în sol sau sedimente. Metalele grele sunt toxice şi pot afecta numeroase funcţii ale organismului. Pot avea efecte pe termen lung prin capacitatea lor de acumulare în ţesuturi. </w:t>
      </w:r>
    </w:p>
    <w:p w:rsidR="000645BF" w:rsidRPr="00D7609A" w:rsidRDefault="000645BF" w:rsidP="000645BF">
      <w:pPr>
        <w:tabs>
          <w:tab w:val="num" w:pos="0"/>
        </w:tabs>
        <w:jc w:val="both"/>
        <w:rPr>
          <w:rFonts w:ascii="Arial" w:hAnsi="Arial" w:cs="Arial"/>
          <w:b/>
          <w:sz w:val="24"/>
          <w:szCs w:val="24"/>
        </w:rPr>
      </w:pPr>
      <w:r w:rsidRPr="00D7609A">
        <w:rPr>
          <w:rFonts w:ascii="Arial" w:hAnsi="Arial" w:cs="Arial"/>
          <w:sz w:val="24"/>
          <w:szCs w:val="24"/>
        </w:rPr>
        <w:tab/>
        <w:t>În anul 2017, nu s-au făcut determinări de metale grele.</w:t>
      </w:r>
    </w:p>
    <w:p w:rsidR="000645BF" w:rsidRDefault="000645BF" w:rsidP="000645BF">
      <w:pPr>
        <w:tabs>
          <w:tab w:val="num" w:pos="0"/>
        </w:tabs>
        <w:spacing w:after="0" w:line="240" w:lineRule="auto"/>
        <w:ind w:firstLine="720"/>
        <w:rPr>
          <w:rFonts w:ascii="Arial" w:hAnsi="Arial" w:cs="Arial"/>
          <w:b/>
          <w:sz w:val="24"/>
          <w:szCs w:val="24"/>
        </w:rPr>
      </w:pPr>
      <w:r w:rsidRPr="00717595">
        <w:rPr>
          <w:rFonts w:ascii="Arial" w:hAnsi="Arial" w:cs="Arial"/>
          <w:b/>
          <w:sz w:val="24"/>
          <w:szCs w:val="24"/>
        </w:rPr>
        <w:tab/>
        <w:t>I.1.1.1.5. Monoxid de carbon</w:t>
      </w:r>
    </w:p>
    <w:p w:rsidR="000645BF" w:rsidRPr="00CF0D06" w:rsidRDefault="000645BF" w:rsidP="000645BF">
      <w:pPr>
        <w:spacing w:after="0" w:line="240" w:lineRule="auto"/>
        <w:ind w:firstLine="720"/>
        <w:jc w:val="both"/>
        <w:rPr>
          <w:rFonts w:ascii="Arial" w:hAnsi="Arial" w:cs="Arial"/>
          <w:sz w:val="24"/>
          <w:szCs w:val="24"/>
        </w:rPr>
      </w:pPr>
      <w:r w:rsidRPr="00CF0D06">
        <w:rPr>
          <w:rFonts w:ascii="Arial" w:hAnsi="Arial" w:cs="Arial"/>
          <w:sz w:val="24"/>
          <w:szCs w:val="24"/>
        </w:rPr>
        <w:t>Monoxidul de carbon este un gaz incolor şi inodor, la temperatura mediului ambiental.</w:t>
      </w:r>
    </w:p>
    <w:p w:rsidR="000645BF" w:rsidRPr="00CF0D06" w:rsidRDefault="000645BF" w:rsidP="000645BF">
      <w:pPr>
        <w:widowControl w:val="0"/>
        <w:autoSpaceDE w:val="0"/>
        <w:autoSpaceDN w:val="0"/>
        <w:adjustRightInd w:val="0"/>
        <w:spacing w:after="0" w:line="240" w:lineRule="auto"/>
        <w:ind w:firstLine="720"/>
        <w:jc w:val="both"/>
        <w:rPr>
          <w:rFonts w:ascii="Arial" w:hAnsi="Arial" w:cs="Arial"/>
          <w:sz w:val="24"/>
          <w:szCs w:val="24"/>
        </w:rPr>
      </w:pPr>
      <w:r w:rsidRPr="00CF0D06">
        <w:rPr>
          <w:rFonts w:ascii="Arial" w:hAnsi="Arial" w:cs="Arial"/>
          <w:b/>
          <w:sz w:val="24"/>
          <w:szCs w:val="24"/>
        </w:rPr>
        <w:t>Surse naturale</w:t>
      </w:r>
      <w:r w:rsidRPr="00CF0D06">
        <w:rPr>
          <w:rFonts w:ascii="Arial" w:hAnsi="Arial" w:cs="Arial"/>
          <w:sz w:val="24"/>
          <w:szCs w:val="24"/>
        </w:rPr>
        <w:t>: incendii spontane de pădure şi descărcările electrice.</w:t>
      </w:r>
    </w:p>
    <w:p w:rsidR="000645BF" w:rsidRPr="00CF0D06" w:rsidRDefault="000645BF" w:rsidP="000645BF">
      <w:pPr>
        <w:widowControl w:val="0"/>
        <w:autoSpaceDE w:val="0"/>
        <w:autoSpaceDN w:val="0"/>
        <w:adjustRightInd w:val="0"/>
        <w:spacing w:after="0" w:line="240" w:lineRule="auto"/>
        <w:ind w:firstLine="720"/>
        <w:jc w:val="both"/>
        <w:rPr>
          <w:rFonts w:ascii="Arial" w:hAnsi="Arial" w:cs="Arial"/>
          <w:sz w:val="24"/>
          <w:szCs w:val="24"/>
        </w:rPr>
      </w:pPr>
      <w:r w:rsidRPr="00CF0D06">
        <w:rPr>
          <w:rFonts w:ascii="Arial" w:hAnsi="Arial" w:cs="Arial"/>
          <w:b/>
          <w:sz w:val="24"/>
          <w:szCs w:val="24"/>
        </w:rPr>
        <w:t>Surse antropice</w:t>
      </w:r>
      <w:r w:rsidRPr="00CF0D06">
        <w:rPr>
          <w:rFonts w:ascii="Arial" w:hAnsi="Arial" w:cs="Arial"/>
          <w:sz w:val="24"/>
          <w:szCs w:val="24"/>
        </w:rPr>
        <w:t>: arderea incompletă ce apare în toate procesele de combustie a materiilor combustibile: arderea combustibililor fosili în instalaţii de ardere - centrale termoelectrice şi termice, boilere industriale, instalaţii rezidenţiale (sobe, centrale termice individuale, mai ales cele pe combustibili solizi - cărbuni, lemne, arderea cea mai completă fiind cea a gazului natural), producerea oţelului şi a fontei, rafinarea petrolului, traficul rutier, în principal de la autovehiculele cu benzină în timpul funcţionării la turaţie mică, arderea deşeurilor, incendii, arderea miriştilor etc.</w:t>
      </w:r>
    </w:p>
    <w:p w:rsidR="000645BF" w:rsidRPr="00CF0D06" w:rsidRDefault="000645BF" w:rsidP="000645BF">
      <w:pPr>
        <w:autoSpaceDE w:val="0"/>
        <w:autoSpaceDN w:val="0"/>
        <w:adjustRightInd w:val="0"/>
        <w:spacing w:after="0" w:line="240" w:lineRule="auto"/>
        <w:ind w:firstLine="720"/>
        <w:jc w:val="both"/>
        <w:rPr>
          <w:rFonts w:ascii="Arial" w:hAnsi="Arial" w:cs="Arial"/>
          <w:i/>
          <w:sz w:val="24"/>
          <w:szCs w:val="24"/>
        </w:rPr>
      </w:pPr>
      <w:r w:rsidRPr="00CF0D06">
        <w:rPr>
          <w:rFonts w:ascii="Arial" w:hAnsi="Arial" w:cs="Arial"/>
          <w:i/>
          <w:sz w:val="24"/>
          <w:szCs w:val="24"/>
        </w:rPr>
        <w:t xml:space="preserve">Concentraţiile de CO din aerul înconjurător se evaluează folosind </w:t>
      </w:r>
      <w:r w:rsidRPr="00CF0D06">
        <w:rPr>
          <w:rFonts w:ascii="Arial" w:hAnsi="Arial" w:cs="Arial"/>
          <w:i/>
          <w:iCs/>
          <w:sz w:val="24"/>
          <w:szCs w:val="24"/>
        </w:rPr>
        <w:t xml:space="preserve">valoarea limită pentru protecţia sănătăţii umane </w:t>
      </w:r>
      <w:r w:rsidRPr="00CF0D06">
        <w:rPr>
          <w:rFonts w:ascii="Arial" w:hAnsi="Arial" w:cs="Arial"/>
          <w:i/>
          <w:sz w:val="24"/>
          <w:szCs w:val="24"/>
        </w:rPr>
        <w:t>(</w:t>
      </w:r>
      <w:r w:rsidRPr="00CF0D06">
        <w:rPr>
          <w:rFonts w:ascii="Arial" w:hAnsi="Arial" w:cs="Arial"/>
          <w:b/>
          <w:i/>
          <w:sz w:val="24"/>
          <w:szCs w:val="24"/>
        </w:rPr>
        <w:t xml:space="preserve">10 </w:t>
      </w:r>
      <w:r w:rsidRPr="00CF0D06">
        <w:rPr>
          <w:rFonts w:ascii="Arial" w:hAnsi="Arial" w:cs="Arial"/>
          <w:b/>
          <w:i/>
          <w:iCs/>
          <w:sz w:val="24"/>
          <w:szCs w:val="24"/>
        </w:rPr>
        <w:t>mg/mc</w:t>
      </w:r>
      <w:r w:rsidRPr="00CF0D06">
        <w:rPr>
          <w:rFonts w:ascii="Arial" w:hAnsi="Arial" w:cs="Arial"/>
          <w:i/>
          <w:iCs/>
          <w:sz w:val="24"/>
          <w:szCs w:val="24"/>
        </w:rPr>
        <w:t>)</w:t>
      </w:r>
      <w:r w:rsidRPr="00CF0D06">
        <w:rPr>
          <w:rFonts w:ascii="Arial" w:hAnsi="Arial" w:cs="Arial"/>
          <w:i/>
          <w:sz w:val="24"/>
          <w:szCs w:val="24"/>
        </w:rPr>
        <w:t xml:space="preserve">, calculată ca valoare maximă zilnică a mediilor pe 8 ore (medie mobilă). </w:t>
      </w:r>
    </w:p>
    <w:p w:rsidR="000645BF" w:rsidRPr="00CF0D06" w:rsidRDefault="000645BF" w:rsidP="000645BF">
      <w:pPr>
        <w:autoSpaceDE w:val="0"/>
        <w:autoSpaceDN w:val="0"/>
        <w:adjustRightInd w:val="0"/>
        <w:spacing w:after="0" w:line="240" w:lineRule="auto"/>
        <w:ind w:firstLine="720"/>
        <w:jc w:val="both"/>
        <w:rPr>
          <w:rFonts w:ascii="Arial" w:hAnsi="Arial" w:cs="Arial"/>
          <w:i/>
          <w:sz w:val="24"/>
          <w:szCs w:val="24"/>
        </w:rPr>
      </w:pPr>
      <w:r w:rsidRPr="00CF0D06">
        <w:rPr>
          <w:rFonts w:ascii="Arial" w:hAnsi="Arial" w:cs="Arial"/>
          <w:i/>
          <w:sz w:val="24"/>
          <w:szCs w:val="24"/>
        </w:rPr>
        <w:t>Legea nr. 104/2011 nu stabileşte valoare limită anuală pentru monoxidul de carbon.</w:t>
      </w:r>
    </w:p>
    <w:p w:rsidR="000645BF" w:rsidRPr="00F231E1" w:rsidRDefault="000645BF" w:rsidP="000645BF">
      <w:pPr>
        <w:autoSpaceDE w:val="0"/>
        <w:autoSpaceDN w:val="0"/>
        <w:adjustRightInd w:val="0"/>
        <w:spacing w:after="0" w:line="240" w:lineRule="auto"/>
        <w:ind w:firstLine="720"/>
        <w:jc w:val="both"/>
        <w:rPr>
          <w:rFonts w:ascii="Arial" w:hAnsi="Arial" w:cs="Arial"/>
          <w:i/>
          <w:color w:val="00B050"/>
          <w:sz w:val="24"/>
          <w:szCs w:val="24"/>
        </w:rPr>
      </w:pP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010150" cy="1828800"/>
            <wp:effectExtent l="0" t="0" r="0" b="0"/>
            <wp:docPr id="126"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45BF" w:rsidRDefault="000645BF" w:rsidP="000645BF">
      <w:pPr>
        <w:jc w:val="center"/>
        <w:rPr>
          <w:rFonts w:ascii="Arial" w:hAnsi="Arial" w:cs="Arial"/>
          <w:sz w:val="24"/>
          <w:szCs w:val="24"/>
        </w:rPr>
      </w:pPr>
      <w:r w:rsidRPr="000E6C40">
        <w:rPr>
          <w:rFonts w:ascii="Arial" w:hAnsi="Arial" w:cs="Arial"/>
          <w:b/>
          <w:sz w:val="24"/>
          <w:szCs w:val="24"/>
        </w:rPr>
        <w:t>Fig. I.1.1.1.5</w:t>
      </w:r>
      <w:r w:rsidRPr="0078419B">
        <w:rPr>
          <w:rFonts w:ascii="Arial" w:hAnsi="Arial" w:cs="Arial"/>
          <w:sz w:val="24"/>
          <w:szCs w:val="24"/>
        </w:rPr>
        <w:t>. Concentraţia medie anuală a monoxidului de carbon 2017</w:t>
      </w:r>
      <w:r>
        <w:rPr>
          <w:rFonts w:ascii="Arial" w:hAnsi="Arial" w:cs="Arial"/>
          <w:sz w:val="24"/>
          <w:szCs w:val="24"/>
        </w:rPr>
        <w:tab/>
      </w:r>
    </w:p>
    <w:p w:rsidR="000645BF" w:rsidRPr="000E6C40" w:rsidRDefault="000645BF" w:rsidP="000645BF">
      <w:pPr>
        <w:spacing w:after="0"/>
        <w:jc w:val="right"/>
        <w:rPr>
          <w:rFonts w:ascii="Arial" w:hAnsi="Arial" w:cs="Arial"/>
          <w:b/>
          <w:sz w:val="24"/>
          <w:szCs w:val="24"/>
        </w:rPr>
      </w:pPr>
      <w:r w:rsidRPr="000E6C40">
        <w:rPr>
          <w:rFonts w:ascii="Arial" w:hAnsi="Arial" w:cs="Arial"/>
          <w:b/>
          <w:sz w:val="24"/>
          <w:szCs w:val="24"/>
        </w:rPr>
        <w:t>Tabel I.1.1.1.5.1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0645BF" w:rsidRPr="0078419B" w:rsidTr="004E444C">
        <w:trPr>
          <w:jc w:val="center"/>
        </w:trPr>
        <w:tc>
          <w:tcPr>
            <w:tcW w:w="2204" w:type="dxa"/>
          </w:tcPr>
          <w:p w:rsidR="000645BF" w:rsidRPr="0078419B" w:rsidRDefault="000645BF" w:rsidP="004E444C">
            <w:pPr>
              <w:tabs>
                <w:tab w:val="num" w:pos="0"/>
              </w:tabs>
              <w:spacing w:after="0" w:line="240" w:lineRule="auto"/>
              <w:rPr>
                <w:rFonts w:ascii="Arial" w:hAnsi="Arial" w:cs="Arial"/>
                <w:sz w:val="24"/>
                <w:szCs w:val="24"/>
              </w:rPr>
            </w:pPr>
            <w:r w:rsidRPr="0078419B">
              <w:rPr>
                <w:rFonts w:ascii="Arial" w:hAnsi="Arial" w:cs="Arial"/>
                <w:b/>
                <w:sz w:val="24"/>
                <w:szCs w:val="24"/>
              </w:rPr>
              <w:t>CO</w:t>
            </w:r>
            <w:r w:rsidRPr="0078419B">
              <w:rPr>
                <w:rFonts w:ascii="Arial" w:hAnsi="Arial" w:cs="Arial"/>
                <w:sz w:val="24"/>
                <w:szCs w:val="24"/>
              </w:rPr>
              <w:t xml:space="preserve">    (mg/mc)</w:t>
            </w:r>
          </w:p>
        </w:tc>
        <w:tc>
          <w:tcPr>
            <w:tcW w:w="1080"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BR1</w:t>
            </w:r>
          </w:p>
        </w:tc>
        <w:tc>
          <w:tcPr>
            <w:tcW w:w="1167"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BR2</w:t>
            </w:r>
          </w:p>
        </w:tc>
        <w:tc>
          <w:tcPr>
            <w:tcW w:w="1029"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BR3</w:t>
            </w:r>
          </w:p>
        </w:tc>
        <w:tc>
          <w:tcPr>
            <w:tcW w:w="951"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BR4</w:t>
            </w:r>
          </w:p>
        </w:tc>
        <w:tc>
          <w:tcPr>
            <w:tcW w:w="1101"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BR5</w:t>
            </w:r>
          </w:p>
        </w:tc>
      </w:tr>
      <w:tr w:rsidR="000645BF" w:rsidRPr="0078419B" w:rsidTr="004E444C">
        <w:trPr>
          <w:jc w:val="center"/>
        </w:trPr>
        <w:tc>
          <w:tcPr>
            <w:tcW w:w="2204" w:type="dxa"/>
          </w:tcPr>
          <w:p w:rsidR="000645BF" w:rsidRPr="0078419B" w:rsidRDefault="000645BF" w:rsidP="004E444C">
            <w:pPr>
              <w:tabs>
                <w:tab w:val="num" w:pos="0"/>
              </w:tabs>
              <w:spacing w:after="0" w:line="240" w:lineRule="auto"/>
              <w:rPr>
                <w:rFonts w:ascii="Arial" w:hAnsi="Arial" w:cs="Arial"/>
                <w:sz w:val="24"/>
                <w:szCs w:val="24"/>
              </w:rPr>
            </w:pPr>
            <w:bookmarkStart w:id="0" w:name="_Hlk257118188"/>
            <w:r w:rsidRPr="0078419B">
              <w:rPr>
                <w:rFonts w:ascii="Arial" w:hAnsi="Arial" w:cs="Arial"/>
                <w:sz w:val="24"/>
                <w:szCs w:val="24"/>
              </w:rPr>
              <w:t>2017 Medii anuale</w:t>
            </w:r>
          </w:p>
        </w:tc>
        <w:tc>
          <w:tcPr>
            <w:tcW w:w="1080" w:type="dxa"/>
          </w:tcPr>
          <w:p w:rsidR="000645BF" w:rsidRPr="0078419B" w:rsidRDefault="000645BF" w:rsidP="004E444C">
            <w:pPr>
              <w:spacing w:after="0" w:line="240" w:lineRule="auto"/>
              <w:jc w:val="center"/>
              <w:rPr>
                <w:rFonts w:ascii="Arial" w:hAnsi="Arial" w:cs="Arial"/>
                <w:sz w:val="24"/>
                <w:szCs w:val="24"/>
              </w:rPr>
            </w:pPr>
            <w:r w:rsidRPr="0078419B">
              <w:rPr>
                <w:rFonts w:ascii="Arial" w:hAnsi="Arial" w:cs="Arial"/>
                <w:sz w:val="24"/>
                <w:szCs w:val="24"/>
              </w:rPr>
              <w:t>0,16</w:t>
            </w:r>
          </w:p>
        </w:tc>
        <w:tc>
          <w:tcPr>
            <w:tcW w:w="1167" w:type="dxa"/>
            <w:vAlign w:val="bottom"/>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0,09</w:t>
            </w:r>
          </w:p>
        </w:tc>
        <w:tc>
          <w:tcPr>
            <w:tcW w:w="1029" w:type="dxa"/>
            <w:vAlign w:val="bottom"/>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0,10</w:t>
            </w:r>
          </w:p>
        </w:tc>
        <w:tc>
          <w:tcPr>
            <w:tcW w:w="951" w:type="dxa"/>
            <w:vAlign w:val="bottom"/>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0,11</w:t>
            </w:r>
          </w:p>
        </w:tc>
        <w:tc>
          <w:tcPr>
            <w:tcW w:w="1101" w:type="dxa"/>
            <w:vAlign w:val="bottom"/>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0,06</w:t>
            </w:r>
          </w:p>
        </w:tc>
      </w:tr>
      <w:bookmarkEnd w:id="0"/>
    </w:tbl>
    <w:p w:rsidR="000645BF" w:rsidRPr="0078419B" w:rsidRDefault="000645BF" w:rsidP="000645BF">
      <w:pPr>
        <w:spacing w:before="120" w:after="0" w:line="240" w:lineRule="auto"/>
        <w:ind w:firstLine="720"/>
        <w:jc w:val="both"/>
        <w:rPr>
          <w:rFonts w:ascii="Arial" w:hAnsi="Arial" w:cs="Arial"/>
          <w:sz w:val="24"/>
          <w:szCs w:val="24"/>
        </w:rPr>
      </w:pPr>
    </w:p>
    <w:p w:rsidR="000645BF" w:rsidRPr="0078419B" w:rsidRDefault="000645BF" w:rsidP="000645BF">
      <w:pPr>
        <w:spacing w:before="120" w:after="0" w:line="240" w:lineRule="auto"/>
        <w:ind w:firstLine="720"/>
        <w:jc w:val="both"/>
        <w:rPr>
          <w:rFonts w:ascii="Arial" w:hAnsi="Arial" w:cs="Arial"/>
          <w:sz w:val="24"/>
          <w:szCs w:val="24"/>
        </w:rPr>
      </w:pPr>
      <w:r w:rsidRPr="0078419B">
        <w:rPr>
          <w:rFonts w:ascii="Arial" w:hAnsi="Arial" w:cs="Arial"/>
          <w:sz w:val="24"/>
          <w:szCs w:val="24"/>
        </w:rPr>
        <w:t>În anul 2017 nu au existat valori maxime zilnice a mediilor pe 8 ore care să depăşească valoarea limită de 10 mg/mc, admisă de către Legea 104/2011.</w:t>
      </w:r>
    </w:p>
    <w:p w:rsidR="000645BF" w:rsidRPr="000E6C40" w:rsidRDefault="000645BF" w:rsidP="000645BF">
      <w:pPr>
        <w:spacing w:before="120" w:after="0" w:line="240" w:lineRule="auto"/>
        <w:jc w:val="right"/>
        <w:rPr>
          <w:rFonts w:ascii="Arial" w:hAnsi="Arial" w:cs="Arial"/>
          <w:b/>
          <w:sz w:val="24"/>
          <w:szCs w:val="24"/>
        </w:rPr>
      </w:pPr>
      <w:r w:rsidRPr="000E6C40">
        <w:rPr>
          <w:rFonts w:ascii="Arial" w:hAnsi="Arial" w:cs="Arial"/>
          <w:b/>
          <w:sz w:val="24"/>
          <w:szCs w:val="24"/>
        </w:rPr>
        <w:t>Tabel I.1.1.1.5.2</w:t>
      </w:r>
    </w:p>
    <w:tbl>
      <w:tblPr>
        <w:tblW w:w="0" w:type="auto"/>
        <w:jc w:val="center"/>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5"/>
        <w:gridCol w:w="850"/>
        <w:gridCol w:w="851"/>
        <w:gridCol w:w="709"/>
        <w:gridCol w:w="850"/>
        <w:gridCol w:w="727"/>
      </w:tblGrid>
      <w:tr w:rsidR="000645BF" w:rsidRPr="0078419B" w:rsidTr="004E444C">
        <w:trPr>
          <w:jc w:val="center"/>
        </w:trPr>
        <w:tc>
          <w:tcPr>
            <w:tcW w:w="4455" w:type="dxa"/>
          </w:tcPr>
          <w:p w:rsidR="000645BF" w:rsidRPr="0078419B" w:rsidRDefault="000645BF" w:rsidP="004E444C">
            <w:pPr>
              <w:tabs>
                <w:tab w:val="num" w:pos="0"/>
              </w:tabs>
              <w:spacing w:after="0" w:line="240" w:lineRule="auto"/>
              <w:rPr>
                <w:rFonts w:ascii="Arial" w:hAnsi="Arial" w:cs="Arial"/>
                <w:sz w:val="24"/>
                <w:szCs w:val="24"/>
              </w:rPr>
            </w:pPr>
            <w:r w:rsidRPr="0078419B">
              <w:rPr>
                <w:rFonts w:ascii="Arial" w:hAnsi="Arial" w:cs="Arial"/>
                <w:b/>
                <w:sz w:val="24"/>
                <w:szCs w:val="24"/>
              </w:rPr>
              <w:t>CO</w:t>
            </w:r>
            <w:r w:rsidRPr="0078419B">
              <w:rPr>
                <w:rFonts w:ascii="Arial" w:hAnsi="Arial" w:cs="Arial"/>
                <w:sz w:val="24"/>
                <w:szCs w:val="24"/>
              </w:rPr>
              <w:t xml:space="preserve">    (mg/mc)</w:t>
            </w:r>
          </w:p>
        </w:tc>
        <w:tc>
          <w:tcPr>
            <w:tcW w:w="850"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BR1</w:t>
            </w:r>
          </w:p>
        </w:tc>
        <w:tc>
          <w:tcPr>
            <w:tcW w:w="851"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BR2</w:t>
            </w:r>
          </w:p>
        </w:tc>
        <w:tc>
          <w:tcPr>
            <w:tcW w:w="709"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BR3</w:t>
            </w:r>
          </w:p>
        </w:tc>
        <w:tc>
          <w:tcPr>
            <w:tcW w:w="850"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BR4</w:t>
            </w:r>
          </w:p>
        </w:tc>
        <w:tc>
          <w:tcPr>
            <w:tcW w:w="727" w:type="dxa"/>
          </w:tcPr>
          <w:p w:rsidR="000645BF" w:rsidRPr="0078419B" w:rsidRDefault="000645BF" w:rsidP="004E444C">
            <w:pPr>
              <w:spacing w:after="0" w:line="240" w:lineRule="auto"/>
              <w:jc w:val="center"/>
              <w:rPr>
                <w:rFonts w:ascii="Arial" w:hAnsi="Arial" w:cs="Arial"/>
                <w:b/>
                <w:sz w:val="24"/>
                <w:szCs w:val="24"/>
              </w:rPr>
            </w:pPr>
            <w:r w:rsidRPr="0078419B">
              <w:rPr>
                <w:rFonts w:ascii="Arial" w:hAnsi="Arial" w:cs="Arial"/>
                <w:b/>
                <w:sz w:val="24"/>
                <w:szCs w:val="24"/>
              </w:rPr>
              <w:t>BR5</w:t>
            </w:r>
          </w:p>
        </w:tc>
      </w:tr>
      <w:tr w:rsidR="000645BF" w:rsidRPr="0078419B" w:rsidTr="004E444C">
        <w:trPr>
          <w:jc w:val="center"/>
        </w:trPr>
        <w:tc>
          <w:tcPr>
            <w:tcW w:w="4455" w:type="dxa"/>
            <w:shd w:val="clear" w:color="auto" w:fill="auto"/>
            <w:vAlign w:val="center"/>
          </w:tcPr>
          <w:p w:rsidR="000645BF" w:rsidRPr="0078419B" w:rsidRDefault="000645BF" w:rsidP="004E444C">
            <w:pPr>
              <w:tabs>
                <w:tab w:val="num" w:pos="0"/>
              </w:tabs>
              <w:spacing w:after="0" w:line="240" w:lineRule="auto"/>
              <w:jc w:val="center"/>
              <w:rPr>
                <w:rFonts w:ascii="Arial" w:hAnsi="Arial" w:cs="Arial"/>
                <w:sz w:val="24"/>
                <w:szCs w:val="24"/>
              </w:rPr>
            </w:pPr>
            <w:r w:rsidRPr="0078419B">
              <w:rPr>
                <w:rFonts w:ascii="Arial" w:hAnsi="Arial" w:cs="Arial"/>
                <w:sz w:val="24"/>
                <w:szCs w:val="24"/>
              </w:rPr>
              <w:t>2017 Maxima zilnic</w:t>
            </w:r>
            <w:r>
              <w:rPr>
                <w:rFonts w:ascii="Arial" w:hAnsi="Arial" w:cs="Arial"/>
                <w:sz w:val="24"/>
                <w:szCs w:val="24"/>
              </w:rPr>
              <w:t>ă</w:t>
            </w:r>
            <w:r w:rsidRPr="0078419B">
              <w:rPr>
                <w:rFonts w:ascii="Arial" w:hAnsi="Arial" w:cs="Arial"/>
                <w:sz w:val="24"/>
                <w:szCs w:val="24"/>
              </w:rPr>
              <w:t xml:space="preserve"> a mediilor pe 8 ore</w:t>
            </w:r>
          </w:p>
        </w:tc>
        <w:tc>
          <w:tcPr>
            <w:tcW w:w="850" w:type="dxa"/>
            <w:shd w:val="clear" w:color="auto" w:fill="auto"/>
            <w:vAlign w:val="center"/>
          </w:tcPr>
          <w:p w:rsidR="000645BF" w:rsidRPr="0078419B" w:rsidRDefault="000645BF" w:rsidP="004E444C">
            <w:pPr>
              <w:spacing w:after="0" w:line="240" w:lineRule="auto"/>
              <w:jc w:val="center"/>
              <w:rPr>
                <w:rFonts w:ascii="Arial" w:hAnsi="Arial" w:cs="Arial"/>
                <w:sz w:val="24"/>
                <w:szCs w:val="24"/>
              </w:rPr>
            </w:pPr>
            <w:r w:rsidRPr="0078419B">
              <w:rPr>
                <w:rFonts w:ascii="Arial" w:hAnsi="Arial" w:cs="Arial"/>
                <w:sz w:val="24"/>
                <w:szCs w:val="24"/>
              </w:rPr>
              <w:t>1,78</w:t>
            </w:r>
          </w:p>
        </w:tc>
        <w:tc>
          <w:tcPr>
            <w:tcW w:w="851" w:type="dxa"/>
            <w:shd w:val="clear" w:color="auto" w:fill="auto"/>
            <w:vAlign w:val="center"/>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1,23</w:t>
            </w:r>
          </w:p>
        </w:tc>
        <w:tc>
          <w:tcPr>
            <w:tcW w:w="709" w:type="dxa"/>
            <w:shd w:val="clear" w:color="auto" w:fill="auto"/>
            <w:vAlign w:val="center"/>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1,68</w:t>
            </w:r>
          </w:p>
        </w:tc>
        <w:tc>
          <w:tcPr>
            <w:tcW w:w="850" w:type="dxa"/>
            <w:shd w:val="clear" w:color="auto" w:fill="auto"/>
            <w:vAlign w:val="center"/>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1,97</w:t>
            </w:r>
          </w:p>
        </w:tc>
        <w:tc>
          <w:tcPr>
            <w:tcW w:w="727" w:type="dxa"/>
            <w:shd w:val="clear" w:color="auto" w:fill="auto"/>
            <w:vAlign w:val="center"/>
          </w:tcPr>
          <w:p w:rsidR="000645BF" w:rsidRPr="0078419B" w:rsidRDefault="000645BF" w:rsidP="004E444C">
            <w:pPr>
              <w:spacing w:after="0" w:line="240" w:lineRule="auto"/>
              <w:jc w:val="center"/>
              <w:rPr>
                <w:rFonts w:ascii="Arial" w:hAnsi="Arial" w:cs="Arial"/>
                <w:bCs/>
                <w:sz w:val="24"/>
                <w:szCs w:val="24"/>
              </w:rPr>
            </w:pPr>
            <w:r w:rsidRPr="0078419B">
              <w:rPr>
                <w:rFonts w:ascii="Arial" w:hAnsi="Arial" w:cs="Arial"/>
                <w:bCs/>
                <w:sz w:val="24"/>
                <w:szCs w:val="24"/>
              </w:rPr>
              <w:t>0,79</w:t>
            </w:r>
          </w:p>
        </w:tc>
      </w:tr>
    </w:tbl>
    <w:p w:rsidR="000645BF" w:rsidRPr="0078419B" w:rsidRDefault="000645BF" w:rsidP="000645BF">
      <w:pPr>
        <w:spacing w:before="120" w:after="0" w:line="240" w:lineRule="auto"/>
        <w:ind w:firstLine="720"/>
        <w:jc w:val="both"/>
        <w:rPr>
          <w:rFonts w:ascii="Arial" w:hAnsi="Arial" w:cs="Arial"/>
          <w:sz w:val="24"/>
          <w:szCs w:val="24"/>
        </w:rPr>
      </w:pPr>
    </w:p>
    <w:p w:rsidR="000645BF" w:rsidRDefault="000645BF" w:rsidP="000645BF">
      <w:pPr>
        <w:spacing w:before="120" w:after="0" w:line="240" w:lineRule="auto"/>
        <w:ind w:firstLine="720"/>
        <w:jc w:val="center"/>
        <w:rPr>
          <w:rFonts w:ascii="Arial" w:hAnsi="Arial" w:cs="Arial"/>
          <w:sz w:val="24"/>
          <w:szCs w:val="24"/>
        </w:rPr>
      </w:pPr>
      <w:r w:rsidRPr="000D5605">
        <w:rPr>
          <w:rFonts w:ascii="Arial" w:hAnsi="Arial" w:cs="Arial"/>
          <w:noProof/>
          <w:sz w:val="24"/>
          <w:szCs w:val="24"/>
        </w:rPr>
        <w:lastRenderedPageBreak/>
        <w:drawing>
          <wp:inline distT="0" distB="0" distL="0" distR="0">
            <wp:extent cx="3467100" cy="1743075"/>
            <wp:effectExtent l="57150" t="19050" r="38100" b="0"/>
            <wp:docPr id="2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45BF" w:rsidRDefault="000645BF" w:rsidP="000645BF">
      <w:pPr>
        <w:spacing w:before="120" w:after="0" w:line="240" w:lineRule="auto"/>
        <w:ind w:firstLine="720"/>
        <w:jc w:val="both"/>
        <w:rPr>
          <w:rFonts w:ascii="Arial" w:hAnsi="Arial" w:cs="Arial"/>
          <w:sz w:val="24"/>
          <w:szCs w:val="24"/>
        </w:rPr>
      </w:pPr>
    </w:p>
    <w:p w:rsidR="000645BF" w:rsidRPr="0078419B" w:rsidRDefault="000645BF" w:rsidP="000645BF">
      <w:pPr>
        <w:jc w:val="center"/>
        <w:rPr>
          <w:rFonts w:ascii="Arial" w:hAnsi="Arial" w:cs="Arial"/>
          <w:sz w:val="24"/>
          <w:szCs w:val="24"/>
        </w:rPr>
      </w:pPr>
      <w:r w:rsidRPr="000E6C40">
        <w:rPr>
          <w:rFonts w:ascii="Arial" w:hAnsi="Arial" w:cs="Arial"/>
          <w:b/>
          <w:sz w:val="24"/>
          <w:szCs w:val="24"/>
        </w:rPr>
        <w:t>Fig. I.1.1.1.5.2</w:t>
      </w:r>
      <w:r w:rsidRPr="0078419B">
        <w:rPr>
          <w:rFonts w:ascii="Arial" w:hAnsi="Arial" w:cs="Arial"/>
          <w:sz w:val="24"/>
          <w:szCs w:val="24"/>
        </w:rPr>
        <w:t xml:space="preserve"> Concentraţia maxima zilnica a mediilor pe 8 ore a CO in 2017</w:t>
      </w:r>
    </w:p>
    <w:p w:rsidR="000645BF" w:rsidRDefault="000645BF" w:rsidP="000645BF">
      <w:pPr>
        <w:tabs>
          <w:tab w:val="left" w:pos="709"/>
        </w:tabs>
        <w:spacing w:after="0" w:line="240" w:lineRule="auto"/>
        <w:ind w:left="720" w:right="31"/>
        <w:rPr>
          <w:rFonts w:ascii="Arial" w:hAnsi="Arial" w:cs="Arial"/>
          <w:b/>
          <w:sz w:val="24"/>
          <w:szCs w:val="24"/>
        </w:rPr>
      </w:pPr>
      <w:r w:rsidRPr="00717595">
        <w:rPr>
          <w:rFonts w:ascii="Arial" w:hAnsi="Arial" w:cs="Arial"/>
          <w:b/>
          <w:sz w:val="24"/>
          <w:szCs w:val="24"/>
        </w:rPr>
        <w:t>I.1.1.1.6. Benzen</w:t>
      </w:r>
    </w:p>
    <w:p w:rsidR="000645BF" w:rsidRPr="00077A06" w:rsidRDefault="000645BF" w:rsidP="000645BF">
      <w:pPr>
        <w:autoSpaceDE w:val="0"/>
        <w:autoSpaceDN w:val="0"/>
        <w:adjustRightInd w:val="0"/>
        <w:spacing w:after="0" w:line="240" w:lineRule="auto"/>
        <w:ind w:firstLine="720"/>
        <w:jc w:val="both"/>
        <w:rPr>
          <w:rFonts w:ascii="Arial" w:hAnsi="Arial" w:cs="Arial"/>
          <w:sz w:val="24"/>
          <w:szCs w:val="24"/>
        </w:rPr>
      </w:pPr>
      <w:r w:rsidRPr="00077A06">
        <w:rPr>
          <w:rFonts w:ascii="Arial" w:hAnsi="Arial" w:cs="Arial"/>
          <w:sz w:val="24"/>
          <w:szCs w:val="24"/>
        </w:rPr>
        <w:t xml:space="preserve">Benzenul provine, în proporţie de 90%, </w:t>
      </w:r>
      <w:r>
        <w:rPr>
          <w:rFonts w:ascii="Arial" w:hAnsi="Arial" w:cs="Arial"/>
          <w:sz w:val="24"/>
          <w:szCs w:val="24"/>
        </w:rPr>
        <w:t>de la</w:t>
      </w:r>
      <w:r w:rsidRPr="00077A06">
        <w:rPr>
          <w:rFonts w:ascii="Arial" w:hAnsi="Arial" w:cs="Arial"/>
          <w:sz w:val="24"/>
          <w:szCs w:val="24"/>
        </w:rPr>
        <w:t xml:space="preserve"> motoarele cu ardere internă (trafic auto), în urma arderilor incomplete, restul rezultă din evaporarea combustibililor la stocare şi transfer, din arderea lemnului (contribuţia de la încălzirea locuinţelor este mică aproximativ 5%) şi din unele procese industriale. </w:t>
      </w:r>
    </w:p>
    <w:p w:rsidR="000645BF" w:rsidRPr="00077A06" w:rsidRDefault="000645BF" w:rsidP="000645BF">
      <w:pPr>
        <w:autoSpaceDE w:val="0"/>
        <w:autoSpaceDN w:val="0"/>
        <w:adjustRightInd w:val="0"/>
        <w:spacing w:after="0" w:line="240" w:lineRule="auto"/>
        <w:ind w:firstLine="720"/>
        <w:jc w:val="both"/>
        <w:rPr>
          <w:rFonts w:ascii="Arial" w:hAnsi="Arial" w:cs="Arial"/>
          <w:sz w:val="24"/>
          <w:szCs w:val="24"/>
        </w:rPr>
      </w:pPr>
      <w:r w:rsidRPr="00077A06">
        <w:rPr>
          <w:rFonts w:ascii="Arial" w:hAnsi="Arial" w:cs="Arial"/>
          <w:sz w:val="24"/>
          <w:szCs w:val="24"/>
        </w:rPr>
        <w:t xml:space="preserve">Efectele asupra sănătăţiii: pot fi de natură mutagenă şi cancerigenă, disconfort olfactiv, iritaţii şi diminuarea capacităţii respiratorii. </w:t>
      </w:r>
    </w:p>
    <w:p w:rsidR="000645BF" w:rsidRPr="00077A06" w:rsidRDefault="000645BF" w:rsidP="000645BF">
      <w:pPr>
        <w:autoSpaceDE w:val="0"/>
        <w:autoSpaceDN w:val="0"/>
        <w:adjustRightInd w:val="0"/>
        <w:spacing w:after="0" w:line="240" w:lineRule="auto"/>
        <w:ind w:firstLine="720"/>
        <w:jc w:val="both"/>
        <w:rPr>
          <w:rFonts w:ascii="Arial" w:hAnsi="Arial" w:cs="Arial"/>
          <w:sz w:val="24"/>
          <w:szCs w:val="24"/>
        </w:rPr>
      </w:pPr>
      <w:r w:rsidRPr="00077A06">
        <w:rPr>
          <w:rFonts w:ascii="Arial" w:hAnsi="Arial" w:cs="Arial"/>
          <w:sz w:val="24"/>
          <w:szCs w:val="24"/>
        </w:rPr>
        <w:t xml:space="preserve">Benzenul este îndepărtat din atmosferă prin dispersie, la apariţia condiţiilor meteorologice favorabile acestui fenomen sau prin reacţii fotochimice la care benzenul este reactant, determinând formarea ozonului. Având timp de remanenţă de câteva zile în atmosferă benzenul poate fi transportat pe distanţe lungi. </w:t>
      </w:r>
    </w:p>
    <w:p w:rsidR="000645BF" w:rsidRPr="00077A06" w:rsidRDefault="000645BF" w:rsidP="000645BF">
      <w:pPr>
        <w:autoSpaceDE w:val="0"/>
        <w:autoSpaceDN w:val="0"/>
        <w:adjustRightInd w:val="0"/>
        <w:spacing w:after="0" w:line="240" w:lineRule="auto"/>
        <w:ind w:firstLine="720"/>
        <w:jc w:val="both"/>
        <w:rPr>
          <w:rFonts w:ascii="Arial" w:hAnsi="Arial" w:cs="Arial"/>
          <w:sz w:val="24"/>
          <w:szCs w:val="24"/>
        </w:rPr>
      </w:pPr>
      <w:r w:rsidRPr="00077A06">
        <w:rPr>
          <w:rFonts w:ascii="Arial" w:hAnsi="Arial" w:cs="Arial"/>
          <w:sz w:val="24"/>
          <w:szCs w:val="24"/>
        </w:rPr>
        <w:t>În anul 2017 benzenul a fost monitorizat în staţia BR1 - de Trafic din municipiul Brăila (captura de date a fost de 92,75), staţia BR2 - de fond urban din municipiul Brăila (captura de date a fost de 94,86), staţia BR3 - de fond suburban din comuna Cazasu (captura de date a fost de 79,55), staţia BR5 - de tip industrie din comuna Chiscani (captura de date a fost de 85,77).</w:t>
      </w:r>
    </w:p>
    <w:p w:rsidR="000645BF" w:rsidRPr="00077A06" w:rsidRDefault="000645BF" w:rsidP="000645BF">
      <w:pPr>
        <w:autoSpaceDE w:val="0"/>
        <w:autoSpaceDN w:val="0"/>
        <w:adjustRightInd w:val="0"/>
        <w:spacing w:after="0" w:line="240" w:lineRule="auto"/>
        <w:ind w:firstLine="720"/>
        <w:jc w:val="both"/>
        <w:rPr>
          <w:rFonts w:ascii="Arial" w:hAnsi="Arial" w:cs="Arial"/>
          <w:sz w:val="24"/>
          <w:szCs w:val="24"/>
        </w:rPr>
      </w:pPr>
    </w:p>
    <w:p w:rsidR="000645BF" w:rsidRPr="00717595" w:rsidRDefault="000645BF" w:rsidP="000645BF">
      <w:pPr>
        <w:tabs>
          <w:tab w:val="num" w:pos="0"/>
        </w:tabs>
        <w:ind w:firstLine="720"/>
        <w:jc w:val="center"/>
        <w:rPr>
          <w:rFonts w:ascii="Arial" w:hAnsi="Arial" w:cs="Arial"/>
          <w:sz w:val="24"/>
          <w:szCs w:val="24"/>
        </w:rPr>
      </w:pPr>
      <w:r w:rsidRPr="00717595">
        <w:rPr>
          <w:rFonts w:ascii="Arial" w:hAnsi="Arial" w:cs="Arial"/>
          <w:noProof/>
          <w:sz w:val="24"/>
          <w:szCs w:val="24"/>
        </w:rPr>
        <w:drawing>
          <wp:inline distT="0" distB="0" distL="0" distR="0">
            <wp:extent cx="5067300" cy="1847850"/>
            <wp:effectExtent l="0" t="0" r="0" b="0"/>
            <wp:docPr id="150"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45BF" w:rsidRPr="00077A06" w:rsidRDefault="000645BF" w:rsidP="000645BF">
      <w:pPr>
        <w:tabs>
          <w:tab w:val="num" w:pos="0"/>
        </w:tabs>
        <w:ind w:firstLine="720"/>
        <w:jc w:val="center"/>
        <w:rPr>
          <w:rFonts w:ascii="Arial" w:hAnsi="Arial" w:cs="Arial"/>
          <w:b/>
          <w:sz w:val="24"/>
          <w:szCs w:val="24"/>
        </w:rPr>
      </w:pPr>
      <w:r w:rsidRPr="000E6C40">
        <w:rPr>
          <w:rFonts w:ascii="Arial" w:hAnsi="Arial" w:cs="Arial"/>
          <w:b/>
          <w:sz w:val="24"/>
          <w:szCs w:val="24"/>
        </w:rPr>
        <w:t>Fig.I.1.1.1.6</w:t>
      </w:r>
      <w:r w:rsidRPr="00077A06">
        <w:rPr>
          <w:rFonts w:ascii="Arial" w:hAnsi="Arial" w:cs="Arial"/>
          <w:sz w:val="24"/>
          <w:szCs w:val="24"/>
        </w:rPr>
        <w:t>. Concentraţia medie anuală de benzen în anul 2017</w:t>
      </w:r>
    </w:p>
    <w:p w:rsidR="000645BF" w:rsidRPr="000E6C40" w:rsidRDefault="000645BF" w:rsidP="000645BF">
      <w:pPr>
        <w:tabs>
          <w:tab w:val="num" w:pos="0"/>
        </w:tabs>
        <w:spacing w:after="0" w:line="240" w:lineRule="auto"/>
        <w:rPr>
          <w:rFonts w:ascii="Arial" w:hAnsi="Arial" w:cs="Arial"/>
          <w:b/>
          <w:sz w:val="24"/>
          <w:szCs w:val="24"/>
        </w:rPr>
      </w:pPr>
      <w:r w:rsidRPr="00077A06">
        <w:rPr>
          <w:rFonts w:ascii="Arial" w:hAnsi="Arial" w:cs="Arial"/>
          <w:sz w:val="24"/>
          <w:szCs w:val="24"/>
        </w:rPr>
        <w:tab/>
      </w:r>
      <w:r w:rsidRPr="00077A06">
        <w:rPr>
          <w:rFonts w:ascii="Arial" w:hAnsi="Arial" w:cs="Arial"/>
          <w:sz w:val="24"/>
          <w:szCs w:val="24"/>
        </w:rPr>
        <w:tab/>
      </w:r>
      <w:r w:rsidRPr="000E6C40">
        <w:rPr>
          <w:rFonts w:ascii="Arial" w:hAnsi="Arial" w:cs="Arial"/>
          <w:b/>
          <w:sz w:val="24"/>
          <w:szCs w:val="24"/>
        </w:rPr>
        <w:t>Tabel I.1.1.1.6.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0645BF" w:rsidRPr="00077A06" w:rsidTr="004E444C">
        <w:trPr>
          <w:jc w:val="center"/>
        </w:trPr>
        <w:tc>
          <w:tcPr>
            <w:tcW w:w="2285" w:type="dxa"/>
          </w:tcPr>
          <w:p w:rsidR="000645BF" w:rsidRPr="00077A06" w:rsidRDefault="000645BF" w:rsidP="004E444C">
            <w:pPr>
              <w:tabs>
                <w:tab w:val="num" w:pos="0"/>
              </w:tabs>
              <w:spacing w:after="0" w:line="240" w:lineRule="auto"/>
              <w:rPr>
                <w:rFonts w:ascii="Arial" w:hAnsi="Arial" w:cs="Arial"/>
                <w:sz w:val="24"/>
                <w:szCs w:val="24"/>
              </w:rPr>
            </w:pPr>
            <w:r w:rsidRPr="00077A06">
              <w:rPr>
                <w:rFonts w:ascii="Arial" w:hAnsi="Arial" w:cs="Arial"/>
                <w:b/>
                <w:sz w:val="24"/>
                <w:szCs w:val="24"/>
              </w:rPr>
              <w:t>Benzen</w:t>
            </w:r>
            <w:r w:rsidRPr="00077A06">
              <w:rPr>
                <w:rFonts w:ascii="Arial" w:hAnsi="Arial" w:cs="Arial"/>
                <w:sz w:val="24"/>
                <w:szCs w:val="24"/>
              </w:rPr>
              <w:t xml:space="preserve">    (</w:t>
            </w:r>
            <w:r w:rsidRPr="00077A06">
              <w:rPr>
                <w:rFonts w:ascii="Arial" w:hAnsi="Arial" w:cs="Arial"/>
                <w:sz w:val="24"/>
                <w:szCs w:val="24"/>
              </w:rPr>
              <w:sym w:font="Symbol" w:char="F06D"/>
            </w:r>
            <w:r w:rsidRPr="00077A06">
              <w:rPr>
                <w:rFonts w:ascii="Arial" w:hAnsi="Arial" w:cs="Arial"/>
                <w:sz w:val="24"/>
                <w:szCs w:val="24"/>
              </w:rPr>
              <w:t>g/mc)</w:t>
            </w:r>
          </w:p>
        </w:tc>
        <w:tc>
          <w:tcPr>
            <w:tcW w:w="1080" w:type="dxa"/>
          </w:tcPr>
          <w:p w:rsidR="000645BF" w:rsidRPr="00077A06" w:rsidRDefault="000645BF" w:rsidP="004E444C">
            <w:pPr>
              <w:spacing w:after="0" w:line="240" w:lineRule="auto"/>
              <w:jc w:val="center"/>
              <w:rPr>
                <w:rFonts w:ascii="Arial" w:hAnsi="Arial" w:cs="Arial"/>
                <w:b/>
                <w:sz w:val="24"/>
                <w:szCs w:val="24"/>
              </w:rPr>
            </w:pPr>
            <w:r w:rsidRPr="00077A06">
              <w:rPr>
                <w:rFonts w:ascii="Arial" w:hAnsi="Arial" w:cs="Arial"/>
                <w:b/>
                <w:sz w:val="24"/>
                <w:szCs w:val="24"/>
              </w:rPr>
              <w:t>BR1</w:t>
            </w:r>
          </w:p>
        </w:tc>
        <w:tc>
          <w:tcPr>
            <w:tcW w:w="1080" w:type="dxa"/>
          </w:tcPr>
          <w:p w:rsidR="000645BF" w:rsidRPr="00077A06" w:rsidRDefault="000645BF" w:rsidP="004E444C">
            <w:pPr>
              <w:spacing w:after="0" w:line="240" w:lineRule="auto"/>
              <w:jc w:val="center"/>
              <w:rPr>
                <w:rFonts w:ascii="Arial" w:hAnsi="Arial" w:cs="Arial"/>
                <w:b/>
                <w:sz w:val="24"/>
                <w:szCs w:val="24"/>
              </w:rPr>
            </w:pPr>
            <w:r w:rsidRPr="00077A06">
              <w:rPr>
                <w:rFonts w:ascii="Arial" w:hAnsi="Arial" w:cs="Arial"/>
                <w:b/>
                <w:sz w:val="24"/>
                <w:szCs w:val="24"/>
              </w:rPr>
              <w:t>BR2</w:t>
            </w:r>
          </w:p>
        </w:tc>
        <w:tc>
          <w:tcPr>
            <w:tcW w:w="1265" w:type="dxa"/>
          </w:tcPr>
          <w:p w:rsidR="000645BF" w:rsidRPr="00077A06" w:rsidRDefault="000645BF" w:rsidP="004E444C">
            <w:pPr>
              <w:spacing w:after="0" w:line="240" w:lineRule="auto"/>
              <w:jc w:val="center"/>
              <w:rPr>
                <w:rFonts w:ascii="Arial" w:hAnsi="Arial" w:cs="Arial"/>
                <w:b/>
                <w:sz w:val="24"/>
                <w:szCs w:val="24"/>
              </w:rPr>
            </w:pPr>
            <w:r w:rsidRPr="00077A06">
              <w:rPr>
                <w:rFonts w:ascii="Arial" w:hAnsi="Arial" w:cs="Arial"/>
                <w:b/>
                <w:sz w:val="24"/>
                <w:szCs w:val="24"/>
              </w:rPr>
              <w:t>BR3</w:t>
            </w:r>
          </w:p>
        </w:tc>
        <w:tc>
          <w:tcPr>
            <w:tcW w:w="1265" w:type="dxa"/>
          </w:tcPr>
          <w:p w:rsidR="000645BF" w:rsidRPr="00077A06" w:rsidRDefault="000645BF" w:rsidP="004E444C">
            <w:pPr>
              <w:spacing w:after="0" w:line="240" w:lineRule="auto"/>
              <w:jc w:val="center"/>
              <w:rPr>
                <w:rFonts w:ascii="Arial" w:hAnsi="Arial" w:cs="Arial"/>
                <w:sz w:val="24"/>
                <w:szCs w:val="24"/>
              </w:rPr>
            </w:pPr>
            <w:r w:rsidRPr="00077A06">
              <w:rPr>
                <w:rFonts w:ascii="Arial" w:hAnsi="Arial" w:cs="Arial"/>
                <w:b/>
                <w:sz w:val="24"/>
                <w:szCs w:val="24"/>
              </w:rPr>
              <w:t>BR5</w:t>
            </w:r>
          </w:p>
        </w:tc>
      </w:tr>
      <w:tr w:rsidR="000645BF" w:rsidRPr="00077A06" w:rsidTr="004E444C">
        <w:trPr>
          <w:jc w:val="center"/>
        </w:trPr>
        <w:tc>
          <w:tcPr>
            <w:tcW w:w="2285" w:type="dxa"/>
          </w:tcPr>
          <w:p w:rsidR="000645BF" w:rsidRPr="00077A06" w:rsidRDefault="000645BF" w:rsidP="004E444C">
            <w:pPr>
              <w:tabs>
                <w:tab w:val="num" w:pos="0"/>
              </w:tabs>
              <w:spacing w:after="0" w:line="240" w:lineRule="auto"/>
              <w:rPr>
                <w:rFonts w:ascii="Arial" w:hAnsi="Arial" w:cs="Arial"/>
                <w:sz w:val="24"/>
                <w:szCs w:val="24"/>
              </w:rPr>
            </w:pPr>
            <w:r w:rsidRPr="00077A06">
              <w:rPr>
                <w:rFonts w:ascii="Arial" w:hAnsi="Arial" w:cs="Arial"/>
                <w:sz w:val="24"/>
                <w:szCs w:val="24"/>
              </w:rPr>
              <w:t>2017 Medii anuale</w:t>
            </w:r>
          </w:p>
        </w:tc>
        <w:tc>
          <w:tcPr>
            <w:tcW w:w="1080" w:type="dxa"/>
          </w:tcPr>
          <w:p w:rsidR="000645BF" w:rsidRPr="00077A06" w:rsidRDefault="000645BF" w:rsidP="004E444C">
            <w:pPr>
              <w:spacing w:after="0" w:line="240" w:lineRule="auto"/>
              <w:jc w:val="center"/>
              <w:rPr>
                <w:rFonts w:ascii="Arial" w:hAnsi="Arial" w:cs="Arial"/>
                <w:sz w:val="24"/>
                <w:szCs w:val="24"/>
              </w:rPr>
            </w:pPr>
            <w:r w:rsidRPr="00077A06">
              <w:rPr>
                <w:rFonts w:ascii="Arial" w:hAnsi="Arial" w:cs="Arial"/>
                <w:sz w:val="24"/>
                <w:szCs w:val="24"/>
              </w:rPr>
              <w:t>2,39</w:t>
            </w:r>
          </w:p>
        </w:tc>
        <w:tc>
          <w:tcPr>
            <w:tcW w:w="1080" w:type="dxa"/>
          </w:tcPr>
          <w:p w:rsidR="000645BF" w:rsidRPr="00077A06" w:rsidRDefault="000645BF" w:rsidP="004E444C">
            <w:pPr>
              <w:spacing w:after="0" w:line="240" w:lineRule="auto"/>
              <w:jc w:val="center"/>
              <w:rPr>
                <w:rFonts w:ascii="Arial" w:hAnsi="Arial" w:cs="Arial"/>
                <w:sz w:val="24"/>
                <w:szCs w:val="24"/>
              </w:rPr>
            </w:pPr>
            <w:r w:rsidRPr="00077A06">
              <w:rPr>
                <w:rFonts w:ascii="Arial" w:hAnsi="Arial" w:cs="Arial"/>
                <w:sz w:val="24"/>
                <w:szCs w:val="24"/>
              </w:rPr>
              <w:t>1,40</w:t>
            </w:r>
          </w:p>
        </w:tc>
        <w:tc>
          <w:tcPr>
            <w:tcW w:w="1265" w:type="dxa"/>
          </w:tcPr>
          <w:p w:rsidR="000645BF" w:rsidRPr="00077A06" w:rsidRDefault="000645BF" w:rsidP="004E444C">
            <w:pPr>
              <w:spacing w:after="0" w:line="240" w:lineRule="auto"/>
              <w:jc w:val="center"/>
              <w:rPr>
                <w:rFonts w:ascii="Arial" w:hAnsi="Arial" w:cs="Arial"/>
                <w:sz w:val="24"/>
                <w:szCs w:val="24"/>
              </w:rPr>
            </w:pPr>
            <w:r w:rsidRPr="00077A06">
              <w:rPr>
                <w:rFonts w:ascii="Arial" w:hAnsi="Arial" w:cs="Arial"/>
                <w:sz w:val="24"/>
                <w:szCs w:val="24"/>
              </w:rPr>
              <w:t>2,71</w:t>
            </w:r>
          </w:p>
        </w:tc>
        <w:tc>
          <w:tcPr>
            <w:tcW w:w="1265" w:type="dxa"/>
          </w:tcPr>
          <w:p w:rsidR="000645BF" w:rsidRPr="00077A06" w:rsidRDefault="000645BF" w:rsidP="004E444C">
            <w:pPr>
              <w:spacing w:after="0" w:line="240" w:lineRule="auto"/>
              <w:jc w:val="center"/>
              <w:rPr>
                <w:rFonts w:ascii="Arial" w:hAnsi="Arial" w:cs="Arial"/>
                <w:sz w:val="24"/>
                <w:szCs w:val="24"/>
              </w:rPr>
            </w:pPr>
            <w:r w:rsidRPr="00077A06">
              <w:rPr>
                <w:rFonts w:ascii="Arial" w:hAnsi="Arial" w:cs="Arial"/>
                <w:sz w:val="24"/>
                <w:szCs w:val="24"/>
              </w:rPr>
              <w:t>1,91</w:t>
            </w:r>
          </w:p>
        </w:tc>
      </w:tr>
    </w:tbl>
    <w:p w:rsidR="000645BF" w:rsidRPr="00DA08AF" w:rsidRDefault="000645BF" w:rsidP="000645BF">
      <w:pPr>
        <w:tabs>
          <w:tab w:val="num" w:pos="0"/>
        </w:tabs>
        <w:spacing w:after="0"/>
        <w:jc w:val="center"/>
        <w:rPr>
          <w:rFonts w:ascii="Arial" w:hAnsi="Arial" w:cs="Arial"/>
          <w:color w:val="00B050"/>
          <w:sz w:val="24"/>
          <w:szCs w:val="24"/>
        </w:rPr>
      </w:pPr>
    </w:p>
    <w:p w:rsidR="000645BF" w:rsidRPr="00077A06" w:rsidRDefault="000645BF" w:rsidP="000645BF">
      <w:pPr>
        <w:ind w:firstLine="720"/>
        <w:jc w:val="both"/>
        <w:rPr>
          <w:rFonts w:ascii="Arial" w:hAnsi="Arial" w:cs="Arial"/>
          <w:b/>
          <w:sz w:val="24"/>
          <w:szCs w:val="24"/>
        </w:rPr>
      </w:pPr>
      <w:r w:rsidRPr="00077A06">
        <w:rPr>
          <w:rFonts w:ascii="Arial" w:hAnsi="Arial" w:cs="Arial"/>
          <w:sz w:val="24"/>
          <w:szCs w:val="24"/>
        </w:rPr>
        <w:t xml:space="preserve">Valorile medii anuale înregistrate s-au situat sub valoarea limită anuală stabilită în Legea </w:t>
      </w:r>
      <w:r>
        <w:rPr>
          <w:rFonts w:ascii="Arial" w:hAnsi="Arial" w:cs="Arial"/>
          <w:sz w:val="24"/>
          <w:szCs w:val="24"/>
        </w:rPr>
        <w:t>nr.</w:t>
      </w:r>
      <w:r w:rsidRPr="00077A06">
        <w:rPr>
          <w:rFonts w:ascii="Arial" w:hAnsi="Arial" w:cs="Arial"/>
          <w:sz w:val="24"/>
          <w:szCs w:val="24"/>
        </w:rPr>
        <w:t>104/2011 privind calitatea aerului înconjurător (5 μg/mc).</w:t>
      </w:r>
    </w:p>
    <w:p w:rsidR="000645BF" w:rsidRDefault="000645BF" w:rsidP="000645BF">
      <w:pPr>
        <w:tabs>
          <w:tab w:val="num" w:pos="0"/>
        </w:tabs>
        <w:spacing w:after="0" w:line="240" w:lineRule="auto"/>
        <w:ind w:firstLine="720"/>
        <w:rPr>
          <w:rFonts w:ascii="Arial" w:hAnsi="Arial" w:cs="Arial"/>
          <w:b/>
          <w:sz w:val="24"/>
          <w:szCs w:val="24"/>
        </w:rPr>
      </w:pPr>
      <w:r w:rsidRPr="00717595">
        <w:rPr>
          <w:rFonts w:ascii="Arial" w:hAnsi="Arial" w:cs="Arial"/>
          <w:b/>
          <w:sz w:val="24"/>
          <w:szCs w:val="24"/>
        </w:rPr>
        <w:t xml:space="preserve">I.1.1.1.7. Ozon </w:t>
      </w:r>
    </w:p>
    <w:p w:rsidR="000645BF" w:rsidRPr="003A1FE3" w:rsidRDefault="000645BF" w:rsidP="000645BF">
      <w:pPr>
        <w:pStyle w:val="Default"/>
        <w:jc w:val="both"/>
        <w:rPr>
          <w:rFonts w:ascii="Arial" w:hAnsi="Arial" w:cs="Arial"/>
          <w:color w:val="auto"/>
        </w:rPr>
      </w:pPr>
      <w:r>
        <w:rPr>
          <w:rFonts w:ascii="Arial" w:hAnsi="Arial" w:cs="Arial"/>
          <w:color w:val="00B050"/>
        </w:rPr>
        <w:tab/>
      </w:r>
      <w:r w:rsidRPr="003A1FE3">
        <w:rPr>
          <w:rFonts w:ascii="Arial" w:hAnsi="Arial" w:cs="Arial"/>
          <w:color w:val="auto"/>
        </w:rPr>
        <w:t xml:space="preserve">Se găseşte în mod natural în concentraţii foarte mici în troposferă. Spre deosebire de ozonul stratosferic, care protejează viaţa pe Pământ, ozonul troposferic (cuprins între sol şi 8-10 km înălţime) </w:t>
      </w:r>
      <w:r>
        <w:rPr>
          <w:rFonts w:ascii="Arial" w:hAnsi="Arial" w:cs="Arial"/>
          <w:color w:val="auto"/>
        </w:rPr>
        <w:t>e</w:t>
      </w:r>
      <w:r w:rsidRPr="003A1FE3">
        <w:rPr>
          <w:rFonts w:ascii="Arial" w:hAnsi="Arial" w:cs="Arial"/>
          <w:color w:val="auto"/>
        </w:rPr>
        <w:t xml:space="preserve">ste deosebit de toxic, având o acţiune puternic iritantă asupra căilor respiratorii, ochilor şi are potenţial cancerigen. Deasemenea, ozonul are efect toxic şi pentru plante, la care determină inhibarea fotosintezei, producerea de leziuni foliare, necroze. </w:t>
      </w:r>
    </w:p>
    <w:p w:rsidR="000645BF" w:rsidRPr="003A1FE3" w:rsidRDefault="000645BF" w:rsidP="000645BF">
      <w:pPr>
        <w:autoSpaceDE w:val="0"/>
        <w:autoSpaceDN w:val="0"/>
        <w:adjustRightInd w:val="0"/>
        <w:spacing w:after="0" w:line="240" w:lineRule="auto"/>
        <w:ind w:firstLine="720"/>
        <w:jc w:val="both"/>
        <w:rPr>
          <w:rFonts w:ascii="Arial" w:hAnsi="Arial" w:cs="Arial"/>
          <w:sz w:val="24"/>
          <w:szCs w:val="24"/>
        </w:rPr>
      </w:pPr>
      <w:r w:rsidRPr="003A1FE3">
        <w:rPr>
          <w:rFonts w:ascii="Arial" w:hAnsi="Arial" w:cs="Arial"/>
          <w:sz w:val="24"/>
          <w:szCs w:val="24"/>
        </w:rPr>
        <w:lastRenderedPageBreak/>
        <w:t xml:space="preserve">Ozonul este un poluant secundar deoarece, spre deosebire de alţi poluanţi, el nu este emis direct de vreo sursă de emisie, ci se formează sub influenţa radiaţiilor ultraviolete, prin reacţii fotochimice în lanţ între o serie de poluanţi primari (precursori ai ozonului) şi anume: oxizii de azot (NOx), compuşii organici volatili (COV), monoxidul de carbon (CO). </w:t>
      </w:r>
    </w:p>
    <w:p w:rsidR="000645BF" w:rsidRPr="003A1FE3" w:rsidRDefault="000645BF" w:rsidP="000645BF">
      <w:pPr>
        <w:autoSpaceDE w:val="0"/>
        <w:autoSpaceDN w:val="0"/>
        <w:adjustRightInd w:val="0"/>
        <w:spacing w:after="0" w:line="240" w:lineRule="auto"/>
        <w:ind w:firstLine="720"/>
        <w:jc w:val="both"/>
        <w:rPr>
          <w:rFonts w:ascii="Arial" w:hAnsi="Arial" w:cs="Arial"/>
          <w:i/>
          <w:sz w:val="24"/>
          <w:szCs w:val="24"/>
        </w:rPr>
      </w:pPr>
      <w:r w:rsidRPr="003A1FE3">
        <w:rPr>
          <w:rFonts w:ascii="Arial" w:hAnsi="Arial" w:cs="Arial"/>
          <w:i/>
          <w:sz w:val="24"/>
          <w:szCs w:val="24"/>
        </w:rPr>
        <w:t xml:space="preserve">Concentraţiile de ozon din aerul înconjurător se evaluează folosind </w:t>
      </w:r>
      <w:r w:rsidRPr="003A1FE3">
        <w:rPr>
          <w:rFonts w:ascii="Arial" w:hAnsi="Arial" w:cs="Arial"/>
          <w:b/>
          <w:i/>
          <w:iCs/>
          <w:sz w:val="24"/>
          <w:szCs w:val="24"/>
        </w:rPr>
        <w:t xml:space="preserve">pragul de alertă (240 </w:t>
      </w:r>
      <w:r w:rsidRPr="003A1FE3">
        <w:rPr>
          <w:rFonts w:ascii="Arial" w:hAnsi="Arial" w:cs="Arial"/>
          <w:b/>
          <w:i/>
          <w:sz w:val="24"/>
          <w:szCs w:val="24"/>
        </w:rPr>
        <w:t>µ</w:t>
      </w:r>
      <w:r w:rsidRPr="003A1FE3">
        <w:rPr>
          <w:rFonts w:ascii="Arial" w:hAnsi="Arial" w:cs="Arial"/>
          <w:b/>
          <w:i/>
          <w:iCs/>
          <w:sz w:val="24"/>
          <w:szCs w:val="24"/>
        </w:rPr>
        <w:t>g/mc)</w:t>
      </w:r>
      <w:r w:rsidRPr="003A1FE3">
        <w:rPr>
          <w:rFonts w:ascii="Arial" w:hAnsi="Arial" w:cs="Arial"/>
          <w:i/>
          <w:sz w:val="24"/>
          <w:szCs w:val="24"/>
        </w:rPr>
        <w:t>calculat ca medie a concentraţiilor orare (valoare ce trebuie măsurată timp de 3 ore consecutiv)</w:t>
      </w:r>
      <w:r w:rsidRPr="003A1FE3">
        <w:rPr>
          <w:rFonts w:ascii="Arial" w:hAnsi="Arial" w:cs="Arial"/>
          <w:i/>
          <w:iCs/>
          <w:sz w:val="24"/>
          <w:szCs w:val="24"/>
        </w:rPr>
        <w:t xml:space="preserve">, </w:t>
      </w:r>
      <w:r w:rsidRPr="003A1FE3">
        <w:rPr>
          <w:rFonts w:ascii="Arial" w:hAnsi="Arial" w:cs="Arial"/>
          <w:b/>
          <w:i/>
          <w:iCs/>
          <w:sz w:val="24"/>
          <w:szCs w:val="24"/>
        </w:rPr>
        <w:t xml:space="preserve">pragul de informare (180 </w:t>
      </w:r>
      <w:r w:rsidRPr="003A1FE3">
        <w:rPr>
          <w:rFonts w:ascii="Arial" w:hAnsi="Arial" w:cs="Arial"/>
          <w:b/>
          <w:i/>
          <w:sz w:val="24"/>
          <w:szCs w:val="24"/>
        </w:rPr>
        <w:t>µ</w:t>
      </w:r>
      <w:r w:rsidRPr="003A1FE3">
        <w:rPr>
          <w:rFonts w:ascii="Arial" w:hAnsi="Arial" w:cs="Arial"/>
          <w:b/>
          <w:i/>
          <w:iCs/>
          <w:sz w:val="24"/>
          <w:szCs w:val="24"/>
        </w:rPr>
        <w:t>g/mc)</w:t>
      </w:r>
      <w:r w:rsidRPr="003A1FE3">
        <w:rPr>
          <w:rFonts w:ascii="Arial" w:hAnsi="Arial" w:cs="Arial"/>
          <w:i/>
          <w:sz w:val="24"/>
          <w:szCs w:val="24"/>
        </w:rPr>
        <w:t xml:space="preserve">calculat ca medie a concentraţiilor orare </w:t>
      </w:r>
      <w:r w:rsidRPr="003A1FE3">
        <w:rPr>
          <w:rFonts w:ascii="Arial" w:hAnsi="Arial" w:cs="Arial"/>
          <w:i/>
          <w:iCs/>
          <w:sz w:val="24"/>
          <w:szCs w:val="24"/>
        </w:rPr>
        <w:t xml:space="preserve">şi </w:t>
      </w:r>
      <w:r w:rsidRPr="003A1FE3">
        <w:rPr>
          <w:rFonts w:ascii="Arial" w:hAnsi="Arial" w:cs="Arial"/>
          <w:b/>
          <w:i/>
          <w:iCs/>
          <w:sz w:val="24"/>
          <w:szCs w:val="24"/>
        </w:rPr>
        <w:t>valoarea ţintă</w:t>
      </w:r>
      <w:r w:rsidRPr="003A1FE3">
        <w:rPr>
          <w:rFonts w:ascii="Arial" w:hAnsi="Arial" w:cs="Arial"/>
          <w:i/>
          <w:iCs/>
          <w:sz w:val="24"/>
          <w:szCs w:val="24"/>
        </w:rPr>
        <w:t xml:space="preserve"> pentru protecţia sănătăţii umane </w:t>
      </w:r>
      <w:r w:rsidRPr="003A1FE3">
        <w:rPr>
          <w:rFonts w:ascii="Arial" w:hAnsi="Arial" w:cs="Arial"/>
          <w:b/>
          <w:i/>
          <w:sz w:val="24"/>
          <w:szCs w:val="24"/>
        </w:rPr>
        <w:t>(120 µ</w:t>
      </w:r>
      <w:r w:rsidRPr="003A1FE3">
        <w:rPr>
          <w:rFonts w:ascii="Arial" w:hAnsi="Arial" w:cs="Arial"/>
          <w:b/>
          <w:i/>
          <w:iCs/>
          <w:sz w:val="24"/>
          <w:szCs w:val="24"/>
        </w:rPr>
        <w:t>g/mc)</w:t>
      </w:r>
      <w:r w:rsidRPr="003A1FE3">
        <w:rPr>
          <w:rFonts w:ascii="Arial" w:hAnsi="Arial" w:cs="Arial"/>
          <w:i/>
          <w:sz w:val="24"/>
          <w:szCs w:val="24"/>
        </w:rPr>
        <w:t xml:space="preserve">calculată ca valoare maximă zilnică a mediilor pe 8 ore (medie mobilă), pentru care sunt permise un număr de 25 de depăşiri pe an calendaristic. </w:t>
      </w:r>
    </w:p>
    <w:p w:rsidR="000645BF" w:rsidRPr="003A1FE3" w:rsidRDefault="000645BF" w:rsidP="000645BF">
      <w:pPr>
        <w:tabs>
          <w:tab w:val="num" w:pos="0"/>
        </w:tabs>
        <w:ind w:firstLine="720"/>
        <w:jc w:val="center"/>
        <w:rPr>
          <w:rFonts w:ascii="Arial" w:hAnsi="Arial" w:cs="Arial"/>
          <w:sz w:val="24"/>
          <w:szCs w:val="24"/>
        </w:rPr>
      </w:pPr>
      <w:r w:rsidRPr="003A1FE3">
        <w:rPr>
          <w:rFonts w:ascii="Arial" w:hAnsi="Arial" w:cs="Arial"/>
          <w:noProof/>
          <w:sz w:val="24"/>
          <w:szCs w:val="24"/>
        </w:rPr>
        <w:drawing>
          <wp:inline distT="0" distB="0" distL="0" distR="0">
            <wp:extent cx="5067300" cy="1847850"/>
            <wp:effectExtent l="0" t="0" r="0" b="0"/>
            <wp:docPr id="15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45BF" w:rsidRPr="003A1FE3" w:rsidRDefault="000645BF" w:rsidP="000645BF">
      <w:pPr>
        <w:tabs>
          <w:tab w:val="num" w:pos="0"/>
        </w:tabs>
        <w:ind w:firstLine="720"/>
        <w:jc w:val="center"/>
        <w:rPr>
          <w:rFonts w:ascii="Arial" w:hAnsi="Arial" w:cs="Arial"/>
          <w:sz w:val="24"/>
          <w:szCs w:val="24"/>
        </w:rPr>
      </w:pPr>
      <w:r w:rsidRPr="0006246E">
        <w:rPr>
          <w:rFonts w:ascii="Arial" w:hAnsi="Arial" w:cs="Arial"/>
          <w:b/>
          <w:sz w:val="24"/>
          <w:szCs w:val="24"/>
        </w:rPr>
        <w:t>Fig.I.1.1.1.7.</w:t>
      </w:r>
      <w:r w:rsidRPr="003A1FE3">
        <w:rPr>
          <w:rFonts w:ascii="Arial" w:hAnsi="Arial" w:cs="Arial"/>
          <w:sz w:val="24"/>
          <w:szCs w:val="24"/>
        </w:rPr>
        <w:t xml:space="preserve"> Concentraţia medie anuală de ozon în anul 2017</w:t>
      </w:r>
    </w:p>
    <w:p w:rsidR="000645BF" w:rsidRPr="0006246E" w:rsidRDefault="000645BF" w:rsidP="000645BF">
      <w:pPr>
        <w:tabs>
          <w:tab w:val="num" w:pos="0"/>
        </w:tabs>
        <w:spacing w:after="0" w:line="240" w:lineRule="auto"/>
        <w:jc w:val="right"/>
        <w:rPr>
          <w:rFonts w:ascii="Arial" w:hAnsi="Arial" w:cs="Arial"/>
          <w:b/>
          <w:sz w:val="24"/>
          <w:szCs w:val="24"/>
        </w:rPr>
      </w:pPr>
      <w:r>
        <w:rPr>
          <w:rFonts w:ascii="Arial" w:hAnsi="Arial" w:cs="Arial"/>
          <w:sz w:val="24"/>
          <w:szCs w:val="24"/>
        </w:rPr>
        <w:tab/>
      </w:r>
      <w:r>
        <w:rPr>
          <w:rFonts w:ascii="Arial" w:hAnsi="Arial" w:cs="Arial"/>
          <w:sz w:val="24"/>
          <w:szCs w:val="24"/>
        </w:rPr>
        <w:tab/>
      </w:r>
      <w:r w:rsidRPr="0006246E">
        <w:rPr>
          <w:rFonts w:ascii="Arial" w:hAnsi="Arial" w:cs="Arial"/>
          <w:b/>
          <w:sz w:val="24"/>
          <w:szCs w:val="24"/>
        </w:rPr>
        <w:t>Tabel I.1.1.1.7.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0645BF" w:rsidRPr="003A1FE3" w:rsidTr="004E444C">
        <w:tc>
          <w:tcPr>
            <w:tcW w:w="2194" w:type="dxa"/>
          </w:tcPr>
          <w:p w:rsidR="000645BF" w:rsidRPr="003A1FE3" w:rsidRDefault="000645BF" w:rsidP="004E444C">
            <w:pPr>
              <w:tabs>
                <w:tab w:val="num" w:pos="0"/>
              </w:tabs>
              <w:spacing w:before="100" w:beforeAutospacing="1" w:after="100" w:afterAutospacing="1" w:line="240" w:lineRule="auto"/>
              <w:jc w:val="center"/>
              <w:rPr>
                <w:rFonts w:ascii="Arial" w:hAnsi="Arial" w:cs="Arial"/>
                <w:sz w:val="24"/>
                <w:szCs w:val="24"/>
              </w:rPr>
            </w:pPr>
            <w:r w:rsidRPr="003A1FE3">
              <w:rPr>
                <w:rFonts w:ascii="Arial" w:hAnsi="Arial" w:cs="Arial"/>
                <w:b/>
                <w:sz w:val="24"/>
                <w:szCs w:val="24"/>
              </w:rPr>
              <w:t>O</w:t>
            </w:r>
            <w:r w:rsidRPr="003A1FE3">
              <w:rPr>
                <w:rFonts w:ascii="Arial" w:hAnsi="Arial" w:cs="Arial"/>
                <w:b/>
                <w:sz w:val="24"/>
                <w:szCs w:val="24"/>
                <w:vertAlign w:val="subscript"/>
              </w:rPr>
              <w:t>3</w:t>
            </w:r>
            <w:r w:rsidRPr="003A1FE3">
              <w:rPr>
                <w:rFonts w:ascii="Arial" w:hAnsi="Arial" w:cs="Arial"/>
                <w:sz w:val="24"/>
                <w:szCs w:val="24"/>
              </w:rPr>
              <w:t xml:space="preserve">  (</w:t>
            </w:r>
            <w:r w:rsidRPr="003A1FE3">
              <w:rPr>
                <w:rFonts w:ascii="Arial" w:hAnsi="Arial" w:cs="Arial"/>
                <w:sz w:val="24"/>
                <w:szCs w:val="24"/>
              </w:rPr>
              <w:sym w:font="Symbol" w:char="F06D"/>
            </w:r>
            <w:r w:rsidRPr="003A1FE3">
              <w:rPr>
                <w:rFonts w:ascii="Arial" w:hAnsi="Arial" w:cs="Arial"/>
                <w:sz w:val="24"/>
                <w:szCs w:val="24"/>
              </w:rPr>
              <w:t>g/mc)</w:t>
            </w:r>
          </w:p>
        </w:tc>
        <w:tc>
          <w:tcPr>
            <w:tcW w:w="1080" w:type="dxa"/>
          </w:tcPr>
          <w:p w:rsidR="000645BF" w:rsidRPr="003A1FE3" w:rsidRDefault="000645BF" w:rsidP="004E444C">
            <w:pPr>
              <w:spacing w:before="100" w:beforeAutospacing="1" w:after="100" w:afterAutospacing="1" w:line="240" w:lineRule="auto"/>
              <w:jc w:val="center"/>
              <w:rPr>
                <w:rFonts w:ascii="Arial" w:hAnsi="Arial" w:cs="Arial"/>
                <w:b/>
                <w:sz w:val="24"/>
                <w:szCs w:val="24"/>
              </w:rPr>
            </w:pPr>
            <w:r w:rsidRPr="003A1FE3">
              <w:rPr>
                <w:rFonts w:ascii="Arial" w:hAnsi="Arial" w:cs="Arial"/>
                <w:b/>
                <w:sz w:val="24"/>
                <w:szCs w:val="24"/>
              </w:rPr>
              <w:t>BR2</w:t>
            </w:r>
          </w:p>
        </w:tc>
        <w:tc>
          <w:tcPr>
            <w:tcW w:w="1080" w:type="dxa"/>
          </w:tcPr>
          <w:p w:rsidR="000645BF" w:rsidRPr="003A1FE3" w:rsidRDefault="000645BF" w:rsidP="004E444C">
            <w:pPr>
              <w:spacing w:before="100" w:beforeAutospacing="1" w:after="100" w:afterAutospacing="1" w:line="240" w:lineRule="auto"/>
              <w:jc w:val="center"/>
              <w:rPr>
                <w:rFonts w:ascii="Arial" w:hAnsi="Arial" w:cs="Arial"/>
                <w:b/>
                <w:sz w:val="24"/>
                <w:szCs w:val="24"/>
              </w:rPr>
            </w:pPr>
            <w:r w:rsidRPr="003A1FE3">
              <w:rPr>
                <w:rFonts w:ascii="Arial" w:hAnsi="Arial" w:cs="Arial"/>
                <w:b/>
                <w:sz w:val="24"/>
                <w:szCs w:val="24"/>
              </w:rPr>
              <w:t>BR3</w:t>
            </w:r>
          </w:p>
        </w:tc>
        <w:tc>
          <w:tcPr>
            <w:tcW w:w="1167" w:type="dxa"/>
          </w:tcPr>
          <w:p w:rsidR="000645BF" w:rsidRPr="003A1FE3" w:rsidRDefault="000645BF" w:rsidP="004E444C">
            <w:pPr>
              <w:spacing w:before="100" w:beforeAutospacing="1" w:after="100" w:afterAutospacing="1" w:line="240" w:lineRule="auto"/>
              <w:jc w:val="center"/>
              <w:rPr>
                <w:rFonts w:ascii="Arial" w:hAnsi="Arial" w:cs="Arial"/>
                <w:b/>
                <w:sz w:val="24"/>
                <w:szCs w:val="24"/>
              </w:rPr>
            </w:pPr>
            <w:r w:rsidRPr="003A1FE3">
              <w:rPr>
                <w:rFonts w:ascii="Arial" w:hAnsi="Arial" w:cs="Arial"/>
                <w:b/>
                <w:sz w:val="24"/>
                <w:szCs w:val="24"/>
              </w:rPr>
              <w:t>BR4</w:t>
            </w:r>
          </w:p>
        </w:tc>
        <w:tc>
          <w:tcPr>
            <w:tcW w:w="1265" w:type="dxa"/>
          </w:tcPr>
          <w:p w:rsidR="000645BF" w:rsidRPr="003A1FE3" w:rsidRDefault="000645BF" w:rsidP="004E444C">
            <w:pPr>
              <w:spacing w:before="100" w:beforeAutospacing="1" w:after="100" w:afterAutospacing="1" w:line="240" w:lineRule="auto"/>
              <w:jc w:val="center"/>
              <w:rPr>
                <w:rFonts w:ascii="Arial" w:hAnsi="Arial" w:cs="Arial"/>
                <w:b/>
                <w:sz w:val="24"/>
                <w:szCs w:val="24"/>
              </w:rPr>
            </w:pPr>
            <w:r w:rsidRPr="003A1FE3">
              <w:rPr>
                <w:rFonts w:ascii="Arial" w:hAnsi="Arial" w:cs="Arial"/>
                <w:b/>
                <w:sz w:val="24"/>
                <w:szCs w:val="24"/>
              </w:rPr>
              <w:t>BR5</w:t>
            </w:r>
          </w:p>
        </w:tc>
      </w:tr>
      <w:tr w:rsidR="000645BF" w:rsidRPr="003A1FE3" w:rsidTr="004E444C">
        <w:tc>
          <w:tcPr>
            <w:tcW w:w="2194" w:type="dxa"/>
          </w:tcPr>
          <w:p w:rsidR="000645BF" w:rsidRPr="003A1FE3" w:rsidRDefault="000645BF" w:rsidP="004E444C">
            <w:pPr>
              <w:tabs>
                <w:tab w:val="num" w:pos="0"/>
              </w:tabs>
              <w:spacing w:before="100" w:beforeAutospacing="1" w:after="100" w:afterAutospacing="1" w:line="240" w:lineRule="auto"/>
              <w:jc w:val="center"/>
              <w:rPr>
                <w:rFonts w:ascii="Arial" w:hAnsi="Arial" w:cs="Arial"/>
                <w:sz w:val="24"/>
                <w:szCs w:val="24"/>
              </w:rPr>
            </w:pPr>
            <w:r w:rsidRPr="003A1FE3">
              <w:rPr>
                <w:rFonts w:ascii="Arial" w:hAnsi="Arial" w:cs="Arial"/>
                <w:sz w:val="24"/>
                <w:szCs w:val="24"/>
              </w:rPr>
              <w:t>2017 Medii anuale</w:t>
            </w:r>
          </w:p>
        </w:tc>
        <w:tc>
          <w:tcPr>
            <w:tcW w:w="1080" w:type="dxa"/>
          </w:tcPr>
          <w:p w:rsidR="000645BF" w:rsidRPr="003A1FE3" w:rsidRDefault="000645BF" w:rsidP="004E444C">
            <w:pPr>
              <w:spacing w:before="100" w:beforeAutospacing="1" w:after="100" w:afterAutospacing="1" w:line="240" w:lineRule="auto"/>
              <w:jc w:val="center"/>
              <w:rPr>
                <w:rFonts w:ascii="Arial" w:hAnsi="Arial" w:cs="Arial"/>
                <w:sz w:val="24"/>
                <w:szCs w:val="24"/>
              </w:rPr>
            </w:pPr>
            <w:r w:rsidRPr="003A1FE3">
              <w:rPr>
                <w:rFonts w:ascii="Arial" w:hAnsi="Arial" w:cs="Arial"/>
                <w:sz w:val="24"/>
                <w:szCs w:val="24"/>
              </w:rPr>
              <w:t>43,37</w:t>
            </w:r>
          </w:p>
        </w:tc>
        <w:tc>
          <w:tcPr>
            <w:tcW w:w="1080" w:type="dxa"/>
          </w:tcPr>
          <w:p w:rsidR="000645BF" w:rsidRPr="003A1FE3" w:rsidRDefault="000645BF" w:rsidP="004E444C">
            <w:pPr>
              <w:spacing w:before="100" w:beforeAutospacing="1" w:after="100" w:afterAutospacing="1" w:line="240" w:lineRule="auto"/>
              <w:jc w:val="center"/>
              <w:rPr>
                <w:rFonts w:ascii="Arial" w:hAnsi="Arial" w:cs="Arial"/>
                <w:sz w:val="24"/>
                <w:szCs w:val="24"/>
              </w:rPr>
            </w:pPr>
            <w:r w:rsidRPr="003A1FE3">
              <w:rPr>
                <w:rFonts w:ascii="Arial" w:hAnsi="Arial" w:cs="Arial"/>
                <w:sz w:val="24"/>
                <w:szCs w:val="24"/>
              </w:rPr>
              <w:t>55,63</w:t>
            </w:r>
          </w:p>
        </w:tc>
        <w:tc>
          <w:tcPr>
            <w:tcW w:w="1167" w:type="dxa"/>
          </w:tcPr>
          <w:p w:rsidR="000645BF" w:rsidRPr="003A1FE3" w:rsidRDefault="000645BF" w:rsidP="004E444C">
            <w:pPr>
              <w:spacing w:before="100" w:beforeAutospacing="1" w:after="100" w:afterAutospacing="1" w:line="240" w:lineRule="auto"/>
              <w:jc w:val="center"/>
              <w:rPr>
                <w:rFonts w:ascii="Arial" w:hAnsi="Arial" w:cs="Arial"/>
                <w:sz w:val="24"/>
                <w:szCs w:val="24"/>
              </w:rPr>
            </w:pPr>
            <w:r w:rsidRPr="003A1FE3">
              <w:rPr>
                <w:rFonts w:ascii="Arial" w:hAnsi="Arial" w:cs="Arial"/>
                <w:sz w:val="24"/>
                <w:szCs w:val="24"/>
              </w:rPr>
              <w:t>56,33</w:t>
            </w:r>
          </w:p>
        </w:tc>
        <w:tc>
          <w:tcPr>
            <w:tcW w:w="1265" w:type="dxa"/>
          </w:tcPr>
          <w:p w:rsidR="000645BF" w:rsidRPr="003A1FE3" w:rsidRDefault="000645BF" w:rsidP="004E444C">
            <w:pPr>
              <w:spacing w:before="100" w:beforeAutospacing="1" w:after="100" w:afterAutospacing="1" w:line="240" w:lineRule="auto"/>
              <w:jc w:val="center"/>
              <w:rPr>
                <w:rFonts w:ascii="Arial" w:hAnsi="Arial" w:cs="Arial"/>
                <w:sz w:val="24"/>
                <w:szCs w:val="24"/>
              </w:rPr>
            </w:pPr>
            <w:r w:rsidRPr="003A1FE3">
              <w:rPr>
                <w:rFonts w:ascii="Arial" w:hAnsi="Arial" w:cs="Arial"/>
                <w:sz w:val="24"/>
                <w:szCs w:val="24"/>
              </w:rPr>
              <w:t>60,09</w:t>
            </w:r>
          </w:p>
        </w:tc>
      </w:tr>
    </w:tbl>
    <w:p w:rsidR="000645BF" w:rsidRDefault="000645BF" w:rsidP="000645BF">
      <w:pPr>
        <w:tabs>
          <w:tab w:val="num" w:pos="0"/>
        </w:tabs>
        <w:spacing w:after="0" w:line="240" w:lineRule="auto"/>
        <w:ind w:firstLine="720"/>
        <w:jc w:val="both"/>
        <w:rPr>
          <w:rFonts w:ascii="Arial" w:hAnsi="Arial" w:cs="Arial"/>
          <w:sz w:val="24"/>
          <w:szCs w:val="24"/>
        </w:rPr>
      </w:pPr>
    </w:p>
    <w:p w:rsidR="000645BF" w:rsidRPr="003A1FE3" w:rsidRDefault="000645BF" w:rsidP="000645BF">
      <w:pPr>
        <w:tabs>
          <w:tab w:val="num" w:pos="0"/>
        </w:tabs>
        <w:spacing w:after="0" w:line="240" w:lineRule="auto"/>
        <w:ind w:firstLine="720"/>
        <w:jc w:val="both"/>
        <w:rPr>
          <w:rFonts w:ascii="Arial" w:hAnsi="Arial" w:cs="Arial"/>
          <w:sz w:val="24"/>
          <w:szCs w:val="24"/>
        </w:rPr>
      </w:pPr>
    </w:p>
    <w:p w:rsidR="000645BF" w:rsidRPr="003A1FE3" w:rsidRDefault="000645BF" w:rsidP="000645BF">
      <w:pPr>
        <w:tabs>
          <w:tab w:val="num" w:pos="0"/>
        </w:tabs>
        <w:spacing w:after="0" w:line="240" w:lineRule="auto"/>
        <w:ind w:firstLine="720"/>
        <w:jc w:val="both"/>
        <w:rPr>
          <w:rFonts w:ascii="Arial" w:hAnsi="Arial" w:cs="Arial"/>
          <w:sz w:val="24"/>
          <w:szCs w:val="24"/>
        </w:rPr>
      </w:pPr>
    </w:p>
    <w:p w:rsidR="000645BF" w:rsidRPr="003A1FE3" w:rsidRDefault="000645BF" w:rsidP="000645BF">
      <w:pPr>
        <w:tabs>
          <w:tab w:val="num" w:pos="0"/>
        </w:tabs>
        <w:spacing w:after="0" w:line="240" w:lineRule="auto"/>
        <w:ind w:firstLine="720"/>
        <w:jc w:val="both"/>
        <w:rPr>
          <w:rFonts w:ascii="Arial" w:hAnsi="Arial" w:cs="Arial"/>
          <w:sz w:val="24"/>
          <w:szCs w:val="24"/>
        </w:rPr>
      </w:pPr>
      <w:r w:rsidRPr="003A1FE3">
        <w:rPr>
          <w:rFonts w:ascii="Arial" w:hAnsi="Arial" w:cs="Arial"/>
          <w:sz w:val="24"/>
          <w:szCs w:val="24"/>
        </w:rPr>
        <w:t xml:space="preserve">Valorile orare pentru ozon au fost mai mici decât pragul de alertă (240 μg/mc - medie orară), precum şi faţă de pragul de informare (180 μg/mc - medie orară). </w:t>
      </w:r>
    </w:p>
    <w:p w:rsidR="000645BF" w:rsidRPr="003A1FE3" w:rsidRDefault="000645BF" w:rsidP="000645BF">
      <w:pPr>
        <w:tabs>
          <w:tab w:val="num" w:pos="0"/>
        </w:tabs>
        <w:spacing w:after="0" w:line="240" w:lineRule="auto"/>
        <w:ind w:firstLine="720"/>
        <w:jc w:val="both"/>
        <w:rPr>
          <w:rFonts w:ascii="Arial" w:hAnsi="Arial" w:cs="Arial"/>
          <w:sz w:val="24"/>
          <w:szCs w:val="24"/>
        </w:rPr>
      </w:pPr>
      <w:r w:rsidRPr="003A1FE3">
        <w:rPr>
          <w:rFonts w:ascii="Arial" w:hAnsi="Arial" w:cs="Arial"/>
          <w:sz w:val="24"/>
          <w:szCs w:val="24"/>
        </w:rPr>
        <w:t xml:space="preserve">De asemenea, concentraţiile maxime a mediilor pe opt ore au fost sub obiectivul pe termen lung pentru protecţia sănătăţii umane şi respectiv valoarea ţintă pentru anul 2017 (120 </w:t>
      </w:r>
      <w:r w:rsidRPr="003A1FE3">
        <w:rPr>
          <w:rFonts w:ascii="Arial" w:hAnsi="Arial" w:cs="Arial"/>
          <w:sz w:val="24"/>
          <w:szCs w:val="24"/>
        </w:rPr>
        <w:sym w:font="Symbol" w:char="F06D"/>
      </w:r>
      <w:r w:rsidRPr="003A1FE3">
        <w:rPr>
          <w:rFonts w:ascii="Arial" w:hAnsi="Arial" w:cs="Arial"/>
          <w:sz w:val="24"/>
          <w:szCs w:val="24"/>
        </w:rPr>
        <w:t>g/mc).</w:t>
      </w:r>
    </w:p>
    <w:p w:rsidR="000645BF" w:rsidRPr="00717595" w:rsidRDefault="000645BF" w:rsidP="000645BF">
      <w:pPr>
        <w:tabs>
          <w:tab w:val="num" w:pos="0"/>
        </w:tabs>
        <w:spacing w:after="0" w:line="240" w:lineRule="auto"/>
        <w:ind w:firstLine="720"/>
        <w:jc w:val="both"/>
        <w:rPr>
          <w:rFonts w:ascii="Arial" w:hAnsi="Arial" w:cs="Arial"/>
          <w:sz w:val="24"/>
          <w:szCs w:val="24"/>
        </w:rPr>
      </w:pPr>
    </w:p>
    <w:p w:rsidR="000645BF" w:rsidRDefault="000645BF" w:rsidP="000645BF">
      <w:pPr>
        <w:spacing w:after="0" w:line="240" w:lineRule="auto"/>
        <w:ind w:firstLine="720"/>
        <w:jc w:val="both"/>
        <w:rPr>
          <w:rFonts w:ascii="Arial" w:hAnsi="Arial" w:cs="Arial"/>
          <w:b/>
          <w:sz w:val="24"/>
          <w:szCs w:val="24"/>
        </w:rPr>
      </w:pPr>
      <w:r w:rsidRPr="00717595">
        <w:rPr>
          <w:rFonts w:ascii="Arial" w:hAnsi="Arial" w:cs="Arial"/>
          <w:b/>
          <w:sz w:val="24"/>
          <w:szCs w:val="24"/>
        </w:rPr>
        <w:t>I.1.1.1.8. Pulberi sedimentabil</w:t>
      </w:r>
      <w:r>
        <w:rPr>
          <w:rFonts w:ascii="Arial" w:hAnsi="Arial" w:cs="Arial"/>
          <w:b/>
          <w:sz w:val="24"/>
          <w:szCs w:val="24"/>
        </w:rPr>
        <w:t>e</w:t>
      </w:r>
    </w:p>
    <w:p w:rsidR="000645BF" w:rsidRPr="00D1362E" w:rsidRDefault="000645BF" w:rsidP="000645BF">
      <w:pPr>
        <w:autoSpaceDE w:val="0"/>
        <w:autoSpaceDN w:val="0"/>
        <w:adjustRightInd w:val="0"/>
        <w:spacing w:after="0" w:line="240" w:lineRule="auto"/>
        <w:ind w:firstLine="720"/>
        <w:jc w:val="both"/>
        <w:rPr>
          <w:rFonts w:ascii="Arial" w:hAnsi="Arial" w:cs="Arial"/>
          <w:sz w:val="24"/>
          <w:szCs w:val="24"/>
        </w:rPr>
      </w:pPr>
      <w:r w:rsidRPr="00D1362E">
        <w:rPr>
          <w:rFonts w:ascii="Arial" w:hAnsi="Arial" w:cs="Arial"/>
          <w:bCs/>
          <w:sz w:val="24"/>
          <w:szCs w:val="24"/>
        </w:rPr>
        <w:t xml:space="preserve">Pulberile sedimentabile </w:t>
      </w:r>
      <w:r w:rsidRPr="00D1362E">
        <w:rPr>
          <w:rFonts w:ascii="Arial" w:hAnsi="Arial" w:cs="Arial"/>
          <w:sz w:val="24"/>
          <w:szCs w:val="24"/>
        </w:rPr>
        <w:t>au diametre de ordinul zecilor sau sutelor de microni, după ce sunt emise în atmosferă, se depun pe sol, vegetaţie, ape, construcţii.</w:t>
      </w:r>
    </w:p>
    <w:p w:rsidR="000645BF" w:rsidRPr="00D1362E" w:rsidRDefault="000645BF" w:rsidP="000645BF">
      <w:pPr>
        <w:autoSpaceDE w:val="0"/>
        <w:autoSpaceDN w:val="0"/>
        <w:adjustRightInd w:val="0"/>
        <w:spacing w:after="0" w:line="240" w:lineRule="auto"/>
        <w:ind w:firstLine="720"/>
        <w:jc w:val="both"/>
        <w:rPr>
          <w:rFonts w:ascii="Arial" w:hAnsi="Arial" w:cs="Arial"/>
          <w:b/>
          <w:sz w:val="24"/>
          <w:szCs w:val="24"/>
        </w:rPr>
      </w:pPr>
      <w:r w:rsidRPr="00D1362E">
        <w:rPr>
          <w:rFonts w:ascii="Arial" w:hAnsi="Arial" w:cs="Arial"/>
          <w:sz w:val="24"/>
          <w:szCs w:val="24"/>
        </w:rPr>
        <w:t xml:space="preserve">Pe teritoriul judeţului Brăila supravegherea concentraţiei de pulberi sedimentabile s-a realizat în anul 2017 într-un număr de 11 puncte, pe raza municipiului </w:t>
      </w:r>
      <w:r>
        <w:rPr>
          <w:rFonts w:ascii="Arial" w:hAnsi="Arial" w:cs="Arial"/>
          <w:sz w:val="24"/>
          <w:szCs w:val="24"/>
        </w:rPr>
        <w:t>ș</w:t>
      </w:r>
      <w:r w:rsidRPr="00D1362E">
        <w:rPr>
          <w:rFonts w:ascii="Arial" w:hAnsi="Arial" w:cs="Arial"/>
          <w:sz w:val="24"/>
          <w:szCs w:val="24"/>
        </w:rPr>
        <w:t xml:space="preserve">i </w:t>
      </w:r>
      <w:r>
        <w:rPr>
          <w:rFonts w:ascii="Arial" w:hAnsi="Arial" w:cs="Arial"/>
          <w:sz w:val="24"/>
          <w:szCs w:val="24"/>
        </w:rPr>
        <w:t>î</w:t>
      </w:r>
      <w:r w:rsidRPr="00D1362E">
        <w:rPr>
          <w:rFonts w:ascii="Arial" w:hAnsi="Arial" w:cs="Arial"/>
          <w:sz w:val="24"/>
          <w:szCs w:val="24"/>
        </w:rPr>
        <w:t>n comunele limitrofe. Concentraţiile medii anuale, pe puncte de prelevare ale pulberilor sedimentabile, din anul 2017, sunt prezentate în tabelul şi figura de mai jos. În punctele de prelevare, valoarea concentrației mediei anuale nu depășește concentrația maximă admisă.</w:t>
      </w:r>
      <w:r w:rsidRPr="00D1362E">
        <w:rPr>
          <w:rFonts w:ascii="Arial" w:hAnsi="Arial" w:cs="Arial"/>
          <w:sz w:val="24"/>
          <w:szCs w:val="24"/>
        </w:rPr>
        <w:tab/>
      </w:r>
      <w:r w:rsidRPr="00D1362E">
        <w:rPr>
          <w:rFonts w:ascii="Arial" w:hAnsi="Arial" w:cs="Arial"/>
          <w:sz w:val="24"/>
          <w:szCs w:val="24"/>
        </w:rPr>
        <w:tab/>
      </w:r>
    </w:p>
    <w:p w:rsidR="000645BF" w:rsidRPr="00BE5D20" w:rsidRDefault="000645BF" w:rsidP="000645BF">
      <w:pPr>
        <w:spacing w:after="0" w:line="240" w:lineRule="auto"/>
        <w:jc w:val="center"/>
        <w:rPr>
          <w:rFonts w:ascii="Arial" w:hAnsi="Arial" w:cs="Arial"/>
          <w:b/>
          <w:sz w:val="24"/>
          <w:szCs w:val="24"/>
        </w:rPr>
      </w:pPr>
      <w:r w:rsidRPr="00BE5D20">
        <w:rPr>
          <w:rFonts w:ascii="Arial" w:hAnsi="Arial" w:cs="Arial"/>
          <w:noProof/>
          <w:sz w:val="24"/>
          <w:szCs w:val="24"/>
        </w:rPr>
        <w:drawing>
          <wp:inline distT="0" distB="0" distL="0" distR="0">
            <wp:extent cx="6000750" cy="2171700"/>
            <wp:effectExtent l="0" t="0" r="0" b="0"/>
            <wp:docPr id="254"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45BF" w:rsidRPr="00BE5D20" w:rsidRDefault="000645BF" w:rsidP="000645BF">
      <w:pPr>
        <w:tabs>
          <w:tab w:val="num" w:pos="0"/>
        </w:tabs>
        <w:spacing w:after="0" w:line="240" w:lineRule="auto"/>
        <w:jc w:val="both"/>
        <w:rPr>
          <w:rFonts w:ascii="Arial" w:hAnsi="Arial" w:cs="Arial"/>
          <w:sz w:val="24"/>
          <w:szCs w:val="24"/>
        </w:rPr>
      </w:pPr>
      <w:r w:rsidRPr="0006246E">
        <w:rPr>
          <w:rFonts w:ascii="Arial" w:eastAsia="Times New Roman" w:hAnsi="Arial" w:cs="Arial"/>
          <w:b/>
          <w:iCs/>
          <w:color w:val="000000"/>
          <w:sz w:val="24"/>
          <w:szCs w:val="24"/>
        </w:rPr>
        <w:t>Fig. I.1.1.1.8</w:t>
      </w:r>
      <w:r w:rsidRPr="00BE5D20">
        <w:rPr>
          <w:rFonts w:ascii="Arial" w:eastAsia="Times New Roman" w:hAnsi="Arial" w:cs="Arial"/>
          <w:iCs/>
          <w:color w:val="000000"/>
          <w:sz w:val="24"/>
          <w:szCs w:val="24"/>
        </w:rPr>
        <w:t xml:space="preserve">. </w:t>
      </w:r>
      <w:r w:rsidRPr="00BE5D20">
        <w:rPr>
          <w:rFonts w:ascii="Arial" w:hAnsi="Arial" w:cs="Arial"/>
          <w:sz w:val="24"/>
          <w:szCs w:val="24"/>
        </w:rPr>
        <w:t>Concentraţia medie anuală de pu</w:t>
      </w:r>
      <w:r>
        <w:rPr>
          <w:rFonts w:ascii="Arial" w:hAnsi="Arial" w:cs="Arial"/>
          <w:sz w:val="24"/>
          <w:szCs w:val="24"/>
        </w:rPr>
        <w:t>lberi sedimentabile pe anul 2017</w:t>
      </w:r>
    </w:p>
    <w:p w:rsidR="000645BF" w:rsidRPr="00BE5D20" w:rsidRDefault="000645BF" w:rsidP="000645BF">
      <w:pPr>
        <w:spacing w:after="0" w:line="240" w:lineRule="auto"/>
        <w:jc w:val="both"/>
        <w:rPr>
          <w:rFonts w:ascii="Arial" w:hAnsi="Arial" w:cs="Arial"/>
          <w:sz w:val="24"/>
          <w:szCs w:val="24"/>
        </w:rPr>
      </w:pPr>
      <w:r w:rsidRPr="00BE5D20">
        <w:rPr>
          <w:rFonts w:ascii="Arial" w:hAnsi="Arial" w:cs="Arial"/>
          <w:sz w:val="24"/>
          <w:szCs w:val="24"/>
        </w:rPr>
        <w:tab/>
      </w:r>
    </w:p>
    <w:p w:rsidR="00E012F5" w:rsidRDefault="000645BF" w:rsidP="000645BF">
      <w:pPr>
        <w:spacing w:after="0" w:line="24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p>
    <w:p w:rsidR="000645BF" w:rsidRPr="0006246E" w:rsidRDefault="000645BF" w:rsidP="00E012F5">
      <w:pPr>
        <w:spacing w:after="0" w:line="240" w:lineRule="auto"/>
        <w:jc w:val="center"/>
        <w:rPr>
          <w:rFonts w:ascii="Arial" w:hAnsi="Arial" w:cs="Arial"/>
          <w:b/>
          <w:sz w:val="24"/>
          <w:szCs w:val="24"/>
        </w:rPr>
      </w:pPr>
      <w:r w:rsidRPr="0006246E">
        <w:rPr>
          <w:rFonts w:ascii="Arial" w:hAnsi="Arial" w:cs="Arial"/>
          <w:b/>
          <w:sz w:val="24"/>
          <w:szCs w:val="24"/>
        </w:rPr>
        <w:lastRenderedPageBreak/>
        <w:t>Tabel I.1.1.1.8.</w:t>
      </w:r>
    </w:p>
    <w:tbl>
      <w:tblPr>
        <w:tblW w:w="6354" w:type="dxa"/>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2693"/>
        <w:gridCol w:w="2348"/>
      </w:tblGrid>
      <w:tr w:rsidR="000645BF" w:rsidRPr="00BE5D20" w:rsidTr="004E444C">
        <w:trPr>
          <w:trHeight w:val="307"/>
          <w:jc w:val="center"/>
        </w:trPr>
        <w:tc>
          <w:tcPr>
            <w:tcW w:w="1313" w:type="dxa"/>
            <w:vMerge w:val="restart"/>
            <w:shd w:val="clear" w:color="auto" w:fill="D9D9D9"/>
            <w:vAlign w:val="center"/>
          </w:tcPr>
          <w:p w:rsidR="000645BF" w:rsidRPr="002D0C2A" w:rsidRDefault="000645BF" w:rsidP="004E444C">
            <w:pPr>
              <w:tabs>
                <w:tab w:val="num" w:pos="0"/>
              </w:tabs>
              <w:spacing w:after="0" w:line="240" w:lineRule="auto"/>
              <w:jc w:val="both"/>
              <w:rPr>
                <w:rFonts w:ascii="Arial" w:hAnsi="Arial" w:cs="Arial"/>
                <w:b/>
              </w:rPr>
            </w:pPr>
            <w:r w:rsidRPr="002D0C2A">
              <w:rPr>
                <w:rFonts w:ascii="Arial" w:hAnsi="Arial" w:cs="Arial"/>
                <w:b/>
              </w:rPr>
              <w:t>JUDEŢUL</w:t>
            </w:r>
          </w:p>
        </w:tc>
        <w:tc>
          <w:tcPr>
            <w:tcW w:w="2693" w:type="dxa"/>
            <w:vMerge w:val="restart"/>
            <w:shd w:val="clear" w:color="auto" w:fill="D9D9D9"/>
            <w:vAlign w:val="center"/>
          </w:tcPr>
          <w:p w:rsidR="000645BF" w:rsidRPr="002D0C2A" w:rsidRDefault="000645BF" w:rsidP="004E444C">
            <w:pPr>
              <w:tabs>
                <w:tab w:val="num" w:pos="0"/>
              </w:tabs>
              <w:spacing w:after="0" w:line="240" w:lineRule="auto"/>
              <w:jc w:val="both"/>
              <w:rPr>
                <w:rFonts w:ascii="Arial" w:hAnsi="Arial" w:cs="Arial"/>
                <w:b/>
              </w:rPr>
            </w:pPr>
            <w:r w:rsidRPr="002D0C2A">
              <w:rPr>
                <w:rFonts w:ascii="Arial" w:hAnsi="Arial" w:cs="Arial"/>
                <w:b/>
              </w:rPr>
              <w:t>Punct de prelevare</w:t>
            </w:r>
          </w:p>
        </w:tc>
        <w:tc>
          <w:tcPr>
            <w:tcW w:w="2348" w:type="dxa"/>
            <w:shd w:val="clear" w:color="auto" w:fill="D9D9D9"/>
            <w:vAlign w:val="center"/>
          </w:tcPr>
          <w:p w:rsidR="000645BF" w:rsidRPr="002D0C2A" w:rsidRDefault="000645BF" w:rsidP="004E444C">
            <w:pPr>
              <w:tabs>
                <w:tab w:val="num" w:pos="0"/>
              </w:tabs>
              <w:spacing w:after="0" w:line="240" w:lineRule="auto"/>
              <w:jc w:val="center"/>
              <w:rPr>
                <w:rFonts w:ascii="Arial" w:hAnsi="Arial" w:cs="Arial"/>
                <w:b/>
              </w:rPr>
            </w:pPr>
            <w:r w:rsidRPr="002D0C2A">
              <w:rPr>
                <w:rFonts w:ascii="Arial" w:hAnsi="Arial" w:cs="Arial"/>
                <w:b/>
              </w:rPr>
              <w:t xml:space="preserve">Concentraţie medie anuală </w:t>
            </w:r>
            <w:r w:rsidRPr="000152F2">
              <w:rPr>
                <w:rFonts w:ascii="Arial" w:hAnsi="Arial" w:cs="Arial"/>
                <w:b/>
                <w:i/>
              </w:rPr>
              <w:t>(g/mp/luna)</w:t>
            </w:r>
          </w:p>
        </w:tc>
      </w:tr>
      <w:tr w:rsidR="000645BF" w:rsidRPr="00BE5D20" w:rsidTr="004E444C">
        <w:trPr>
          <w:trHeight w:val="307"/>
          <w:jc w:val="center"/>
        </w:trPr>
        <w:tc>
          <w:tcPr>
            <w:tcW w:w="1313" w:type="dxa"/>
            <w:vMerge/>
            <w:tcBorders>
              <w:bottom w:val="single" w:sz="4" w:space="0" w:color="auto"/>
            </w:tcBorders>
            <w:shd w:val="clear" w:color="auto" w:fill="E0E0E0"/>
            <w:vAlign w:val="center"/>
          </w:tcPr>
          <w:p w:rsidR="000645BF" w:rsidRPr="002D0C2A" w:rsidRDefault="000645BF" w:rsidP="004E444C">
            <w:pPr>
              <w:tabs>
                <w:tab w:val="num" w:pos="0"/>
              </w:tabs>
              <w:spacing w:after="0" w:line="240" w:lineRule="auto"/>
              <w:jc w:val="both"/>
              <w:rPr>
                <w:rFonts w:ascii="Arial" w:hAnsi="Arial" w:cs="Arial"/>
                <w:b/>
              </w:rPr>
            </w:pPr>
          </w:p>
        </w:tc>
        <w:tc>
          <w:tcPr>
            <w:tcW w:w="2693" w:type="dxa"/>
            <w:vMerge/>
            <w:shd w:val="clear" w:color="auto" w:fill="E0E0E0"/>
            <w:vAlign w:val="center"/>
          </w:tcPr>
          <w:p w:rsidR="000645BF" w:rsidRPr="002D0C2A" w:rsidRDefault="000645BF" w:rsidP="004E444C">
            <w:pPr>
              <w:tabs>
                <w:tab w:val="num" w:pos="0"/>
              </w:tabs>
              <w:spacing w:after="0" w:line="240" w:lineRule="auto"/>
              <w:jc w:val="both"/>
              <w:rPr>
                <w:rFonts w:ascii="Arial" w:hAnsi="Arial" w:cs="Arial"/>
                <w:b/>
              </w:rPr>
            </w:pPr>
          </w:p>
        </w:tc>
        <w:tc>
          <w:tcPr>
            <w:tcW w:w="2348" w:type="dxa"/>
            <w:shd w:val="clear" w:color="auto" w:fill="E0E0E0"/>
            <w:vAlign w:val="center"/>
          </w:tcPr>
          <w:p w:rsidR="000645BF" w:rsidRPr="002D0C2A" w:rsidRDefault="000645BF" w:rsidP="004E444C">
            <w:pPr>
              <w:tabs>
                <w:tab w:val="num" w:pos="0"/>
              </w:tabs>
              <w:spacing w:after="0" w:line="240" w:lineRule="auto"/>
              <w:jc w:val="center"/>
              <w:rPr>
                <w:rFonts w:ascii="Arial" w:hAnsi="Arial" w:cs="Arial"/>
                <w:b/>
              </w:rPr>
            </w:pPr>
            <w:r w:rsidRPr="002D0C2A">
              <w:rPr>
                <w:rFonts w:ascii="Arial" w:hAnsi="Arial" w:cs="Arial"/>
                <w:b/>
              </w:rPr>
              <w:t>201</w:t>
            </w:r>
            <w:r>
              <w:rPr>
                <w:rFonts w:ascii="Arial" w:hAnsi="Arial" w:cs="Arial"/>
                <w:b/>
              </w:rPr>
              <w:t>7</w:t>
            </w:r>
          </w:p>
        </w:tc>
      </w:tr>
      <w:tr w:rsidR="000645BF" w:rsidRPr="00BE5D20" w:rsidTr="004E444C">
        <w:trPr>
          <w:trHeight w:val="307"/>
          <w:jc w:val="center"/>
        </w:trPr>
        <w:tc>
          <w:tcPr>
            <w:tcW w:w="1313" w:type="dxa"/>
            <w:vMerge w:val="restart"/>
            <w:shd w:val="clear" w:color="auto" w:fill="D9D9D9"/>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Brăila</w:t>
            </w: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Sediu APM</w:t>
            </w:r>
          </w:p>
        </w:tc>
        <w:tc>
          <w:tcPr>
            <w:tcW w:w="2348" w:type="dxa"/>
          </w:tcPr>
          <w:p w:rsidR="000645BF" w:rsidRPr="002D0C2A" w:rsidRDefault="000645BF" w:rsidP="004E444C">
            <w:pPr>
              <w:tabs>
                <w:tab w:val="num" w:pos="0"/>
              </w:tabs>
              <w:spacing w:after="0" w:line="240" w:lineRule="auto"/>
              <w:jc w:val="center"/>
              <w:rPr>
                <w:rFonts w:ascii="Arial" w:hAnsi="Arial" w:cs="Arial"/>
              </w:rPr>
            </w:pPr>
            <w:r w:rsidRPr="002D0C2A">
              <w:rPr>
                <w:rFonts w:ascii="Arial" w:hAnsi="Arial" w:cs="Arial"/>
              </w:rPr>
              <w:t>3,2</w:t>
            </w:r>
            <w:r>
              <w:rPr>
                <w:rFonts w:ascii="Arial" w:hAnsi="Arial" w:cs="Arial"/>
              </w:rPr>
              <w:t>9</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Uzina de Apă</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5,87</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Vărsătura</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11,58</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Str.Gen.Gh.Avramescu</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8,09</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Staţia Nord</w:t>
            </w:r>
          </w:p>
        </w:tc>
        <w:tc>
          <w:tcPr>
            <w:tcW w:w="2348" w:type="dxa"/>
          </w:tcPr>
          <w:p w:rsidR="000645BF" w:rsidRPr="002D0C2A" w:rsidRDefault="000645BF" w:rsidP="004E444C">
            <w:pPr>
              <w:tabs>
                <w:tab w:val="num" w:pos="0"/>
              </w:tabs>
              <w:spacing w:after="0" w:line="240" w:lineRule="auto"/>
              <w:jc w:val="center"/>
              <w:rPr>
                <w:rFonts w:ascii="Arial" w:hAnsi="Arial" w:cs="Arial"/>
              </w:rPr>
            </w:pPr>
            <w:r w:rsidRPr="002D0C2A">
              <w:rPr>
                <w:rFonts w:ascii="Arial" w:hAnsi="Arial" w:cs="Arial"/>
              </w:rPr>
              <w:t>5,</w:t>
            </w:r>
            <w:r>
              <w:rPr>
                <w:rFonts w:ascii="Arial" w:hAnsi="Arial" w:cs="Arial"/>
              </w:rPr>
              <w:t>33</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 xml:space="preserve">SC Hercules </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6,60</w:t>
            </w:r>
          </w:p>
        </w:tc>
      </w:tr>
      <w:tr w:rsidR="000645BF" w:rsidRPr="00A70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Termoelectrica Chiscani</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3,98</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Str. Galați</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7,27</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Cazasu</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4,47</w:t>
            </w:r>
          </w:p>
        </w:tc>
      </w:tr>
      <w:tr w:rsidR="000645BF" w:rsidRPr="00BE5D20" w:rsidTr="004E444C">
        <w:trPr>
          <w:trHeight w:val="307"/>
          <w:jc w:val="center"/>
        </w:trPr>
        <w:tc>
          <w:tcPr>
            <w:tcW w:w="1313" w:type="dxa"/>
            <w:vMerge/>
            <w:shd w:val="clear" w:color="auto" w:fill="D9D9D9"/>
            <w:vAlign w:val="center"/>
          </w:tcPr>
          <w:p w:rsidR="000645BF" w:rsidRPr="002D0C2A" w:rsidRDefault="000645BF" w:rsidP="004E444C">
            <w:pPr>
              <w:spacing w:after="0" w:line="240" w:lineRule="auto"/>
              <w:jc w:val="both"/>
              <w:rPr>
                <w:rFonts w:ascii="Arial" w:hAnsi="Arial" w:cs="Arial"/>
                <w:b/>
              </w:rPr>
            </w:pPr>
          </w:p>
        </w:tc>
        <w:tc>
          <w:tcPr>
            <w:tcW w:w="2693" w:type="dxa"/>
            <w:vAlign w:val="center"/>
          </w:tcPr>
          <w:p w:rsidR="000645BF" w:rsidRPr="002D0C2A" w:rsidRDefault="000645BF" w:rsidP="004E444C">
            <w:pPr>
              <w:tabs>
                <w:tab w:val="num" w:pos="0"/>
              </w:tabs>
              <w:spacing w:after="0" w:line="240" w:lineRule="auto"/>
              <w:jc w:val="both"/>
              <w:rPr>
                <w:rFonts w:ascii="Arial" w:hAnsi="Arial" w:cs="Arial"/>
              </w:rPr>
            </w:pPr>
            <w:r w:rsidRPr="002D0C2A">
              <w:rPr>
                <w:rFonts w:ascii="Arial" w:hAnsi="Arial" w:cs="Arial"/>
              </w:rPr>
              <w:t>PrimăriaBrăila</w:t>
            </w:r>
          </w:p>
        </w:tc>
        <w:tc>
          <w:tcPr>
            <w:tcW w:w="2348" w:type="dxa"/>
          </w:tcPr>
          <w:p w:rsidR="000645BF" w:rsidRPr="002D0C2A" w:rsidRDefault="000645BF" w:rsidP="004E444C">
            <w:pPr>
              <w:tabs>
                <w:tab w:val="num" w:pos="0"/>
              </w:tabs>
              <w:spacing w:after="0" w:line="240" w:lineRule="auto"/>
              <w:jc w:val="center"/>
              <w:rPr>
                <w:rFonts w:ascii="Arial" w:hAnsi="Arial" w:cs="Arial"/>
              </w:rPr>
            </w:pPr>
            <w:r>
              <w:rPr>
                <w:rFonts w:ascii="Arial" w:hAnsi="Arial" w:cs="Arial"/>
              </w:rPr>
              <w:t>5,42</w:t>
            </w:r>
          </w:p>
        </w:tc>
      </w:tr>
      <w:tr w:rsidR="000645BF" w:rsidRPr="00BE5D20" w:rsidTr="004E444C">
        <w:trPr>
          <w:trHeight w:val="307"/>
          <w:jc w:val="center"/>
        </w:trPr>
        <w:tc>
          <w:tcPr>
            <w:tcW w:w="6354" w:type="dxa"/>
            <w:gridSpan w:val="3"/>
            <w:shd w:val="clear" w:color="auto" w:fill="D9D9D9"/>
            <w:vAlign w:val="center"/>
          </w:tcPr>
          <w:p w:rsidR="000645BF" w:rsidRPr="002D0C2A" w:rsidRDefault="000645BF" w:rsidP="004E444C">
            <w:pPr>
              <w:tabs>
                <w:tab w:val="num" w:pos="0"/>
              </w:tabs>
              <w:spacing w:after="0" w:line="240" w:lineRule="auto"/>
              <w:jc w:val="both"/>
              <w:rPr>
                <w:rFonts w:ascii="Arial" w:hAnsi="Arial" w:cs="Arial"/>
                <w:b/>
              </w:rPr>
            </w:pPr>
            <w:r w:rsidRPr="002D0C2A">
              <w:rPr>
                <w:rFonts w:ascii="Arial" w:hAnsi="Arial" w:cs="Arial"/>
                <w:b/>
              </w:rPr>
              <w:t>CMA =  17g/mp/luna</w:t>
            </w:r>
          </w:p>
        </w:tc>
      </w:tr>
    </w:tbl>
    <w:p w:rsidR="000645BF" w:rsidRPr="00BE5D20" w:rsidRDefault="000645BF" w:rsidP="000645BF">
      <w:pPr>
        <w:tabs>
          <w:tab w:val="num" w:pos="0"/>
        </w:tabs>
        <w:spacing w:after="0" w:line="240" w:lineRule="auto"/>
        <w:jc w:val="both"/>
        <w:rPr>
          <w:rFonts w:ascii="Arial" w:hAnsi="Arial" w:cs="Arial"/>
          <w:sz w:val="24"/>
          <w:szCs w:val="24"/>
        </w:rPr>
      </w:pPr>
    </w:p>
    <w:p w:rsidR="000645BF" w:rsidRDefault="000645BF" w:rsidP="000645BF">
      <w:pPr>
        <w:spacing w:after="0" w:line="240" w:lineRule="auto"/>
        <w:ind w:firstLine="708"/>
        <w:jc w:val="both"/>
        <w:rPr>
          <w:rFonts w:ascii="Arial" w:hAnsi="Arial" w:cs="Arial"/>
          <w:sz w:val="24"/>
          <w:szCs w:val="24"/>
        </w:rPr>
      </w:pPr>
      <w:r w:rsidRPr="0072504E">
        <w:rPr>
          <w:rFonts w:ascii="Arial" w:hAnsi="Arial" w:cs="Arial"/>
          <w:sz w:val="24"/>
          <w:szCs w:val="24"/>
        </w:rPr>
        <w:t>În anul 2017 în punctele de prelevare, concentraţie medie anuală nu depăşeşte valoarea limită admisă impusă de legislaţie. Măsurătorile efectuate au indicat o calitate corespunzătoare a aerului la nivelul judeţului Brăila.</w:t>
      </w:r>
    </w:p>
    <w:p w:rsidR="000645BF" w:rsidRPr="0072504E" w:rsidRDefault="000645BF" w:rsidP="000645BF">
      <w:pPr>
        <w:spacing w:after="0" w:line="240" w:lineRule="auto"/>
        <w:ind w:firstLine="708"/>
        <w:jc w:val="both"/>
        <w:rPr>
          <w:rFonts w:ascii="Arial" w:hAnsi="Arial" w:cs="Arial"/>
          <w:sz w:val="24"/>
          <w:szCs w:val="24"/>
        </w:rPr>
      </w:pPr>
    </w:p>
    <w:p w:rsidR="000645BF" w:rsidRPr="00C22E79" w:rsidRDefault="000645BF" w:rsidP="000645BF">
      <w:pPr>
        <w:ind w:firstLine="720"/>
        <w:jc w:val="both"/>
        <w:rPr>
          <w:rFonts w:ascii="Arial" w:hAnsi="Arial" w:cs="Arial"/>
          <w:b/>
          <w:sz w:val="24"/>
          <w:szCs w:val="24"/>
        </w:rPr>
      </w:pPr>
      <w:r w:rsidRPr="00C22E79">
        <w:rPr>
          <w:rFonts w:ascii="Arial" w:hAnsi="Arial" w:cs="Arial"/>
          <w:b/>
          <w:sz w:val="24"/>
          <w:szCs w:val="24"/>
        </w:rPr>
        <w:t>I.1.1.1.9. Calitatea precipitaţiilor atmosferice</w:t>
      </w:r>
    </w:p>
    <w:p w:rsidR="000645BF" w:rsidRPr="00D1362E" w:rsidRDefault="000645BF" w:rsidP="000645BF">
      <w:pPr>
        <w:pStyle w:val="xl36"/>
        <w:pBdr>
          <w:right w:val="none" w:sz="0" w:space="0" w:color="auto"/>
        </w:pBdr>
        <w:spacing w:before="0" w:beforeAutospacing="0" w:after="0" w:afterAutospacing="0"/>
        <w:jc w:val="both"/>
        <w:rPr>
          <w:rFonts w:ascii="Arial" w:hAnsi="Arial" w:cs="Arial"/>
          <w:b w:val="0"/>
        </w:rPr>
      </w:pPr>
      <w:r w:rsidRPr="00D1362E">
        <w:rPr>
          <w:rFonts w:ascii="Arial" w:hAnsi="Arial" w:cs="Arial"/>
          <w:b w:val="0"/>
        </w:rPr>
        <w:t xml:space="preserve">      Reţeaua de urmărire a precipitaţiilor  pentru monitorizarea calității aerului este formată din 5 puncte de recoltare a probelor, amplasate la Sediul APM Brăila, în incinta stației automate de măsurare a radioactivității factorilor de mediu și în incinta stațiilor automate de măsurarea calității aerului astfel:</w:t>
      </w:r>
    </w:p>
    <w:p w:rsidR="000645BF" w:rsidRPr="007171FD" w:rsidRDefault="000645BF" w:rsidP="000645BF">
      <w:pPr>
        <w:numPr>
          <w:ilvl w:val="0"/>
          <w:numId w:val="2"/>
        </w:numPr>
        <w:spacing w:after="0" w:line="240" w:lineRule="auto"/>
        <w:jc w:val="both"/>
        <w:rPr>
          <w:rFonts w:ascii="Arial" w:hAnsi="Arial" w:cs="Arial"/>
          <w:b/>
          <w:sz w:val="24"/>
          <w:szCs w:val="24"/>
        </w:rPr>
      </w:pPr>
      <w:r w:rsidRPr="007171FD">
        <w:rPr>
          <w:rFonts w:ascii="Arial" w:hAnsi="Arial" w:cs="Arial"/>
          <w:b/>
          <w:sz w:val="24"/>
          <w:szCs w:val="24"/>
        </w:rPr>
        <w:t>Sediul Agenţiei pentru Protecţia Mediului Brăila.</w:t>
      </w:r>
    </w:p>
    <w:p w:rsidR="000645BF" w:rsidRPr="007171FD" w:rsidRDefault="000645BF" w:rsidP="000645BF">
      <w:pPr>
        <w:numPr>
          <w:ilvl w:val="0"/>
          <w:numId w:val="2"/>
        </w:numPr>
        <w:tabs>
          <w:tab w:val="left" w:pos="1440"/>
        </w:tabs>
        <w:spacing w:after="0" w:line="240" w:lineRule="auto"/>
        <w:jc w:val="both"/>
        <w:rPr>
          <w:rFonts w:ascii="Arial" w:hAnsi="Arial" w:cs="Arial"/>
          <w:sz w:val="24"/>
          <w:szCs w:val="24"/>
        </w:rPr>
      </w:pPr>
      <w:r w:rsidRPr="007171FD">
        <w:rPr>
          <w:rFonts w:ascii="Arial" w:hAnsi="Arial" w:cs="Arial"/>
          <w:b/>
          <w:sz w:val="24"/>
          <w:szCs w:val="24"/>
        </w:rPr>
        <w:t xml:space="preserve">Staţia Brăila 1- </w:t>
      </w:r>
      <w:r w:rsidRPr="007171FD">
        <w:rPr>
          <w:rFonts w:ascii="Arial" w:hAnsi="Arial" w:cs="Arial"/>
          <w:bCs/>
          <w:sz w:val="24"/>
          <w:szCs w:val="24"/>
        </w:rPr>
        <w:t>Staţia de monitorizare a calităţii aerului de tip – trafic, care este amplasată pe Calea Galaţi nr. 52</w:t>
      </w:r>
    </w:p>
    <w:p w:rsidR="000645BF" w:rsidRPr="007171FD" w:rsidRDefault="000645BF" w:rsidP="000645BF">
      <w:pPr>
        <w:numPr>
          <w:ilvl w:val="0"/>
          <w:numId w:val="2"/>
        </w:numPr>
        <w:tabs>
          <w:tab w:val="left" w:pos="1440"/>
        </w:tabs>
        <w:spacing w:after="0" w:line="240" w:lineRule="auto"/>
        <w:jc w:val="both"/>
        <w:rPr>
          <w:rFonts w:ascii="Arial" w:hAnsi="Arial" w:cs="Arial"/>
          <w:sz w:val="24"/>
          <w:szCs w:val="24"/>
        </w:rPr>
      </w:pPr>
      <w:r w:rsidRPr="007171FD">
        <w:rPr>
          <w:rFonts w:ascii="Arial" w:hAnsi="Arial" w:cs="Arial"/>
          <w:b/>
          <w:sz w:val="24"/>
          <w:szCs w:val="24"/>
        </w:rPr>
        <w:t xml:space="preserve">Staţia Brăila 3 - </w:t>
      </w:r>
      <w:r w:rsidRPr="007171FD">
        <w:rPr>
          <w:rFonts w:ascii="Arial" w:hAnsi="Arial" w:cs="Arial"/>
          <w:sz w:val="24"/>
          <w:szCs w:val="24"/>
        </w:rPr>
        <w:t xml:space="preserve">Staţia </w:t>
      </w:r>
      <w:r w:rsidRPr="007171FD">
        <w:rPr>
          <w:rFonts w:ascii="Arial" w:hAnsi="Arial" w:cs="Arial"/>
          <w:bCs/>
          <w:sz w:val="24"/>
          <w:szCs w:val="24"/>
        </w:rPr>
        <w:t>de monitorizare a calităţii aerului de tip –</w:t>
      </w:r>
      <w:r w:rsidRPr="007171FD">
        <w:rPr>
          <w:rFonts w:ascii="Arial" w:hAnsi="Arial" w:cs="Arial"/>
          <w:sz w:val="24"/>
          <w:szCs w:val="24"/>
        </w:rPr>
        <w:t xml:space="preserve"> suburban, care este situată în Comuna Cazasu, jud. Brăila;</w:t>
      </w:r>
    </w:p>
    <w:p w:rsidR="000645BF" w:rsidRPr="007171FD" w:rsidRDefault="000645BF" w:rsidP="000645BF">
      <w:pPr>
        <w:numPr>
          <w:ilvl w:val="0"/>
          <w:numId w:val="2"/>
        </w:numPr>
        <w:tabs>
          <w:tab w:val="left" w:pos="1440"/>
        </w:tabs>
        <w:spacing w:after="0" w:line="240" w:lineRule="auto"/>
        <w:jc w:val="both"/>
        <w:rPr>
          <w:rFonts w:ascii="Arial" w:hAnsi="Arial" w:cs="Arial"/>
          <w:sz w:val="24"/>
          <w:szCs w:val="24"/>
        </w:rPr>
      </w:pPr>
      <w:r w:rsidRPr="007171FD">
        <w:rPr>
          <w:rFonts w:ascii="Arial" w:hAnsi="Arial" w:cs="Arial"/>
          <w:b/>
          <w:sz w:val="24"/>
          <w:szCs w:val="24"/>
        </w:rPr>
        <w:t xml:space="preserve">Staţia Brăila 4 - </w:t>
      </w:r>
      <w:r w:rsidRPr="007171FD">
        <w:rPr>
          <w:rFonts w:ascii="Arial" w:hAnsi="Arial" w:cs="Arial"/>
          <w:sz w:val="24"/>
          <w:szCs w:val="24"/>
        </w:rPr>
        <w:t xml:space="preserve">Staţia </w:t>
      </w:r>
      <w:r w:rsidRPr="007171FD">
        <w:rPr>
          <w:rFonts w:ascii="Arial" w:hAnsi="Arial" w:cs="Arial"/>
          <w:bCs/>
          <w:sz w:val="24"/>
          <w:szCs w:val="24"/>
        </w:rPr>
        <w:t>de monitorizare a calităţii aerului de tip – industrial, care</w:t>
      </w:r>
      <w:r>
        <w:rPr>
          <w:rFonts w:ascii="Arial" w:hAnsi="Arial" w:cs="Arial"/>
          <w:bCs/>
          <w:sz w:val="24"/>
          <w:szCs w:val="24"/>
        </w:rPr>
        <w:t xml:space="preserve"> </w:t>
      </w:r>
      <w:r w:rsidRPr="007171FD">
        <w:rPr>
          <w:rFonts w:ascii="Arial" w:hAnsi="Arial" w:cs="Arial"/>
          <w:sz w:val="24"/>
          <w:szCs w:val="24"/>
        </w:rPr>
        <w:t xml:space="preserve">este amplasată pe Şoseaua Baldovineşti (Staţia Nord). </w:t>
      </w:r>
    </w:p>
    <w:p w:rsidR="000645BF" w:rsidRPr="007171FD" w:rsidRDefault="000645BF" w:rsidP="000645BF">
      <w:pPr>
        <w:pStyle w:val="ListParagraph"/>
        <w:numPr>
          <w:ilvl w:val="0"/>
          <w:numId w:val="2"/>
        </w:numPr>
        <w:tabs>
          <w:tab w:val="left" w:pos="1440"/>
        </w:tabs>
        <w:jc w:val="both"/>
        <w:rPr>
          <w:rFonts w:ascii="Arial" w:hAnsi="Arial" w:cs="Arial"/>
        </w:rPr>
      </w:pPr>
      <w:r w:rsidRPr="007171FD">
        <w:rPr>
          <w:rFonts w:ascii="Arial" w:hAnsi="Arial" w:cs="Arial"/>
          <w:b/>
        </w:rPr>
        <w:t xml:space="preserve">Staţia Brăila 5 - </w:t>
      </w:r>
      <w:r w:rsidRPr="007171FD">
        <w:rPr>
          <w:rFonts w:ascii="Arial" w:hAnsi="Arial" w:cs="Arial"/>
        </w:rPr>
        <w:t xml:space="preserve">Staţia </w:t>
      </w:r>
      <w:r w:rsidRPr="007171FD">
        <w:rPr>
          <w:rFonts w:ascii="Arial" w:hAnsi="Arial" w:cs="Arial"/>
          <w:bCs/>
        </w:rPr>
        <w:t xml:space="preserve">de monitorizare a calităţii aerului de tip – </w:t>
      </w:r>
      <w:r w:rsidRPr="007171FD">
        <w:rPr>
          <w:rFonts w:ascii="Arial" w:hAnsi="Arial" w:cs="Arial"/>
          <w:bCs/>
          <w:i/>
        </w:rPr>
        <w:t>industrial, care</w:t>
      </w:r>
      <w:r>
        <w:rPr>
          <w:rFonts w:ascii="Arial" w:hAnsi="Arial" w:cs="Arial"/>
          <w:bCs/>
          <w:i/>
        </w:rPr>
        <w:t xml:space="preserve"> </w:t>
      </w:r>
      <w:r w:rsidRPr="007171FD">
        <w:rPr>
          <w:rFonts w:ascii="Arial" w:hAnsi="Arial" w:cs="Arial"/>
          <w:i/>
        </w:rPr>
        <w:t>este amplasată în Comuna Chiscani, în vecinătatea SC.</w:t>
      </w:r>
      <w:r w:rsidRPr="007171FD">
        <w:rPr>
          <w:rFonts w:ascii="Arial" w:hAnsi="Arial" w:cs="Arial"/>
        </w:rPr>
        <w:t xml:space="preserve"> Termoelectrica S.A.</w:t>
      </w:r>
    </w:p>
    <w:p w:rsidR="000645BF" w:rsidRPr="00D1362E" w:rsidRDefault="000645BF" w:rsidP="000645BF">
      <w:pPr>
        <w:pStyle w:val="Heading4"/>
        <w:tabs>
          <w:tab w:val="left" w:pos="420"/>
        </w:tabs>
        <w:jc w:val="both"/>
        <w:rPr>
          <w:rFonts w:ascii="Arial" w:hAnsi="Arial" w:cs="Arial"/>
          <w:b w:val="0"/>
          <w:i/>
          <w:sz w:val="24"/>
          <w:szCs w:val="24"/>
          <w:lang w:val="ro-RO"/>
        </w:rPr>
      </w:pPr>
      <w:r w:rsidRPr="00D1362E">
        <w:rPr>
          <w:rFonts w:ascii="Arial" w:hAnsi="Arial" w:cs="Arial"/>
          <w:b w:val="0"/>
          <w:sz w:val="24"/>
          <w:szCs w:val="24"/>
          <w:lang w:val="fr-FR"/>
        </w:rPr>
        <w:t>Indicatorii monitorizaţi în anul 2017 au fost: pH, conductivitate, cloruri, sulfaţi, azotaţi, azotiţi, amoniu, alcalinitate-aciditate</w:t>
      </w:r>
      <w:r w:rsidRPr="00D1362E">
        <w:rPr>
          <w:rFonts w:ascii="Arial" w:hAnsi="Arial" w:cs="Arial"/>
          <w:b w:val="0"/>
          <w:sz w:val="24"/>
          <w:szCs w:val="24"/>
          <w:lang w:val="ro-RO"/>
        </w:rPr>
        <w:t>.</w:t>
      </w:r>
    </w:p>
    <w:p w:rsidR="000645BF" w:rsidRDefault="000645BF" w:rsidP="000645BF">
      <w:pPr>
        <w:pStyle w:val="BodyText2"/>
        <w:ind w:left="420"/>
        <w:jc w:val="center"/>
        <w:rPr>
          <w:sz w:val="22"/>
          <w:szCs w:val="22"/>
          <w:lang w:val="pt-BR"/>
        </w:rPr>
      </w:pPr>
      <w:r>
        <w:rPr>
          <w:noProof/>
          <w:color w:val="0000FF"/>
          <w:lang w:val="ro-RO" w:eastAsia="ro-RO"/>
        </w:rPr>
        <w:drawing>
          <wp:inline distT="0" distB="0" distL="0" distR="0">
            <wp:extent cx="5685183" cy="2671638"/>
            <wp:effectExtent l="0" t="0" r="0" b="0"/>
            <wp:docPr id="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45BF" w:rsidRPr="0072504E" w:rsidRDefault="000645BF" w:rsidP="000645BF">
      <w:pPr>
        <w:pStyle w:val="BodyText2"/>
        <w:spacing w:after="0" w:line="240" w:lineRule="auto"/>
        <w:ind w:left="420"/>
        <w:jc w:val="center"/>
        <w:rPr>
          <w:rFonts w:ascii="Arial" w:hAnsi="Arial" w:cs="Arial"/>
          <w:lang w:val="ro-RO"/>
        </w:rPr>
      </w:pPr>
      <w:r w:rsidRPr="0006246E">
        <w:rPr>
          <w:rFonts w:ascii="Arial" w:hAnsi="Arial" w:cs="Arial"/>
          <w:b/>
          <w:lang w:val="pt-BR"/>
        </w:rPr>
        <w:lastRenderedPageBreak/>
        <w:t xml:space="preserve">Fig. nr. </w:t>
      </w:r>
      <w:r w:rsidRPr="0006246E">
        <w:rPr>
          <w:rFonts w:ascii="Arial" w:hAnsi="Arial" w:cs="Arial"/>
          <w:b/>
          <w:lang w:val="ro-RO"/>
        </w:rPr>
        <w:t>I.1.1.1.9</w:t>
      </w:r>
      <w:r w:rsidRPr="0072504E">
        <w:rPr>
          <w:rFonts w:ascii="Arial" w:hAnsi="Arial" w:cs="Arial"/>
          <w:lang w:val="ro-RO"/>
        </w:rPr>
        <w:t>. Evoluţia lunară a calităţii precipitaţiilor- municipiul Brăila - anul 2017</w:t>
      </w:r>
    </w:p>
    <w:p w:rsidR="000645BF" w:rsidRPr="0072504E" w:rsidRDefault="000645BF" w:rsidP="000645BF">
      <w:pPr>
        <w:pStyle w:val="BodyText2"/>
        <w:spacing w:after="0" w:line="240" w:lineRule="auto"/>
        <w:ind w:firstLine="720"/>
        <w:jc w:val="both"/>
        <w:rPr>
          <w:rFonts w:ascii="Arial" w:hAnsi="Arial" w:cs="Arial"/>
          <w:lang w:val="ro-RO"/>
        </w:rPr>
      </w:pPr>
      <w:r w:rsidRPr="0072504E">
        <w:rPr>
          <w:rFonts w:ascii="Arial" w:hAnsi="Arial" w:cs="Arial"/>
          <w:lang w:val="ro-RO"/>
        </w:rPr>
        <w:t xml:space="preserve">Pe parcursul anului 2017 nu s-au semnalat precipitaţii acide (precipitaţiile acide sunt cele care au un pH mai mic decât 5,6 unit. pH) </w:t>
      </w:r>
    </w:p>
    <w:p w:rsidR="000645BF" w:rsidRPr="00D27233" w:rsidRDefault="000645BF" w:rsidP="000645BF">
      <w:pPr>
        <w:spacing w:after="0" w:line="240" w:lineRule="auto"/>
        <w:ind w:firstLine="720"/>
        <w:jc w:val="both"/>
        <w:rPr>
          <w:rFonts w:ascii="Arial" w:hAnsi="Arial" w:cs="Arial"/>
          <w:b/>
          <w:sz w:val="24"/>
          <w:szCs w:val="24"/>
        </w:rPr>
      </w:pPr>
    </w:p>
    <w:p w:rsidR="000645BF" w:rsidRPr="00717595" w:rsidRDefault="000645BF" w:rsidP="000645BF">
      <w:pPr>
        <w:tabs>
          <w:tab w:val="left" w:leader="dot" w:pos="9356"/>
        </w:tabs>
        <w:spacing w:after="0" w:line="240" w:lineRule="auto"/>
        <w:jc w:val="both"/>
        <w:rPr>
          <w:rFonts w:ascii="Arial" w:hAnsi="Arial" w:cs="Arial"/>
          <w:sz w:val="24"/>
          <w:szCs w:val="24"/>
        </w:rPr>
      </w:pPr>
      <w:r w:rsidRPr="00717595">
        <w:rPr>
          <w:rFonts w:ascii="Arial" w:hAnsi="Arial" w:cs="Arial"/>
          <w:b/>
          <w:sz w:val="24"/>
          <w:szCs w:val="24"/>
        </w:rPr>
        <w:t>I.1.1.2. Tendinţe privind concentraţiile medii anuale ale anumitor poluanţi atmosferici</w:t>
      </w:r>
    </w:p>
    <w:p w:rsidR="000645BF" w:rsidRDefault="000645BF" w:rsidP="000645BF">
      <w:pPr>
        <w:tabs>
          <w:tab w:val="left" w:pos="709"/>
        </w:tabs>
        <w:spacing w:after="0" w:line="240" w:lineRule="auto"/>
        <w:jc w:val="both"/>
        <w:rPr>
          <w:rFonts w:ascii="Arial" w:hAnsi="Arial" w:cs="Arial"/>
          <w:sz w:val="24"/>
          <w:szCs w:val="24"/>
        </w:rPr>
      </w:pPr>
      <w:r>
        <w:rPr>
          <w:rFonts w:ascii="Arial" w:hAnsi="Arial" w:cs="Arial"/>
          <w:sz w:val="24"/>
          <w:szCs w:val="24"/>
        </w:rPr>
        <w:tab/>
      </w:r>
    </w:p>
    <w:p w:rsidR="000645BF" w:rsidRDefault="000645BF" w:rsidP="000645BF">
      <w:pPr>
        <w:tabs>
          <w:tab w:val="left" w:pos="709"/>
        </w:tabs>
        <w:spacing w:after="0" w:line="240" w:lineRule="auto"/>
        <w:jc w:val="both"/>
        <w:rPr>
          <w:rFonts w:ascii="Arial" w:hAnsi="Arial" w:cs="Arial"/>
          <w:sz w:val="24"/>
          <w:szCs w:val="24"/>
        </w:rPr>
      </w:pPr>
      <w:r w:rsidRPr="00717595">
        <w:rPr>
          <w:rFonts w:ascii="Arial" w:hAnsi="Arial" w:cs="Arial"/>
          <w:sz w:val="24"/>
          <w:szCs w:val="24"/>
        </w:rPr>
        <w:t xml:space="preserve">În Tabelul I.1.1.2. sunt prezentate datele statistice rezultate din staţiile automate de monitorizare a calităţii aerului din judeţul </w:t>
      </w:r>
      <w:r>
        <w:rPr>
          <w:rFonts w:ascii="Arial" w:hAnsi="Arial" w:cs="Arial"/>
          <w:sz w:val="24"/>
          <w:szCs w:val="24"/>
        </w:rPr>
        <w:t>Brăila</w:t>
      </w:r>
    </w:p>
    <w:p w:rsidR="000645BF" w:rsidRPr="0006246E" w:rsidRDefault="000645BF" w:rsidP="000645BF">
      <w:pPr>
        <w:tabs>
          <w:tab w:val="left" w:pos="709"/>
        </w:tabs>
        <w:spacing w:after="0" w:line="240" w:lineRule="auto"/>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6246E">
        <w:rPr>
          <w:rFonts w:ascii="Arial" w:hAnsi="Arial" w:cs="Arial"/>
          <w:b/>
          <w:sz w:val="24"/>
          <w:szCs w:val="24"/>
        </w:rPr>
        <w:t>Tabelul I.1.1.2.</w:t>
      </w:r>
    </w:p>
    <w:tbl>
      <w:tblPr>
        <w:tblW w:w="315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322"/>
        <w:gridCol w:w="1121"/>
        <w:gridCol w:w="882"/>
        <w:gridCol w:w="783"/>
        <w:gridCol w:w="783"/>
        <w:gridCol w:w="840"/>
        <w:gridCol w:w="841"/>
      </w:tblGrid>
      <w:tr w:rsidR="000645BF" w:rsidRPr="00D34949" w:rsidTr="004E444C">
        <w:trPr>
          <w:trHeight w:val="255"/>
          <w:jc w:val="center"/>
        </w:trPr>
        <w:tc>
          <w:tcPr>
            <w:tcW w:w="1005" w:type="pct"/>
            <w:vMerge w:val="restart"/>
            <w:tcBorders>
              <w:top w:val="single" w:sz="12"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POLUANT</w:t>
            </w:r>
          </w:p>
        </w:tc>
        <w:tc>
          <w:tcPr>
            <w:tcW w:w="853" w:type="pct"/>
            <w:vMerge w:val="restart"/>
            <w:tcBorders>
              <w:top w:val="single" w:sz="12"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Tip staţie</w:t>
            </w:r>
          </w:p>
        </w:tc>
        <w:tc>
          <w:tcPr>
            <w:tcW w:w="3142" w:type="pct"/>
            <w:gridSpan w:val="5"/>
            <w:tcBorders>
              <w:top w:val="single" w:sz="12" w:space="0" w:color="000000"/>
              <w:left w:val="single" w:sz="6" w:space="0" w:color="000000"/>
              <w:bottom w:val="single" w:sz="6" w:space="0" w:color="000000"/>
              <w:right w:val="single" w:sz="12" w:space="0" w:color="000000"/>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Concentraţia medie anuală</w:t>
            </w:r>
          </w:p>
        </w:tc>
      </w:tr>
      <w:tr w:rsidR="000645BF" w:rsidRPr="00D34949" w:rsidTr="004E444C">
        <w:trPr>
          <w:trHeight w:val="386"/>
          <w:jc w:val="center"/>
        </w:trPr>
        <w:tc>
          <w:tcPr>
            <w:tcW w:w="1005" w:type="pct"/>
            <w:vMerge/>
            <w:tcBorders>
              <w:top w:val="single" w:sz="12"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vMerge/>
            <w:tcBorders>
              <w:top w:val="single" w:sz="12" w:space="0" w:color="000000"/>
              <w:left w:val="single" w:sz="6"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671" w:type="pct"/>
            <w:tcBorders>
              <w:top w:val="single" w:sz="6" w:space="0" w:color="000000"/>
              <w:left w:val="single" w:sz="8" w:space="0" w:color="000000"/>
              <w:bottom w:val="single" w:sz="6" w:space="0" w:color="000000"/>
              <w:right w:val="single" w:sz="8" w:space="0" w:color="000000"/>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2013</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2014</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2015</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2016</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tabs>
                <w:tab w:val="center" w:pos="4680"/>
                <w:tab w:val="right" w:pos="9000"/>
              </w:tabs>
              <w:spacing w:after="0"/>
              <w:jc w:val="center"/>
              <w:rPr>
                <w:rFonts w:ascii="Arial" w:hAnsi="Arial" w:cs="Arial"/>
                <w:b/>
                <w:sz w:val="20"/>
                <w:szCs w:val="20"/>
              </w:rPr>
            </w:pPr>
            <w:r w:rsidRPr="00D34949">
              <w:rPr>
                <w:rFonts w:ascii="Arial" w:hAnsi="Arial" w:cs="Arial"/>
                <w:b/>
                <w:sz w:val="20"/>
                <w:szCs w:val="20"/>
              </w:rPr>
              <w:t>2017</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vertAlign w:val="subscript"/>
              </w:rPr>
            </w:pPr>
            <w:r w:rsidRPr="00D34949">
              <w:rPr>
                <w:rFonts w:ascii="Arial" w:hAnsi="Arial" w:cs="Arial"/>
                <w:sz w:val="20"/>
                <w:szCs w:val="20"/>
              </w:rPr>
              <w:t>SO</w:t>
            </w:r>
            <w:r w:rsidRPr="00D34949">
              <w:rPr>
                <w:rFonts w:ascii="Arial" w:hAnsi="Arial" w:cs="Arial"/>
                <w:sz w:val="20"/>
                <w:szCs w:val="20"/>
                <w:vertAlign w:val="subscript"/>
              </w:rPr>
              <w:t>2</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3.59</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4,41</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8,01</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4.50</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4,97</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5.09</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5,08</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 xml:space="preserve">PM10 nef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36,68</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21.91</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19,11</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36,15</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46,03</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27.93</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20,70</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24.31</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21,79</w:t>
            </w:r>
          </w:p>
        </w:tc>
      </w:tr>
      <w:tr w:rsidR="000645BF" w:rsidRPr="00D34949" w:rsidTr="004E444C">
        <w:trPr>
          <w:trHeight w:val="255"/>
          <w:jc w:val="center"/>
        </w:trPr>
        <w:tc>
          <w:tcPr>
            <w:tcW w:w="1005" w:type="pct"/>
            <w:vMerge w:val="restart"/>
            <w:tcBorders>
              <w:top w:val="single" w:sz="6" w:space="0" w:color="000000"/>
              <w:left w:val="single" w:sz="12"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 xml:space="preserve">PM10 grv.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17,12</w:t>
            </w:r>
          </w:p>
        </w:tc>
      </w:tr>
      <w:tr w:rsidR="000645BF" w:rsidRPr="00D34949" w:rsidTr="004E444C">
        <w:trPr>
          <w:trHeight w:val="255"/>
          <w:jc w:val="center"/>
        </w:trPr>
        <w:tc>
          <w:tcPr>
            <w:tcW w:w="1005" w:type="pct"/>
            <w:vMerge/>
            <w:tcBorders>
              <w:left w:val="single" w:sz="12" w:space="0" w:color="000000"/>
              <w:right w:val="single" w:sz="6" w:space="0" w:color="000000"/>
            </w:tcBorders>
            <w:noWrap/>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19,18</w:t>
            </w:r>
          </w:p>
        </w:tc>
      </w:tr>
      <w:tr w:rsidR="000645BF" w:rsidRPr="00D34949" w:rsidTr="004E444C">
        <w:trPr>
          <w:trHeight w:val="255"/>
          <w:jc w:val="center"/>
        </w:trPr>
        <w:tc>
          <w:tcPr>
            <w:tcW w:w="1005" w:type="pct"/>
            <w:vMerge/>
            <w:tcBorders>
              <w:left w:val="single" w:sz="12" w:space="0" w:color="000000"/>
              <w:bottom w:val="single" w:sz="6" w:space="0" w:color="000000"/>
              <w:right w:val="single" w:sz="6" w:space="0" w:color="000000"/>
            </w:tcBorders>
            <w:noWrap/>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22,98</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vertAlign w:val="subscript"/>
              </w:rPr>
            </w:pPr>
            <w:r w:rsidRPr="00D34949">
              <w:rPr>
                <w:rFonts w:ascii="Arial" w:hAnsi="Arial" w:cs="Arial"/>
                <w:sz w:val="20"/>
                <w:szCs w:val="20"/>
              </w:rPr>
              <w:t>O</w:t>
            </w:r>
            <w:r w:rsidRPr="00D34949">
              <w:rPr>
                <w:rFonts w:ascii="Arial" w:hAnsi="Arial" w:cs="Arial"/>
                <w:sz w:val="20"/>
                <w:szCs w:val="20"/>
                <w:vertAlign w:val="subscript"/>
              </w:rPr>
              <w:t xml:space="preserve">3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57,39</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20,02</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53,23</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36.48</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43,37</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69,60</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48,24</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44,13</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50.25</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58,21</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vertAlign w:val="subscript"/>
              </w:rPr>
            </w:pPr>
            <w:r w:rsidRPr="00D34949">
              <w:rPr>
                <w:rFonts w:ascii="Arial" w:hAnsi="Arial" w:cs="Arial"/>
                <w:sz w:val="20"/>
                <w:szCs w:val="20"/>
              </w:rPr>
              <w:t>NO</w:t>
            </w:r>
            <w:r w:rsidRPr="00D34949">
              <w:rPr>
                <w:rFonts w:ascii="Arial" w:hAnsi="Arial" w:cs="Arial"/>
                <w:sz w:val="20"/>
                <w:szCs w:val="20"/>
                <w:vertAlign w:val="subscript"/>
              </w:rPr>
              <w:t xml:space="preserve">2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3,86</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15.5</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12,83</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20.22</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17,17</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5,15</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12,31</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12.68</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10,90</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20.25</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26,25</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vertAlign w:val="subscript"/>
              </w:rPr>
            </w:pPr>
            <w:r w:rsidRPr="00D34949">
              <w:rPr>
                <w:rFonts w:ascii="Arial" w:hAnsi="Arial" w:cs="Arial"/>
                <w:sz w:val="20"/>
                <w:szCs w:val="20"/>
              </w:rPr>
              <w:t>NO</w:t>
            </w:r>
            <w:r w:rsidRPr="00D34949">
              <w:rPr>
                <w:rFonts w:ascii="Arial" w:hAnsi="Arial" w:cs="Arial"/>
                <w:sz w:val="20"/>
                <w:szCs w:val="20"/>
                <w:vertAlign w:val="subscript"/>
              </w:rPr>
              <w:t xml:space="preserve">x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12,14</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20,8</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22,30</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22,30</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25,92</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14,30</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19,78</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19,78</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16,71</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25.23</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41,51</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 xml:space="preserve">CO </w:t>
            </w:r>
          </w:p>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(mg/mc)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0,15</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0,22</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0,11</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0.11</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0,09</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tabs>
                <w:tab w:val="center" w:pos="4680"/>
                <w:tab w:val="right" w:pos="9000"/>
              </w:tabs>
              <w:spacing w:after="0"/>
              <w:jc w:val="center"/>
              <w:rPr>
                <w:rFonts w:ascii="Arial" w:hAnsi="Arial" w:cs="Arial"/>
                <w:sz w:val="20"/>
                <w:szCs w:val="20"/>
              </w:rPr>
            </w:pPr>
            <w:r w:rsidRPr="00D34949">
              <w:rPr>
                <w:rFonts w:ascii="Arial" w:hAnsi="Arial" w:cs="Arial"/>
                <w:sz w:val="20"/>
                <w:szCs w:val="20"/>
              </w:rPr>
              <w:t>In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0,07</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0,08</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0,07</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0.09</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0,085</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0,34</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0.19</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0,16</w:t>
            </w:r>
          </w:p>
        </w:tc>
      </w:tr>
      <w:tr w:rsidR="000645BF" w:rsidRPr="00D34949" w:rsidTr="004E444C">
        <w:trPr>
          <w:trHeight w:val="255"/>
          <w:jc w:val="center"/>
        </w:trPr>
        <w:tc>
          <w:tcPr>
            <w:tcW w:w="1005" w:type="pct"/>
            <w:vMerge w:val="restart"/>
            <w:tcBorders>
              <w:top w:val="single" w:sz="6" w:space="0" w:color="000000"/>
              <w:left w:val="single" w:sz="12"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Benzen</w:t>
            </w:r>
          </w:p>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 xml:space="preserve"> (µg/mc)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1.2</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1,4</w:t>
            </w:r>
          </w:p>
        </w:tc>
      </w:tr>
      <w:tr w:rsidR="000645BF" w:rsidRPr="00D34949" w:rsidTr="004E444C">
        <w:trPr>
          <w:trHeight w:val="255"/>
          <w:jc w:val="center"/>
        </w:trPr>
        <w:tc>
          <w:tcPr>
            <w:tcW w:w="1005" w:type="pct"/>
            <w:vMerge/>
            <w:tcBorders>
              <w:top w:val="single" w:sz="6" w:space="0" w:color="000000"/>
              <w:left w:val="single" w:sz="12"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6" w:space="0" w:color="000000"/>
              <w:right w:val="single" w:sz="8" w:space="0" w:color="000000"/>
            </w:tcBorders>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1.93</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2,39</w:t>
            </w:r>
          </w:p>
        </w:tc>
      </w:tr>
      <w:tr w:rsidR="000645BF" w:rsidRPr="00D34949" w:rsidTr="004E444C">
        <w:trPr>
          <w:trHeight w:val="255"/>
          <w:jc w:val="center"/>
        </w:trPr>
        <w:tc>
          <w:tcPr>
            <w:tcW w:w="1005" w:type="pct"/>
            <w:vMerge w:val="restart"/>
            <w:tcBorders>
              <w:top w:val="single" w:sz="6" w:space="0" w:color="000000"/>
              <w:left w:val="single" w:sz="12"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vertAlign w:val="subscript"/>
              </w:rPr>
            </w:pPr>
            <w:r w:rsidRPr="00D34949">
              <w:rPr>
                <w:rFonts w:ascii="Arial" w:hAnsi="Arial" w:cs="Arial"/>
                <w:sz w:val="20"/>
                <w:szCs w:val="20"/>
              </w:rPr>
              <w:t>PM</w:t>
            </w:r>
            <w:r w:rsidRPr="00D34949">
              <w:rPr>
                <w:rFonts w:ascii="Arial" w:hAnsi="Arial" w:cs="Arial"/>
                <w:sz w:val="20"/>
                <w:szCs w:val="20"/>
                <w:vertAlign w:val="subscript"/>
              </w:rPr>
              <w:t xml:space="preserve">2.5 </w:t>
            </w:r>
          </w:p>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(µg/mc)</w:t>
            </w:r>
          </w:p>
        </w:tc>
        <w:tc>
          <w:tcPr>
            <w:tcW w:w="853" w:type="pct"/>
            <w:tcBorders>
              <w:top w:val="single" w:sz="6" w:space="0" w:color="000000"/>
              <w:left w:val="single" w:sz="6" w:space="0" w:color="000000"/>
              <w:bottom w:val="single" w:sz="6"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Fd urban</w:t>
            </w:r>
          </w:p>
        </w:tc>
        <w:tc>
          <w:tcPr>
            <w:tcW w:w="671" w:type="pct"/>
            <w:tcBorders>
              <w:top w:val="single" w:sz="6" w:space="0" w:color="000000"/>
              <w:left w:val="single" w:sz="8" w:space="0" w:color="000000"/>
              <w:bottom w:val="single" w:sz="6" w:space="0" w:color="000000"/>
              <w:right w:val="single" w:sz="8"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6"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6"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6"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13,56</w:t>
            </w:r>
          </w:p>
        </w:tc>
      </w:tr>
      <w:tr w:rsidR="000645BF" w:rsidRPr="00D34949" w:rsidTr="004E444C">
        <w:trPr>
          <w:trHeight w:val="255"/>
          <w:jc w:val="center"/>
        </w:trPr>
        <w:tc>
          <w:tcPr>
            <w:tcW w:w="1005" w:type="pct"/>
            <w:vMerge/>
            <w:tcBorders>
              <w:left w:val="single" w:sz="12" w:space="0" w:color="000000"/>
              <w:bottom w:val="single" w:sz="12"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p>
        </w:tc>
        <w:tc>
          <w:tcPr>
            <w:tcW w:w="853" w:type="pct"/>
            <w:tcBorders>
              <w:top w:val="single" w:sz="6" w:space="0" w:color="000000"/>
              <w:left w:val="single" w:sz="6" w:space="0" w:color="000000"/>
              <w:bottom w:val="single" w:sz="12" w:space="0" w:color="000000"/>
              <w:right w:val="single" w:sz="6" w:space="0" w:color="000000"/>
            </w:tcBorders>
            <w:noWrap/>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T</w:t>
            </w:r>
          </w:p>
        </w:tc>
        <w:tc>
          <w:tcPr>
            <w:tcW w:w="671" w:type="pct"/>
            <w:tcBorders>
              <w:top w:val="single" w:sz="6" w:space="0" w:color="000000"/>
              <w:left w:val="single" w:sz="8" w:space="0" w:color="000000"/>
              <w:bottom w:val="single" w:sz="12" w:space="0" w:color="000000"/>
              <w:right w:val="single" w:sz="8"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8" w:space="0" w:color="000000"/>
              <w:bottom w:val="single" w:sz="12" w:space="0" w:color="000000"/>
              <w:right w:val="single" w:sz="6"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596" w:type="pct"/>
            <w:tcBorders>
              <w:top w:val="single" w:sz="6" w:space="0" w:color="000000"/>
              <w:left w:val="single" w:sz="6" w:space="0" w:color="000000"/>
              <w:bottom w:val="single" w:sz="12"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39" w:type="pct"/>
            <w:tcBorders>
              <w:top w:val="single" w:sz="6" w:space="0" w:color="000000"/>
              <w:left w:val="single" w:sz="4" w:space="0" w:color="auto"/>
              <w:bottom w:val="single" w:sz="12" w:space="0" w:color="000000"/>
              <w:right w:val="single" w:sz="4" w:space="0" w:color="auto"/>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c>
          <w:tcPr>
            <w:tcW w:w="640" w:type="pct"/>
            <w:tcBorders>
              <w:top w:val="single" w:sz="6" w:space="0" w:color="000000"/>
              <w:left w:val="single" w:sz="4" w:space="0" w:color="auto"/>
              <w:bottom w:val="single" w:sz="12" w:space="0" w:color="000000"/>
              <w:right w:val="single" w:sz="12" w:space="0" w:color="000000"/>
            </w:tcBorders>
            <w:vAlign w:val="center"/>
          </w:tcPr>
          <w:p w:rsidR="000645BF" w:rsidRPr="00D34949" w:rsidRDefault="000645BF" w:rsidP="004E444C">
            <w:pPr>
              <w:spacing w:after="0"/>
              <w:jc w:val="center"/>
              <w:rPr>
                <w:rFonts w:ascii="Arial" w:hAnsi="Arial" w:cs="Arial"/>
                <w:sz w:val="20"/>
                <w:szCs w:val="20"/>
              </w:rPr>
            </w:pPr>
            <w:r w:rsidRPr="00D34949">
              <w:rPr>
                <w:rFonts w:ascii="Arial" w:hAnsi="Arial" w:cs="Arial"/>
                <w:sz w:val="20"/>
                <w:szCs w:val="20"/>
              </w:rPr>
              <w:t>-</w:t>
            </w:r>
          </w:p>
        </w:tc>
      </w:tr>
    </w:tbl>
    <w:p w:rsidR="000645BF" w:rsidRDefault="000645BF" w:rsidP="000645BF">
      <w:pPr>
        <w:tabs>
          <w:tab w:val="left" w:pos="709"/>
        </w:tabs>
        <w:spacing w:line="240" w:lineRule="auto"/>
        <w:jc w:val="both"/>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0645BF" w:rsidRPr="00717595" w:rsidRDefault="000645BF" w:rsidP="000645BF">
      <w:pPr>
        <w:tabs>
          <w:tab w:val="left" w:pos="709"/>
        </w:tabs>
        <w:spacing w:line="240" w:lineRule="auto"/>
        <w:jc w:val="both"/>
        <w:rPr>
          <w:rFonts w:ascii="Arial" w:hAnsi="Arial" w:cs="Arial"/>
          <w:b/>
          <w:sz w:val="24"/>
          <w:szCs w:val="24"/>
        </w:rPr>
      </w:pPr>
      <w:r>
        <w:rPr>
          <w:rFonts w:ascii="Arial" w:hAnsi="Arial" w:cs="Arial"/>
          <w:sz w:val="24"/>
          <w:szCs w:val="24"/>
        </w:rPr>
        <w:tab/>
      </w:r>
      <w:r w:rsidRPr="00717595">
        <w:rPr>
          <w:rFonts w:ascii="Arial" w:hAnsi="Arial" w:cs="Arial"/>
          <w:b/>
          <w:sz w:val="24"/>
          <w:szCs w:val="24"/>
        </w:rPr>
        <w:t>I.1.1.2.1.Dioxidul de azot</w:t>
      </w:r>
    </w:p>
    <w:p w:rsidR="000645BF" w:rsidRPr="00717595" w:rsidRDefault="000645BF" w:rsidP="000645BF">
      <w:pPr>
        <w:tabs>
          <w:tab w:val="num" w:pos="0"/>
        </w:tabs>
        <w:ind w:firstLine="720"/>
        <w:jc w:val="center"/>
        <w:rPr>
          <w:rFonts w:ascii="Arial" w:hAnsi="Arial" w:cs="Arial"/>
          <w:sz w:val="24"/>
          <w:szCs w:val="24"/>
        </w:rPr>
      </w:pPr>
      <w:r w:rsidRPr="00717595">
        <w:rPr>
          <w:rFonts w:ascii="Arial" w:hAnsi="Arial" w:cs="Arial"/>
          <w:noProof/>
          <w:sz w:val="24"/>
          <w:szCs w:val="24"/>
        </w:rPr>
        <w:drawing>
          <wp:inline distT="0" distB="0" distL="0" distR="0">
            <wp:extent cx="5524500" cy="2124075"/>
            <wp:effectExtent l="0" t="0" r="0" b="0"/>
            <wp:docPr id="15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45BF" w:rsidRPr="00D34949" w:rsidRDefault="000645BF" w:rsidP="000645BF">
      <w:pPr>
        <w:tabs>
          <w:tab w:val="num" w:pos="0"/>
        </w:tabs>
        <w:jc w:val="center"/>
        <w:rPr>
          <w:rFonts w:ascii="Arial" w:hAnsi="Arial" w:cs="Arial"/>
          <w:sz w:val="24"/>
          <w:szCs w:val="24"/>
        </w:rPr>
      </w:pPr>
      <w:r w:rsidRPr="0006246E">
        <w:rPr>
          <w:rFonts w:ascii="Arial" w:hAnsi="Arial" w:cs="Arial"/>
          <w:b/>
          <w:sz w:val="24"/>
          <w:szCs w:val="24"/>
        </w:rPr>
        <w:lastRenderedPageBreak/>
        <w:t>Fig. I.1.1.2.1.</w:t>
      </w:r>
      <w:r w:rsidRPr="00D34949">
        <w:rPr>
          <w:rFonts w:ascii="Arial" w:hAnsi="Arial" w:cs="Arial"/>
          <w:sz w:val="24"/>
          <w:szCs w:val="24"/>
        </w:rPr>
        <w:t>Concentraţia medie anuală a dioxidului de azot în perioada 2013- 2017</w:t>
      </w:r>
    </w:p>
    <w:p w:rsidR="000645BF" w:rsidRPr="0006246E" w:rsidRDefault="000645BF" w:rsidP="000645BF">
      <w:pPr>
        <w:tabs>
          <w:tab w:val="num" w:pos="0"/>
        </w:tabs>
        <w:spacing w:after="0" w:line="240" w:lineRule="auto"/>
        <w:ind w:firstLine="720"/>
        <w:rPr>
          <w:rFonts w:ascii="Arial" w:hAnsi="Arial" w:cs="Arial"/>
          <w:b/>
          <w:sz w:val="24"/>
          <w:szCs w:val="24"/>
        </w:rPr>
      </w:pPr>
      <w:r>
        <w:rPr>
          <w:rFonts w:ascii="Arial" w:hAnsi="Arial" w:cs="Arial"/>
          <w:b/>
          <w:sz w:val="24"/>
          <w:szCs w:val="24"/>
        </w:rPr>
        <w:t xml:space="preserve">            </w:t>
      </w:r>
      <w:r w:rsidRPr="0006246E">
        <w:rPr>
          <w:rFonts w:ascii="Arial" w:hAnsi="Arial" w:cs="Arial"/>
          <w:b/>
          <w:sz w:val="24"/>
          <w:szCs w:val="24"/>
        </w:rPr>
        <w:t>Tabel I.1.1.2.1.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0645BF" w:rsidRPr="00D34949" w:rsidTr="004E444C">
        <w:trPr>
          <w:jc w:val="center"/>
        </w:trPr>
        <w:tc>
          <w:tcPr>
            <w:tcW w:w="2207" w:type="dxa"/>
            <w:shd w:val="clear" w:color="auto" w:fill="E6E6E6"/>
          </w:tcPr>
          <w:p w:rsidR="000645BF" w:rsidRPr="00D34949" w:rsidRDefault="000645BF" w:rsidP="004E444C">
            <w:pPr>
              <w:tabs>
                <w:tab w:val="num" w:pos="0"/>
              </w:tabs>
              <w:spacing w:after="0" w:line="240" w:lineRule="auto"/>
              <w:rPr>
                <w:rFonts w:ascii="Arial" w:hAnsi="Arial" w:cs="Arial"/>
              </w:rPr>
            </w:pPr>
            <w:r w:rsidRPr="00D34949">
              <w:rPr>
                <w:rFonts w:ascii="Arial" w:hAnsi="Arial" w:cs="Arial"/>
                <w:b/>
              </w:rPr>
              <w:t>NO</w:t>
            </w:r>
            <w:r w:rsidRPr="00D34949">
              <w:rPr>
                <w:rFonts w:ascii="Arial" w:hAnsi="Arial" w:cs="Arial"/>
                <w:b/>
                <w:vertAlign w:val="subscript"/>
              </w:rPr>
              <w:t>2</w:t>
            </w:r>
            <w:r w:rsidRPr="00D34949">
              <w:rPr>
                <w:rFonts w:ascii="Arial" w:hAnsi="Arial" w:cs="Arial"/>
              </w:rPr>
              <w:t xml:space="preserve">    (</w:t>
            </w:r>
            <w:r w:rsidRPr="00D34949">
              <w:rPr>
                <w:rFonts w:ascii="Arial" w:hAnsi="Arial" w:cs="Arial"/>
              </w:rPr>
              <w:sym w:font="Symbol" w:char="F06D"/>
            </w:r>
            <w:r w:rsidRPr="00D34949">
              <w:rPr>
                <w:rFonts w:ascii="Arial" w:hAnsi="Arial" w:cs="Arial"/>
              </w:rPr>
              <w:t>g/mc)</w:t>
            </w:r>
          </w:p>
        </w:tc>
        <w:tc>
          <w:tcPr>
            <w:tcW w:w="1080" w:type="dxa"/>
            <w:shd w:val="clear" w:color="auto" w:fill="E6E6E6"/>
          </w:tcPr>
          <w:p w:rsidR="000645BF" w:rsidRPr="00D34949" w:rsidRDefault="000645BF" w:rsidP="004E444C">
            <w:pPr>
              <w:spacing w:after="0" w:line="240" w:lineRule="auto"/>
              <w:jc w:val="center"/>
              <w:rPr>
                <w:rFonts w:ascii="Arial" w:hAnsi="Arial" w:cs="Arial"/>
                <w:b/>
              </w:rPr>
            </w:pPr>
            <w:r w:rsidRPr="00D34949">
              <w:rPr>
                <w:rFonts w:ascii="Arial" w:hAnsi="Arial" w:cs="Arial"/>
                <w:b/>
              </w:rPr>
              <w:t>BR1</w:t>
            </w:r>
          </w:p>
        </w:tc>
        <w:tc>
          <w:tcPr>
            <w:tcW w:w="951" w:type="dxa"/>
            <w:shd w:val="clear" w:color="auto" w:fill="E6E6E6"/>
          </w:tcPr>
          <w:p w:rsidR="000645BF" w:rsidRPr="00D34949" w:rsidRDefault="000645BF" w:rsidP="004E444C">
            <w:pPr>
              <w:spacing w:after="0" w:line="240" w:lineRule="auto"/>
              <w:jc w:val="center"/>
              <w:rPr>
                <w:rFonts w:ascii="Arial" w:hAnsi="Arial" w:cs="Arial"/>
                <w:b/>
              </w:rPr>
            </w:pPr>
            <w:r w:rsidRPr="00D34949">
              <w:rPr>
                <w:rFonts w:ascii="Arial" w:hAnsi="Arial" w:cs="Arial"/>
                <w:b/>
              </w:rPr>
              <w:t>BR2</w:t>
            </w:r>
          </w:p>
        </w:tc>
        <w:tc>
          <w:tcPr>
            <w:tcW w:w="1007" w:type="dxa"/>
            <w:shd w:val="clear" w:color="auto" w:fill="E6E6E6"/>
          </w:tcPr>
          <w:p w:rsidR="000645BF" w:rsidRPr="00D34949" w:rsidRDefault="000645BF" w:rsidP="004E444C">
            <w:pPr>
              <w:spacing w:after="0" w:line="240" w:lineRule="auto"/>
              <w:jc w:val="center"/>
              <w:rPr>
                <w:rFonts w:ascii="Arial" w:hAnsi="Arial" w:cs="Arial"/>
                <w:b/>
              </w:rPr>
            </w:pPr>
            <w:r w:rsidRPr="00D34949">
              <w:rPr>
                <w:rFonts w:ascii="Arial" w:hAnsi="Arial" w:cs="Arial"/>
                <w:b/>
              </w:rPr>
              <w:t>BR3</w:t>
            </w:r>
          </w:p>
        </w:tc>
        <w:tc>
          <w:tcPr>
            <w:tcW w:w="951" w:type="dxa"/>
            <w:shd w:val="clear" w:color="auto" w:fill="E6E6E6"/>
          </w:tcPr>
          <w:p w:rsidR="000645BF" w:rsidRPr="00D34949" w:rsidRDefault="000645BF" w:rsidP="004E444C">
            <w:pPr>
              <w:spacing w:after="0" w:line="240" w:lineRule="auto"/>
              <w:jc w:val="center"/>
              <w:rPr>
                <w:rFonts w:ascii="Arial" w:hAnsi="Arial" w:cs="Arial"/>
                <w:b/>
              </w:rPr>
            </w:pPr>
            <w:r w:rsidRPr="00D34949">
              <w:rPr>
                <w:rFonts w:ascii="Arial" w:hAnsi="Arial" w:cs="Arial"/>
                <w:b/>
              </w:rPr>
              <w:t>BR4</w:t>
            </w:r>
          </w:p>
        </w:tc>
        <w:tc>
          <w:tcPr>
            <w:tcW w:w="951" w:type="dxa"/>
            <w:shd w:val="clear" w:color="auto" w:fill="E6E6E6"/>
          </w:tcPr>
          <w:p w:rsidR="000645BF" w:rsidRPr="00D34949" w:rsidRDefault="000645BF" w:rsidP="004E444C">
            <w:pPr>
              <w:spacing w:after="0" w:line="240" w:lineRule="auto"/>
              <w:jc w:val="center"/>
              <w:rPr>
                <w:rFonts w:ascii="Arial" w:hAnsi="Arial" w:cs="Arial"/>
                <w:b/>
              </w:rPr>
            </w:pPr>
            <w:r w:rsidRPr="00D34949">
              <w:rPr>
                <w:rFonts w:ascii="Arial" w:hAnsi="Arial" w:cs="Arial"/>
                <w:b/>
              </w:rPr>
              <w:t>BR5</w:t>
            </w:r>
          </w:p>
        </w:tc>
      </w:tr>
      <w:tr w:rsidR="000645BF" w:rsidRPr="00D34949" w:rsidTr="004E444C">
        <w:trPr>
          <w:jc w:val="center"/>
        </w:trPr>
        <w:tc>
          <w:tcPr>
            <w:tcW w:w="2207" w:type="dxa"/>
          </w:tcPr>
          <w:p w:rsidR="000645BF" w:rsidRPr="00D34949" w:rsidRDefault="000645BF" w:rsidP="004E444C">
            <w:pPr>
              <w:tabs>
                <w:tab w:val="num" w:pos="0"/>
              </w:tabs>
              <w:spacing w:after="0" w:line="240" w:lineRule="auto"/>
              <w:jc w:val="center"/>
              <w:rPr>
                <w:rFonts w:ascii="Arial" w:hAnsi="Arial" w:cs="Arial"/>
              </w:rPr>
            </w:pPr>
            <w:r w:rsidRPr="00D34949">
              <w:rPr>
                <w:rFonts w:ascii="Arial" w:hAnsi="Arial" w:cs="Arial"/>
              </w:rPr>
              <w:t>2013 Medii anuale</w:t>
            </w:r>
          </w:p>
        </w:tc>
        <w:tc>
          <w:tcPr>
            <w:tcW w:w="1080"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3,86</w:t>
            </w:r>
          </w:p>
        </w:tc>
        <w:tc>
          <w:tcPr>
            <w:tcW w:w="1007" w:type="dxa"/>
          </w:tcPr>
          <w:p w:rsidR="000645BF" w:rsidRPr="00D34949" w:rsidRDefault="000645BF" w:rsidP="004E444C">
            <w:pPr>
              <w:spacing w:after="0" w:line="240" w:lineRule="auto"/>
              <w:jc w:val="center"/>
              <w:rPr>
                <w:rFonts w:ascii="Arial" w:hAnsi="Arial" w:cs="Arial"/>
              </w:rPr>
            </w:pPr>
            <w:r w:rsidRPr="00D34949">
              <w:rPr>
                <w:rFonts w:ascii="Arial" w:hAnsi="Arial" w:cs="Arial"/>
              </w:rPr>
              <w:t>10,44</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5,15</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r>
      <w:tr w:rsidR="000645BF" w:rsidRPr="00D34949" w:rsidTr="004E444C">
        <w:trPr>
          <w:jc w:val="center"/>
        </w:trPr>
        <w:tc>
          <w:tcPr>
            <w:tcW w:w="2207" w:type="dxa"/>
          </w:tcPr>
          <w:p w:rsidR="000645BF" w:rsidRPr="00D34949" w:rsidRDefault="000645BF" w:rsidP="004E444C">
            <w:pPr>
              <w:tabs>
                <w:tab w:val="num" w:pos="0"/>
              </w:tabs>
              <w:spacing w:after="0" w:line="240" w:lineRule="auto"/>
              <w:jc w:val="center"/>
              <w:rPr>
                <w:rFonts w:ascii="Arial" w:hAnsi="Arial" w:cs="Arial"/>
              </w:rPr>
            </w:pPr>
            <w:r w:rsidRPr="00D34949">
              <w:rPr>
                <w:rFonts w:ascii="Arial" w:hAnsi="Arial" w:cs="Arial"/>
              </w:rPr>
              <w:t>2014 Medii anuale</w:t>
            </w:r>
          </w:p>
        </w:tc>
        <w:tc>
          <w:tcPr>
            <w:tcW w:w="1080"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15,50</w:t>
            </w:r>
          </w:p>
        </w:tc>
        <w:tc>
          <w:tcPr>
            <w:tcW w:w="1007" w:type="dxa"/>
          </w:tcPr>
          <w:p w:rsidR="000645BF" w:rsidRPr="00D34949" w:rsidRDefault="000645BF" w:rsidP="004E444C">
            <w:pPr>
              <w:spacing w:after="0" w:line="240" w:lineRule="auto"/>
              <w:jc w:val="center"/>
              <w:rPr>
                <w:rFonts w:ascii="Arial" w:hAnsi="Arial" w:cs="Arial"/>
              </w:rPr>
            </w:pPr>
            <w:r w:rsidRPr="00D34949">
              <w:rPr>
                <w:rFonts w:ascii="Arial" w:hAnsi="Arial" w:cs="Arial"/>
              </w:rPr>
              <w:t>7,41</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r>
      <w:tr w:rsidR="000645BF" w:rsidRPr="00D34949" w:rsidTr="004E444C">
        <w:trPr>
          <w:jc w:val="center"/>
        </w:trPr>
        <w:tc>
          <w:tcPr>
            <w:tcW w:w="2207" w:type="dxa"/>
          </w:tcPr>
          <w:p w:rsidR="000645BF" w:rsidRPr="00D34949" w:rsidRDefault="000645BF" w:rsidP="004E444C">
            <w:pPr>
              <w:tabs>
                <w:tab w:val="num" w:pos="0"/>
              </w:tabs>
              <w:spacing w:after="0" w:line="240" w:lineRule="auto"/>
              <w:jc w:val="center"/>
              <w:rPr>
                <w:rFonts w:ascii="Arial" w:hAnsi="Arial" w:cs="Arial"/>
              </w:rPr>
            </w:pPr>
            <w:r w:rsidRPr="00D34949">
              <w:rPr>
                <w:rFonts w:ascii="Arial" w:hAnsi="Arial" w:cs="Arial"/>
              </w:rPr>
              <w:t>2015 Medii anuale</w:t>
            </w:r>
          </w:p>
        </w:tc>
        <w:tc>
          <w:tcPr>
            <w:tcW w:w="1080"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12,83</w:t>
            </w:r>
          </w:p>
        </w:tc>
        <w:tc>
          <w:tcPr>
            <w:tcW w:w="1007"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12,31</w:t>
            </w:r>
          </w:p>
        </w:tc>
      </w:tr>
      <w:tr w:rsidR="000645BF" w:rsidRPr="00D34949" w:rsidTr="004E444C">
        <w:trPr>
          <w:jc w:val="center"/>
        </w:trPr>
        <w:tc>
          <w:tcPr>
            <w:tcW w:w="2207" w:type="dxa"/>
          </w:tcPr>
          <w:p w:rsidR="000645BF" w:rsidRPr="00D34949" w:rsidRDefault="000645BF" w:rsidP="004E444C">
            <w:pPr>
              <w:tabs>
                <w:tab w:val="num" w:pos="0"/>
              </w:tabs>
              <w:spacing w:after="0" w:line="240" w:lineRule="auto"/>
              <w:jc w:val="center"/>
              <w:rPr>
                <w:rFonts w:ascii="Arial" w:hAnsi="Arial" w:cs="Arial"/>
              </w:rPr>
            </w:pPr>
            <w:r w:rsidRPr="00D34949">
              <w:rPr>
                <w:rFonts w:ascii="Arial" w:hAnsi="Arial" w:cs="Arial"/>
              </w:rPr>
              <w:t>2016 Medii anuale</w:t>
            </w:r>
          </w:p>
        </w:tc>
        <w:tc>
          <w:tcPr>
            <w:tcW w:w="1080" w:type="dxa"/>
          </w:tcPr>
          <w:p w:rsidR="000645BF" w:rsidRPr="00D34949" w:rsidRDefault="000645BF" w:rsidP="004E444C">
            <w:pPr>
              <w:spacing w:after="0" w:line="240" w:lineRule="auto"/>
              <w:jc w:val="center"/>
              <w:rPr>
                <w:rFonts w:ascii="Arial" w:hAnsi="Arial" w:cs="Arial"/>
              </w:rPr>
            </w:pPr>
            <w:r w:rsidRPr="00D34949">
              <w:rPr>
                <w:rFonts w:ascii="Arial" w:hAnsi="Arial" w:cs="Arial"/>
              </w:rPr>
              <w:t>20,25</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20,22</w:t>
            </w:r>
          </w:p>
        </w:tc>
        <w:tc>
          <w:tcPr>
            <w:tcW w:w="1007" w:type="dxa"/>
          </w:tcPr>
          <w:p w:rsidR="000645BF" w:rsidRPr="00D34949" w:rsidRDefault="000645BF" w:rsidP="004E444C">
            <w:pPr>
              <w:spacing w:after="0" w:line="240" w:lineRule="auto"/>
              <w:jc w:val="center"/>
              <w:rPr>
                <w:rFonts w:ascii="Arial" w:hAnsi="Arial" w:cs="Arial"/>
              </w:rPr>
            </w:pPr>
            <w:r w:rsidRPr="00D34949">
              <w:rPr>
                <w:rFonts w:ascii="Arial" w:hAnsi="Arial" w:cs="Arial"/>
              </w:rPr>
              <w:t>17,68</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12,92</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12,45</w:t>
            </w:r>
          </w:p>
        </w:tc>
      </w:tr>
      <w:tr w:rsidR="000645BF" w:rsidRPr="00D34949" w:rsidTr="004E444C">
        <w:trPr>
          <w:jc w:val="center"/>
        </w:trPr>
        <w:tc>
          <w:tcPr>
            <w:tcW w:w="2207" w:type="dxa"/>
          </w:tcPr>
          <w:p w:rsidR="000645BF" w:rsidRPr="00D34949" w:rsidRDefault="000645BF" w:rsidP="004E444C">
            <w:pPr>
              <w:tabs>
                <w:tab w:val="num" w:pos="0"/>
              </w:tabs>
              <w:spacing w:after="0" w:line="240" w:lineRule="auto"/>
              <w:jc w:val="center"/>
              <w:rPr>
                <w:rFonts w:ascii="Arial" w:hAnsi="Arial" w:cs="Arial"/>
              </w:rPr>
            </w:pPr>
            <w:r w:rsidRPr="00D34949">
              <w:rPr>
                <w:rFonts w:ascii="Arial" w:hAnsi="Arial" w:cs="Arial"/>
              </w:rPr>
              <w:t>2017 Medii anuale</w:t>
            </w:r>
          </w:p>
        </w:tc>
        <w:tc>
          <w:tcPr>
            <w:tcW w:w="1080" w:type="dxa"/>
          </w:tcPr>
          <w:p w:rsidR="000645BF" w:rsidRPr="00D34949" w:rsidRDefault="000645BF" w:rsidP="004E444C">
            <w:pPr>
              <w:spacing w:after="0" w:line="240" w:lineRule="auto"/>
              <w:jc w:val="center"/>
              <w:rPr>
                <w:rFonts w:ascii="Arial" w:hAnsi="Arial" w:cs="Arial"/>
              </w:rPr>
            </w:pPr>
            <w:r w:rsidRPr="00D34949">
              <w:rPr>
                <w:rFonts w:ascii="Arial" w:hAnsi="Arial" w:cs="Arial"/>
              </w:rPr>
              <w:t>20,26</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17,17</w:t>
            </w:r>
          </w:p>
        </w:tc>
        <w:tc>
          <w:tcPr>
            <w:tcW w:w="1007" w:type="dxa"/>
          </w:tcPr>
          <w:p w:rsidR="000645BF" w:rsidRPr="00D34949" w:rsidRDefault="000645BF" w:rsidP="004E444C">
            <w:pPr>
              <w:spacing w:after="0" w:line="240" w:lineRule="auto"/>
              <w:jc w:val="center"/>
              <w:rPr>
                <w:rFonts w:ascii="Arial" w:hAnsi="Arial" w:cs="Arial"/>
              </w:rPr>
            </w:pPr>
            <w:r w:rsidRPr="00D34949">
              <w:rPr>
                <w:rFonts w:ascii="Arial" w:hAnsi="Arial" w:cs="Arial"/>
              </w:rPr>
              <w:t>12,13</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11,05</w:t>
            </w:r>
          </w:p>
        </w:tc>
        <w:tc>
          <w:tcPr>
            <w:tcW w:w="951" w:type="dxa"/>
          </w:tcPr>
          <w:p w:rsidR="000645BF" w:rsidRPr="00D34949" w:rsidRDefault="000645BF" w:rsidP="004E444C">
            <w:pPr>
              <w:spacing w:after="0" w:line="240" w:lineRule="auto"/>
              <w:jc w:val="center"/>
              <w:rPr>
                <w:rFonts w:ascii="Arial" w:hAnsi="Arial" w:cs="Arial"/>
              </w:rPr>
            </w:pPr>
            <w:r w:rsidRPr="00D34949">
              <w:rPr>
                <w:rFonts w:ascii="Arial" w:hAnsi="Arial" w:cs="Arial"/>
              </w:rPr>
              <w:t>10,75</w:t>
            </w:r>
          </w:p>
        </w:tc>
      </w:tr>
    </w:tbl>
    <w:p w:rsidR="000645BF" w:rsidRPr="00D34949" w:rsidRDefault="000645BF" w:rsidP="000645BF">
      <w:pPr>
        <w:tabs>
          <w:tab w:val="num" w:pos="0"/>
        </w:tabs>
        <w:spacing w:after="0"/>
        <w:jc w:val="center"/>
        <w:rPr>
          <w:rFonts w:ascii="Arial" w:hAnsi="Arial" w:cs="Arial"/>
          <w:sz w:val="24"/>
          <w:szCs w:val="24"/>
        </w:rPr>
      </w:pPr>
    </w:p>
    <w:p w:rsidR="000645BF" w:rsidRDefault="000645BF" w:rsidP="000645BF">
      <w:pPr>
        <w:tabs>
          <w:tab w:val="num" w:pos="0"/>
        </w:tabs>
        <w:spacing w:after="0"/>
        <w:jc w:val="center"/>
        <w:rPr>
          <w:rFonts w:ascii="Arial" w:hAnsi="Arial" w:cs="Arial"/>
          <w:sz w:val="24"/>
          <w:szCs w:val="24"/>
        </w:rPr>
      </w:pPr>
    </w:p>
    <w:p w:rsidR="000645BF" w:rsidRPr="00717595" w:rsidRDefault="000645BF" w:rsidP="000645BF">
      <w:pPr>
        <w:tabs>
          <w:tab w:val="left" w:pos="709"/>
        </w:tabs>
        <w:ind w:left="720" w:right="31"/>
        <w:rPr>
          <w:rFonts w:ascii="Arial" w:hAnsi="Arial" w:cs="Arial"/>
          <w:b/>
          <w:sz w:val="24"/>
          <w:szCs w:val="24"/>
        </w:rPr>
      </w:pPr>
      <w:r w:rsidRPr="00717595">
        <w:rPr>
          <w:rFonts w:ascii="Arial" w:hAnsi="Arial" w:cs="Arial"/>
          <w:b/>
          <w:sz w:val="24"/>
          <w:szCs w:val="24"/>
        </w:rPr>
        <w:t>I.1.1.2.2.Dioxid de sulf</w:t>
      </w: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019675" cy="2047875"/>
            <wp:effectExtent l="0" t="0" r="0" b="0"/>
            <wp:docPr id="15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45BF" w:rsidRPr="00D34949" w:rsidRDefault="000645BF" w:rsidP="000645BF">
      <w:pPr>
        <w:tabs>
          <w:tab w:val="num" w:pos="0"/>
        </w:tabs>
        <w:jc w:val="center"/>
        <w:rPr>
          <w:rFonts w:ascii="Arial" w:hAnsi="Arial" w:cs="Arial"/>
          <w:sz w:val="24"/>
          <w:szCs w:val="24"/>
        </w:rPr>
      </w:pPr>
      <w:r w:rsidRPr="0006246E">
        <w:rPr>
          <w:rFonts w:ascii="Arial" w:hAnsi="Arial" w:cs="Arial"/>
          <w:b/>
          <w:sz w:val="24"/>
          <w:szCs w:val="24"/>
        </w:rPr>
        <w:t>Fig. I.1.1.2.2</w:t>
      </w:r>
      <w:r w:rsidRPr="00717595">
        <w:rPr>
          <w:rFonts w:ascii="Arial" w:hAnsi="Arial" w:cs="Arial"/>
          <w:sz w:val="24"/>
          <w:szCs w:val="24"/>
        </w:rPr>
        <w:t xml:space="preserve">. Concentraţia medie anuală a dioxidului de sulf în </w:t>
      </w:r>
      <w:r w:rsidRPr="00D34949">
        <w:rPr>
          <w:rFonts w:ascii="Arial" w:hAnsi="Arial" w:cs="Arial"/>
          <w:sz w:val="24"/>
          <w:szCs w:val="24"/>
        </w:rPr>
        <w:t>perioada 2013-2017</w:t>
      </w:r>
    </w:p>
    <w:p w:rsidR="000645BF" w:rsidRPr="00717595" w:rsidRDefault="000645BF" w:rsidP="000645BF">
      <w:pPr>
        <w:tabs>
          <w:tab w:val="num" w:pos="0"/>
        </w:tabs>
        <w:spacing w:after="0" w:line="240" w:lineRule="auto"/>
        <w:ind w:firstLine="720"/>
        <w:jc w:val="right"/>
        <w:rPr>
          <w:rFonts w:ascii="Arial" w:hAnsi="Arial" w:cs="Arial"/>
          <w:sz w:val="24"/>
          <w:szCs w:val="24"/>
        </w:rPr>
      </w:pPr>
      <w:r w:rsidRPr="0006246E">
        <w:rPr>
          <w:rFonts w:ascii="Arial" w:hAnsi="Arial" w:cs="Arial"/>
          <w:b/>
          <w:sz w:val="24"/>
          <w:szCs w:val="24"/>
        </w:rPr>
        <w:t>Tabel I.1.1.2.2</w:t>
      </w:r>
      <w:r w:rsidRPr="00717595">
        <w:rPr>
          <w:rFonts w:ascii="Arial" w:hAnsi="Arial" w:cs="Arial"/>
          <w:sz w:val="24"/>
          <w:szCs w:val="24"/>
        </w:rPr>
        <w:t>.</w:t>
      </w:r>
    </w:p>
    <w:tbl>
      <w:tblPr>
        <w:tblW w:w="0" w:type="auto"/>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7"/>
        <w:gridCol w:w="992"/>
        <w:gridCol w:w="993"/>
        <w:gridCol w:w="1109"/>
        <w:gridCol w:w="1134"/>
        <w:gridCol w:w="1134"/>
      </w:tblGrid>
      <w:tr w:rsidR="000645BF" w:rsidRPr="00717595" w:rsidTr="004E444C">
        <w:trPr>
          <w:jc w:val="center"/>
        </w:trPr>
        <w:tc>
          <w:tcPr>
            <w:tcW w:w="2177" w:type="dxa"/>
            <w:shd w:val="clear" w:color="auto" w:fill="E6E6E6"/>
          </w:tcPr>
          <w:p w:rsidR="000645BF" w:rsidRPr="002D0C2A" w:rsidRDefault="000645BF" w:rsidP="004E444C">
            <w:pPr>
              <w:tabs>
                <w:tab w:val="num" w:pos="0"/>
              </w:tabs>
              <w:spacing w:after="0" w:line="240" w:lineRule="auto"/>
              <w:rPr>
                <w:rFonts w:ascii="Arial" w:hAnsi="Arial" w:cs="Arial"/>
              </w:rPr>
            </w:pPr>
            <w:r w:rsidRPr="002D0C2A">
              <w:rPr>
                <w:rFonts w:ascii="Arial" w:hAnsi="Arial" w:cs="Arial"/>
                <w:b/>
              </w:rPr>
              <w:t>SO</w:t>
            </w:r>
            <w:r w:rsidRPr="002D0C2A">
              <w:rPr>
                <w:rFonts w:ascii="Arial" w:hAnsi="Arial" w:cs="Arial"/>
                <w:b/>
                <w:vertAlign w:val="subscript"/>
              </w:rPr>
              <w:t>2</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92" w:type="dxa"/>
            <w:shd w:val="clear" w:color="auto" w:fill="E6E6E6"/>
          </w:tcPr>
          <w:p w:rsidR="000645BF" w:rsidRPr="002D0C2A" w:rsidRDefault="000645BF" w:rsidP="004E444C">
            <w:pPr>
              <w:spacing w:after="0" w:line="240" w:lineRule="auto"/>
              <w:jc w:val="center"/>
              <w:rPr>
                <w:rFonts w:ascii="Arial" w:hAnsi="Arial" w:cs="Arial"/>
                <w:b/>
              </w:rPr>
            </w:pPr>
            <w:r w:rsidRPr="002D0C2A">
              <w:rPr>
                <w:rFonts w:ascii="Arial" w:hAnsi="Arial" w:cs="Arial"/>
                <w:b/>
              </w:rPr>
              <w:t>BR1</w:t>
            </w:r>
          </w:p>
        </w:tc>
        <w:tc>
          <w:tcPr>
            <w:tcW w:w="993" w:type="dxa"/>
            <w:shd w:val="clear" w:color="auto" w:fill="E6E6E6"/>
          </w:tcPr>
          <w:p w:rsidR="000645BF" w:rsidRPr="002D0C2A" w:rsidRDefault="000645BF" w:rsidP="004E444C">
            <w:pPr>
              <w:spacing w:after="0" w:line="240" w:lineRule="auto"/>
              <w:jc w:val="center"/>
              <w:rPr>
                <w:rFonts w:ascii="Arial" w:hAnsi="Arial" w:cs="Arial"/>
                <w:b/>
              </w:rPr>
            </w:pPr>
            <w:r w:rsidRPr="002D0C2A">
              <w:rPr>
                <w:rFonts w:ascii="Arial" w:hAnsi="Arial" w:cs="Arial"/>
                <w:b/>
              </w:rPr>
              <w:t>BR2</w:t>
            </w:r>
          </w:p>
        </w:tc>
        <w:tc>
          <w:tcPr>
            <w:tcW w:w="1109" w:type="dxa"/>
            <w:shd w:val="clear" w:color="auto" w:fill="E6E6E6"/>
          </w:tcPr>
          <w:p w:rsidR="000645BF" w:rsidRPr="002D0C2A" w:rsidRDefault="000645BF" w:rsidP="004E444C">
            <w:pPr>
              <w:spacing w:after="0" w:line="240" w:lineRule="auto"/>
              <w:jc w:val="center"/>
              <w:rPr>
                <w:rFonts w:ascii="Arial" w:hAnsi="Arial" w:cs="Arial"/>
                <w:b/>
              </w:rPr>
            </w:pPr>
            <w:r w:rsidRPr="002D0C2A">
              <w:rPr>
                <w:rFonts w:ascii="Arial" w:hAnsi="Arial" w:cs="Arial"/>
                <w:b/>
              </w:rPr>
              <w:t>BR3</w:t>
            </w:r>
          </w:p>
        </w:tc>
        <w:tc>
          <w:tcPr>
            <w:tcW w:w="1134" w:type="dxa"/>
            <w:shd w:val="clear" w:color="auto" w:fill="E6E6E6"/>
          </w:tcPr>
          <w:p w:rsidR="000645BF" w:rsidRPr="002D0C2A" w:rsidRDefault="000645BF" w:rsidP="004E444C">
            <w:pPr>
              <w:spacing w:after="0" w:line="240" w:lineRule="auto"/>
              <w:jc w:val="center"/>
              <w:rPr>
                <w:rFonts w:ascii="Arial" w:hAnsi="Arial" w:cs="Arial"/>
                <w:b/>
              </w:rPr>
            </w:pPr>
            <w:r w:rsidRPr="002D0C2A">
              <w:rPr>
                <w:rFonts w:ascii="Arial" w:hAnsi="Arial" w:cs="Arial"/>
                <w:b/>
              </w:rPr>
              <w:t>BR4</w:t>
            </w:r>
          </w:p>
        </w:tc>
        <w:tc>
          <w:tcPr>
            <w:tcW w:w="1134" w:type="dxa"/>
            <w:shd w:val="clear" w:color="auto" w:fill="E6E6E6"/>
          </w:tcPr>
          <w:p w:rsidR="000645BF" w:rsidRPr="002D0C2A" w:rsidRDefault="000645BF" w:rsidP="004E444C">
            <w:pPr>
              <w:spacing w:after="0" w:line="240" w:lineRule="auto"/>
              <w:jc w:val="center"/>
              <w:rPr>
                <w:rFonts w:ascii="Arial" w:hAnsi="Arial" w:cs="Arial"/>
                <w:b/>
              </w:rPr>
            </w:pPr>
            <w:r w:rsidRPr="002D0C2A">
              <w:rPr>
                <w:rFonts w:ascii="Arial" w:hAnsi="Arial" w:cs="Arial"/>
                <w:b/>
              </w:rPr>
              <w:t>BR5</w:t>
            </w:r>
          </w:p>
        </w:tc>
      </w:tr>
      <w:tr w:rsidR="000645BF" w:rsidRPr="00717595" w:rsidTr="004E444C">
        <w:trPr>
          <w:jc w:val="center"/>
        </w:trPr>
        <w:tc>
          <w:tcPr>
            <w:tcW w:w="2177" w:type="dxa"/>
          </w:tcPr>
          <w:p w:rsidR="000645BF" w:rsidRPr="002D0C2A" w:rsidRDefault="000645BF" w:rsidP="004E444C">
            <w:pPr>
              <w:spacing w:after="0" w:line="240" w:lineRule="auto"/>
              <w:rPr>
                <w:rFonts w:ascii="Arial" w:hAnsi="Arial" w:cs="Arial"/>
              </w:rPr>
            </w:pPr>
            <w:r w:rsidRPr="002D0C2A">
              <w:rPr>
                <w:rFonts w:ascii="Arial" w:hAnsi="Arial" w:cs="Arial"/>
              </w:rPr>
              <w:t>2013 Medii anuale</w:t>
            </w:r>
          </w:p>
        </w:tc>
        <w:tc>
          <w:tcPr>
            <w:tcW w:w="992"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93"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09"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2,06</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13,97</w:t>
            </w:r>
          </w:p>
        </w:tc>
      </w:tr>
      <w:tr w:rsidR="000645BF" w:rsidRPr="00717595" w:rsidTr="004E444C">
        <w:trPr>
          <w:jc w:val="center"/>
        </w:trPr>
        <w:tc>
          <w:tcPr>
            <w:tcW w:w="2177" w:type="dxa"/>
          </w:tcPr>
          <w:p w:rsidR="000645BF" w:rsidRPr="002D0C2A" w:rsidRDefault="000645BF" w:rsidP="004E444C">
            <w:pPr>
              <w:spacing w:after="0" w:line="240" w:lineRule="auto"/>
              <w:rPr>
                <w:rFonts w:ascii="Arial" w:hAnsi="Arial" w:cs="Arial"/>
              </w:rPr>
            </w:pPr>
            <w:r w:rsidRPr="002D0C2A">
              <w:rPr>
                <w:rFonts w:ascii="Arial" w:hAnsi="Arial" w:cs="Arial"/>
              </w:rPr>
              <w:t>2014 Medii anuale</w:t>
            </w:r>
          </w:p>
        </w:tc>
        <w:tc>
          <w:tcPr>
            <w:tcW w:w="992"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93"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09"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r>
      <w:tr w:rsidR="000645BF" w:rsidRPr="00717595" w:rsidTr="004E444C">
        <w:trPr>
          <w:jc w:val="center"/>
        </w:trPr>
        <w:tc>
          <w:tcPr>
            <w:tcW w:w="2177" w:type="dxa"/>
          </w:tcPr>
          <w:p w:rsidR="000645BF" w:rsidRPr="002D0C2A" w:rsidRDefault="000645BF" w:rsidP="004E444C">
            <w:pPr>
              <w:spacing w:after="0" w:line="240" w:lineRule="auto"/>
              <w:rPr>
                <w:rFonts w:ascii="Arial" w:hAnsi="Arial" w:cs="Arial"/>
              </w:rPr>
            </w:pPr>
            <w:r w:rsidRPr="002D0C2A">
              <w:rPr>
                <w:rFonts w:ascii="Arial" w:hAnsi="Arial" w:cs="Arial"/>
              </w:rPr>
              <w:t>2015 Medii anuale</w:t>
            </w:r>
          </w:p>
        </w:tc>
        <w:tc>
          <w:tcPr>
            <w:tcW w:w="992"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93"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09" w:type="dxa"/>
          </w:tcPr>
          <w:p w:rsidR="000645BF" w:rsidRPr="002D0C2A" w:rsidRDefault="000645BF" w:rsidP="004E444C">
            <w:pPr>
              <w:spacing w:after="0" w:line="240" w:lineRule="auto"/>
              <w:jc w:val="center"/>
              <w:rPr>
                <w:rFonts w:ascii="Arial" w:hAnsi="Arial" w:cs="Arial"/>
              </w:rPr>
            </w:pPr>
            <w:r>
              <w:rPr>
                <w:rFonts w:ascii="Arial" w:hAnsi="Arial" w:cs="Arial"/>
              </w:rPr>
              <w:t>8,</w:t>
            </w:r>
            <w:r w:rsidRPr="002D0C2A">
              <w:rPr>
                <w:rFonts w:ascii="Arial" w:hAnsi="Arial" w:cs="Arial"/>
              </w:rPr>
              <w:t>31</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1134"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r>
      <w:tr w:rsidR="000645BF" w:rsidRPr="00717595" w:rsidTr="004E444C">
        <w:trPr>
          <w:jc w:val="center"/>
        </w:trPr>
        <w:tc>
          <w:tcPr>
            <w:tcW w:w="2177" w:type="dxa"/>
          </w:tcPr>
          <w:p w:rsidR="000645BF" w:rsidRPr="002D0C2A" w:rsidRDefault="000645BF" w:rsidP="004E444C">
            <w:pPr>
              <w:spacing w:after="0" w:line="240" w:lineRule="auto"/>
              <w:rPr>
                <w:rFonts w:ascii="Arial" w:hAnsi="Arial" w:cs="Arial"/>
              </w:rPr>
            </w:pPr>
            <w:r w:rsidRPr="002D0C2A">
              <w:rPr>
                <w:rFonts w:ascii="Arial" w:hAnsi="Arial" w:cs="Arial"/>
              </w:rPr>
              <w:t>2016 Medii anuale</w:t>
            </w:r>
          </w:p>
        </w:tc>
        <w:tc>
          <w:tcPr>
            <w:tcW w:w="992" w:type="dxa"/>
            <w:vAlign w:val="center"/>
          </w:tcPr>
          <w:p w:rsidR="000645BF" w:rsidRPr="002D0C2A" w:rsidRDefault="000645BF" w:rsidP="004E444C">
            <w:pPr>
              <w:autoSpaceDE w:val="0"/>
              <w:autoSpaceDN w:val="0"/>
              <w:adjustRightInd w:val="0"/>
              <w:spacing w:after="0" w:line="240" w:lineRule="auto"/>
              <w:jc w:val="center"/>
              <w:rPr>
                <w:rFonts w:ascii="Arial" w:eastAsia="Times New Roman" w:hAnsi="Arial" w:cs="Arial"/>
                <w:bCs/>
                <w:color w:val="000000"/>
              </w:rPr>
            </w:pPr>
            <w:r w:rsidRPr="002D0C2A">
              <w:rPr>
                <w:rFonts w:ascii="Arial" w:eastAsia="Times New Roman" w:hAnsi="Arial" w:cs="Arial"/>
                <w:bCs/>
                <w:color w:val="000000"/>
              </w:rPr>
              <w:t>5,09</w:t>
            </w:r>
          </w:p>
        </w:tc>
        <w:tc>
          <w:tcPr>
            <w:tcW w:w="993" w:type="dxa"/>
            <w:vAlign w:val="center"/>
          </w:tcPr>
          <w:p w:rsidR="000645BF" w:rsidRPr="002D0C2A" w:rsidRDefault="000645BF" w:rsidP="004E444C">
            <w:pPr>
              <w:autoSpaceDE w:val="0"/>
              <w:autoSpaceDN w:val="0"/>
              <w:adjustRightInd w:val="0"/>
              <w:spacing w:after="0" w:line="240" w:lineRule="auto"/>
              <w:jc w:val="center"/>
              <w:rPr>
                <w:rFonts w:ascii="Arial" w:eastAsia="Times New Roman" w:hAnsi="Arial" w:cs="Arial"/>
                <w:bCs/>
                <w:color w:val="000000"/>
              </w:rPr>
            </w:pPr>
            <w:r w:rsidRPr="002D0C2A">
              <w:rPr>
                <w:rFonts w:ascii="Arial" w:eastAsia="Times New Roman" w:hAnsi="Arial" w:cs="Arial"/>
                <w:bCs/>
                <w:color w:val="000000"/>
              </w:rPr>
              <w:t>3,59</w:t>
            </w:r>
          </w:p>
        </w:tc>
        <w:tc>
          <w:tcPr>
            <w:tcW w:w="1109" w:type="dxa"/>
            <w:vAlign w:val="center"/>
          </w:tcPr>
          <w:p w:rsidR="000645BF" w:rsidRPr="002D0C2A" w:rsidRDefault="000645BF" w:rsidP="004E444C">
            <w:pPr>
              <w:autoSpaceDE w:val="0"/>
              <w:autoSpaceDN w:val="0"/>
              <w:adjustRightInd w:val="0"/>
              <w:spacing w:after="0" w:line="240" w:lineRule="auto"/>
              <w:jc w:val="center"/>
              <w:rPr>
                <w:rFonts w:ascii="Arial" w:eastAsia="Times New Roman" w:hAnsi="Arial" w:cs="Arial"/>
                <w:bCs/>
                <w:color w:val="000000"/>
              </w:rPr>
            </w:pPr>
            <w:r w:rsidRPr="002D0C2A">
              <w:rPr>
                <w:rFonts w:ascii="Arial" w:eastAsia="Times New Roman" w:hAnsi="Arial" w:cs="Arial"/>
                <w:bCs/>
                <w:color w:val="000000"/>
              </w:rPr>
              <w:t>2,77</w:t>
            </w:r>
          </w:p>
        </w:tc>
        <w:tc>
          <w:tcPr>
            <w:tcW w:w="1134" w:type="dxa"/>
            <w:vAlign w:val="center"/>
          </w:tcPr>
          <w:p w:rsidR="000645BF" w:rsidRPr="002D0C2A" w:rsidRDefault="000645BF" w:rsidP="004E444C">
            <w:pPr>
              <w:autoSpaceDE w:val="0"/>
              <w:autoSpaceDN w:val="0"/>
              <w:adjustRightInd w:val="0"/>
              <w:spacing w:after="0" w:line="240" w:lineRule="auto"/>
              <w:jc w:val="center"/>
              <w:rPr>
                <w:rFonts w:ascii="Arial" w:eastAsia="Times New Roman" w:hAnsi="Arial" w:cs="Arial"/>
                <w:bCs/>
                <w:color w:val="000000"/>
              </w:rPr>
            </w:pPr>
            <w:r w:rsidRPr="002D0C2A">
              <w:rPr>
                <w:rFonts w:ascii="Arial" w:eastAsia="Times New Roman" w:hAnsi="Arial" w:cs="Arial"/>
                <w:bCs/>
                <w:color w:val="000000"/>
              </w:rPr>
              <w:t>5,45</w:t>
            </w:r>
          </w:p>
        </w:tc>
        <w:tc>
          <w:tcPr>
            <w:tcW w:w="1134" w:type="dxa"/>
            <w:vAlign w:val="center"/>
          </w:tcPr>
          <w:p w:rsidR="000645BF" w:rsidRPr="002D0C2A" w:rsidRDefault="000645BF" w:rsidP="004E444C">
            <w:pPr>
              <w:autoSpaceDE w:val="0"/>
              <w:autoSpaceDN w:val="0"/>
              <w:adjustRightInd w:val="0"/>
              <w:spacing w:after="0" w:line="240" w:lineRule="auto"/>
              <w:jc w:val="center"/>
              <w:rPr>
                <w:rFonts w:ascii="Arial" w:eastAsia="Times New Roman" w:hAnsi="Arial" w:cs="Arial"/>
                <w:bCs/>
                <w:color w:val="000000"/>
              </w:rPr>
            </w:pPr>
            <w:r w:rsidRPr="002D0C2A">
              <w:rPr>
                <w:rFonts w:ascii="Arial" w:eastAsia="Times New Roman" w:hAnsi="Arial" w:cs="Arial"/>
                <w:bCs/>
                <w:color w:val="000000"/>
              </w:rPr>
              <w:t>3,56</w:t>
            </w:r>
          </w:p>
        </w:tc>
      </w:tr>
      <w:tr w:rsidR="000645BF" w:rsidRPr="00717595" w:rsidTr="004E444C">
        <w:trPr>
          <w:jc w:val="center"/>
        </w:trPr>
        <w:tc>
          <w:tcPr>
            <w:tcW w:w="2177" w:type="dxa"/>
          </w:tcPr>
          <w:p w:rsidR="000645BF" w:rsidRPr="005D0C1C" w:rsidRDefault="000645BF" w:rsidP="004E444C">
            <w:pPr>
              <w:spacing w:after="0" w:line="240" w:lineRule="auto"/>
              <w:rPr>
                <w:rFonts w:ascii="Arial" w:hAnsi="Arial" w:cs="Arial"/>
              </w:rPr>
            </w:pPr>
            <w:r w:rsidRPr="005D0C1C">
              <w:rPr>
                <w:rFonts w:ascii="Arial" w:hAnsi="Arial" w:cs="Arial"/>
              </w:rPr>
              <w:t>2017 Medii anuale</w:t>
            </w:r>
          </w:p>
        </w:tc>
        <w:tc>
          <w:tcPr>
            <w:tcW w:w="992" w:type="dxa"/>
            <w:vAlign w:val="center"/>
          </w:tcPr>
          <w:p w:rsidR="000645BF" w:rsidRPr="005D0C1C" w:rsidRDefault="000645BF" w:rsidP="004E444C">
            <w:pPr>
              <w:autoSpaceDE w:val="0"/>
              <w:autoSpaceDN w:val="0"/>
              <w:adjustRightInd w:val="0"/>
              <w:spacing w:after="0" w:line="240" w:lineRule="auto"/>
              <w:jc w:val="center"/>
              <w:rPr>
                <w:rFonts w:ascii="Arial" w:eastAsia="Times New Roman" w:hAnsi="Arial" w:cs="Arial"/>
                <w:bCs/>
              </w:rPr>
            </w:pPr>
            <w:r w:rsidRPr="005D0C1C">
              <w:rPr>
                <w:rFonts w:ascii="Arial" w:eastAsia="Times New Roman" w:hAnsi="Arial" w:cs="Arial"/>
                <w:bCs/>
              </w:rPr>
              <w:t>5,08</w:t>
            </w:r>
          </w:p>
        </w:tc>
        <w:tc>
          <w:tcPr>
            <w:tcW w:w="993" w:type="dxa"/>
            <w:vAlign w:val="center"/>
          </w:tcPr>
          <w:p w:rsidR="000645BF" w:rsidRPr="005D0C1C" w:rsidRDefault="000645BF" w:rsidP="004E444C">
            <w:pPr>
              <w:autoSpaceDE w:val="0"/>
              <w:autoSpaceDN w:val="0"/>
              <w:adjustRightInd w:val="0"/>
              <w:spacing w:after="0" w:line="240" w:lineRule="auto"/>
              <w:jc w:val="center"/>
              <w:rPr>
                <w:rFonts w:ascii="Arial" w:eastAsia="Times New Roman" w:hAnsi="Arial" w:cs="Arial"/>
                <w:bCs/>
              </w:rPr>
            </w:pPr>
            <w:r w:rsidRPr="005D0C1C">
              <w:rPr>
                <w:rFonts w:ascii="Arial" w:eastAsia="Times New Roman" w:hAnsi="Arial" w:cs="Arial"/>
                <w:bCs/>
              </w:rPr>
              <w:t>4,41</w:t>
            </w:r>
          </w:p>
        </w:tc>
        <w:tc>
          <w:tcPr>
            <w:tcW w:w="1109" w:type="dxa"/>
            <w:vAlign w:val="center"/>
          </w:tcPr>
          <w:p w:rsidR="000645BF" w:rsidRPr="005D0C1C" w:rsidRDefault="000645BF" w:rsidP="004E444C">
            <w:pPr>
              <w:autoSpaceDE w:val="0"/>
              <w:autoSpaceDN w:val="0"/>
              <w:adjustRightInd w:val="0"/>
              <w:spacing w:after="0" w:line="240" w:lineRule="auto"/>
              <w:jc w:val="center"/>
              <w:rPr>
                <w:rFonts w:ascii="Arial" w:eastAsia="Times New Roman" w:hAnsi="Arial" w:cs="Arial"/>
                <w:bCs/>
              </w:rPr>
            </w:pPr>
            <w:r w:rsidRPr="005D0C1C">
              <w:rPr>
                <w:rFonts w:ascii="Arial" w:eastAsia="Times New Roman" w:hAnsi="Arial" w:cs="Arial"/>
                <w:bCs/>
              </w:rPr>
              <w:t>5,27</w:t>
            </w:r>
          </w:p>
        </w:tc>
        <w:tc>
          <w:tcPr>
            <w:tcW w:w="1134" w:type="dxa"/>
            <w:vAlign w:val="center"/>
          </w:tcPr>
          <w:p w:rsidR="000645BF" w:rsidRPr="005D0C1C" w:rsidRDefault="000645BF" w:rsidP="004E444C">
            <w:pPr>
              <w:autoSpaceDE w:val="0"/>
              <w:autoSpaceDN w:val="0"/>
              <w:adjustRightInd w:val="0"/>
              <w:spacing w:after="0" w:line="240" w:lineRule="auto"/>
              <w:jc w:val="center"/>
              <w:rPr>
                <w:rFonts w:ascii="Arial" w:eastAsia="Times New Roman" w:hAnsi="Arial" w:cs="Arial"/>
                <w:bCs/>
              </w:rPr>
            </w:pPr>
            <w:r w:rsidRPr="005D0C1C">
              <w:rPr>
                <w:rFonts w:ascii="Arial" w:eastAsia="Times New Roman" w:hAnsi="Arial" w:cs="Arial"/>
                <w:bCs/>
              </w:rPr>
              <w:t>5,36</w:t>
            </w:r>
          </w:p>
        </w:tc>
        <w:tc>
          <w:tcPr>
            <w:tcW w:w="1134" w:type="dxa"/>
            <w:vAlign w:val="center"/>
          </w:tcPr>
          <w:p w:rsidR="000645BF" w:rsidRPr="005D0C1C" w:rsidRDefault="000645BF" w:rsidP="004E444C">
            <w:pPr>
              <w:autoSpaceDE w:val="0"/>
              <w:autoSpaceDN w:val="0"/>
              <w:adjustRightInd w:val="0"/>
              <w:spacing w:after="0" w:line="240" w:lineRule="auto"/>
              <w:jc w:val="center"/>
              <w:rPr>
                <w:rFonts w:ascii="Arial" w:eastAsia="Times New Roman" w:hAnsi="Arial" w:cs="Arial"/>
                <w:bCs/>
              </w:rPr>
            </w:pPr>
            <w:r w:rsidRPr="005D0C1C">
              <w:rPr>
                <w:rFonts w:ascii="Arial" w:eastAsia="Times New Roman" w:hAnsi="Arial" w:cs="Arial"/>
                <w:bCs/>
              </w:rPr>
              <w:t>4,59</w:t>
            </w:r>
          </w:p>
        </w:tc>
      </w:tr>
    </w:tbl>
    <w:p w:rsidR="000645BF" w:rsidRDefault="000645BF" w:rsidP="000645BF">
      <w:pPr>
        <w:tabs>
          <w:tab w:val="num" w:pos="0"/>
        </w:tabs>
        <w:spacing w:after="0"/>
        <w:rPr>
          <w:rFonts w:ascii="Arial" w:hAnsi="Arial" w:cs="Arial"/>
          <w:color w:val="008000"/>
          <w:sz w:val="24"/>
          <w:szCs w:val="24"/>
          <w:highlight w:val="cyan"/>
        </w:rPr>
      </w:pPr>
    </w:p>
    <w:p w:rsidR="000645BF" w:rsidRPr="00717595" w:rsidRDefault="000645BF" w:rsidP="000645BF">
      <w:pPr>
        <w:tabs>
          <w:tab w:val="num" w:pos="0"/>
        </w:tabs>
        <w:spacing w:after="0"/>
        <w:rPr>
          <w:rFonts w:ascii="Arial" w:hAnsi="Arial" w:cs="Arial"/>
          <w:color w:val="008000"/>
          <w:sz w:val="24"/>
          <w:szCs w:val="24"/>
          <w:highlight w:val="cyan"/>
        </w:rPr>
      </w:pPr>
    </w:p>
    <w:p w:rsidR="000645BF" w:rsidRPr="00717595" w:rsidRDefault="000645BF" w:rsidP="000645BF">
      <w:pPr>
        <w:tabs>
          <w:tab w:val="num" w:pos="0"/>
        </w:tabs>
        <w:spacing w:after="0" w:line="240" w:lineRule="auto"/>
        <w:jc w:val="both"/>
        <w:rPr>
          <w:rFonts w:ascii="Arial" w:hAnsi="Arial" w:cs="Arial"/>
          <w:b/>
          <w:sz w:val="24"/>
          <w:szCs w:val="24"/>
        </w:rPr>
      </w:pPr>
      <w:r w:rsidRPr="00717595">
        <w:rPr>
          <w:rFonts w:ascii="Arial" w:hAnsi="Arial" w:cs="Arial"/>
          <w:sz w:val="24"/>
          <w:szCs w:val="24"/>
        </w:rPr>
        <w:tab/>
      </w:r>
      <w:r w:rsidRPr="00717595">
        <w:rPr>
          <w:rFonts w:ascii="Arial" w:hAnsi="Arial" w:cs="Arial"/>
          <w:b/>
          <w:sz w:val="24"/>
          <w:szCs w:val="24"/>
        </w:rPr>
        <w:t>I.1.1.2.3.Pulberi în suspensie – PM10 şi PM2,5 (gravimetric şi nefelometric)</w:t>
      </w:r>
    </w:p>
    <w:p w:rsidR="000645BF" w:rsidRPr="00717595" w:rsidRDefault="000645BF" w:rsidP="000645BF">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 xml:space="preserve">Pentru determinarea pulberilor </w:t>
      </w:r>
      <w:r w:rsidRPr="00717595">
        <w:rPr>
          <w:rFonts w:ascii="Arial" w:hAnsi="Arial" w:cs="Arial"/>
          <w:iCs/>
          <w:color w:val="000000"/>
          <w:sz w:val="24"/>
          <w:szCs w:val="24"/>
        </w:rPr>
        <w:t>PM</w:t>
      </w:r>
      <w:r w:rsidRPr="00717595">
        <w:rPr>
          <w:rFonts w:ascii="Arial" w:hAnsi="Arial" w:cs="Arial"/>
          <w:iCs/>
          <w:color w:val="000000"/>
          <w:sz w:val="24"/>
          <w:szCs w:val="24"/>
          <w:vertAlign w:val="subscript"/>
        </w:rPr>
        <w:t>10</w:t>
      </w:r>
      <w:r w:rsidRPr="00717595">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0645BF" w:rsidRPr="00717595" w:rsidRDefault="000645BF" w:rsidP="000645BF">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0645BF" w:rsidRPr="004537E0" w:rsidRDefault="000645BF" w:rsidP="000645BF">
      <w:pPr>
        <w:autoSpaceDE w:val="0"/>
        <w:autoSpaceDN w:val="0"/>
        <w:adjustRightInd w:val="0"/>
        <w:spacing w:after="0" w:line="240" w:lineRule="auto"/>
        <w:ind w:firstLine="720"/>
        <w:jc w:val="both"/>
        <w:rPr>
          <w:rFonts w:ascii="Arial" w:hAnsi="Arial" w:cs="Arial"/>
          <w:sz w:val="24"/>
          <w:szCs w:val="24"/>
        </w:rPr>
      </w:pPr>
      <w:r w:rsidRPr="004537E0">
        <w:rPr>
          <w:rFonts w:ascii="Arial" w:hAnsi="Arial" w:cs="Arial"/>
          <w:sz w:val="24"/>
          <w:szCs w:val="24"/>
        </w:rPr>
        <w:t xml:space="preserve">În anul 2017, ca urmare a monitorizării calităţii aerului, în municipiul Brăila, au fost inregistrate un numar de 12 valori peste valoarea limită zilnică pentru indicatorul </w:t>
      </w:r>
      <w:r w:rsidRPr="004537E0">
        <w:rPr>
          <w:rFonts w:ascii="Arial" w:hAnsi="Arial" w:cs="Arial"/>
          <w:i/>
          <w:iCs/>
          <w:sz w:val="24"/>
          <w:szCs w:val="24"/>
        </w:rPr>
        <w:t>PM</w:t>
      </w:r>
      <w:r w:rsidRPr="004537E0">
        <w:rPr>
          <w:rFonts w:ascii="Arial" w:hAnsi="Arial" w:cs="Arial"/>
          <w:i/>
          <w:iCs/>
          <w:sz w:val="24"/>
          <w:szCs w:val="24"/>
          <w:vertAlign w:val="subscript"/>
        </w:rPr>
        <w:t>10</w:t>
      </w:r>
      <w:r w:rsidRPr="004537E0">
        <w:rPr>
          <w:rFonts w:ascii="Arial" w:hAnsi="Arial" w:cs="Arial"/>
        </w:rPr>
        <w:t xml:space="preserve"> astfel:</w:t>
      </w:r>
    </w:p>
    <w:p w:rsidR="000645BF" w:rsidRPr="004537E0" w:rsidRDefault="000645BF" w:rsidP="000645BF">
      <w:pPr>
        <w:pStyle w:val="Default"/>
        <w:widowControl w:val="0"/>
        <w:rPr>
          <w:rFonts w:ascii="Arial" w:hAnsi="Arial" w:cs="Arial"/>
          <w:color w:val="auto"/>
        </w:rPr>
      </w:pPr>
    </w:p>
    <w:p w:rsidR="000645BF" w:rsidRPr="0006246E" w:rsidRDefault="000645BF" w:rsidP="000645BF">
      <w:pPr>
        <w:pStyle w:val="Default"/>
        <w:widowControl w:val="0"/>
        <w:rPr>
          <w:rFonts w:ascii="Arial" w:hAnsi="Arial" w:cs="Arial"/>
          <w:b/>
          <w:color w:val="auto"/>
        </w:rPr>
      </w:pPr>
      <w:r>
        <w:rPr>
          <w:rFonts w:ascii="Arial" w:hAnsi="Arial" w:cs="Arial"/>
          <w:b/>
          <w:color w:val="auto"/>
        </w:rPr>
        <w:t xml:space="preserve">                    </w:t>
      </w:r>
      <w:r w:rsidRPr="0006246E">
        <w:rPr>
          <w:rFonts w:ascii="Arial" w:hAnsi="Arial" w:cs="Arial"/>
          <w:b/>
          <w:color w:val="auto"/>
        </w:rPr>
        <w:t>Tabel I.1.1.2.3</w:t>
      </w:r>
    </w:p>
    <w:tbl>
      <w:tblPr>
        <w:tblStyle w:val="TableGrid"/>
        <w:tblW w:w="0" w:type="auto"/>
        <w:jc w:val="center"/>
        <w:tblLook w:val="04A0"/>
      </w:tblPr>
      <w:tblGrid>
        <w:gridCol w:w="2075"/>
        <w:gridCol w:w="1709"/>
        <w:gridCol w:w="1529"/>
        <w:gridCol w:w="1576"/>
      </w:tblGrid>
      <w:tr w:rsidR="000645BF" w:rsidRPr="004537E0" w:rsidTr="004E444C">
        <w:trPr>
          <w:trHeight w:val="280"/>
          <w:jc w:val="center"/>
        </w:trPr>
        <w:tc>
          <w:tcPr>
            <w:tcW w:w="2075" w:type="dxa"/>
            <w:vMerge w:val="restart"/>
            <w:vAlign w:val="center"/>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Statia</w:t>
            </w:r>
          </w:p>
        </w:tc>
        <w:tc>
          <w:tcPr>
            <w:tcW w:w="3238" w:type="dxa"/>
            <w:gridSpan w:val="2"/>
            <w:vAlign w:val="center"/>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 xml:space="preserve">Numar depășiri </w:t>
            </w:r>
          </w:p>
        </w:tc>
        <w:tc>
          <w:tcPr>
            <w:tcW w:w="1576" w:type="dxa"/>
            <w:vMerge w:val="restart"/>
            <w:vAlign w:val="center"/>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Total</w:t>
            </w:r>
          </w:p>
        </w:tc>
      </w:tr>
      <w:tr w:rsidR="000645BF" w:rsidRPr="004537E0" w:rsidTr="004E444C">
        <w:trPr>
          <w:trHeight w:val="149"/>
          <w:jc w:val="center"/>
        </w:trPr>
        <w:tc>
          <w:tcPr>
            <w:tcW w:w="2075" w:type="dxa"/>
            <w:vMerge/>
          </w:tcPr>
          <w:p w:rsidR="000645BF" w:rsidRPr="004537E0" w:rsidRDefault="000645BF" w:rsidP="004E444C">
            <w:pPr>
              <w:pStyle w:val="Default"/>
              <w:widowControl w:val="0"/>
              <w:jc w:val="center"/>
              <w:rPr>
                <w:rFonts w:ascii="Arial" w:hAnsi="Arial" w:cs="Arial"/>
                <w:color w:val="auto"/>
              </w:rPr>
            </w:pPr>
          </w:p>
        </w:tc>
        <w:tc>
          <w:tcPr>
            <w:tcW w:w="1709" w:type="dxa"/>
            <w:vAlign w:val="center"/>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PM</w:t>
            </w:r>
            <w:r w:rsidRPr="004537E0">
              <w:rPr>
                <w:rFonts w:ascii="Arial" w:hAnsi="Arial" w:cs="Arial"/>
                <w:color w:val="auto"/>
                <w:vertAlign w:val="subscript"/>
              </w:rPr>
              <w:t>10</w:t>
            </w:r>
            <w:r w:rsidRPr="004537E0">
              <w:rPr>
                <w:rFonts w:ascii="Arial" w:hAnsi="Arial" w:cs="Arial"/>
                <w:color w:val="auto"/>
              </w:rPr>
              <w:t xml:space="preserve"> grv</w:t>
            </w:r>
          </w:p>
        </w:tc>
        <w:tc>
          <w:tcPr>
            <w:tcW w:w="1529" w:type="dxa"/>
            <w:vAlign w:val="center"/>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PM</w:t>
            </w:r>
            <w:r w:rsidRPr="004537E0">
              <w:rPr>
                <w:rFonts w:ascii="Arial" w:hAnsi="Arial" w:cs="Arial"/>
                <w:color w:val="auto"/>
                <w:vertAlign w:val="subscript"/>
              </w:rPr>
              <w:t>10</w:t>
            </w:r>
            <w:r w:rsidRPr="004537E0">
              <w:rPr>
                <w:rFonts w:ascii="Arial" w:hAnsi="Arial" w:cs="Arial"/>
                <w:color w:val="auto"/>
              </w:rPr>
              <w:t xml:space="preserve"> nef</w:t>
            </w:r>
          </w:p>
        </w:tc>
        <w:tc>
          <w:tcPr>
            <w:tcW w:w="1576" w:type="dxa"/>
            <w:vMerge/>
          </w:tcPr>
          <w:p w:rsidR="000645BF" w:rsidRPr="004537E0" w:rsidRDefault="000645BF" w:rsidP="004E444C">
            <w:pPr>
              <w:pStyle w:val="Default"/>
              <w:widowControl w:val="0"/>
              <w:jc w:val="center"/>
              <w:rPr>
                <w:rFonts w:ascii="Arial" w:hAnsi="Arial" w:cs="Arial"/>
                <w:color w:val="auto"/>
              </w:rPr>
            </w:pPr>
          </w:p>
        </w:tc>
      </w:tr>
      <w:tr w:rsidR="000645BF" w:rsidRPr="004537E0" w:rsidTr="004E444C">
        <w:trPr>
          <w:trHeight w:val="280"/>
          <w:jc w:val="center"/>
        </w:trPr>
        <w:tc>
          <w:tcPr>
            <w:tcW w:w="2075"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Statia BR1</w:t>
            </w:r>
          </w:p>
        </w:tc>
        <w:tc>
          <w:tcPr>
            <w:tcW w:w="170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1</w:t>
            </w:r>
          </w:p>
        </w:tc>
        <w:tc>
          <w:tcPr>
            <w:tcW w:w="152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76"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1</w:t>
            </w:r>
          </w:p>
        </w:tc>
      </w:tr>
      <w:tr w:rsidR="000645BF" w:rsidRPr="004537E0" w:rsidTr="004E444C">
        <w:trPr>
          <w:trHeight w:val="280"/>
          <w:jc w:val="center"/>
        </w:trPr>
        <w:tc>
          <w:tcPr>
            <w:tcW w:w="2075" w:type="dxa"/>
          </w:tcPr>
          <w:p w:rsidR="000645BF" w:rsidRPr="004537E0" w:rsidRDefault="000645BF" w:rsidP="004E444C">
            <w:pPr>
              <w:jc w:val="center"/>
              <w:rPr>
                <w:sz w:val="24"/>
                <w:szCs w:val="24"/>
              </w:rPr>
            </w:pPr>
            <w:r w:rsidRPr="004537E0">
              <w:rPr>
                <w:rFonts w:ascii="Arial" w:hAnsi="Arial" w:cs="Arial"/>
                <w:sz w:val="24"/>
                <w:szCs w:val="24"/>
              </w:rPr>
              <w:t>Statia BR2</w:t>
            </w:r>
          </w:p>
        </w:tc>
        <w:tc>
          <w:tcPr>
            <w:tcW w:w="170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2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76" w:type="dxa"/>
          </w:tcPr>
          <w:p w:rsidR="000645BF" w:rsidRPr="004537E0" w:rsidRDefault="000645BF" w:rsidP="004E444C">
            <w:pPr>
              <w:pStyle w:val="Default"/>
              <w:widowControl w:val="0"/>
              <w:jc w:val="center"/>
              <w:rPr>
                <w:rFonts w:ascii="Arial" w:hAnsi="Arial" w:cs="Arial"/>
                <w:color w:val="auto"/>
              </w:rPr>
            </w:pPr>
          </w:p>
        </w:tc>
      </w:tr>
      <w:tr w:rsidR="000645BF" w:rsidRPr="004537E0" w:rsidTr="004E444C">
        <w:trPr>
          <w:trHeight w:val="280"/>
          <w:jc w:val="center"/>
        </w:trPr>
        <w:tc>
          <w:tcPr>
            <w:tcW w:w="2075" w:type="dxa"/>
          </w:tcPr>
          <w:p w:rsidR="000645BF" w:rsidRPr="004537E0" w:rsidRDefault="000645BF" w:rsidP="004E444C">
            <w:pPr>
              <w:jc w:val="center"/>
              <w:rPr>
                <w:sz w:val="24"/>
                <w:szCs w:val="24"/>
              </w:rPr>
            </w:pPr>
            <w:r w:rsidRPr="004537E0">
              <w:rPr>
                <w:rFonts w:ascii="Arial" w:hAnsi="Arial" w:cs="Arial"/>
                <w:sz w:val="24"/>
                <w:szCs w:val="24"/>
              </w:rPr>
              <w:t>Statia BR3</w:t>
            </w:r>
          </w:p>
        </w:tc>
        <w:tc>
          <w:tcPr>
            <w:tcW w:w="170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3</w:t>
            </w:r>
          </w:p>
        </w:tc>
        <w:tc>
          <w:tcPr>
            <w:tcW w:w="152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5</w:t>
            </w:r>
          </w:p>
        </w:tc>
        <w:tc>
          <w:tcPr>
            <w:tcW w:w="1576"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8</w:t>
            </w:r>
          </w:p>
        </w:tc>
      </w:tr>
      <w:tr w:rsidR="000645BF" w:rsidRPr="004537E0" w:rsidTr="004E444C">
        <w:trPr>
          <w:trHeight w:val="280"/>
          <w:jc w:val="center"/>
        </w:trPr>
        <w:tc>
          <w:tcPr>
            <w:tcW w:w="2075" w:type="dxa"/>
          </w:tcPr>
          <w:p w:rsidR="000645BF" w:rsidRPr="004537E0" w:rsidRDefault="000645BF" w:rsidP="004E444C">
            <w:pPr>
              <w:jc w:val="center"/>
              <w:rPr>
                <w:sz w:val="24"/>
                <w:szCs w:val="24"/>
              </w:rPr>
            </w:pPr>
            <w:r w:rsidRPr="004537E0">
              <w:rPr>
                <w:rFonts w:ascii="Arial" w:hAnsi="Arial" w:cs="Arial"/>
                <w:sz w:val="24"/>
                <w:szCs w:val="24"/>
              </w:rPr>
              <w:t>Statia BR4</w:t>
            </w:r>
          </w:p>
        </w:tc>
        <w:tc>
          <w:tcPr>
            <w:tcW w:w="170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2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76" w:type="dxa"/>
          </w:tcPr>
          <w:p w:rsidR="000645BF" w:rsidRPr="004537E0" w:rsidRDefault="000645BF" w:rsidP="004E444C">
            <w:pPr>
              <w:pStyle w:val="Default"/>
              <w:widowControl w:val="0"/>
              <w:jc w:val="center"/>
              <w:rPr>
                <w:rFonts w:ascii="Arial" w:hAnsi="Arial" w:cs="Arial"/>
                <w:color w:val="auto"/>
              </w:rPr>
            </w:pPr>
          </w:p>
        </w:tc>
      </w:tr>
      <w:tr w:rsidR="000645BF" w:rsidRPr="004537E0" w:rsidTr="004E444C">
        <w:trPr>
          <w:trHeight w:val="280"/>
          <w:jc w:val="center"/>
        </w:trPr>
        <w:tc>
          <w:tcPr>
            <w:tcW w:w="2075" w:type="dxa"/>
          </w:tcPr>
          <w:p w:rsidR="000645BF" w:rsidRPr="004537E0" w:rsidRDefault="000645BF" w:rsidP="004E444C">
            <w:pPr>
              <w:jc w:val="center"/>
              <w:rPr>
                <w:sz w:val="24"/>
                <w:szCs w:val="24"/>
              </w:rPr>
            </w:pPr>
            <w:r w:rsidRPr="004537E0">
              <w:rPr>
                <w:rFonts w:ascii="Arial" w:hAnsi="Arial" w:cs="Arial"/>
                <w:sz w:val="24"/>
                <w:szCs w:val="24"/>
              </w:rPr>
              <w:t>Statia BR5</w:t>
            </w:r>
          </w:p>
        </w:tc>
        <w:tc>
          <w:tcPr>
            <w:tcW w:w="170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w:t>
            </w:r>
          </w:p>
        </w:tc>
        <w:tc>
          <w:tcPr>
            <w:tcW w:w="1529"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3</w:t>
            </w:r>
          </w:p>
        </w:tc>
        <w:tc>
          <w:tcPr>
            <w:tcW w:w="1576"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3</w:t>
            </w:r>
          </w:p>
        </w:tc>
      </w:tr>
      <w:tr w:rsidR="000645BF" w:rsidRPr="004537E0" w:rsidTr="004E444C">
        <w:trPr>
          <w:trHeight w:val="280"/>
          <w:jc w:val="center"/>
        </w:trPr>
        <w:tc>
          <w:tcPr>
            <w:tcW w:w="5313" w:type="dxa"/>
            <w:gridSpan w:val="3"/>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 xml:space="preserve">Total </w:t>
            </w:r>
          </w:p>
        </w:tc>
        <w:tc>
          <w:tcPr>
            <w:tcW w:w="1576" w:type="dxa"/>
          </w:tcPr>
          <w:p w:rsidR="000645BF" w:rsidRPr="004537E0" w:rsidRDefault="000645BF" w:rsidP="004E444C">
            <w:pPr>
              <w:pStyle w:val="Default"/>
              <w:widowControl w:val="0"/>
              <w:jc w:val="center"/>
              <w:rPr>
                <w:rFonts w:ascii="Arial" w:hAnsi="Arial" w:cs="Arial"/>
                <w:color w:val="auto"/>
              </w:rPr>
            </w:pPr>
            <w:r w:rsidRPr="004537E0">
              <w:rPr>
                <w:rFonts w:ascii="Arial" w:hAnsi="Arial" w:cs="Arial"/>
                <w:color w:val="auto"/>
              </w:rPr>
              <w:t>12</w:t>
            </w:r>
          </w:p>
        </w:tc>
      </w:tr>
    </w:tbl>
    <w:p w:rsidR="000645BF" w:rsidRPr="00717595" w:rsidRDefault="000645BF" w:rsidP="000645BF">
      <w:pPr>
        <w:tabs>
          <w:tab w:val="left" w:pos="709"/>
        </w:tabs>
        <w:ind w:left="720" w:right="31"/>
        <w:rPr>
          <w:rFonts w:ascii="Arial" w:hAnsi="Arial" w:cs="Arial"/>
          <w:sz w:val="24"/>
          <w:szCs w:val="24"/>
        </w:rPr>
      </w:pPr>
    </w:p>
    <w:p w:rsidR="000645BF" w:rsidRPr="00717595" w:rsidRDefault="000645BF" w:rsidP="000645BF">
      <w:pPr>
        <w:tabs>
          <w:tab w:val="num" w:pos="0"/>
        </w:tabs>
        <w:jc w:val="center"/>
        <w:rPr>
          <w:rFonts w:ascii="Arial" w:hAnsi="Arial" w:cs="Arial"/>
          <w:b/>
          <w:sz w:val="24"/>
          <w:szCs w:val="24"/>
        </w:rPr>
      </w:pPr>
      <w:r w:rsidRPr="00717595">
        <w:rPr>
          <w:rFonts w:ascii="Arial" w:hAnsi="Arial" w:cs="Arial"/>
          <w:noProof/>
          <w:sz w:val="24"/>
          <w:szCs w:val="24"/>
        </w:rPr>
        <w:lastRenderedPageBreak/>
        <w:drawing>
          <wp:inline distT="0" distB="0" distL="0" distR="0">
            <wp:extent cx="6057900" cy="2638995"/>
            <wp:effectExtent l="0" t="0" r="0" b="0"/>
            <wp:docPr id="1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b/>
          <w:sz w:val="24"/>
          <w:szCs w:val="24"/>
        </w:rPr>
        <w:t xml:space="preserve">                    </w:t>
      </w:r>
      <w:r w:rsidRPr="005632DB">
        <w:rPr>
          <w:rFonts w:ascii="Arial" w:hAnsi="Arial" w:cs="Arial"/>
          <w:b/>
          <w:sz w:val="24"/>
          <w:szCs w:val="24"/>
        </w:rPr>
        <w:t>Fig. I.1.1.2.3.</w:t>
      </w:r>
      <w:r w:rsidRPr="00717595">
        <w:rPr>
          <w:rFonts w:ascii="Arial" w:hAnsi="Arial" w:cs="Arial"/>
          <w:sz w:val="24"/>
          <w:szCs w:val="24"/>
        </w:rPr>
        <w:t xml:space="preserve"> Concentraţia medie anuală PM10 şi PM2,5 în perioada </w:t>
      </w:r>
      <w:r w:rsidRPr="004537E0">
        <w:rPr>
          <w:rFonts w:ascii="Arial" w:hAnsi="Arial" w:cs="Arial"/>
          <w:sz w:val="24"/>
          <w:szCs w:val="24"/>
        </w:rPr>
        <w:t>2013 - 2017</w:t>
      </w:r>
    </w:p>
    <w:p w:rsidR="000645BF" w:rsidRPr="005632DB" w:rsidRDefault="000645BF" w:rsidP="000645BF">
      <w:pPr>
        <w:tabs>
          <w:tab w:val="num" w:pos="0"/>
        </w:tabs>
        <w:spacing w:after="0" w:line="240" w:lineRule="auto"/>
        <w:rPr>
          <w:rFonts w:ascii="Arial" w:hAnsi="Arial" w:cs="Arial"/>
          <w:b/>
          <w:sz w:val="24"/>
          <w:szCs w:val="24"/>
        </w:rPr>
      </w:pPr>
      <w:r>
        <w:rPr>
          <w:rFonts w:ascii="Arial" w:hAnsi="Arial" w:cs="Arial"/>
          <w:b/>
          <w:sz w:val="24"/>
          <w:szCs w:val="24"/>
        </w:rPr>
        <w:t xml:space="preserve">             </w:t>
      </w:r>
      <w:r w:rsidRPr="005632DB">
        <w:rPr>
          <w:rFonts w:ascii="Arial" w:hAnsi="Arial" w:cs="Arial"/>
          <w:b/>
          <w:sz w:val="24"/>
          <w:szCs w:val="24"/>
        </w:rPr>
        <w:t>Tabel I.1.1.2.3.</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b/>
              </w:rPr>
              <w:t>PM10 nefelometric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BR1</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BR2</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BR3</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BR4</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BR5</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43,22</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0645BF" w:rsidRPr="002D0C2A" w:rsidRDefault="000645BF" w:rsidP="004E444C">
            <w:pPr>
              <w:spacing w:after="0" w:line="240" w:lineRule="auto"/>
              <w:jc w:val="center"/>
              <w:rPr>
                <w:rFonts w:ascii="Arial" w:hAnsi="Arial" w:cs="Arial"/>
              </w:rPr>
            </w:pPr>
            <w:r w:rsidRPr="002D0C2A">
              <w:rPr>
                <w:rFonts w:ascii="Arial" w:hAnsi="Arial" w:cs="Arial"/>
              </w:rPr>
              <w:t>36,15</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0645BF" w:rsidRPr="002D0C2A" w:rsidRDefault="000645BF" w:rsidP="004E444C">
            <w:pPr>
              <w:spacing w:after="0" w:line="240" w:lineRule="auto"/>
              <w:jc w:val="center"/>
              <w:rPr>
                <w:rFonts w:ascii="Arial" w:hAnsi="Arial" w:cs="Arial"/>
              </w:rPr>
            </w:pPr>
            <w:r w:rsidRPr="002D0C2A">
              <w:rPr>
                <w:rFonts w:ascii="Arial" w:hAnsi="Arial" w:cs="Arial"/>
              </w:rPr>
              <w:t>46,03</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36,68</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30,73</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24,61</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21,91</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30,85</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22,46</w:t>
            </w:r>
          </w:p>
        </w:tc>
        <w:tc>
          <w:tcPr>
            <w:tcW w:w="951" w:type="dxa"/>
            <w:tcBorders>
              <w:bottom w:val="single" w:sz="4" w:space="0" w:color="auto"/>
            </w:tcBorders>
          </w:tcPr>
          <w:p w:rsidR="000645BF" w:rsidRPr="002D0C2A" w:rsidRDefault="000645BF" w:rsidP="004E444C">
            <w:pPr>
              <w:spacing w:after="0" w:line="240" w:lineRule="auto"/>
              <w:jc w:val="center"/>
              <w:rPr>
                <w:rFonts w:ascii="Arial" w:hAnsi="Arial" w:cs="Arial"/>
              </w:rPr>
            </w:pPr>
            <w:r w:rsidRPr="002D0C2A">
              <w:rPr>
                <w:rFonts w:ascii="Arial" w:hAnsi="Arial" w:cs="Arial"/>
              </w:rPr>
              <w:t>33,4</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Pr>
                <w:rFonts w:ascii="Arial" w:hAnsi="Arial" w:cs="Arial"/>
              </w:rPr>
              <w:t>2017</w:t>
            </w:r>
            <w:r w:rsidRPr="002D0C2A">
              <w:rPr>
                <w:rFonts w:ascii="Arial" w:hAnsi="Arial" w:cs="Arial"/>
              </w:rPr>
              <w:t xml:space="preserve"> Medii anuale</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21,79</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19,11</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22,09</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18,86</w:t>
            </w:r>
          </w:p>
        </w:tc>
        <w:tc>
          <w:tcPr>
            <w:tcW w:w="951" w:type="dxa"/>
            <w:tcBorders>
              <w:bottom w:val="single" w:sz="4" w:space="0" w:color="auto"/>
            </w:tcBorders>
          </w:tcPr>
          <w:p w:rsidR="000645BF" w:rsidRPr="002D0C2A" w:rsidRDefault="000645BF" w:rsidP="004E444C">
            <w:pPr>
              <w:spacing w:after="0" w:line="240" w:lineRule="auto"/>
              <w:jc w:val="center"/>
              <w:rPr>
                <w:rFonts w:ascii="Arial" w:hAnsi="Arial" w:cs="Arial"/>
              </w:rPr>
            </w:pPr>
            <w:r>
              <w:rPr>
                <w:rFonts w:ascii="Arial" w:hAnsi="Arial" w:cs="Arial"/>
              </w:rPr>
              <w:t>22,54</w:t>
            </w: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b/>
              </w:rPr>
              <w:t>PM10 gravimetric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BR1</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BR3</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BR4</w:t>
            </w:r>
          </w:p>
        </w:tc>
        <w:tc>
          <w:tcPr>
            <w:tcW w:w="951" w:type="dxa"/>
            <w:tcBorders>
              <w:bottom w:val="nil"/>
              <w:right w:val="nil"/>
            </w:tcBorders>
          </w:tcPr>
          <w:p w:rsidR="000645BF" w:rsidRPr="002D0C2A" w:rsidRDefault="000645BF" w:rsidP="004E444C">
            <w:pPr>
              <w:spacing w:after="0" w:line="240" w:lineRule="auto"/>
              <w:jc w:val="center"/>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39,1</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Pr>
                <w:rFonts w:ascii="Arial" w:hAnsi="Arial" w:cs="Arial"/>
              </w:rPr>
              <w:t>2017</w:t>
            </w:r>
            <w:r w:rsidRPr="002D0C2A">
              <w:rPr>
                <w:rFonts w:ascii="Arial" w:hAnsi="Arial" w:cs="Arial"/>
              </w:rPr>
              <w:t xml:space="preserve"> Medii anuale</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22,98</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17,12</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24,58</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19,18</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b/>
              </w:rPr>
              <w:t>PM2,5 gravimetric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BR2</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w:t>
            </w:r>
          </w:p>
        </w:tc>
        <w:tc>
          <w:tcPr>
            <w:tcW w:w="951" w:type="dxa"/>
          </w:tcPr>
          <w:p w:rsidR="000645BF" w:rsidRPr="002D0C2A" w:rsidRDefault="000645BF" w:rsidP="004E444C">
            <w:pPr>
              <w:spacing w:after="0" w:line="240" w:lineRule="auto"/>
              <w:jc w:val="center"/>
              <w:rPr>
                <w:rFonts w:ascii="Arial" w:hAnsi="Arial" w:cs="Arial"/>
                <w:b/>
              </w:rPr>
            </w:pPr>
            <w:r w:rsidRPr="002D0C2A">
              <w:rPr>
                <w:rFonts w:ascii="Arial" w:hAnsi="Arial" w:cs="Arial"/>
                <w:b/>
              </w:rPr>
              <w:t>-</w:t>
            </w:r>
          </w:p>
        </w:tc>
        <w:tc>
          <w:tcPr>
            <w:tcW w:w="951" w:type="dxa"/>
            <w:tcBorders>
              <w:top w:val="nil"/>
              <w:bottom w:val="nil"/>
              <w:right w:val="nil"/>
            </w:tcBorders>
          </w:tcPr>
          <w:p w:rsidR="000645BF" w:rsidRPr="002D0C2A" w:rsidRDefault="000645BF" w:rsidP="004E444C">
            <w:pPr>
              <w:spacing w:after="0" w:line="240" w:lineRule="auto"/>
              <w:jc w:val="center"/>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r w:rsidR="000645BF" w:rsidRPr="00717595" w:rsidTr="004E444C">
        <w:trPr>
          <w:jc w:val="center"/>
        </w:trPr>
        <w:tc>
          <w:tcPr>
            <w:tcW w:w="3381" w:type="dxa"/>
          </w:tcPr>
          <w:p w:rsidR="000645BF" w:rsidRPr="002D0C2A" w:rsidRDefault="000645BF" w:rsidP="004E444C">
            <w:pPr>
              <w:tabs>
                <w:tab w:val="num" w:pos="0"/>
              </w:tabs>
              <w:spacing w:after="0" w:line="240" w:lineRule="auto"/>
              <w:rPr>
                <w:rFonts w:ascii="Arial" w:hAnsi="Arial" w:cs="Arial"/>
              </w:rPr>
            </w:pPr>
            <w:r>
              <w:rPr>
                <w:rFonts w:ascii="Arial" w:hAnsi="Arial" w:cs="Arial"/>
              </w:rPr>
              <w:t>2017</w:t>
            </w:r>
            <w:r w:rsidRPr="002D0C2A">
              <w:rPr>
                <w:rFonts w:ascii="Arial" w:hAnsi="Arial" w:cs="Arial"/>
              </w:rPr>
              <w:t xml:space="preserve"> Medii anuale</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Pr>
                <w:rFonts w:ascii="Arial" w:hAnsi="Arial" w:cs="Arial"/>
              </w:rPr>
              <w:t>13,56</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Pr>
          <w:p w:rsidR="000645BF" w:rsidRPr="002D0C2A" w:rsidRDefault="000645BF" w:rsidP="004E444C">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0645BF" w:rsidRPr="002D0C2A" w:rsidRDefault="000645BF" w:rsidP="004E444C">
            <w:pPr>
              <w:spacing w:after="0" w:line="240" w:lineRule="auto"/>
              <w:rPr>
                <w:rFonts w:ascii="Arial" w:hAnsi="Arial" w:cs="Arial"/>
              </w:rPr>
            </w:pPr>
          </w:p>
        </w:tc>
      </w:tr>
    </w:tbl>
    <w:p w:rsidR="000645BF" w:rsidRDefault="000645BF" w:rsidP="000645BF">
      <w:pPr>
        <w:tabs>
          <w:tab w:val="left" w:pos="709"/>
        </w:tabs>
        <w:ind w:left="720" w:right="31"/>
        <w:rPr>
          <w:rFonts w:ascii="Arial" w:hAnsi="Arial" w:cs="Arial"/>
          <w:b/>
          <w:sz w:val="24"/>
          <w:szCs w:val="24"/>
        </w:rPr>
      </w:pPr>
    </w:p>
    <w:p w:rsidR="000645BF" w:rsidRPr="00717595" w:rsidRDefault="000645BF" w:rsidP="000645BF">
      <w:pPr>
        <w:tabs>
          <w:tab w:val="left" w:pos="709"/>
        </w:tabs>
        <w:ind w:left="720" w:right="31"/>
        <w:rPr>
          <w:rFonts w:ascii="Arial" w:hAnsi="Arial" w:cs="Arial"/>
          <w:b/>
          <w:sz w:val="24"/>
          <w:szCs w:val="24"/>
        </w:rPr>
      </w:pPr>
      <w:r>
        <w:rPr>
          <w:rFonts w:ascii="Arial" w:hAnsi="Arial" w:cs="Arial"/>
          <w:b/>
          <w:sz w:val="24"/>
          <w:szCs w:val="24"/>
        </w:rPr>
        <w:tab/>
      </w:r>
      <w:r w:rsidRPr="00717595">
        <w:rPr>
          <w:rFonts w:ascii="Arial" w:hAnsi="Arial" w:cs="Arial"/>
          <w:b/>
          <w:sz w:val="24"/>
          <w:szCs w:val="24"/>
        </w:rPr>
        <w:t>I.1.1.2.4.</w:t>
      </w:r>
      <w:r w:rsidRPr="00717595">
        <w:rPr>
          <w:rFonts w:ascii="Arial" w:hAnsi="Arial" w:cs="Arial"/>
          <w:b/>
          <w:sz w:val="24"/>
          <w:szCs w:val="24"/>
        </w:rPr>
        <w:tab/>
        <w:t>Metale grele – plumb</w:t>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4895850" cy="1981030"/>
            <wp:effectExtent l="0" t="0" r="0" b="0"/>
            <wp:docPr id="15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45BF" w:rsidRPr="0017738D" w:rsidRDefault="000645BF" w:rsidP="000645BF">
      <w:pPr>
        <w:tabs>
          <w:tab w:val="num" w:pos="0"/>
        </w:tabs>
        <w:jc w:val="center"/>
        <w:rPr>
          <w:rFonts w:ascii="Arial" w:hAnsi="Arial" w:cs="Arial"/>
          <w:sz w:val="24"/>
          <w:szCs w:val="24"/>
        </w:rPr>
      </w:pPr>
      <w:r w:rsidRPr="005632DB">
        <w:rPr>
          <w:rFonts w:ascii="Arial" w:hAnsi="Arial" w:cs="Arial"/>
          <w:b/>
          <w:sz w:val="24"/>
          <w:szCs w:val="24"/>
        </w:rPr>
        <w:t>Fig.I.1.1.2.4</w:t>
      </w:r>
      <w:r w:rsidRPr="00717595">
        <w:rPr>
          <w:rFonts w:ascii="Arial" w:hAnsi="Arial" w:cs="Arial"/>
          <w:sz w:val="24"/>
          <w:szCs w:val="24"/>
        </w:rPr>
        <w:t xml:space="preserve">.Concentraţia medie anuală a plumbului în perioada </w:t>
      </w:r>
      <w:r w:rsidRPr="0017738D">
        <w:rPr>
          <w:rFonts w:ascii="Arial" w:hAnsi="Arial" w:cs="Arial"/>
          <w:sz w:val="24"/>
          <w:szCs w:val="24"/>
        </w:rPr>
        <w:t>2008 - 2010</w:t>
      </w:r>
    </w:p>
    <w:p w:rsidR="000645BF" w:rsidRPr="005632DB" w:rsidRDefault="000645BF" w:rsidP="000645BF">
      <w:pPr>
        <w:tabs>
          <w:tab w:val="num" w:pos="0"/>
        </w:tabs>
        <w:spacing w:after="0" w:line="240" w:lineRule="auto"/>
        <w:rPr>
          <w:rFonts w:ascii="Arial" w:hAnsi="Arial" w:cs="Arial"/>
          <w:b/>
          <w:sz w:val="24"/>
          <w:szCs w:val="24"/>
        </w:rPr>
      </w:pPr>
      <w:r>
        <w:rPr>
          <w:rFonts w:ascii="Arial" w:hAnsi="Arial" w:cs="Arial"/>
          <w:sz w:val="24"/>
          <w:szCs w:val="24"/>
        </w:rPr>
        <w:t xml:space="preserve">                 </w:t>
      </w:r>
      <w:r w:rsidRPr="005632DB">
        <w:rPr>
          <w:rFonts w:ascii="Arial" w:hAnsi="Arial" w:cs="Arial"/>
          <w:b/>
          <w:sz w:val="24"/>
          <w:szCs w:val="24"/>
        </w:rPr>
        <w:t>Tabel I.1.1.2.4.</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042"/>
        <w:gridCol w:w="1265"/>
        <w:gridCol w:w="1089"/>
      </w:tblGrid>
      <w:tr w:rsidR="000645BF" w:rsidRPr="00717595" w:rsidTr="004E444C">
        <w:trPr>
          <w:jc w:val="center"/>
        </w:trPr>
        <w:tc>
          <w:tcPr>
            <w:tcW w:w="2574" w:type="dxa"/>
          </w:tcPr>
          <w:p w:rsidR="000645BF" w:rsidRPr="00717595" w:rsidRDefault="000645BF" w:rsidP="004E444C">
            <w:pPr>
              <w:tabs>
                <w:tab w:val="num" w:pos="0"/>
              </w:tabs>
              <w:spacing w:after="0" w:line="240" w:lineRule="auto"/>
              <w:rPr>
                <w:rFonts w:ascii="Arial" w:hAnsi="Arial" w:cs="Arial"/>
                <w:sz w:val="24"/>
                <w:szCs w:val="24"/>
              </w:rPr>
            </w:pPr>
            <w:r w:rsidRPr="00717595">
              <w:rPr>
                <w:rFonts w:ascii="Arial" w:hAnsi="Arial" w:cs="Arial"/>
                <w:b/>
                <w:sz w:val="24"/>
                <w:szCs w:val="24"/>
              </w:rPr>
              <w:t>Pb</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42" w:type="dxa"/>
          </w:tcPr>
          <w:p w:rsidR="000645BF" w:rsidRPr="00717595" w:rsidRDefault="000645BF" w:rsidP="004E444C">
            <w:pPr>
              <w:spacing w:after="0" w:line="240" w:lineRule="auto"/>
              <w:jc w:val="center"/>
              <w:rPr>
                <w:rFonts w:ascii="Arial" w:hAnsi="Arial" w:cs="Arial"/>
                <w:b/>
                <w:sz w:val="24"/>
                <w:szCs w:val="24"/>
              </w:rPr>
            </w:pPr>
            <w:r>
              <w:rPr>
                <w:rFonts w:ascii="Arial" w:hAnsi="Arial" w:cs="Arial"/>
                <w:b/>
                <w:sz w:val="24"/>
                <w:szCs w:val="24"/>
              </w:rPr>
              <w:t>BR</w:t>
            </w:r>
            <w:r w:rsidRPr="00717595">
              <w:rPr>
                <w:rFonts w:ascii="Arial" w:hAnsi="Arial" w:cs="Arial"/>
                <w:b/>
                <w:sz w:val="24"/>
                <w:szCs w:val="24"/>
              </w:rPr>
              <w:t>1</w:t>
            </w:r>
          </w:p>
        </w:tc>
        <w:tc>
          <w:tcPr>
            <w:tcW w:w="1265" w:type="dxa"/>
          </w:tcPr>
          <w:p w:rsidR="000645BF" w:rsidRPr="00717595" w:rsidRDefault="000645BF" w:rsidP="004E444C">
            <w:pPr>
              <w:spacing w:after="0" w:line="240" w:lineRule="auto"/>
              <w:jc w:val="center"/>
              <w:rPr>
                <w:rFonts w:ascii="Arial" w:hAnsi="Arial" w:cs="Arial"/>
                <w:b/>
                <w:sz w:val="24"/>
                <w:szCs w:val="24"/>
              </w:rPr>
            </w:pPr>
            <w:r>
              <w:rPr>
                <w:rFonts w:ascii="Arial" w:hAnsi="Arial" w:cs="Arial"/>
                <w:b/>
                <w:sz w:val="24"/>
                <w:szCs w:val="24"/>
              </w:rPr>
              <w:t>BR</w:t>
            </w:r>
            <w:r w:rsidRPr="00717595">
              <w:rPr>
                <w:rFonts w:ascii="Arial" w:hAnsi="Arial" w:cs="Arial"/>
                <w:b/>
                <w:sz w:val="24"/>
                <w:szCs w:val="24"/>
              </w:rPr>
              <w:t>3</w:t>
            </w:r>
          </w:p>
        </w:tc>
        <w:tc>
          <w:tcPr>
            <w:tcW w:w="1089" w:type="dxa"/>
          </w:tcPr>
          <w:p w:rsidR="000645BF" w:rsidRPr="00717595" w:rsidRDefault="000645BF" w:rsidP="004E444C">
            <w:pPr>
              <w:spacing w:after="0" w:line="240" w:lineRule="auto"/>
              <w:jc w:val="center"/>
              <w:rPr>
                <w:rFonts w:ascii="Arial" w:hAnsi="Arial" w:cs="Arial"/>
                <w:b/>
                <w:sz w:val="24"/>
                <w:szCs w:val="24"/>
              </w:rPr>
            </w:pPr>
            <w:r>
              <w:rPr>
                <w:rFonts w:ascii="Arial" w:hAnsi="Arial" w:cs="Arial"/>
                <w:b/>
                <w:sz w:val="24"/>
                <w:szCs w:val="24"/>
              </w:rPr>
              <w:t>BR</w:t>
            </w:r>
            <w:r w:rsidRPr="00717595">
              <w:rPr>
                <w:rFonts w:ascii="Arial" w:hAnsi="Arial" w:cs="Arial"/>
                <w:b/>
                <w:sz w:val="24"/>
                <w:szCs w:val="24"/>
              </w:rPr>
              <w:t>4</w:t>
            </w:r>
          </w:p>
        </w:tc>
      </w:tr>
      <w:tr w:rsidR="000645BF" w:rsidRPr="00717595" w:rsidTr="004E444C">
        <w:trPr>
          <w:jc w:val="center"/>
        </w:trPr>
        <w:tc>
          <w:tcPr>
            <w:tcW w:w="2574" w:type="dxa"/>
          </w:tcPr>
          <w:p w:rsidR="000645BF" w:rsidRPr="00717595" w:rsidRDefault="000645BF" w:rsidP="004E444C">
            <w:pPr>
              <w:tabs>
                <w:tab w:val="num" w:pos="0"/>
              </w:tabs>
              <w:spacing w:after="0" w:line="240" w:lineRule="auto"/>
              <w:rPr>
                <w:rFonts w:ascii="Arial" w:hAnsi="Arial" w:cs="Arial"/>
                <w:sz w:val="24"/>
                <w:szCs w:val="24"/>
              </w:rPr>
            </w:pPr>
            <w:r w:rsidRPr="00717595">
              <w:rPr>
                <w:rFonts w:ascii="Arial" w:hAnsi="Arial" w:cs="Arial"/>
                <w:sz w:val="24"/>
                <w:szCs w:val="24"/>
              </w:rPr>
              <w:t>2008 Medii noe şi dec</w:t>
            </w:r>
          </w:p>
        </w:tc>
        <w:tc>
          <w:tcPr>
            <w:tcW w:w="1042"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0,0092</w:t>
            </w:r>
          </w:p>
        </w:tc>
        <w:tc>
          <w:tcPr>
            <w:tcW w:w="1265"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0,006</w:t>
            </w:r>
          </w:p>
        </w:tc>
        <w:tc>
          <w:tcPr>
            <w:tcW w:w="1089"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0,0061</w:t>
            </w:r>
          </w:p>
        </w:tc>
      </w:tr>
      <w:tr w:rsidR="000645BF" w:rsidRPr="00717595" w:rsidTr="004E444C">
        <w:trPr>
          <w:jc w:val="center"/>
        </w:trPr>
        <w:tc>
          <w:tcPr>
            <w:tcW w:w="2574" w:type="dxa"/>
          </w:tcPr>
          <w:p w:rsidR="000645BF" w:rsidRPr="00717595" w:rsidRDefault="000645BF" w:rsidP="004E444C">
            <w:pPr>
              <w:tabs>
                <w:tab w:val="num" w:pos="0"/>
              </w:tabs>
              <w:spacing w:after="0" w:line="240" w:lineRule="auto"/>
              <w:rPr>
                <w:rFonts w:ascii="Arial" w:hAnsi="Arial" w:cs="Arial"/>
                <w:sz w:val="24"/>
                <w:szCs w:val="24"/>
              </w:rPr>
            </w:pPr>
            <w:r w:rsidRPr="00717595">
              <w:rPr>
                <w:rFonts w:ascii="Arial" w:hAnsi="Arial" w:cs="Arial"/>
                <w:sz w:val="24"/>
                <w:szCs w:val="24"/>
              </w:rPr>
              <w:lastRenderedPageBreak/>
              <w:t xml:space="preserve">2009 Media anuală </w:t>
            </w:r>
          </w:p>
        </w:tc>
        <w:tc>
          <w:tcPr>
            <w:tcW w:w="1042"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0,0066</w:t>
            </w:r>
          </w:p>
        </w:tc>
        <w:tc>
          <w:tcPr>
            <w:tcW w:w="1265"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0,0061</w:t>
            </w:r>
          </w:p>
        </w:tc>
        <w:tc>
          <w:tcPr>
            <w:tcW w:w="1089"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0,0075</w:t>
            </w:r>
          </w:p>
        </w:tc>
      </w:tr>
      <w:tr w:rsidR="000645BF" w:rsidRPr="00717595" w:rsidTr="004E444C">
        <w:trPr>
          <w:jc w:val="center"/>
        </w:trPr>
        <w:tc>
          <w:tcPr>
            <w:tcW w:w="2574" w:type="dxa"/>
          </w:tcPr>
          <w:p w:rsidR="000645BF" w:rsidRPr="00717595" w:rsidRDefault="000645BF" w:rsidP="004E444C">
            <w:pPr>
              <w:tabs>
                <w:tab w:val="num" w:pos="0"/>
              </w:tabs>
              <w:spacing w:after="0" w:line="240" w:lineRule="auto"/>
              <w:rPr>
                <w:rFonts w:ascii="Arial" w:hAnsi="Arial" w:cs="Arial"/>
                <w:sz w:val="24"/>
                <w:szCs w:val="24"/>
              </w:rPr>
            </w:pPr>
            <w:r w:rsidRPr="00717595">
              <w:rPr>
                <w:rFonts w:ascii="Arial" w:hAnsi="Arial" w:cs="Arial"/>
                <w:sz w:val="24"/>
                <w:szCs w:val="24"/>
              </w:rPr>
              <w:t>2010 Medii anuale</w:t>
            </w:r>
          </w:p>
        </w:tc>
        <w:tc>
          <w:tcPr>
            <w:tcW w:w="1042"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0,0085</w:t>
            </w:r>
          </w:p>
        </w:tc>
        <w:tc>
          <w:tcPr>
            <w:tcW w:w="1265"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0,0053</w:t>
            </w:r>
          </w:p>
        </w:tc>
        <w:tc>
          <w:tcPr>
            <w:tcW w:w="1089" w:type="dxa"/>
          </w:tcPr>
          <w:p w:rsidR="000645BF" w:rsidRPr="00717595" w:rsidRDefault="000645BF" w:rsidP="004E444C">
            <w:pPr>
              <w:spacing w:after="0" w:line="240" w:lineRule="auto"/>
              <w:jc w:val="center"/>
              <w:rPr>
                <w:rFonts w:ascii="Arial" w:hAnsi="Arial" w:cs="Arial"/>
                <w:sz w:val="24"/>
                <w:szCs w:val="24"/>
              </w:rPr>
            </w:pPr>
            <w:r w:rsidRPr="00717595">
              <w:rPr>
                <w:rFonts w:ascii="Arial" w:hAnsi="Arial" w:cs="Arial"/>
                <w:sz w:val="24"/>
                <w:szCs w:val="24"/>
              </w:rPr>
              <w:t>0,0052</w:t>
            </w:r>
          </w:p>
        </w:tc>
      </w:tr>
    </w:tbl>
    <w:p w:rsidR="000645BF" w:rsidRDefault="000645BF" w:rsidP="000645BF">
      <w:pPr>
        <w:tabs>
          <w:tab w:val="num" w:pos="0"/>
        </w:tabs>
        <w:spacing w:after="0"/>
        <w:jc w:val="both"/>
        <w:rPr>
          <w:rFonts w:ascii="Arial" w:hAnsi="Arial" w:cs="Arial"/>
          <w:sz w:val="24"/>
          <w:szCs w:val="24"/>
        </w:rPr>
      </w:pPr>
    </w:p>
    <w:p w:rsidR="000645BF" w:rsidRPr="00717595" w:rsidRDefault="000645BF" w:rsidP="000645BF">
      <w:pPr>
        <w:tabs>
          <w:tab w:val="num" w:pos="0"/>
        </w:tabs>
        <w:spacing w:after="0"/>
        <w:jc w:val="both"/>
        <w:rPr>
          <w:rFonts w:ascii="Arial" w:hAnsi="Arial" w:cs="Arial"/>
          <w:sz w:val="24"/>
          <w:szCs w:val="24"/>
        </w:rPr>
      </w:pPr>
    </w:p>
    <w:p w:rsidR="000645BF" w:rsidRPr="00717595" w:rsidRDefault="000645BF" w:rsidP="000645BF">
      <w:pPr>
        <w:tabs>
          <w:tab w:val="num" w:pos="0"/>
        </w:tabs>
        <w:jc w:val="both"/>
        <w:rPr>
          <w:rFonts w:ascii="Arial" w:hAnsi="Arial" w:cs="Arial"/>
          <w:b/>
          <w:sz w:val="24"/>
          <w:szCs w:val="24"/>
        </w:rPr>
      </w:pPr>
      <w:r w:rsidRPr="00717595">
        <w:rPr>
          <w:rFonts w:ascii="Arial" w:hAnsi="Arial" w:cs="Arial"/>
          <w:sz w:val="24"/>
          <w:szCs w:val="24"/>
        </w:rPr>
        <w:tab/>
      </w:r>
      <w:r w:rsidRPr="00717595">
        <w:rPr>
          <w:rFonts w:ascii="Arial" w:hAnsi="Arial" w:cs="Arial"/>
          <w:b/>
          <w:sz w:val="24"/>
          <w:szCs w:val="24"/>
        </w:rPr>
        <w:tab/>
        <w:t>I.1.1.2.5. Monoxid de carbon</w:t>
      </w: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010150" cy="1828800"/>
            <wp:effectExtent l="0" t="0" r="0" b="0"/>
            <wp:docPr id="15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45BF" w:rsidRPr="00947EAF" w:rsidRDefault="000645BF" w:rsidP="000645BF">
      <w:pPr>
        <w:jc w:val="center"/>
        <w:rPr>
          <w:rFonts w:ascii="Arial" w:hAnsi="Arial" w:cs="Arial"/>
          <w:sz w:val="24"/>
          <w:szCs w:val="24"/>
        </w:rPr>
      </w:pPr>
      <w:r w:rsidRPr="005632DB">
        <w:rPr>
          <w:rFonts w:ascii="Arial" w:hAnsi="Arial" w:cs="Arial"/>
          <w:b/>
          <w:sz w:val="24"/>
          <w:szCs w:val="24"/>
        </w:rPr>
        <w:t>Fig. I.1.1.2.5.</w:t>
      </w:r>
      <w:r w:rsidRPr="00717595">
        <w:rPr>
          <w:rFonts w:ascii="Arial" w:hAnsi="Arial" w:cs="Arial"/>
          <w:sz w:val="24"/>
          <w:szCs w:val="24"/>
        </w:rPr>
        <w:t xml:space="preserve"> Concentraţia medie anuală a monoxidului de carbon</w:t>
      </w:r>
      <w:r w:rsidR="008A27C0">
        <w:rPr>
          <w:rFonts w:ascii="Arial" w:hAnsi="Arial" w:cs="Arial"/>
          <w:sz w:val="24"/>
          <w:szCs w:val="24"/>
        </w:rPr>
        <w:t xml:space="preserve"> </w:t>
      </w:r>
      <w:r w:rsidRPr="00717595">
        <w:rPr>
          <w:rFonts w:ascii="Arial" w:hAnsi="Arial" w:cs="Arial"/>
          <w:sz w:val="24"/>
          <w:szCs w:val="24"/>
        </w:rPr>
        <w:t xml:space="preserve">în perioada </w:t>
      </w:r>
      <w:r w:rsidRPr="00947EAF">
        <w:rPr>
          <w:rFonts w:ascii="Arial" w:hAnsi="Arial" w:cs="Arial"/>
          <w:sz w:val="24"/>
          <w:szCs w:val="24"/>
        </w:rPr>
        <w:t>2013-2017</w:t>
      </w:r>
    </w:p>
    <w:p w:rsidR="000645BF" w:rsidRPr="005632DB" w:rsidRDefault="000645BF" w:rsidP="000645BF">
      <w:pPr>
        <w:spacing w:after="0" w:line="240" w:lineRule="auto"/>
        <w:rPr>
          <w:rFonts w:ascii="Arial" w:hAnsi="Arial" w:cs="Arial"/>
          <w:b/>
          <w:sz w:val="24"/>
          <w:szCs w:val="24"/>
        </w:rPr>
      </w:pPr>
      <w:r>
        <w:rPr>
          <w:rFonts w:ascii="Arial" w:hAnsi="Arial" w:cs="Arial"/>
          <w:sz w:val="24"/>
          <w:szCs w:val="24"/>
        </w:rPr>
        <w:t xml:space="preserve">            </w:t>
      </w:r>
      <w:r w:rsidRPr="005632DB">
        <w:rPr>
          <w:rFonts w:ascii="Arial" w:hAnsi="Arial" w:cs="Arial"/>
          <w:b/>
          <w:sz w:val="24"/>
          <w:szCs w:val="24"/>
        </w:rPr>
        <w:t>Tabel I.1.1.2.5.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b/>
              </w:rPr>
              <w:t>CO</w:t>
            </w:r>
            <w:r w:rsidRPr="00947EAF">
              <w:rPr>
                <w:rFonts w:ascii="Arial" w:hAnsi="Arial" w:cs="Arial"/>
              </w:rPr>
              <w:t xml:space="preserve">    (mg/mc)</w:t>
            </w:r>
          </w:p>
        </w:tc>
        <w:tc>
          <w:tcPr>
            <w:tcW w:w="1080" w:type="dxa"/>
          </w:tcPr>
          <w:p w:rsidR="000645BF" w:rsidRPr="00947EAF" w:rsidRDefault="000645BF" w:rsidP="004E444C">
            <w:pPr>
              <w:spacing w:after="0" w:line="240" w:lineRule="auto"/>
              <w:jc w:val="center"/>
              <w:rPr>
                <w:rFonts w:ascii="Arial" w:hAnsi="Arial" w:cs="Arial"/>
                <w:b/>
              </w:rPr>
            </w:pPr>
            <w:r w:rsidRPr="00947EAF">
              <w:rPr>
                <w:rFonts w:ascii="Arial" w:hAnsi="Arial" w:cs="Arial"/>
                <w:b/>
              </w:rPr>
              <w:t>BR1</w:t>
            </w:r>
          </w:p>
        </w:tc>
        <w:tc>
          <w:tcPr>
            <w:tcW w:w="1167" w:type="dxa"/>
          </w:tcPr>
          <w:p w:rsidR="000645BF" w:rsidRPr="00947EAF" w:rsidRDefault="000645BF" w:rsidP="004E444C">
            <w:pPr>
              <w:spacing w:after="0" w:line="240" w:lineRule="auto"/>
              <w:jc w:val="center"/>
              <w:rPr>
                <w:rFonts w:ascii="Arial" w:hAnsi="Arial" w:cs="Arial"/>
                <w:b/>
              </w:rPr>
            </w:pPr>
            <w:r w:rsidRPr="00947EAF">
              <w:rPr>
                <w:rFonts w:ascii="Arial" w:hAnsi="Arial" w:cs="Arial"/>
                <w:b/>
              </w:rPr>
              <w:t>BR2</w:t>
            </w:r>
          </w:p>
        </w:tc>
        <w:tc>
          <w:tcPr>
            <w:tcW w:w="1029" w:type="dxa"/>
          </w:tcPr>
          <w:p w:rsidR="000645BF" w:rsidRPr="00947EAF" w:rsidRDefault="000645BF" w:rsidP="004E444C">
            <w:pPr>
              <w:spacing w:after="0" w:line="240" w:lineRule="auto"/>
              <w:jc w:val="center"/>
              <w:rPr>
                <w:rFonts w:ascii="Arial" w:hAnsi="Arial" w:cs="Arial"/>
                <w:b/>
              </w:rPr>
            </w:pPr>
            <w:r w:rsidRPr="00947EAF">
              <w:rPr>
                <w:rFonts w:ascii="Arial" w:hAnsi="Arial" w:cs="Arial"/>
                <w:b/>
              </w:rPr>
              <w:t>BR3</w:t>
            </w:r>
          </w:p>
        </w:tc>
        <w:tc>
          <w:tcPr>
            <w:tcW w:w="951" w:type="dxa"/>
          </w:tcPr>
          <w:p w:rsidR="000645BF" w:rsidRPr="00947EAF" w:rsidRDefault="000645BF" w:rsidP="004E444C">
            <w:pPr>
              <w:spacing w:after="0" w:line="240" w:lineRule="auto"/>
              <w:jc w:val="center"/>
              <w:rPr>
                <w:rFonts w:ascii="Arial" w:hAnsi="Arial" w:cs="Arial"/>
                <w:b/>
              </w:rPr>
            </w:pPr>
            <w:r w:rsidRPr="00947EAF">
              <w:rPr>
                <w:rFonts w:ascii="Arial" w:hAnsi="Arial" w:cs="Arial"/>
                <w:b/>
              </w:rPr>
              <w:t>BR4</w:t>
            </w:r>
          </w:p>
        </w:tc>
        <w:tc>
          <w:tcPr>
            <w:tcW w:w="1101" w:type="dxa"/>
          </w:tcPr>
          <w:p w:rsidR="000645BF" w:rsidRPr="00947EAF" w:rsidRDefault="000645BF" w:rsidP="004E444C">
            <w:pPr>
              <w:spacing w:after="0" w:line="240" w:lineRule="auto"/>
              <w:jc w:val="center"/>
              <w:rPr>
                <w:rFonts w:ascii="Arial" w:hAnsi="Arial" w:cs="Arial"/>
                <w:b/>
              </w:rPr>
            </w:pPr>
            <w:r w:rsidRPr="00947EAF">
              <w:rPr>
                <w:rFonts w:ascii="Arial" w:hAnsi="Arial" w:cs="Arial"/>
                <w:b/>
              </w:rPr>
              <w:t>BR5</w:t>
            </w:r>
          </w:p>
        </w:tc>
      </w:tr>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rPr>
              <w:t>2013 Medii anuale</w:t>
            </w:r>
          </w:p>
        </w:tc>
        <w:tc>
          <w:tcPr>
            <w:tcW w:w="1080" w:type="dxa"/>
          </w:tcPr>
          <w:p w:rsidR="000645BF" w:rsidRPr="00947EAF" w:rsidRDefault="000645BF" w:rsidP="004E444C">
            <w:pPr>
              <w:spacing w:after="0" w:line="240" w:lineRule="auto"/>
              <w:jc w:val="center"/>
              <w:rPr>
                <w:rFonts w:ascii="Arial" w:hAnsi="Arial" w:cs="Arial"/>
              </w:rPr>
            </w:pPr>
            <w:r w:rsidRPr="00947EAF">
              <w:rPr>
                <w:rFonts w:ascii="Arial" w:hAnsi="Arial" w:cs="Arial"/>
              </w:rPr>
              <w:t>-</w:t>
            </w:r>
          </w:p>
        </w:tc>
        <w:tc>
          <w:tcPr>
            <w:tcW w:w="1167" w:type="dxa"/>
          </w:tcPr>
          <w:p w:rsidR="000645BF" w:rsidRPr="00947EAF" w:rsidRDefault="000645BF" w:rsidP="004E444C">
            <w:pPr>
              <w:spacing w:after="0" w:line="240" w:lineRule="auto"/>
              <w:jc w:val="center"/>
              <w:rPr>
                <w:rFonts w:ascii="Arial" w:hAnsi="Arial" w:cs="Arial"/>
              </w:rPr>
            </w:pPr>
            <w:r w:rsidRPr="00947EAF">
              <w:rPr>
                <w:rFonts w:ascii="Arial" w:hAnsi="Arial" w:cs="Arial"/>
              </w:rPr>
              <w:t>0,15</w:t>
            </w:r>
          </w:p>
        </w:tc>
        <w:tc>
          <w:tcPr>
            <w:tcW w:w="1029" w:type="dxa"/>
          </w:tcPr>
          <w:p w:rsidR="000645BF" w:rsidRPr="00947EAF" w:rsidRDefault="000645BF" w:rsidP="004E444C">
            <w:pPr>
              <w:spacing w:after="0" w:line="240" w:lineRule="auto"/>
              <w:jc w:val="center"/>
              <w:rPr>
                <w:rFonts w:ascii="Arial" w:hAnsi="Arial" w:cs="Arial"/>
              </w:rPr>
            </w:pPr>
            <w:r w:rsidRPr="00947EAF">
              <w:rPr>
                <w:rFonts w:ascii="Arial" w:hAnsi="Arial" w:cs="Arial"/>
              </w:rPr>
              <w:t>0,14</w:t>
            </w:r>
          </w:p>
        </w:tc>
        <w:tc>
          <w:tcPr>
            <w:tcW w:w="951" w:type="dxa"/>
          </w:tcPr>
          <w:p w:rsidR="000645BF" w:rsidRPr="00947EAF" w:rsidRDefault="000645BF" w:rsidP="004E444C">
            <w:pPr>
              <w:spacing w:after="0" w:line="240" w:lineRule="auto"/>
              <w:jc w:val="center"/>
              <w:rPr>
                <w:rFonts w:ascii="Arial" w:hAnsi="Arial" w:cs="Arial"/>
              </w:rPr>
            </w:pPr>
            <w:r w:rsidRPr="00947EAF">
              <w:rPr>
                <w:rFonts w:ascii="Arial" w:hAnsi="Arial" w:cs="Arial"/>
              </w:rPr>
              <w:t>0,06</w:t>
            </w:r>
          </w:p>
        </w:tc>
        <w:tc>
          <w:tcPr>
            <w:tcW w:w="1101" w:type="dxa"/>
          </w:tcPr>
          <w:p w:rsidR="000645BF" w:rsidRPr="00947EAF" w:rsidRDefault="000645BF" w:rsidP="004E444C">
            <w:pPr>
              <w:spacing w:after="0" w:line="240" w:lineRule="auto"/>
              <w:jc w:val="center"/>
              <w:rPr>
                <w:rFonts w:ascii="Arial" w:hAnsi="Arial" w:cs="Arial"/>
              </w:rPr>
            </w:pPr>
            <w:r w:rsidRPr="00947EAF">
              <w:rPr>
                <w:rFonts w:ascii="Arial" w:hAnsi="Arial" w:cs="Arial"/>
              </w:rPr>
              <w:t>0,08</w:t>
            </w:r>
          </w:p>
        </w:tc>
      </w:tr>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rPr>
              <w:t>2014 Medii anuale</w:t>
            </w:r>
          </w:p>
        </w:tc>
        <w:tc>
          <w:tcPr>
            <w:tcW w:w="1080" w:type="dxa"/>
          </w:tcPr>
          <w:p w:rsidR="000645BF" w:rsidRPr="00947EAF" w:rsidRDefault="000645BF" w:rsidP="004E444C">
            <w:pPr>
              <w:spacing w:after="0" w:line="240" w:lineRule="auto"/>
              <w:jc w:val="center"/>
              <w:rPr>
                <w:rFonts w:ascii="Arial" w:hAnsi="Arial" w:cs="Arial"/>
              </w:rPr>
            </w:pPr>
            <w:r w:rsidRPr="00947EAF">
              <w:rPr>
                <w:rFonts w:ascii="Arial" w:hAnsi="Arial" w:cs="Arial"/>
              </w:rPr>
              <w:t>-</w:t>
            </w:r>
          </w:p>
        </w:tc>
        <w:tc>
          <w:tcPr>
            <w:tcW w:w="1167"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0,22</w:t>
            </w:r>
          </w:p>
        </w:tc>
        <w:tc>
          <w:tcPr>
            <w:tcW w:w="1029"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0,21</w:t>
            </w:r>
          </w:p>
        </w:tc>
        <w:tc>
          <w:tcPr>
            <w:tcW w:w="95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110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0,05</w:t>
            </w:r>
          </w:p>
        </w:tc>
      </w:tr>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rPr>
              <w:t>2015 Medii anuale</w:t>
            </w:r>
          </w:p>
        </w:tc>
        <w:tc>
          <w:tcPr>
            <w:tcW w:w="1080" w:type="dxa"/>
          </w:tcPr>
          <w:p w:rsidR="000645BF" w:rsidRPr="00947EAF" w:rsidRDefault="000645BF" w:rsidP="004E444C">
            <w:pPr>
              <w:spacing w:after="0" w:line="240" w:lineRule="auto"/>
              <w:jc w:val="center"/>
              <w:rPr>
                <w:rFonts w:ascii="Arial" w:hAnsi="Arial" w:cs="Arial"/>
              </w:rPr>
            </w:pPr>
            <w:r w:rsidRPr="00947EAF">
              <w:rPr>
                <w:rFonts w:ascii="Arial" w:hAnsi="Arial" w:cs="Arial"/>
              </w:rPr>
              <w:t>0,34</w:t>
            </w:r>
          </w:p>
        </w:tc>
        <w:tc>
          <w:tcPr>
            <w:tcW w:w="1167"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1029"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95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0,10</w:t>
            </w:r>
          </w:p>
        </w:tc>
        <w:tc>
          <w:tcPr>
            <w:tcW w:w="110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0,04</w:t>
            </w:r>
          </w:p>
        </w:tc>
      </w:tr>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rPr>
              <w:t>2016 Medii anuale</w:t>
            </w:r>
          </w:p>
        </w:tc>
        <w:tc>
          <w:tcPr>
            <w:tcW w:w="1080" w:type="dxa"/>
          </w:tcPr>
          <w:p w:rsidR="000645BF" w:rsidRPr="00947EAF" w:rsidRDefault="000645BF" w:rsidP="004E444C">
            <w:pPr>
              <w:spacing w:after="0" w:line="240" w:lineRule="auto"/>
              <w:jc w:val="center"/>
              <w:rPr>
                <w:rFonts w:ascii="Arial" w:hAnsi="Arial" w:cs="Arial"/>
              </w:rPr>
            </w:pPr>
            <w:r w:rsidRPr="00947EAF">
              <w:rPr>
                <w:rFonts w:ascii="Arial" w:hAnsi="Arial" w:cs="Arial"/>
              </w:rPr>
              <w:t>0.19</w:t>
            </w:r>
          </w:p>
        </w:tc>
        <w:tc>
          <w:tcPr>
            <w:tcW w:w="1167"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1029"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0.12</w:t>
            </w:r>
          </w:p>
        </w:tc>
        <w:tc>
          <w:tcPr>
            <w:tcW w:w="95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110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0.07</w:t>
            </w:r>
          </w:p>
        </w:tc>
      </w:tr>
      <w:tr w:rsidR="000645BF" w:rsidRPr="00947EAF" w:rsidTr="004E444C">
        <w:trPr>
          <w:jc w:val="center"/>
        </w:trPr>
        <w:tc>
          <w:tcPr>
            <w:tcW w:w="2204" w:type="dxa"/>
          </w:tcPr>
          <w:p w:rsidR="000645BF" w:rsidRPr="00947EAF" w:rsidRDefault="000645BF" w:rsidP="004E444C">
            <w:pPr>
              <w:tabs>
                <w:tab w:val="num" w:pos="0"/>
              </w:tabs>
              <w:spacing w:after="0" w:line="240" w:lineRule="auto"/>
              <w:rPr>
                <w:rFonts w:ascii="Arial" w:hAnsi="Arial" w:cs="Arial"/>
              </w:rPr>
            </w:pPr>
            <w:r w:rsidRPr="00947EAF">
              <w:rPr>
                <w:rFonts w:ascii="Arial" w:hAnsi="Arial" w:cs="Arial"/>
              </w:rPr>
              <w:t>2017 Medii anuale</w:t>
            </w:r>
          </w:p>
        </w:tc>
        <w:tc>
          <w:tcPr>
            <w:tcW w:w="1080" w:type="dxa"/>
          </w:tcPr>
          <w:p w:rsidR="000645BF" w:rsidRPr="00947EAF" w:rsidRDefault="000645BF" w:rsidP="004E444C">
            <w:pPr>
              <w:spacing w:after="0" w:line="240" w:lineRule="auto"/>
              <w:jc w:val="center"/>
              <w:rPr>
                <w:rFonts w:ascii="Arial" w:hAnsi="Arial" w:cs="Arial"/>
              </w:rPr>
            </w:pPr>
            <w:r w:rsidRPr="00947EAF">
              <w:rPr>
                <w:rFonts w:ascii="Arial" w:hAnsi="Arial" w:cs="Arial"/>
              </w:rPr>
              <w:t>0,16</w:t>
            </w:r>
          </w:p>
        </w:tc>
        <w:tc>
          <w:tcPr>
            <w:tcW w:w="1167"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0,09</w:t>
            </w:r>
          </w:p>
        </w:tc>
        <w:tc>
          <w:tcPr>
            <w:tcW w:w="1029"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0,10</w:t>
            </w:r>
          </w:p>
        </w:tc>
        <w:tc>
          <w:tcPr>
            <w:tcW w:w="95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0,11</w:t>
            </w:r>
          </w:p>
        </w:tc>
        <w:tc>
          <w:tcPr>
            <w:tcW w:w="1101" w:type="dxa"/>
            <w:vAlign w:val="bottom"/>
          </w:tcPr>
          <w:p w:rsidR="000645BF" w:rsidRPr="00947EAF" w:rsidRDefault="000645BF" w:rsidP="004E444C">
            <w:pPr>
              <w:spacing w:after="0" w:line="240" w:lineRule="auto"/>
              <w:jc w:val="center"/>
              <w:rPr>
                <w:rFonts w:ascii="Arial" w:hAnsi="Arial" w:cs="Arial"/>
                <w:bCs/>
              </w:rPr>
            </w:pPr>
            <w:r w:rsidRPr="00947EAF">
              <w:rPr>
                <w:rFonts w:ascii="Arial" w:hAnsi="Arial" w:cs="Arial"/>
                <w:bCs/>
              </w:rPr>
              <w:t>0,06</w:t>
            </w:r>
          </w:p>
        </w:tc>
      </w:tr>
    </w:tbl>
    <w:p w:rsidR="000645BF" w:rsidRPr="00717595" w:rsidRDefault="000645BF" w:rsidP="000645BF">
      <w:pPr>
        <w:tabs>
          <w:tab w:val="num" w:pos="0"/>
        </w:tabs>
        <w:spacing w:after="0"/>
        <w:ind w:firstLine="720"/>
        <w:jc w:val="both"/>
        <w:rPr>
          <w:rFonts w:ascii="Arial" w:hAnsi="Arial" w:cs="Arial"/>
          <w:sz w:val="24"/>
          <w:szCs w:val="24"/>
        </w:rPr>
      </w:pPr>
    </w:p>
    <w:p w:rsidR="000645BF" w:rsidRPr="00717595" w:rsidRDefault="000645BF" w:rsidP="000645BF">
      <w:pPr>
        <w:tabs>
          <w:tab w:val="left" w:pos="709"/>
        </w:tabs>
        <w:ind w:left="720" w:right="31"/>
        <w:rPr>
          <w:rFonts w:ascii="Arial" w:hAnsi="Arial" w:cs="Arial"/>
          <w:b/>
          <w:sz w:val="24"/>
          <w:szCs w:val="24"/>
        </w:rPr>
      </w:pPr>
      <w:r w:rsidRPr="00717595">
        <w:rPr>
          <w:rFonts w:ascii="Arial" w:hAnsi="Arial" w:cs="Arial"/>
          <w:b/>
          <w:sz w:val="24"/>
          <w:szCs w:val="24"/>
        </w:rPr>
        <w:tab/>
      </w:r>
      <w:r w:rsidRPr="00717595">
        <w:rPr>
          <w:rFonts w:ascii="Arial" w:hAnsi="Arial" w:cs="Arial"/>
          <w:b/>
          <w:sz w:val="24"/>
          <w:szCs w:val="24"/>
        </w:rPr>
        <w:tab/>
        <w:t>I.1.1.2.6. Benzen</w:t>
      </w:r>
    </w:p>
    <w:p w:rsidR="000645BF" w:rsidRPr="00717595" w:rsidRDefault="000645BF" w:rsidP="000645BF">
      <w:pPr>
        <w:tabs>
          <w:tab w:val="num" w:pos="0"/>
        </w:tabs>
        <w:jc w:val="center"/>
        <w:rPr>
          <w:rFonts w:ascii="Arial" w:hAnsi="Arial" w:cs="Arial"/>
          <w:sz w:val="24"/>
          <w:szCs w:val="24"/>
        </w:rPr>
      </w:pPr>
      <w:r w:rsidRPr="00717595">
        <w:rPr>
          <w:rFonts w:ascii="Arial" w:hAnsi="Arial" w:cs="Arial"/>
          <w:noProof/>
          <w:sz w:val="24"/>
          <w:szCs w:val="24"/>
        </w:rPr>
        <w:drawing>
          <wp:inline distT="0" distB="0" distL="0" distR="0">
            <wp:extent cx="5210175" cy="1781175"/>
            <wp:effectExtent l="0" t="0" r="0" b="0"/>
            <wp:docPr id="15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45BF" w:rsidRDefault="000645BF" w:rsidP="000645BF">
      <w:pPr>
        <w:tabs>
          <w:tab w:val="num" w:pos="0"/>
        </w:tabs>
        <w:jc w:val="center"/>
        <w:rPr>
          <w:rFonts w:ascii="Arial" w:hAnsi="Arial" w:cs="Arial"/>
          <w:color w:val="FF0000"/>
          <w:sz w:val="24"/>
          <w:szCs w:val="24"/>
        </w:rPr>
      </w:pPr>
      <w:r w:rsidRPr="005632DB">
        <w:rPr>
          <w:rFonts w:ascii="Arial" w:hAnsi="Arial" w:cs="Arial"/>
          <w:b/>
          <w:sz w:val="24"/>
          <w:szCs w:val="24"/>
        </w:rPr>
        <w:t>Fig. I.1.1.2.6.</w:t>
      </w:r>
      <w:r w:rsidRPr="00717595">
        <w:rPr>
          <w:rFonts w:ascii="Arial" w:hAnsi="Arial" w:cs="Arial"/>
          <w:sz w:val="24"/>
          <w:szCs w:val="24"/>
        </w:rPr>
        <w:t xml:space="preserve"> Concentraţia medie anuală a benzenului în perioda </w:t>
      </w:r>
      <w:r w:rsidRPr="00980AA8">
        <w:rPr>
          <w:rFonts w:ascii="Arial" w:hAnsi="Arial" w:cs="Arial"/>
          <w:sz w:val="24"/>
          <w:szCs w:val="24"/>
        </w:rPr>
        <w:t>2008-</w:t>
      </w:r>
      <w:r w:rsidRPr="00FC1576">
        <w:rPr>
          <w:rFonts w:ascii="Arial" w:hAnsi="Arial" w:cs="Arial"/>
          <w:sz w:val="24"/>
          <w:szCs w:val="24"/>
        </w:rPr>
        <w:t xml:space="preserve"> 2017</w:t>
      </w:r>
    </w:p>
    <w:p w:rsidR="000645BF" w:rsidRPr="005632DB" w:rsidRDefault="000645BF" w:rsidP="000645BF">
      <w:pPr>
        <w:tabs>
          <w:tab w:val="num" w:pos="0"/>
        </w:tabs>
        <w:spacing w:after="0" w:line="240" w:lineRule="auto"/>
        <w:ind w:firstLine="720"/>
        <w:jc w:val="right"/>
        <w:rPr>
          <w:rFonts w:ascii="Arial" w:hAnsi="Arial" w:cs="Arial"/>
          <w:b/>
          <w:sz w:val="24"/>
          <w:szCs w:val="24"/>
        </w:rPr>
      </w:pPr>
      <w:r w:rsidRPr="005632DB">
        <w:rPr>
          <w:rFonts w:ascii="Arial" w:hAnsi="Arial" w:cs="Arial"/>
          <w:b/>
          <w:sz w:val="24"/>
          <w:szCs w:val="24"/>
        </w:rPr>
        <w:t>Tabel I.1.1.2.6.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b/>
                <w:sz w:val="24"/>
                <w:szCs w:val="24"/>
              </w:rPr>
              <w:t>Benzen</w:t>
            </w:r>
            <w:r w:rsidRPr="00D00EC9">
              <w:rPr>
                <w:rFonts w:ascii="Arial" w:hAnsi="Arial" w:cs="Arial"/>
                <w:sz w:val="24"/>
                <w:szCs w:val="24"/>
              </w:rPr>
              <w:t xml:space="preserve">    (</w:t>
            </w:r>
            <w:r w:rsidRPr="00D00EC9">
              <w:rPr>
                <w:rFonts w:ascii="Arial" w:hAnsi="Arial" w:cs="Arial"/>
                <w:sz w:val="24"/>
                <w:szCs w:val="24"/>
              </w:rPr>
              <w:sym w:font="Symbol" w:char="F06D"/>
            </w:r>
            <w:r w:rsidRPr="00D00EC9">
              <w:rPr>
                <w:rFonts w:ascii="Arial" w:hAnsi="Arial" w:cs="Arial"/>
                <w:sz w:val="24"/>
                <w:szCs w:val="24"/>
              </w:rPr>
              <w:t>g/mc)</w:t>
            </w:r>
          </w:p>
        </w:tc>
        <w:tc>
          <w:tcPr>
            <w:tcW w:w="1080" w:type="dxa"/>
          </w:tcPr>
          <w:p w:rsidR="000645BF" w:rsidRPr="00D00EC9" w:rsidRDefault="000645BF" w:rsidP="004E444C">
            <w:pPr>
              <w:spacing w:after="0" w:line="240" w:lineRule="auto"/>
              <w:jc w:val="center"/>
              <w:rPr>
                <w:rFonts w:ascii="Arial" w:hAnsi="Arial" w:cs="Arial"/>
                <w:b/>
                <w:sz w:val="24"/>
                <w:szCs w:val="24"/>
              </w:rPr>
            </w:pPr>
            <w:r w:rsidRPr="00D00EC9">
              <w:rPr>
                <w:rFonts w:ascii="Arial" w:hAnsi="Arial" w:cs="Arial"/>
                <w:b/>
                <w:sz w:val="24"/>
                <w:szCs w:val="24"/>
              </w:rPr>
              <w:t>BR1</w:t>
            </w:r>
          </w:p>
        </w:tc>
        <w:tc>
          <w:tcPr>
            <w:tcW w:w="1080" w:type="dxa"/>
          </w:tcPr>
          <w:p w:rsidR="000645BF" w:rsidRPr="00D00EC9" w:rsidRDefault="000645BF" w:rsidP="004E444C">
            <w:pPr>
              <w:spacing w:after="0" w:line="240" w:lineRule="auto"/>
              <w:jc w:val="center"/>
              <w:rPr>
                <w:rFonts w:ascii="Arial" w:hAnsi="Arial" w:cs="Arial"/>
                <w:b/>
                <w:sz w:val="24"/>
                <w:szCs w:val="24"/>
              </w:rPr>
            </w:pPr>
            <w:r w:rsidRPr="00D00EC9">
              <w:rPr>
                <w:rFonts w:ascii="Arial" w:hAnsi="Arial" w:cs="Arial"/>
                <w:b/>
                <w:sz w:val="24"/>
                <w:szCs w:val="24"/>
              </w:rPr>
              <w:t>BR2</w:t>
            </w:r>
          </w:p>
        </w:tc>
        <w:tc>
          <w:tcPr>
            <w:tcW w:w="1265" w:type="dxa"/>
          </w:tcPr>
          <w:p w:rsidR="000645BF" w:rsidRPr="00D00EC9" w:rsidRDefault="000645BF" w:rsidP="004E444C">
            <w:pPr>
              <w:spacing w:after="0" w:line="240" w:lineRule="auto"/>
              <w:jc w:val="center"/>
              <w:rPr>
                <w:rFonts w:ascii="Arial" w:hAnsi="Arial" w:cs="Arial"/>
                <w:b/>
                <w:sz w:val="24"/>
                <w:szCs w:val="24"/>
              </w:rPr>
            </w:pPr>
            <w:r w:rsidRPr="00D00EC9">
              <w:rPr>
                <w:rFonts w:ascii="Arial" w:hAnsi="Arial" w:cs="Arial"/>
                <w:b/>
                <w:sz w:val="24"/>
                <w:szCs w:val="24"/>
              </w:rPr>
              <w:t>BR3</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b/>
                <w:sz w:val="24"/>
                <w:szCs w:val="24"/>
              </w:rPr>
              <w:t>BR5</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 xml:space="preserve">2008 Medii anuale </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3,145</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3,19</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2009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4,65</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0,25</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1,48</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2010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2,41</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0,13</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1,41</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2,10</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2011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1,42</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2,17</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2012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2,45</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0,93</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2013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2014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2015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r>
      <w:tr w:rsidR="000645BF" w:rsidRPr="00D00EC9"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2016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1.93</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1.2</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1.37</w:t>
            </w:r>
          </w:p>
        </w:tc>
      </w:tr>
      <w:tr w:rsidR="000645BF" w:rsidRPr="00605A91" w:rsidTr="004E444C">
        <w:trPr>
          <w:jc w:val="center"/>
        </w:trPr>
        <w:tc>
          <w:tcPr>
            <w:tcW w:w="2285" w:type="dxa"/>
          </w:tcPr>
          <w:p w:rsidR="000645BF" w:rsidRPr="00D00EC9" w:rsidRDefault="000645BF" w:rsidP="004E444C">
            <w:pPr>
              <w:tabs>
                <w:tab w:val="num" w:pos="0"/>
              </w:tabs>
              <w:spacing w:after="0" w:line="240" w:lineRule="auto"/>
              <w:rPr>
                <w:rFonts w:ascii="Arial" w:hAnsi="Arial" w:cs="Arial"/>
                <w:sz w:val="24"/>
                <w:szCs w:val="24"/>
              </w:rPr>
            </w:pPr>
            <w:r w:rsidRPr="00D00EC9">
              <w:rPr>
                <w:rFonts w:ascii="Arial" w:hAnsi="Arial" w:cs="Arial"/>
                <w:sz w:val="24"/>
                <w:szCs w:val="24"/>
              </w:rPr>
              <w:t>2017 Medii anuale</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2,39</w:t>
            </w:r>
          </w:p>
        </w:tc>
        <w:tc>
          <w:tcPr>
            <w:tcW w:w="1080"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1,40</w:t>
            </w:r>
          </w:p>
        </w:tc>
        <w:tc>
          <w:tcPr>
            <w:tcW w:w="1265" w:type="dxa"/>
          </w:tcPr>
          <w:p w:rsidR="000645BF" w:rsidRPr="00D00EC9" w:rsidRDefault="000645BF" w:rsidP="004E444C">
            <w:pPr>
              <w:spacing w:after="0" w:line="240" w:lineRule="auto"/>
              <w:jc w:val="center"/>
              <w:rPr>
                <w:rFonts w:ascii="Arial" w:hAnsi="Arial" w:cs="Arial"/>
                <w:sz w:val="24"/>
                <w:szCs w:val="24"/>
              </w:rPr>
            </w:pPr>
            <w:r w:rsidRPr="00D00EC9">
              <w:rPr>
                <w:rFonts w:ascii="Arial" w:hAnsi="Arial" w:cs="Arial"/>
                <w:sz w:val="24"/>
                <w:szCs w:val="24"/>
              </w:rPr>
              <w:t>2,71</w:t>
            </w:r>
          </w:p>
        </w:tc>
        <w:tc>
          <w:tcPr>
            <w:tcW w:w="1265" w:type="dxa"/>
          </w:tcPr>
          <w:p w:rsidR="000645BF" w:rsidRPr="00605A91" w:rsidRDefault="000645BF" w:rsidP="004E444C">
            <w:pPr>
              <w:spacing w:after="0" w:line="240" w:lineRule="auto"/>
              <w:jc w:val="center"/>
              <w:rPr>
                <w:rFonts w:ascii="Arial" w:hAnsi="Arial" w:cs="Arial"/>
                <w:sz w:val="24"/>
                <w:szCs w:val="24"/>
              </w:rPr>
            </w:pPr>
            <w:r w:rsidRPr="00D00EC9">
              <w:rPr>
                <w:rFonts w:ascii="Arial" w:hAnsi="Arial" w:cs="Arial"/>
                <w:sz w:val="24"/>
                <w:szCs w:val="24"/>
              </w:rPr>
              <w:t>1,91</w:t>
            </w:r>
          </w:p>
        </w:tc>
      </w:tr>
    </w:tbl>
    <w:p w:rsidR="000645BF" w:rsidRPr="00717595" w:rsidRDefault="000645BF" w:rsidP="000645BF">
      <w:pPr>
        <w:spacing w:after="0"/>
        <w:jc w:val="both"/>
        <w:rPr>
          <w:rFonts w:ascii="Arial" w:hAnsi="Arial" w:cs="Arial"/>
          <w:sz w:val="24"/>
          <w:szCs w:val="24"/>
        </w:rPr>
      </w:pPr>
    </w:p>
    <w:p w:rsidR="000645BF" w:rsidRPr="00717595" w:rsidRDefault="000645BF" w:rsidP="000645BF">
      <w:pPr>
        <w:tabs>
          <w:tab w:val="num" w:pos="0"/>
        </w:tabs>
        <w:ind w:firstLine="720"/>
        <w:rPr>
          <w:rFonts w:ascii="Arial" w:hAnsi="Arial" w:cs="Arial"/>
          <w:b/>
          <w:sz w:val="24"/>
          <w:szCs w:val="24"/>
        </w:rPr>
      </w:pPr>
      <w:r w:rsidRPr="00717595">
        <w:rPr>
          <w:rFonts w:ascii="Arial" w:hAnsi="Arial" w:cs="Arial"/>
          <w:b/>
          <w:sz w:val="24"/>
          <w:szCs w:val="24"/>
        </w:rPr>
        <w:t xml:space="preserve">I.1.1.2.7. Ozon </w:t>
      </w:r>
    </w:p>
    <w:p w:rsidR="000645BF" w:rsidRPr="00717595" w:rsidRDefault="000645BF" w:rsidP="000645BF">
      <w:pPr>
        <w:tabs>
          <w:tab w:val="num" w:pos="0"/>
        </w:tabs>
        <w:ind w:firstLine="720"/>
        <w:rPr>
          <w:rFonts w:ascii="Arial" w:hAnsi="Arial" w:cs="Arial"/>
          <w:sz w:val="24"/>
          <w:szCs w:val="24"/>
        </w:rPr>
      </w:pPr>
      <w:r w:rsidRPr="00717595">
        <w:rPr>
          <w:rFonts w:ascii="Arial" w:hAnsi="Arial" w:cs="Arial"/>
          <w:noProof/>
          <w:sz w:val="24"/>
          <w:szCs w:val="24"/>
        </w:rPr>
        <w:lastRenderedPageBreak/>
        <w:drawing>
          <wp:inline distT="0" distB="0" distL="0" distR="0">
            <wp:extent cx="5067300" cy="2162175"/>
            <wp:effectExtent l="0" t="0" r="0" b="0"/>
            <wp:docPr id="15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45BF" w:rsidRPr="00717595" w:rsidRDefault="000645BF" w:rsidP="000645BF">
      <w:pPr>
        <w:tabs>
          <w:tab w:val="num" w:pos="0"/>
        </w:tabs>
        <w:ind w:firstLine="720"/>
        <w:jc w:val="center"/>
        <w:rPr>
          <w:rFonts w:ascii="Arial" w:hAnsi="Arial" w:cs="Arial"/>
          <w:b/>
          <w:sz w:val="24"/>
          <w:szCs w:val="24"/>
        </w:rPr>
      </w:pPr>
      <w:r w:rsidRPr="00286FF0">
        <w:rPr>
          <w:rFonts w:ascii="Arial" w:hAnsi="Arial" w:cs="Arial"/>
          <w:b/>
          <w:sz w:val="24"/>
          <w:szCs w:val="24"/>
        </w:rPr>
        <w:t>Fig. I.1.1.2.7.</w:t>
      </w:r>
      <w:r w:rsidRPr="00717595">
        <w:rPr>
          <w:rFonts w:ascii="Arial" w:hAnsi="Arial" w:cs="Arial"/>
          <w:sz w:val="24"/>
          <w:szCs w:val="24"/>
        </w:rPr>
        <w:t xml:space="preserve"> Concentraţia medie anuală de ozon în perioada </w:t>
      </w:r>
      <w:r w:rsidRPr="00605A91">
        <w:rPr>
          <w:rFonts w:ascii="Arial" w:hAnsi="Arial" w:cs="Arial"/>
          <w:sz w:val="24"/>
          <w:szCs w:val="24"/>
        </w:rPr>
        <w:t>2013- 2017</w:t>
      </w:r>
    </w:p>
    <w:p w:rsidR="000645BF" w:rsidRPr="00286FF0" w:rsidRDefault="000645BF" w:rsidP="000645BF">
      <w:pPr>
        <w:tabs>
          <w:tab w:val="num" w:pos="0"/>
        </w:tabs>
        <w:spacing w:after="0" w:line="240" w:lineRule="auto"/>
        <w:rPr>
          <w:rFonts w:ascii="Arial" w:hAnsi="Arial" w:cs="Arial"/>
          <w:b/>
          <w:sz w:val="24"/>
          <w:szCs w:val="24"/>
        </w:rPr>
      </w:pPr>
      <w:r>
        <w:rPr>
          <w:rFonts w:ascii="Arial" w:hAnsi="Arial" w:cs="Arial"/>
          <w:b/>
          <w:sz w:val="24"/>
          <w:szCs w:val="24"/>
        </w:rPr>
        <w:t xml:space="preserve">                           </w:t>
      </w:r>
      <w:r w:rsidRPr="00286FF0">
        <w:rPr>
          <w:rFonts w:ascii="Arial" w:hAnsi="Arial" w:cs="Arial"/>
          <w:b/>
          <w:sz w:val="24"/>
          <w:szCs w:val="24"/>
        </w:rPr>
        <w:t>Tabel I.1.1.2.7.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b/>
              </w:rPr>
              <w:t>O</w:t>
            </w:r>
            <w:r w:rsidRPr="00605A91">
              <w:rPr>
                <w:rFonts w:ascii="Arial" w:hAnsi="Arial" w:cs="Arial"/>
                <w:b/>
                <w:vertAlign w:val="subscript"/>
              </w:rPr>
              <w:t>3</w:t>
            </w:r>
            <w:r w:rsidRPr="00605A91">
              <w:rPr>
                <w:rFonts w:ascii="Arial" w:hAnsi="Arial" w:cs="Arial"/>
              </w:rPr>
              <w:t xml:space="preserve">  (</w:t>
            </w:r>
            <w:r w:rsidRPr="00605A91">
              <w:rPr>
                <w:rFonts w:ascii="Arial" w:hAnsi="Arial" w:cs="Arial"/>
              </w:rPr>
              <w:sym w:font="Symbol" w:char="F06D"/>
            </w:r>
            <w:r w:rsidRPr="00605A91">
              <w:rPr>
                <w:rFonts w:ascii="Arial" w:hAnsi="Arial" w:cs="Arial"/>
              </w:rPr>
              <w:t>g/mc)</w:t>
            </w:r>
          </w:p>
        </w:tc>
        <w:tc>
          <w:tcPr>
            <w:tcW w:w="1080" w:type="dxa"/>
          </w:tcPr>
          <w:p w:rsidR="000645BF" w:rsidRPr="00605A91" w:rsidRDefault="000645BF" w:rsidP="004E444C">
            <w:pPr>
              <w:spacing w:before="100" w:beforeAutospacing="1" w:after="0" w:line="240" w:lineRule="auto"/>
              <w:jc w:val="center"/>
              <w:rPr>
                <w:rFonts w:ascii="Arial" w:hAnsi="Arial" w:cs="Arial"/>
                <w:b/>
              </w:rPr>
            </w:pPr>
            <w:r w:rsidRPr="00605A91">
              <w:rPr>
                <w:rFonts w:ascii="Arial" w:hAnsi="Arial" w:cs="Arial"/>
                <w:b/>
              </w:rPr>
              <w:t>BR2</w:t>
            </w:r>
          </w:p>
        </w:tc>
        <w:tc>
          <w:tcPr>
            <w:tcW w:w="1080" w:type="dxa"/>
          </w:tcPr>
          <w:p w:rsidR="000645BF" w:rsidRPr="00605A91" w:rsidRDefault="000645BF" w:rsidP="004E444C">
            <w:pPr>
              <w:spacing w:before="100" w:beforeAutospacing="1" w:after="0" w:line="240" w:lineRule="auto"/>
              <w:jc w:val="center"/>
              <w:rPr>
                <w:rFonts w:ascii="Arial" w:hAnsi="Arial" w:cs="Arial"/>
                <w:b/>
              </w:rPr>
            </w:pPr>
            <w:r w:rsidRPr="00605A91">
              <w:rPr>
                <w:rFonts w:ascii="Arial" w:hAnsi="Arial" w:cs="Arial"/>
                <w:b/>
              </w:rPr>
              <w:t>BR3</w:t>
            </w:r>
          </w:p>
        </w:tc>
        <w:tc>
          <w:tcPr>
            <w:tcW w:w="1167" w:type="dxa"/>
          </w:tcPr>
          <w:p w:rsidR="000645BF" w:rsidRPr="00605A91" w:rsidRDefault="000645BF" w:rsidP="004E444C">
            <w:pPr>
              <w:spacing w:before="100" w:beforeAutospacing="1" w:after="0" w:line="240" w:lineRule="auto"/>
              <w:jc w:val="center"/>
              <w:rPr>
                <w:rFonts w:ascii="Arial" w:hAnsi="Arial" w:cs="Arial"/>
                <w:b/>
              </w:rPr>
            </w:pPr>
            <w:r w:rsidRPr="00605A91">
              <w:rPr>
                <w:rFonts w:ascii="Arial" w:hAnsi="Arial" w:cs="Arial"/>
                <w:b/>
              </w:rPr>
              <w:t>BR4</w:t>
            </w:r>
          </w:p>
        </w:tc>
        <w:tc>
          <w:tcPr>
            <w:tcW w:w="1265" w:type="dxa"/>
          </w:tcPr>
          <w:p w:rsidR="000645BF" w:rsidRPr="00605A91" w:rsidRDefault="000645BF" w:rsidP="004E444C">
            <w:pPr>
              <w:spacing w:before="100" w:beforeAutospacing="1" w:after="0" w:line="240" w:lineRule="auto"/>
              <w:jc w:val="center"/>
              <w:rPr>
                <w:rFonts w:ascii="Arial" w:hAnsi="Arial" w:cs="Arial"/>
                <w:b/>
              </w:rPr>
            </w:pPr>
            <w:r w:rsidRPr="00605A91">
              <w:rPr>
                <w:rFonts w:ascii="Arial" w:hAnsi="Arial" w:cs="Arial"/>
                <w:b/>
              </w:rPr>
              <w:t>BR5</w:t>
            </w:r>
          </w:p>
        </w:tc>
      </w:tr>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rPr>
              <w:t>2013 Medii anuale</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57,39</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w:t>
            </w:r>
          </w:p>
        </w:tc>
        <w:tc>
          <w:tcPr>
            <w:tcW w:w="1167"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64,56</w:t>
            </w:r>
          </w:p>
        </w:tc>
        <w:tc>
          <w:tcPr>
            <w:tcW w:w="1265"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74,3</w:t>
            </w:r>
          </w:p>
        </w:tc>
      </w:tr>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rPr>
              <w:t>2014 Medii anuale</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23,02</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w:t>
            </w:r>
          </w:p>
        </w:tc>
        <w:tc>
          <w:tcPr>
            <w:tcW w:w="1167"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29,23</w:t>
            </w:r>
          </w:p>
        </w:tc>
        <w:tc>
          <w:tcPr>
            <w:tcW w:w="1265"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67,24</w:t>
            </w:r>
          </w:p>
        </w:tc>
      </w:tr>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rPr>
              <w:t>2015 Medii anuale</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53,23</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50,68</w:t>
            </w:r>
          </w:p>
        </w:tc>
        <w:tc>
          <w:tcPr>
            <w:tcW w:w="1167"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46,01</w:t>
            </w:r>
          </w:p>
        </w:tc>
        <w:tc>
          <w:tcPr>
            <w:tcW w:w="1265"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42,25</w:t>
            </w:r>
          </w:p>
        </w:tc>
      </w:tr>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rPr>
              <w:t>2016 Medii anuale</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36.48</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43.02</w:t>
            </w:r>
          </w:p>
        </w:tc>
        <w:tc>
          <w:tcPr>
            <w:tcW w:w="1167"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50.05</w:t>
            </w:r>
          </w:p>
        </w:tc>
        <w:tc>
          <w:tcPr>
            <w:tcW w:w="1265"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50.45</w:t>
            </w:r>
          </w:p>
        </w:tc>
      </w:tr>
      <w:tr w:rsidR="000645BF" w:rsidRPr="00605A91" w:rsidTr="004E444C">
        <w:tc>
          <w:tcPr>
            <w:tcW w:w="2194" w:type="dxa"/>
          </w:tcPr>
          <w:p w:rsidR="000645BF" w:rsidRPr="00605A91" w:rsidRDefault="000645BF" w:rsidP="004E444C">
            <w:pPr>
              <w:tabs>
                <w:tab w:val="num" w:pos="0"/>
              </w:tabs>
              <w:spacing w:before="100" w:beforeAutospacing="1" w:after="0" w:line="240" w:lineRule="auto"/>
              <w:jc w:val="center"/>
              <w:rPr>
                <w:rFonts w:ascii="Arial" w:hAnsi="Arial" w:cs="Arial"/>
              </w:rPr>
            </w:pPr>
            <w:r w:rsidRPr="00605A91">
              <w:rPr>
                <w:rFonts w:ascii="Arial" w:hAnsi="Arial" w:cs="Arial"/>
              </w:rPr>
              <w:t>2017 Medii anuale</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43,37</w:t>
            </w:r>
          </w:p>
        </w:tc>
        <w:tc>
          <w:tcPr>
            <w:tcW w:w="1080"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55,63</w:t>
            </w:r>
          </w:p>
        </w:tc>
        <w:tc>
          <w:tcPr>
            <w:tcW w:w="1167"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56,33</w:t>
            </w:r>
          </w:p>
        </w:tc>
        <w:tc>
          <w:tcPr>
            <w:tcW w:w="1265" w:type="dxa"/>
          </w:tcPr>
          <w:p w:rsidR="000645BF" w:rsidRPr="00605A91" w:rsidRDefault="000645BF" w:rsidP="004E444C">
            <w:pPr>
              <w:spacing w:before="100" w:beforeAutospacing="1" w:after="0" w:line="240" w:lineRule="auto"/>
              <w:jc w:val="center"/>
              <w:rPr>
                <w:rFonts w:ascii="Arial" w:hAnsi="Arial" w:cs="Arial"/>
              </w:rPr>
            </w:pPr>
            <w:r w:rsidRPr="00605A91">
              <w:rPr>
                <w:rFonts w:ascii="Arial" w:hAnsi="Arial" w:cs="Arial"/>
              </w:rPr>
              <w:t>60,09</w:t>
            </w:r>
          </w:p>
        </w:tc>
      </w:tr>
    </w:tbl>
    <w:p w:rsidR="000645BF" w:rsidRPr="00717595" w:rsidRDefault="000645BF" w:rsidP="000645BF">
      <w:pPr>
        <w:tabs>
          <w:tab w:val="num" w:pos="0"/>
        </w:tabs>
        <w:spacing w:after="0"/>
        <w:ind w:firstLine="720"/>
        <w:jc w:val="both"/>
        <w:rPr>
          <w:rFonts w:ascii="Arial" w:hAnsi="Arial" w:cs="Arial"/>
          <w:sz w:val="24"/>
          <w:szCs w:val="24"/>
        </w:rPr>
      </w:pPr>
    </w:p>
    <w:p w:rsidR="000645BF" w:rsidRPr="00717595" w:rsidRDefault="000645BF" w:rsidP="000645BF">
      <w:pPr>
        <w:tabs>
          <w:tab w:val="num" w:pos="0"/>
        </w:tabs>
        <w:ind w:firstLine="720"/>
        <w:jc w:val="both"/>
        <w:rPr>
          <w:rFonts w:ascii="Arial" w:hAnsi="Arial" w:cs="Arial"/>
          <w:sz w:val="24"/>
          <w:szCs w:val="24"/>
        </w:rPr>
      </w:pPr>
    </w:p>
    <w:p w:rsidR="000645BF" w:rsidRDefault="000645BF" w:rsidP="000645BF">
      <w:pPr>
        <w:tabs>
          <w:tab w:val="num" w:pos="0"/>
        </w:tabs>
        <w:spacing w:line="240" w:lineRule="auto"/>
        <w:ind w:firstLine="720"/>
        <w:jc w:val="both"/>
        <w:rPr>
          <w:rFonts w:ascii="Arial" w:hAnsi="Arial" w:cs="Arial"/>
          <w:sz w:val="24"/>
          <w:szCs w:val="24"/>
        </w:rPr>
      </w:pPr>
    </w:p>
    <w:p w:rsidR="000645BF" w:rsidRDefault="000645BF" w:rsidP="000645BF">
      <w:pPr>
        <w:tabs>
          <w:tab w:val="num" w:pos="0"/>
        </w:tabs>
        <w:spacing w:line="240" w:lineRule="auto"/>
        <w:ind w:firstLine="720"/>
        <w:jc w:val="both"/>
        <w:rPr>
          <w:rFonts w:ascii="Arial" w:hAnsi="Arial" w:cs="Arial"/>
          <w:sz w:val="24"/>
          <w:szCs w:val="24"/>
        </w:rPr>
      </w:pPr>
    </w:p>
    <w:p w:rsidR="000645BF" w:rsidRPr="00605A91" w:rsidRDefault="000645BF" w:rsidP="000645BF">
      <w:pPr>
        <w:tabs>
          <w:tab w:val="num" w:pos="0"/>
        </w:tabs>
        <w:spacing w:line="240" w:lineRule="auto"/>
        <w:ind w:firstLine="720"/>
        <w:jc w:val="both"/>
        <w:rPr>
          <w:rFonts w:ascii="Arial" w:hAnsi="Arial" w:cs="Arial"/>
          <w:sz w:val="24"/>
          <w:szCs w:val="24"/>
        </w:rPr>
      </w:pPr>
      <w:r w:rsidRPr="00605A91">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2017 (120 </w:t>
      </w:r>
      <w:r w:rsidRPr="00605A91">
        <w:rPr>
          <w:rFonts w:ascii="Arial" w:hAnsi="Arial" w:cs="Arial"/>
          <w:sz w:val="24"/>
          <w:szCs w:val="24"/>
        </w:rPr>
        <w:sym w:font="Symbol" w:char="F06D"/>
      </w:r>
      <w:r w:rsidRPr="00605A91">
        <w:rPr>
          <w:rFonts w:ascii="Arial" w:hAnsi="Arial" w:cs="Arial"/>
          <w:sz w:val="24"/>
          <w:szCs w:val="24"/>
        </w:rPr>
        <w:t>g/mc).</w:t>
      </w:r>
    </w:p>
    <w:p w:rsidR="000645BF" w:rsidRPr="00BE5D20" w:rsidRDefault="000645BF" w:rsidP="000645BF">
      <w:pPr>
        <w:spacing w:after="0" w:line="240" w:lineRule="auto"/>
        <w:jc w:val="both"/>
        <w:rPr>
          <w:rFonts w:ascii="Arial" w:hAnsi="Arial" w:cs="Arial"/>
          <w:b/>
          <w:sz w:val="24"/>
          <w:szCs w:val="24"/>
        </w:rPr>
      </w:pPr>
      <w:r w:rsidRPr="00BE5D20">
        <w:rPr>
          <w:rFonts w:ascii="Arial" w:hAnsi="Arial" w:cs="Arial"/>
          <w:b/>
          <w:sz w:val="24"/>
          <w:szCs w:val="24"/>
        </w:rPr>
        <w:t>I.1.1.2.8. Pulberi sedimentabile</w:t>
      </w:r>
    </w:p>
    <w:p w:rsidR="000645BF" w:rsidRPr="00605A91" w:rsidRDefault="000645BF" w:rsidP="000645BF">
      <w:pPr>
        <w:tabs>
          <w:tab w:val="num" w:pos="0"/>
        </w:tabs>
        <w:spacing w:after="0" w:line="240" w:lineRule="auto"/>
        <w:jc w:val="both"/>
        <w:rPr>
          <w:rFonts w:ascii="Arial" w:hAnsi="Arial" w:cs="Arial"/>
          <w:sz w:val="24"/>
          <w:szCs w:val="24"/>
        </w:rPr>
      </w:pPr>
      <w:r w:rsidRPr="00BE5D20">
        <w:rPr>
          <w:rFonts w:ascii="Arial" w:hAnsi="Arial" w:cs="Arial"/>
          <w:sz w:val="24"/>
          <w:szCs w:val="24"/>
        </w:rPr>
        <w:tab/>
      </w:r>
      <w:r w:rsidRPr="00605A91">
        <w:rPr>
          <w:rFonts w:ascii="Arial" w:hAnsi="Arial" w:cs="Arial"/>
          <w:sz w:val="24"/>
          <w:szCs w:val="24"/>
        </w:rPr>
        <w:t>Concentraţiile medii anuale, pe puncte de prelevare ale pulberilor sedimentabile, comparativ pentru perioada 2013 - 2017, sunt prezentate în figura şi tabelul de mai jos.</w:t>
      </w:r>
    </w:p>
    <w:p w:rsidR="000645BF" w:rsidRPr="00BE5D20" w:rsidRDefault="000645BF" w:rsidP="000645BF">
      <w:pPr>
        <w:tabs>
          <w:tab w:val="num" w:pos="0"/>
        </w:tabs>
        <w:spacing w:after="0" w:line="240" w:lineRule="auto"/>
        <w:jc w:val="center"/>
        <w:rPr>
          <w:rFonts w:ascii="Arial" w:hAnsi="Arial" w:cs="Arial"/>
          <w:b/>
          <w:sz w:val="24"/>
          <w:szCs w:val="24"/>
        </w:rPr>
      </w:pPr>
      <w:r w:rsidRPr="00BE5D20">
        <w:rPr>
          <w:rFonts w:ascii="Arial" w:hAnsi="Arial" w:cs="Arial"/>
          <w:noProof/>
          <w:sz w:val="24"/>
          <w:szCs w:val="24"/>
        </w:rPr>
        <w:drawing>
          <wp:inline distT="0" distB="0" distL="0" distR="0">
            <wp:extent cx="5362575" cy="1952625"/>
            <wp:effectExtent l="0" t="0" r="0" b="0"/>
            <wp:docPr id="255"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45BF" w:rsidRPr="00BE5D20" w:rsidRDefault="000645BF" w:rsidP="000645BF">
      <w:pPr>
        <w:spacing w:after="0" w:line="240" w:lineRule="auto"/>
        <w:jc w:val="both"/>
        <w:rPr>
          <w:rFonts w:ascii="Arial" w:hAnsi="Arial" w:cs="Arial"/>
          <w:b/>
          <w:sz w:val="24"/>
          <w:szCs w:val="24"/>
        </w:rPr>
      </w:pPr>
    </w:p>
    <w:p w:rsidR="000645BF" w:rsidRPr="00605A91" w:rsidRDefault="000645BF" w:rsidP="000645BF">
      <w:pPr>
        <w:spacing w:after="0" w:line="240" w:lineRule="auto"/>
        <w:jc w:val="both"/>
        <w:rPr>
          <w:rFonts w:ascii="Arial" w:hAnsi="Arial" w:cs="Arial"/>
          <w:b/>
          <w:sz w:val="24"/>
          <w:szCs w:val="24"/>
        </w:rPr>
      </w:pPr>
      <w:r w:rsidRPr="00286FF0">
        <w:rPr>
          <w:rFonts w:ascii="Arial" w:eastAsia="Times New Roman" w:hAnsi="Arial" w:cs="Arial"/>
          <w:b/>
          <w:iCs/>
          <w:sz w:val="24"/>
          <w:szCs w:val="24"/>
        </w:rPr>
        <w:t>Fig. I.1.1.2.8.</w:t>
      </w:r>
      <w:r w:rsidRPr="00605A91">
        <w:rPr>
          <w:rFonts w:ascii="Arial" w:hAnsi="Arial" w:cs="Arial"/>
          <w:sz w:val="24"/>
          <w:szCs w:val="24"/>
        </w:rPr>
        <w:t>Concentraţia medie anuală de pulberi sedimentabile în perioada 2013 - 2017</w:t>
      </w:r>
    </w:p>
    <w:p w:rsidR="000645BF" w:rsidRDefault="000645BF" w:rsidP="000645BF">
      <w:pPr>
        <w:tabs>
          <w:tab w:val="num" w:pos="0"/>
        </w:tabs>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0645BF" w:rsidRPr="00BE5D20" w:rsidRDefault="000645BF" w:rsidP="000645BF">
      <w:pPr>
        <w:tabs>
          <w:tab w:val="num" w:pos="0"/>
        </w:tabs>
        <w:spacing w:after="0" w:line="240" w:lineRule="auto"/>
        <w:rPr>
          <w:rFonts w:ascii="Arial" w:hAnsi="Arial" w:cs="Arial"/>
          <w:sz w:val="24"/>
          <w:szCs w:val="24"/>
        </w:rPr>
      </w:pPr>
      <w:r>
        <w:rPr>
          <w:rFonts w:ascii="Arial" w:hAnsi="Arial" w:cs="Arial"/>
          <w:b/>
          <w:sz w:val="24"/>
          <w:szCs w:val="24"/>
        </w:rPr>
        <w:t xml:space="preserve">        </w:t>
      </w:r>
      <w:r w:rsidRPr="00286FF0">
        <w:rPr>
          <w:rFonts w:ascii="Arial" w:hAnsi="Arial" w:cs="Arial"/>
          <w:b/>
          <w:sz w:val="24"/>
          <w:szCs w:val="24"/>
        </w:rPr>
        <w:t xml:space="preserve">Tabel </w:t>
      </w:r>
      <w:r w:rsidRPr="00286FF0">
        <w:rPr>
          <w:rFonts w:ascii="Arial" w:eastAsia="Times New Roman" w:hAnsi="Arial" w:cs="Arial"/>
          <w:b/>
          <w:iCs/>
          <w:color w:val="000000"/>
          <w:sz w:val="24"/>
          <w:szCs w:val="24"/>
        </w:rPr>
        <w:t>I.1.1.2.8</w:t>
      </w:r>
      <w:r w:rsidRPr="00306E61">
        <w:rPr>
          <w:rFonts w:ascii="Arial" w:eastAsia="Times New Roman" w:hAnsi="Arial" w:cs="Arial"/>
          <w:iCs/>
          <w:color w:val="000000"/>
          <w:sz w:val="24"/>
          <w:szCs w:val="24"/>
        </w:rPr>
        <w:t>.1</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2837"/>
        <w:gridCol w:w="850"/>
        <w:gridCol w:w="937"/>
        <w:gridCol w:w="992"/>
        <w:gridCol w:w="992"/>
        <w:gridCol w:w="984"/>
      </w:tblGrid>
      <w:tr w:rsidR="000645BF" w:rsidRPr="00605A91" w:rsidTr="004E444C">
        <w:trPr>
          <w:trHeight w:val="307"/>
          <w:jc w:val="center"/>
        </w:trPr>
        <w:tc>
          <w:tcPr>
            <w:tcW w:w="1323" w:type="dxa"/>
            <w:vMerge w:val="restart"/>
            <w:shd w:val="clear" w:color="auto" w:fill="D9D9D9"/>
            <w:vAlign w:val="center"/>
          </w:tcPr>
          <w:p w:rsidR="000645BF" w:rsidRPr="00605A91" w:rsidRDefault="000645BF" w:rsidP="004E444C">
            <w:pPr>
              <w:tabs>
                <w:tab w:val="num" w:pos="0"/>
              </w:tabs>
              <w:spacing w:after="0" w:line="240" w:lineRule="auto"/>
              <w:jc w:val="both"/>
              <w:rPr>
                <w:rFonts w:ascii="Arial" w:hAnsi="Arial" w:cs="Arial"/>
                <w:b/>
              </w:rPr>
            </w:pPr>
            <w:r w:rsidRPr="00605A91">
              <w:rPr>
                <w:rFonts w:ascii="Arial" w:hAnsi="Arial" w:cs="Arial"/>
                <w:b/>
              </w:rPr>
              <w:t>JUDEŢUL</w:t>
            </w:r>
          </w:p>
        </w:tc>
        <w:tc>
          <w:tcPr>
            <w:tcW w:w="2837" w:type="dxa"/>
            <w:vMerge w:val="restart"/>
            <w:shd w:val="clear" w:color="auto" w:fill="D9D9D9"/>
            <w:vAlign w:val="center"/>
          </w:tcPr>
          <w:p w:rsidR="000645BF" w:rsidRPr="00605A91" w:rsidRDefault="000645BF" w:rsidP="004E444C">
            <w:pPr>
              <w:tabs>
                <w:tab w:val="num" w:pos="0"/>
              </w:tabs>
              <w:spacing w:after="0" w:line="240" w:lineRule="auto"/>
              <w:jc w:val="both"/>
              <w:rPr>
                <w:rFonts w:ascii="Arial" w:hAnsi="Arial" w:cs="Arial"/>
                <w:b/>
              </w:rPr>
            </w:pPr>
            <w:r w:rsidRPr="00605A91">
              <w:rPr>
                <w:rFonts w:ascii="Arial" w:hAnsi="Arial" w:cs="Arial"/>
                <w:b/>
              </w:rPr>
              <w:t>Punct de prelevare</w:t>
            </w:r>
          </w:p>
        </w:tc>
        <w:tc>
          <w:tcPr>
            <w:tcW w:w="4755" w:type="dxa"/>
            <w:gridSpan w:val="5"/>
            <w:shd w:val="clear" w:color="auto" w:fill="D9D9D9"/>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Concentraţie medie anuală</w:t>
            </w:r>
          </w:p>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(g/mp/luna)</w:t>
            </w:r>
          </w:p>
        </w:tc>
      </w:tr>
      <w:tr w:rsidR="000645BF" w:rsidRPr="00605A91" w:rsidTr="004E444C">
        <w:trPr>
          <w:trHeight w:val="307"/>
          <w:jc w:val="center"/>
        </w:trPr>
        <w:tc>
          <w:tcPr>
            <w:tcW w:w="1323" w:type="dxa"/>
            <w:vMerge/>
            <w:tcBorders>
              <w:bottom w:val="single" w:sz="4" w:space="0" w:color="auto"/>
            </w:tcBorders>
            <w:shd w:val="clear" w:color="auto" w:fill="E0E0E0"/>
            <w:vAlign w:val="center"/>
          </w:tcPr>
          <w:p w:rsidR="000645BF" w:rsidRPr="00605A91" w:rsidRDefault="000645BF" w:rsidP="004E444C">
            <w:pPr>
              <w:tabs>
                <w:tab w:val="num" w:pos="0"/>
              </w:tabs>
              <w:spacing w:after="0" w:line="240" w:lineRule="auto"/>
              <w:jc w:val="both"/>
              <w:rPr>
                <w:rFonts w:ascii="Arial" w:hAnsi="Arial" w:cs="Arial"/>
                <w:b/>
              </w:rPr>
            </w:pPr>
          </w:p>
        </w:tc>
        <w:tc>
          <w:tcPr>
            <w:tcW w:w="2837" w:type="dxa"/>
            <w:vMerge/>
            <w:shd w:val="clear" w:color="auto" w:fill="E0E0E0"/>
            <w:vAlign w:val="center"/>
          </w:tcPr>
          <w:p w:rsidR="000645BF" w:rsidRPr="00605A91" w:rsidRDefault="000645BF" w:rsidP="004E444C">
            <w:pPr>
              <w:tabs>
                <w:tab w:val="num" w:pos="0"/>
              </w:tabs>
              <w:spacing w:after="0" w:line="240" w:lineRule="auto"/>
              <w:jc w:val="both"/>
              <w:rPr>
                <w:rFonts w:ascii="Arial" w:hAnsi="Arial" w:cs="Arial"/>
                <w:b/>
              </w:rPr>
            </w:pPr>
          </w:p>
        </w:tc>
        <w:tc>
          <w:tcPr>
            <w:tcW w:w="850" w:type="dxa"/>
            <w:shd w:val="clear" w:color="auto" w:fill="E0E0E0"/>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2013</w:t>
            </w:r>
          </w:p>
        </w:tc>
        <w:tc>
          <w:tcPr>
            <w:tcW w:w="937" w:type="dxa"/>
            <w:shd w:val="clear" w:color="auto" w:fill="E0E0E0"/>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2014</w:t>
            </w:r>
          </w:p>
        </w:tc>
        <w:tc>
          <w:tcPr>
            <w:tcW w:w="992" w:type="dxa"/>
            <w:shd w:val="clear" w:color="auto" w:fill="E0E0E0"/>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2015</w:t>
            </w:r>
          </w:p>
        </w:tc>
        <w:tc>
          <w:tcPr>
            <w:tcW w:w="992" w:type="dxa"/>
            <w:shd w:val="clear" w:color="auto" w:fill="E0E0E0"/>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2016</w:t>
            </w:r>
          </w:p>
        </w:tc>
        <w:tc>
          <w:tcPr>
            <w:tcW w:w="984" w:type="dxa"/>
            <w:shd w:val="clear" w:color="auto" w:fill="E0E0E0"/>
            <w:vAlign w:val="center"/>
          </w:tcPr>
          <w:p w:rsidR="000645BF" w:rsidRPr="00605A91" w:rsidRDefault="000645BF" w:rsidP="004E444C">
            <w:pPr>
              <w:tabs>
                <w:tab w:val="num" w:pos="0"/>
              </w:tabs>
              <w:spacing w:after="0" w:line="240" w:lineRule="auto"/>
              <w:jc w:val="center"/>
              <w:rPr>
                <w:rFonts w:ascii="Arial" w:hAnsi="Arial" w:cs="Arial"/>
                <w:b/>
              </w:rPr>
            </w:pPr>
            <w:r w:rsidRPr="00605A91">
              <w:rPr>
                <w:rFonts w:ascii="Arial" w:hAnsi="Arial" w:cs="Arial"/>
                <w:b/>
              </w:rPr>
              <w:t>2017</w:t>
            </w:r>
          </w:p>
        </w:tc>
      </w:tr>
      <w:tr w:rsidR="000645BF" w:rsidRPr="00605A91" w:rsidTr="004E444C">
        <w:trPr>
          <w:trHeight w:val="307"/>
          <w:jc w:val="center"/>
        </w:trPr>
        <w:tc>
          <w:tcPr>
            <w:tcW w:w="1323" w:type="dxa"/>
            <w:vMerge w:val="restart"/>
            <w:shd w:val="clear" w:color="auto" w:fill="D9D9D9"/>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Brăila</w:t>
            </w: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Sediu APM</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5,64</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4,24</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4,78</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3,28</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3,29</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Uzina de Apă</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7,75</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6,23</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5,14</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8,28</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5,87</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Vărsătura</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16,89</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16,39</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20,40</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10,79</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11,58</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Str.Gen.Gh.Avramescu</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8,56</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6,61</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5,45</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7,68</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8,09</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Staţia Nord</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6,52</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5,88</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4,46</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5,12</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5,33</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 xml:space="preserve">SC Hercules </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10,16</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8,56</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8,77</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11,05</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6,60</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Termoelectrica Chiscani</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5,86</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5,88</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4,99</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4,66</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3,98</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Str. Galați</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11,78</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7,68</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6,94</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5,17</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7,27</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Cazasu</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4,30</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4,07</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4,75</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6,93</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4,47</w:t>
            </w:r>
          </w:p>
        </w:tc>
      </w:tr>
      <w:tr w:rsidR="000645BF" w:rsidRPr="00605A91" w:rsidTr="004E444C">
        <w:trPr>
          <w:trHeight w:val="307"/>
          <w:jc w:val="center"/>
        </w:trPr>
        <w:tc>
          <w:tcPr>
            <w:tcW w:w="1323" w:type="dxa"/>
            <w:vMerge/>
            <w:shd w:val="clear" w:color="auto" w:fill="D9D9D9"/>
            <w:vAlign w:val="center"/>
          </w:tcPr>
          <w:p w:rsidR="000645BF" w:rsidRPr="00605A91" w:rsidRDefault="000645BF" w:rsidP="004E444C">
            <w:pPr>
              <w:spacing w:after="0" w:line="240" w:lineRule="auto"/>
              <w:jc w:val="both"/>
              <w:rPr>
                <w:rFonts w:ascii="Arial" w:hAnsi="Arial" w:cs="Arial"/>
                <w:b/>
              </w:rPr>
            </w:pPr>
          </w:p>
        </w:tc>
        <w:tc>
          <w:tcPr>
            <w:tcW w:w="2837" w:type="dxa"/>
            <w:vAlign w:val="center"/>
          </w:tcPr>
          <w:p w:rsidR="000645BF" w:rsidRPr="00605A91" w:rsidRDefault="000645BF" w:rsidP="004E444C">
            <w:pPr>
              <w:tabs>
                <w:tab w:val="num" w:pos="0"/>
              </w:tabs>
              <w:spacing w:after="0" w:line="240" w:lineRule="auto"/>
              <w:jc w:val="both"/>
              <w:rPr>
                <w:rFonts w:ascii="Arial" w:hAnsi="Arial" w:cs="Arial"/>
              </w:rPr>
            </w:pPr>
            <w:r w:rsidRPr="00605A91">
              <w:rPr>
                <w:rFonts w:ascii="Arial" w:hAnsi="Arial" w:cs="Arial"/>
              </w:rPr>
              <w:t>PrimăriaBrăila</w:t>
            </w:r>
          </w:p>
        </w:tc>
        <w:tc>
          <w:tcPr>
            <w:tcW w:w="850"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10,90</w:t>
            </w:r>
          </w:p>
        </w:tc>
        <w:tc>
          <w:tcPr>
            <w:tcW w:w="937"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10,07</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7,31</w:t>
            </w:r>
          </w:p>
        </w:tc>
        <w:tc>
          <w:tcPr>
            <w:tcW w:w="992"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7,45</w:t>
            </w:r>
          </w:p>
        </w:tc>
        <w:tc>
          <w:tcPr>
            <w:tcW w:w="984" w:type="dxa"/>
          </w:tcPr>
          <w:p w:rsidR="000645BF" w:rsidRPr="00605A91" w:rsidRDefault="000645BF" w:rsidP="004E444C">
            <w:pPr>
              <w:tabs>
                <w:tab w:val="num" w:pos="0"/>
              </w:tabs>
              <w:spacing w:after="0" w:line="240" w:lineRule="auto"/>
              <w:jc w:val="center"/>
              <w:rPr>
                <w:rFonts w:ascii="Arial" w:hAnsi="Arial" w:cs="Arial"/>
              </w:rPr>
            </w:pPr>
            <w:r w:rsidRPr="00605A91">
              <w:rPr>
                <w:rFonts w:ascii="Arial" w:hAnsi="Arial" w:cs="Arial"/>
              </w:rPr>
              <w:t>5,42</w:t>
            </w:r>
          </w:p>
        </w:tc>
      </w:tr>
      <w:tr w:rsidR="000645BF" w:rsidRPr="00605A91" w:rsidTr="004E444C">
        <w:trPr>
          <w:trHeight w:val="307"/>
          <w:jc w:val="center"/>
        </w:trPr>
        <w:tc>
          <w:tcPr>
            <w:tcW w:w="8915" w:type="dxa"/>
            <w:gridSpan w:val="7"/>
            <w:shd w:val="clear" w:color="auto" w:fill="D9D9D9"/>
            <w:vAlign w:val="center"/>
          </w:tcPr>
          <w:p w:rsidR="000645BF" w:rsidRPr="00605A91" w:rsidRDefault="000645BF" w:rsidP="004E444C">
            <w:pPr>
              <w:tabs>
                <w:tab w:val="num" w:pos="0"/>
              </w:tabs>
              <w:spacing w:after="0" w:line="240" w:lineRule="auto"/>
              <w:jc w:val="both"/>
              <w:rPr>
                <w:rFonts w:ascii="Arial" w:hAnsi="Arial" w:cs="Arial"/>
                <w:b/>
              </w:rPr>
            </w:pPr>
            <w:r w:rsidRPr="00605A91">
              <w:rPr>
                <w:rFonts w:ascii="Arial" w:hAnsi="Arial" w:cs="Arial"/>
                <w:b/>
              </w:rPr>
              <w:t>CMA =  17g/mp/luna</w:t>
            </w:r>
          </w:p>
        </w:tc>
      </w:tr>
    </w:tbl>
    <w:p w:rsidR="000645BF" w:rsidRPr="00BE5D20" w:rsidRDefault="000645BF" w:rsidP="000645BF">
      <w:pPr>
        <w:spacing w:after="0" w:line="240" w:lineRule="auto"/>
        <w:jc w:val="both"/>
        <w:rPr>
          <w:rFonts w:ascii="Arial" w:hAnsi="Arial" w:cs="Arial"/>
          <w:sz w:val="24"/>
          <w:szCs w:val="24"/>
        </w:rPr>
      </w:pPr>
    </w:p>
    <w:p w:rsidR="000645BF" w:rsidRPr="00605A91" w:rsidRDefault="000645BF" w:rsidP="000645BF">
      <w:pPr>
        <w:spacing w:after="0" w:line="240" w:lineRule="auto"/>
        <w:jc w:val="both"/>
        <w:rPr>
          <w:rFonts w:ascii="Arial" w:hAnsi="Arial" w:cs="Arial"/>
          <w:sz w:val="24"/>
          <w:szCs w:val="24"/>
        </w:rPr>
      </w:pPr>
      <w:r>
        <w:rPr>
          <w:rFonts w:ascii="Arial" w:hAnsi="Arial" w:cs="Arial"/>
          <w:color w:val="0070C0"/>
          <w:sz w:val="24"/>
          <w:szCs w:val="24"/>
        </w:rPr>
        <w:tab/>
      </w:r>
      <w:r w:rsidRPr="00605A91">
        <w:rPr>
          <w:rFonts w:ascii="Arial" w:hAnsi="Arial" w:cs="Arial"/>
          <w:sz w:val="24"/>
          <w:szCs w:val="24"/>
        </w:rPr>
        <w:t>Tendința mediei în ultimii trei ani, la acest indicator, este în scădere în 5 puncte de prelevare, ușoară creștere în punctele Varsatura, Str.Gen.Gh.Avramescu, Str. Galati.</w:t>
      </w:r>
    </w:p>
    <w:p w:rsidR="000645BF" w:rsidRPr="00605A91" w:rsidRDefault="000645BF" w:rsidP="000645BF">
      <w:pPr>
        <w:tabs>
          <w:tab w:val="left" w:leader="dot" w:pos="9356"/>
        </w:tabs>
        <w:spacing w:after="0" w:line="240" w:lineRule="auto"/>
        <w:rPr>
          <w:rFonts w:ascii="Arial" w:hAnsi="Arial" w:cs="Arial"/>
          <w:b/>
          <w:i/>
          <w:sz w:val="24"/>
          <w:szCs w:val="24"/>
        </w:rPr>
      </w:pPr>
    </w:p>
    <w:p w:rsidR="000645BF" w:rsidRPr="00D27233" w:rsidRDefault="000645BF" w:rsidP="000645BF">
      <w:pPr>
        <w:ind w:firstLine="720"/>
        <w:jc w:val="both"/>
        <w:rPr>
          <w:rFonts w:ascii="Arial" w:hAnsi="Arial" w:cs="Arial"/>
          <w:color w:val="FF0000"/>
        </w:rPr>
      </w:pPr>
      <w:r w:rsidRPr="00717595">
        <w:rPr>
          <w:rFonts w:ascii="Arial" w:hAnsi="Arial" w:cs="Arial"/>
          <w:b/>
          <w:sz w:val="24"/>
          <w:szCs w:val="24"/>
        </w:rPr>
        <w:t>I.1.1.</w:t>
      </w:r>
      <w:r>
        <w:rPr>
          <w:rFonts w:ascii="Arial" w:hAnsi="Arial" w:cs="Arial"/>
          <w:b/>
          <w:sz w:val="24"/>
          <w:szCs w:val="24"/>
        </w:rPr>
        <w:t>2</w:t>
      </w:r>
      <w:r w:rsidRPr="00717595">
        <w:rPr>
          <w:rFonts w:ascii="Arial" w:hAnsi="Arial" w:cs="Arial"/>
          <w:b/>
          <w:sz w:val="24"/>
          <w:szCs w:val="24"/>
        </w:rPr>
        <w:t>.</w:t>
      </w:r>
      <w:r>
        <w:rPr>
          <w:rFonts w:ascii="Arial" w:hAnsi="Arial" w:cs="Arial"/>
          <w:b/>
          <w:sz w:val="24"/>
          <w:szCs w:val="24"/>
        </w:rPr>
        <w:t>9</w:t>
      </w:r>
      <w:r w:rsidRPr="00717595">
        <w:rPr>
          <w:rFonts w:ascii="Arial" w:hAnsi="Arial" w:cs="Arial"/>
          <w:b/>
          <w:sz w:val="24"/>
          <w:szCs w:val="24"/>
        </w:rPr>
        <w:t xml:space="preserve">. </w:t>
      </w:r>
      <w:r w:rsidRPr="00605A91">
        <w:rPr>
          <w:rFonts w:ascii="Arial" w:hAnsi="Arial" w:cs="Arial"/>
          <w:b/>
          <w:sz w:val="24"/>
          <w:szCs w:val="24"/>
        </w:rPr>
        <w:t>Calitatea precipitaţiilor atmosferice</w:t>
      </w:r>
    </w:p>
    <w:p w:rsidR="000645BF" w:rsidRPr="00310E6B" w:rsidRDefault="000645BF" w:rsidP="000645BF">
      <w:pPr>
        <w:pStyle w:val="BodyText2"/>
        <w:spacing w:after="0"/>
        <w:jc w:val="center"/>
        <w:rPr>
          <w:color w:val="0000FF"/>
          <w:lang w:val="en-US"/>
        </w:rPr>
      </w:pPr>
      <w:r>
        <w:rPr>
          <w:noProof/>
          <w:lang w:val="ro-RO" w:eastAsia="ro-RO"/>
        </w:rPr>
        <w:drawing>
          <wp:inline distT="0" distB="0" distL="0" distR="0">
            <wp:extent cx="3429001" cy="23717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45BF" w:rsidRPr="00BD70AD" w:rsidRDefault="000645BF" w:rsidP="000645BF">
      <w:pPr>
        <w:pStyle w:val="BodyText2"/>
        <w:tabs>
          <w:tab w:val="center" w:pos="5171"/>
        </w:tabs>
        <w:spacing w:after="0" w:line="240" w:lineRule="auto"/>
        <w:ind w:left="420"/>
        <w:rPr>
          <w:rFonts w:ascii="Arial" w:hAnsi="Arial" w:cs="Arial"/>
          <w:lang w:val="ro-RO"/>
        </w:rPr>
      </w:pPr>
      <w:r w:rsidRPr="00286FF0">
        <w:rPr>
          <w:rFonts w:ascii="Arial" w:hAnsi="Arial" w:cs="Arial"/>
          <w:b/>
          <w:lang w:val="pt-BR"/>
        </w:rPr>
        <w:t xml:space="preserve">Fig. nr. </w:t>
      </w:r>
      <w:r w:rsidRPr="00286FF0">
        <w:rPr>
          <w:rFonts w:ascii="Arial" w:hAnsi="Arial" w:cs="Arial"/>
          <w:b/>
          <w:lang w:val="ro-RO"/>
        </w:rPr>
        <w:t>I.1.1.2.9.</w:t>
      </w:r>
      <w:r w:rsidRPr="00BD70AD">
        <w:rPr>
          <w:rFonts w:ascii="Arial" w:hAnsi="Arial" w:cs="Arial"/>
          <w:lang w:val="ro-RO"/>
        </w:rPr>
        <w:t xml:space="preserve"> Evoluţia anuală a calităţii precipitaţiilor- municipiul Brăila</w:t>
      </w:r>
    </w:p>
    <w:p w:rsidR="000645BF" w:rsidRPr="00605A91" w:rsidRDefault="000645BF" w:rsidP="000645BF">
      <w:pPr>
        <w:pStyle w:val="BodyText2"/>
        <w:spacing w:after="0" w:line="240" w:lineRule="auto"/>
        <w:ind w:firstLine="720"/>
        <w:jc w:val="right"/>
        <w:rPr>
          <w:rFonts w:ascii="Arial" w:hAnsi="Arial" w:cs="Arial"/>
        </w:rPr>
      </w:pPr>
    </w:p>
    <w:p w:rsidR="000645BF" w:rsidRPr="00286FF0" w:rsidRDefault="000645BF" w:rsidP="000645BF">
      <w:pPr>
        <w:pStyle w:val="BodyText2"/>
        <w:spacing w:after="0" w:line="240" w:lineRule="auto"/>
        <w:ind w:firstLine="720"/>
        <w:rPr>
          <w:rFonts w:ascii="Arial" w:hAnsi="Arial" w:cs="Arial"/>
          <w:b/>
          <w:lang w:val="ro-RO"/>
        </w:rPr>
      </w:pPr>
      <w:r>
        <w:rPr>
          <w:rFonts w:ascii="Arial" w:hAnsi="Arial" w:cs="Arial"/>
          <w:b/>
        </w:rPr>
        <w:t xml:space="preserve">    </w:t>
      </w:r>
      <w:r w:rsidRPr="00286FF0">
        <w:rPr>
          <w:rFonts w:ascii="Arial" w:hAnsi="Arial" w:cs="Arial"/>
          <w:b/>
        </w:rPr>
        <w:t xml:space="preserve">Tabel </w:t>
      </w:r>
      <w:r w:rsidRPr="00286FF0">
        <w:rPr>
          <w:rFonts w:ascii="Arial" w:eastAsia="Times New Roman" w:hAnsi="Arial" w:cs="Arial"/>
          <w:b/>
          <w:iCs/>
          <w:lang w:eastAsia="ro-RO"/>
        </w:rPr>
        <w:t>I.1.1.2.9.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666"/>
        <w:gridCol w:w="1011"/>
        <w:gridCol w:w="1010"/>
        <w:gridCol w:w="1011"/>
        <w:gridCol w:w="1010"/>
        <w:gridCol w:w="1010"/>
      </w:tblGrid>
      <w:tr w:rsidR="000645BF" w:rsidRPr="00605A91" w:rsidTr="004E444C">
        <w:trPr>
          <w:trHeight w:val="247"/>
          <w:jc w:val="center"/>
        </w:trPr>
        <w:tc>
          <w:tcPr>
            <w:tcW w:w="2666" w:type="dxa"/>
          </w:tcPr>
          <w:p w:rsidR="000645BF" w:rsidRPr="00605A91" w:rsidRDefault="000645BF" w:rsidP="004E444C">
            <w:pPr>
              <w:autoSpaceDE w:val="0"/>
              <w:autoSpaceDN w:val="0"/>
              <w:adjustRightInd w:val="0"/>
              <w:spacing w:after="0" w:line="240" w:lineRule="auto"/>
              <w:jc w:val="center"/>
              <w:rPr>
                <w:rFonts w:ascii="Arial" w:hAnsi="Arial" w:cs="Arial"/>
                <w:b/>
                <w:sz w:val="20"/>
                <w:szCs w:val="20"/>
              </w:rPr>
            </w:pPr>
            <w:r w:rsidRPr="00605A91">
              <w:rPr>
                <w:rFonts w:ascii="Arial" w:hAnsi="Arial" w:cs="Arial"/>
                <w:b/>
                <w:sz w:val="20"/>
                <w:szCs w:val="20"/>
              </w:rPr>
              <w:t>Precipitatii - Evolutie pH</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b/>
                <w:sz w:val="20"/>
                <w:szCs w:val="20"/>
              </w:rPr>
            </w:pPr>
            <w:r w:rsidRPr="00605A91">
              <w:rPr>
                <w:rFonts w:ascii="Arial" w:hAnsi="Arial" w:cs="Arial"/>
                <w:b/>
                <w:sz w:val="20"/>
                <w:szCs w:val="20"/>
              </w:rPr>
              <w:t>2013</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b/>
                <w:sz w:val="20"/>
                <w:szCs w:val="20"/>
              </w:rPr>
            </w:pPr>
            <w:r w:rsidRPr="00605A91">
              <w:rPr>
                <w:rFonts w:ascii="Arial" w:hAnsi="Arial" w:cs="Arial"/>
                <w:b/>
                <w:sz w:val="20"/>
                <w:szCs w:val="20"/>
              </w:rPr>
              <w:t>2014</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b/>
                <w:sz w:val="20"/>
                <w:szCs w:val="20"/>
              </w:rPr>
            </w:pPr>
            <w:r w:rsidRPr="00605A91">
              <w:rPr>
                <w:rFonts w:ascii="Arial" w:hAnsi="Arial" w:cs="Arial"/>
                <w:b/>
                <w:sz w:val="20"/>
                <w:szCs w:val="20"/>
              </w:rPr>
              <w:t>2015</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b/>
                <w:sz w:val="20"/>
                <w:szCs w:val="20"/>
              </w:rPr>
            </w:pPr>
            <w:r w:rsidRPr="00605A91">
              <w:rPr>
                <w:rFonts w:ascii="Arial" w:hAnsi="Arial" w:cs="Arial"/>
                <w:b/>
                <w:sz w:val="20"/>
                <w:szCs w:val="20"/>
              </w:rPr>
              <w:t>2016</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b/>
                <w:sz w:val="20"/>
                <w:szCs w:val="20"/>
              </w:rPr>
            </w:pPr>
            <w:r w:rsidRPr="00605A91">
              <w:rPr>
                <w:rFonts w:ascii="Arial" w:hAnsi="Arial" w:cs="Arial"/>
                <w:b/>
                <w:sz w:val="20"/>
                <w:szCs w:val="20"/>
              </w:rPr>
              <w:t>2017</w:t>
            </w:r>
          </w:p>
        </w:tc>
      </w:tr>
      <w:tr w:rsidR="000645BF" w:rsidRPr="00605A91" w:rsidTr="004E444C">
        <w:trPr>
          <w:trHeight w:val="247"/>
          <w:jc w:val="center"/>
        </w:trPr>
        <w:tc>
          <w:tcPr>
            <w:tcW w:w="2666" w:type="dxa"/>
          </w:tcPr>
          <w:p w:rsidR="000645BF" w:rsidRPr="00605A91" w:rsidRDefault="000645BF" w:rsidP="004E444C">
            <w:pPr>
              <w:autoSpaceDE w:val="0"/>
              <w:autoSpaceDN w:val="0"/>
              <w:adjustRightInd w:val="0"/>
              <w:spacing w:after="0" w:line="240" w:lineRule="auto"/>
              <w:rPr>
                <w:rFonts w:ascii="Arial" w:hAnsi="Arial" w:cs="Arial"/>
                <w:sz w:val="20"/>
                <w:szCs w:val="20"/>
              </w:rPr>
            </w:pPr>
            <w:r w:rsidRPr="00605A91">
              <w:rPr>
                <w:rFonts w:ascii="Arial" w:hAnsi="Arial" w:cs="Arial"/>
                <w:sz w:val="20"/>
                <w:szCs w:val="20"/>
              </w:rPr>
              <w:t>pH - valoarea medie anuală</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6,89</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6,9</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6,92</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6,3</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7,32</w:t>
            </w:r>
          </w:p>
        </w:tc>
      </w:tr>
      <w:tr w:rsidR="000645BF" w:rsidRPr="00605A91" w:rsidTr="004E444C">
        <w:trPr>
          <w:trHeight w:val="247"/>
          <w:jc w:val="center"/>
        </w:trPr>
        <w:tc>
          <w:tcPr>
            <w:tcW w:w="2666" w:type="dxa"/>
          </w:tcPr>
          <w:p w:rsidR="000645BF" w:rsidRPr="00605A91" w:rsidRDefault="000645BF" w:rsidP="004E444C">
            <w:pPr>
              <w:autoSpaceDE w:val="0"/>
              <w:autoSpaceDN w:val="0"/>
              <w:adjustRightInd w:val="0"/>
              <w:spacing w:after="0" w:line="240" w:lineRule="auto"/>
              <w:rPr>
                <w:rFonts w:ascii="Arial" w:hAnsi="Arial" w:cs="Arial"/>
                <w:sz w:val="20"/>
                <w:szCs w:val="20"/>
              </w:rPr>
            </w:pPr>
            <w:r w:rsidRPr="00605A91">
              <w:rPr>
                <w:rFonts w:ascii="Arial" w:hAnsi="Arial" w:cs="Arial"/>
                <w:sz w:val="20"/>
                <w:szCs w:val="20"/>
              </w:rPr>
              <w:t>pH - valoarea minimă</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6,23</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6,15</w:t>
            </w:r>
          </w:p>
        </w:tc>
        <w:tc>
          <w:tcPr>
            <w:tcW w:w="1011"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6,6</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6,05</w:t>
            </w:r>
          </w:p>
        </w:tc>
        <w:tc>
          <w:tcPr>
            <w:tcW w:w="1010" w:type="dxa"/>
          </w:tcPr>
          <w:p w:rsidR="000645BF" w:rsidRPr="00605A91" w:rsidRDefault="000645BF" w:rsidP="004E444C">
            <w:pPr>
              <w:autoSpaceDE w:val="0"/>
              <w:autoSpaceDN w:val="0"/>
              <w:adjustRightInd w:val="0"/>
              <w:spacing w:after="0" w:line="240" w:lineRule="auto"/>
              <w:jc w:val="right"/>
              <w:rPr>
                <w:rFonts w:ascii="Arial" w:hAnsi="Arial" w:cs="Arial"/>
                <w:sz w:val="20"/>
                <w:szCs w:val="20"/>
              </w:rPr>
            </w:pPr>
            <w:r w:rsidRPr="00605A91">
              <w:rPr>
                <w:rFonts w:ascii="Arial" w:hAnsi="Arial" w:cs="Arial"/>
                <w:sz w:val="20"/>
                <w:szCs w:val="20"/>
              </w:rPr>
              <w:t>6,19</w:t>
            </w:r>
          </w:p>
        </w:tc>
      </w:tr>
    </w:tbl>
    <w:p w:rsidR="000645BF" w:rsidRPr="00605A91" w:rsidRDefault="000645BF" w:rsidP="000645BF">
      <w:pPr>
        <w:pStyle w:val="BodyText2"/>
        <w:spacing w:after="0" w:line="240" w:lineRule="auto"/>
        <w:ind w:firstLine="720"/>
        <w:jc w:val="center"/>
        <w:rPr>
          <w:rFonts w:ascii="Arial" w:hAnsi="Arial" w:cs="Arial"/>
          <w:lang w:val="ro-RO"/>
        </w:rPr>
      </w:pPr>
    </w:p>
    <w:p w:rsidR="000645BF" w:rsidRPr="00605A91" w:rsidRDefault="000645BF" w:rsidP="000645BF">
      <w:pPr>
        <w:pStyle w:val="BodyText2"/>
        <w:spacing w:after="0" w:line="240" w:lineRule="auto"/>
        <w:ind w:firstLine="720"/>
        <w:jc w:val="both"/>
        <w:rPr>
          <w:rFonts w:ascii="Arial" w:hAnsi="Arial" w:cs="Arial"/>
          <w:lang w:val="ro-RO"/>
        </w:rPr>
      </w:pPr>
      <w:r w:rsidRPr="00605A91">
        <w:rPr>
          <w:rFonts w:ascii="Arial" w:hAnsi="Arial" w:cs="Arial"/>
          <w:lang w:val="ro-RO"/>
        </w:rPr>
        <w:t>Graficul reprezintă situaţia comparativă a valorii medii şi minime a pH-ului în anul 2017, respectiv anii 2013 - 201</w:t>
      </w:r>
      <w:r>
        <w:rPr>
          <w:rFonts w:ascii="Arial" w:hAnsi="Arial" w:cs="Arial"/>
          <w:lang w:val="ro-RO"/>
        </w:rPr>
        <w:t>7</w:t>
      </w:r>
      <w:r w:rsidRPr="00605A91">
        <w:rPr>
          <w:rFonts w:ascii="Arial" w:hAnsi="Arial" w:cs="Arial"/>
          <w:lang w:val="ro-RO"/>
        </w:rPr>
        <w:t xml:space="preserve">.  </w:t>
      </w:r>
    </w:p>
    <w:p w:rsidR="000645BF" w:rsidRDefault="000645BF" w:rsidP="000645BF">
      <w:pPr>
        <w:pStyle w:val="BodyText2"/>
        <w:spacing w:after="0" w:line="240" w:lineRule="auto"/>
        <w:ind w:firstLine="720"/>
        <w:jc w:val="both"/>
        <w:rPr>
          <w:rFonts w:ascii="Arial" w:hAnsi="Arial" w:cs="Arial"/>
          <w:lang w:val="ro-RO"/>
        </w:rPr>
      </w:pPr>
      <w:r w:rsidRPr="00605A91">
        <w:rPr>
          <w:rFonts w:ascii="Arial" w:hAnsi="Arial" w:cs="Arial"/>
          <w:lang w:val="ro-RO"/>
        </w:rPr>
        <w:t>La nivelul anului 2017 se remarcă o creştere a valorii medii şi o scădere nesemnificativă a  valorii minime pH-ului precipitaţiilor, comparativ cu anul 2013.</w:t>
      </w:r>
    </w:p>
    <w:p w:rsidR="006125E1" w:rsidRPr="00605A91" w:rsidRDefault="006125E1" w:rsidP="000645BF">
      <w:pPr>
        <w:pStyle w:val="BodyText2"/>
        <w:spacing w:after="0" w:line="240" w:lineRule="auto"/>
        <w:ind w:firstLine="720"/>
        <w:jc w:val="both"/>
        <w:rPr>
          <w:rFonts w:ascii="Arial" w:hAnsi="Arial" w:cs="Arial"/>
          <w:lang w:val="ro-RO"/>
        </w:rPr>
      </w:pPr>
    </w:p>
    <w:p w:rsidR="006125E1" w:rsidRPr="00776B0C" w:rsidRDefault="006125E1" w:rsidP="004E05AF">
      <w:pPr>
        <w:spacing w:after="0" w:line="240" w:lineRule="auto"/>
        <w:ind w:firstLine="708"/>
        <w:jc w:val="both"/>
        <w:rPr>
          <w:rFonts w:ascii="Arial" w:hAnsi="Arial" w:cs="Arial"/>
          <w:b/>
          <w:sz w:val="24"/>
          <w:szCs w:val="24"/>
        </w:rPr>
      </w:pPr>
      <w:r w:rsidRPr="00776B0C">
        <w:rPr>
          <w:rFonts w:ascii="Arial" w:hAnsi="Arial" w:cs="Arial"/>
          <w:b/>
          <w:sz w:val="24"/>
          <w:szCs w:val="24"/>
        </w:rPr>
        <w:t>I.1.1.3. Depășiri ale valorilor limită și valorilor țintă privind calitatea aerului înconjurător în zonele urbane</w:t>
      </w:r>
    </w:p>
    <w:p w:rsidR="006125E1" w:rsidRPr="00717002" w:rsidRDefault="006125E1" w:rsidP="006125E1">
      <w:pPr>
        <w:spacing w:after="0" w:line="240" w:lineRule="auto"/>
        <w:jc w:val="both"/>
        <w:rPr>
          <w:rFonts w:ascii="Arial" w:hAnsi="Arial" w:cs="Arial"/>
          <w:sz w:val="24"/>
          <w:szCs w:val="24"/>
        </w:rPr>
      </w:pPr>
      <w:r w:rsidRPr="00776B0C">
        <w:rPr>
          <w:rFonts w:ascii="Arial" w:hAnsi="Arial" w:cs="Arial"/>
          <w:b/>
          <w:sz w:val="24"/>
          <w:szCs w:val="24"/>
        </w:rPr>
        <w:tab/>
      </w:r>
      <w:r w:rsidR="00717002" w:rsidRPr="00717002">
        <w:rPr>
          <w:rFonts w:ascii="Arial" w:hAnsi="Arial" w:cs="Arial"/>
          <w:sz w:val="24"/>
          <w:szCs w:val="24"/>
        </w:rPr>
        <w:t xml:space="preserve">În anul </w:t>
      </w:r>
      <w:r w:rsidR="00717002" w:rsidRPr="00717002">
        <w:rPr>
          <w:rFonts w:ascii="Arial" w:hAnsi="Arial" w:cs="Arial"/>
          <w:b/>
          <w:sz w:val="24"/>
          <w:szCs w:val="24"/>
        </w:rPr>
        <w:t>2017 nu s-au depăşit valorile limită/ţintă pentru protecţia sănătăţii umane</w:t>
      </w:r>
      <w:r w:rsidR="00717002" w:rsidRPr="00717002">
        <w:rPr>
          <w:rFonts w:ascii="Arial" w:hAnsi="Arial" w:cs="Arial"/>
          <w:sz w:val="24"/>
          <w:szCs w:val="24"/>
        </w:rPr>
        <w:t xml:space="preserve"> (aşa cum sunt acestea reglementate prin Legea nr. 104/2011)</w:t>
      </w:r>
      <w:r w:rsidR="00717002">
        <w:rPr>
          <w:rFonts w:ascii="Arial" w:hAnsi="Arial" w:cs="Arial"/>
          <w:sz w:val="24"/>
          <w:szCs w:val="24"/>
        </w:rPr>
        <w:t>.</w:t>
      </w:r>
    </w:p>
    <w:p w:rsidR="000645BF" w:rsidRPr="006125E1" w:rsidRDefault="000645BF" w:rsidP="000645BF">
      <w:pPr>
        <w:tabs>
          <w:tab w:val="left" w:leader="dot" w:pos="9356"/>
        </w:tabs>
        <w:spacing w:after="0" w:line="240" w:lineRule="auto"/>
        <w:rPr>
          <w:rFonts w:ascii="Arial" w:hAnsi="Arial" w:cs="Arial"/>
          <w:b/>
          <w:sz w:val="24"/>
          <w:szCs w:val="24"/>
        </w:rPr>
      </w:pPr>
    </w:p>
    <w:p w:rsidR="000645BF" w:rsidRPr="00122F81" w:rsidRDefault="000645BF" w:rsidP="000645BF">
      <w:pPr>
        <w:tabs>
          <w:tab w:val="num" w:pos="0"/>
        </w:tabs>
        <w:spacing w:after="0" w:line="240" w:lineRule="auto"/>
        <w:jc w:val="both"/>
        <w:rPr>
          <w:rFonts w:ascii="Arial" w:hAnsi="Arial" w:cs="Arial"/>
          <w:b/>
          <w:sz w:val="24"/>
          <w:szCs w:val="24"/>
        </w:rPr>
      </w:pPr>
      <w:r w:rsidRPr="00743878">
        <w:rPr>
          <w:rFonts w:ascii="Arial" w:hAnsi="Arial" w:cs="Arial"/>
          <w:b/>
          <w:sz w:val="24"/>
          <w:szCs w:val="24"/>
        </w:rPr>
        <w:t xml:space="preserve">  I.1.2.</w:t>
      </w:r>
      <w:r w:rsidRPr="00122F81">
        <w:rPr>
          <w:rFonts w:ascii="Arial" w:hAnsi="Arial" w:cs="Arial"/>
          <w:b/>
          <w:sz w:val="24"/>
          <w:szCs w:val="24"/>
        </w:rPr>
        <w:t>Efectele poluării aerului înconjurător</w:t>
      </w:r>
    </w:p>
    <w:p w:rsidR="000645BF" w:rsidRPr="00122F81" w:rsidRDefault="000645BF" w:rsidP="000645BF">
      <w:pPr>
        <w:tabs>
          <w:tab w:val="left" w:leader="dot" w:pos="9356"/>
        </w:tabs>
        <w:spacing w:after="0" w:line="240" w:lineRule="auto"/>
        <w:rPr>
          <w:rFonts w:ascii="Arial" w:hAnsi="Arial" w:cs="Arial"/>
          <w:b/>
          <w:sz w:val="24"/>
          <w:szCs w:val="24"/>
        </w:rPr>
      </w:pPr>
      <w:r>
        <w:rPr>
          <w:rFonts w:ascii="Arial" w:hAnsi="Arial" w:cs="Arial"/>
          <w:b/>
          <w:sz w:val="24"/>
          <w:szCs w:val="24"/>
        </w:rPr>
        <w:t xml:space="preserve">       </w:t>
      </w:r>
      <w:r w:rsidRPr="00122F81">
        <w:rPr>
          <w:rFonts w:ascii="Arial" w:hAnsi="Arial" w:cs="Arial"/>
          <w:b/>
          <w:sz w:val="24"/>
          <w:szCs w:val="24"/>
        </w:rPr>
        <w:t>I.1.2.1. Efectele poluării aerului înconjurător asupra sănătății</w:t>
      </w:r>
    </w:p>
    <w:p w:rsidR="000645BF" w:rsidRPr="000B51EE" w:rsidRDefault="00160B9A" w:rsidP="000645BF">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000645BF">
        <w:rPr>
          <w:rFonts w:ascii="Arial" w:eastAsia="Calibri" w:hAnsi="Arial" w:cs="Arial"/>
          <w:sz w:val="24"/>
          <w:szCs w:val="24"/>
        </w:rPr>
        <w:t xml:space="preserve"> </w:t>
      </w:r>
      <w:r w:rsidR="000645BF" w:rsidRPr="000B51EE">
        <w:rPr>
          <w:rFonts w:ascii="Arial" w:eastAsia="Calibri" w:hAnsi="Arial" w:cs="Arial"/>
          <w:sz w:val="24"/>
          <w:szCs w:val="24"/>
        </w:rPr>
        <w:t xml:space="preserve">Din punct de vedere al efectului asupra organismului uman, poluanţii din aer se pot clasifica în: </w:t>
      </w:r>
    </w:p>
    <w:p w:rsidR="000645BF" w:rsidRPr="000B51EE" w:rsidRDefault="000645BF" w:rsidP="00EF3940">
      <w:pPr>
        <w:pStyle w:val="ListParagraph"/>
        <w:numPr>
          <w:ilvl w:val="0"/>
          <w:numId w:val="8"/>
        </w:numPr>
        <w:autoSpaceDE w:val="0"/>
        <w:autoSpaceDN w:val="0"/>
        <w:adjustRightInd w:val="0"/>
        <w:ind w:left="709" w:hanging="283"/>
        <w:jc w:val="both"/>
        <w:rPr>
          <w:rFonts w:ascii="Arial" w:hAnsi="Arial" w:cs="Arial"/>
        </w:rPr>
      </w:pPr>
      <w:r w:rsidRPr="000B51EE">
        <w:rPr>
          <w:rFonts w:ascii="Arial" w:hAnsi="Arial" w:cs="Arial"/>
        </w:rPr>
        <w:t>Poluanţi iritanţi: pulberi netoxice (fără o acţiune toxică specifică) - SO</w:t>
      </w:r>
      <w:r w:rsidRPr="000B51EE">
        <w:rPr>
          <w:rFonts w:ascii="Arial" w:hAnsi="Arial" w:cs="Arial"/>
          <w:vertAlign w:val="subscript"/>
        </w:rPr>
        <w:t>2</w:t>
      </w:r>
      <w:r w:rsidRPr="000B51EE">
        <w:rPr>
          <w:rFonts w:ascii="Arial" w:hAnsi="Arial" w:cs="Arial"/>
        </w:rPr>
        <w:t>, NO</w:t>
      </w:r>
      <w:r w:rsidRPr="000B51EE">
        <w:rPr>
          <w:rFonts w:ascii="Arial" w:hAnsi="Arial" w:cs="Arial"/>
          <w:vertAlign w:val="subscript"/>
        </w:rPr>
        <w:t>2</w:t>
      </w:r>
      <w:r w:rsidRPr="000B51EE">
        <w:rPr>
          <w:rFonts w:ascii="Arial" w:hAnsi="Arial" w:cs="Arial"/>
        </w:rPr>
        <w:t>, O</w:t>
      </w:r>
      <w:r w:rsidRPr="000B51EE">
        <w:rPr>
          <w:rFonts w:ascii="Arial" w:hAnsi="Arial" w:cs="Arial"/>
          <w:vertAlign w:val="subscript"/>
        </w:rPr>
        <w:t>3</w:t>
      </w:r>
      <w:r w:rsidRPr="000B51EE">
        <w:rPr>
          <w:rFonts w:ascii="Arial" w:hAnsi="Arial" w:cs="Arial"/>
        </w:rPr>
        <w:t xml:space="preserve">,; </w:t>
      </w:r>
    </w:p>
    <w:p w:rsidR="000645BF" w:rsidRPr="000B51EE" w:rsidRDefault="000645BF" w:rsidP="00EF3940">
      <w:pPr>
        <w:pStyle w:val="ListParagraph"/>
        <w:numPr>
          <w:ilvl w:val="0"/>
          <w:numId w:val="8"/>
        </w:numPr>
        <w:autoSpaceDE w:val="0"/>
        <w:autoSpaceDN w:val="0"/>
        <w:adjustRightInd w:val="0"/>
        <w:ind w:left="709" w:hanging="283"/>
        <w:jc w:val="both"/>
        <w:rPr>
          <w:rFonts w:ascii="Arial" w:hAnsi="Arial" w:cs="Arial"/>
        </w:rPr>
      </w:pPr>
      <w:r w:rsidRPr="000B51EE">
        <w:rPr>
          <w:rFonts w:ascii="Arial" w:hAnsi="Arial" w:cs="Arial"/>
        </w:rPr>
        <w:t>Poluanţi asfixianţi: CO, NO</w:t>
      </w:r>
      <w:r w:rsidRPr="000B51EE">
        <w:rPr>
          <w:rFonts w:ascii="Arial" w:hAnsi="Arial" w:cs="Arial"/>
          <w:vertAlign w:val="subscript"/>
        </w:rPr>
        <w:t>2</w:t>
      </w:r>
      <w:r w:rsidRPr="000B51EE">
        <w:rPr>
          <w:rFonts w:ascii="Arial" w:hAnsi="Arial" w:cs="Arial"/>
        </w:rPr>
        <w:t xml:space="preserve">; </w:t>
      </w:r>
    </w:p>
    <w:p w:rsidR="000645BF" w:rsidRPr="000B51EE" w:rsidRDefault="000645BF" w:rsidP="00EF3940">
      <w:pPr>
        <w:pStyle w:val="ListParagraph"/>
        <w:numPr>
          <w:ilvl w:val="0"/>
          <w:numId w:val="8"/>
        </w:numPr>
        <w:autoSpaceDE w:val="0"/>
        <w:autoSpaceDN w:val="0"/>
        <w:adjustRightInd w:val="0"/>
        <w:ind w:left="709" w:hanging="283"/>
        <w:jc w:val="both"/>
        <w:rPr>
          <w:rFonts w:ascii="Arial" w:hAnsi="Arial" w:cs="Arial"/>
        </w:rPr>
      </w:pPr>
      <w:r w:rsidRPr="000B51EE">
        <w:rPr>
          <w:rFonts w:ascii="Arial" w:hAnsi="Arial" w:cs="Arial"/>
        </w:rPr>
        <w:t xml:space="preserve">Poluanţi alergizanţi: naturali (de origine animală, vegetală, minerală) sau artificiali (substanţe chimice amorfe, medicamente); </w:t>
      </w:r>
    </w:p>
    <w:p w:rsidR="000645BF" w:rsidRPr="000B51EE" w:rsidRDefault="000645BF" w:rsidP="00EF3940">
      <w:pPr>
        <w:pStyle w:val="ListParagraph"/>
        <w:numPr>
          <w:ilvl w:val="0"/>
          <w:numId w:val="8"/>
        </w:numPr>
        <w:autoSpaceDE w:val="0"/>
        <w:autoSpaceDN w:val="0"/>
        <w:adjustRightInd w:val="0"/>
        <w:ind w:left="709" w:hanging="283"/>
        <w:jc w:val="both"/>
        <w:rPr>
          <w:rFonts w:ascii="Arial" w:hAnsi="Arial" w:cs="Arial"/>
        </w:rPr>
      </w:pPr>
      <w:r w:rsidRPr="000B51EE">
        <w:rPr>
          <w:rFonts w:ascii="Arial" w:hAnsi="Arial" w:cs="Arial"/>
        </w:rPr>
        <w:t xml:space="preserve">Poluanţi toxici sistemici: Pb, Mn, Hg, Cd, Va, Se, F, As, pesticide; </w:t>
      </w:r>
    </w:p>
    <w:p w:rsidR="000645BF" w:rsidRPr="000B51EE" w:rsidRDefault="000645BF" w:rsidP="00EF3940">
      <w:pPr>
        <w:pStyle w:val="ListParagraph"/>
        <w:numPr>
          <w:ilvl w:val="0"/>
          <w:numId w:val="8"/>
        </w:numPr>
        <w:autoSpaceDE w:val="0"/>
        <w:autoSpaceDN w:val="0"/>
        <w:adjustRightInd w:val="0"/>
        <w:ind w:left="709" w:hanging="283"/>
        <w:rPr>
          <w:rFonts w:ascii="Arial" w:hAnsi="Arial" w:cs="Arial"/>
        </w:rPr>
      </w:pPr>
      <w:r w:rsidRPr="000B51EE">
        <w:rPr>
          <w:rFonts w:ascii="Arial" w:hAnsi="Arial" w:cs="Arial"/>
        </w:rPr>
        <w:t xml:space="preserve">Poluanţi cancerigeni, mutageni, teratogeni (COV, HPA, etc.) </w:t>
      </w:r>
    </w:p>
    <w:p w:rsidR="000645BF" w:rsidRPr="000B51EE" w:rsidRDefault="000645BF" w:rsidP="000645BF">
      <w:pPr>
        <w:autoSpaceDE w:val="0"/>
        <w:autoSpaceDN w:val="0"/>
        <w:adjustRightInd w:val="0"/>
        <w:spacing w:after="0" w:line="240" w:lineRule="auto"/>
        <w:ind w:firstLine="720"/>
        <w:jc w:val="both"/>
        <w:rPr>
          <w:rFonts w:ascii="Arial" w:eastAsia="Calibri" w:hAnsi="Arial" w:cs="Arial"/>
          <w:sz w:val="24"/>
          <w:szCs w:val="24"/>
        </w:rPr>
      </w:pPr>
      <w:r w:rsidRPr="000B51EE">
        <w:rPr>
          <w:rFonts w:ascii="Arial" w:eastAsia="Calibri" w:hAnsi="Arial" w:cs="Arial"/>
          <w:sz w:val="24"/>
          <w:szCs w:val="24"/>
        </w:rPr>
        <w:t xml:space="preserve">Pulberile în suspensie provin din: activitatea industrială, sistemul de încălzire a populaţiei, centralele termoelectrice, traficul </w:t>
      </w:r>
      <w:r w:rsidRPr="000B51EE">
        <w:rPr>
          <w:rFonts w:ascii="Arial" w:hAnsi="Arial" w:cs="Arial"/>
          <w:sz w:val="24"/>
          <w:szCs w:val="24"/>
        </w:rPr>
        <w:t>rutier care contribuie la polua</w:t>
      </w:r>
      <w:r w:rsidRPr="000B51EE">
        <w:rPr>
          <w:rFonts w:ascii="Arial" w:eastAsia="Calibri" w:hAnsi="Arial" w:cs="Arial"/>
          <w:sz w:val="24"/>
          <w:szCs w:val="24"/>
        </w:rPr>
        <w:t xml:space="preserve">rea cu pulberi produsă de pneurile maşinilor, atât la oprirea acestora cât şi datorită arderilor incomplete. </w:t>
      </w:r>
    </w:p>
    <w:p w:rsidR="000645BF" w:rsidRPr="000B51EE" w:rsidRDefault="000645BF" w:rsidP="000645BF">
      <w:pPr>
        <w:autoSpaceDE w:val="0"/>
        <w:autoSpaceDN w:val="0"/>
        <w:adjustRightInd w:val="0"/>
        <w:spacing w:after="0" w:line="240" w:lineRule="auto"/>
        <w:ind w:firstLine="720"/>
        <w:jc w:val="both"/>
        <w:rPr>
          <w:rFonts w:ascii="Arial" w:eastAsia="Calibri" w:hAnsi="Arial" w:cs="Arial"/>
          <w:sz w:val="24"/>
          <w:szCs w:val="24"/>
        </w:rPr>
      </w:pPr>
      <w:r w:rsidRPr="000B51EE">
        <w:rPr>
          <w:rFonts w:ascii="Arial" w:eastAsia="Calibri" w:hAnsi="Arial" w:cs="Arial"/>
          <w:sz w:val="24"/>
          <w:szCs w:val="24"/>
        </w:rPr>
        <w:lastRenderedPageBreak/>
        <w:t>Dimensiunea particulelor este direct legată de potenţialul de a cauza efecte. O problemă importantă o reprezintă particulele cu diametrul aerodinamic mai mic de 10 micrometri, care trec prin nas</w:t>
      </w:r>
      <w:r w:rsidRPr="000B51EE">
        <w:rPr>
          <w:rFonts w:ascii="Arial" w:hAnsi="Arial" w:cs="Arial"/>
          <w:sz w:val="24"/>
          <w:szCs w:val="24"/>
        </w:rPr>
        <w:t>,</w:t>
      </w:r>
      <w:r w:rsidRPr="000B51EE">
        <w:rPr>
          <w:rFonts w:ascii="Arial" w:eastAsia="Calibri" w:hAnsi="Arial" w:cs="Arial"/>
          <w:sz w:val="24"/>
          <w:szCs w:val="24"/>
        </w:rPr>
        <w:t xml:space="preserve"> gât şi pătrund în alveolele pulmonare provocând inflamaţii şi intoxicări. </w:t>
      </w:r>
    </w:p>
    <w:p w:rsidR="000645BF" w:rsidRPr="000B51EE" w:rsidRDefault="000645BF" w:rsidP="000645BF">
      <w:pPr>
        <w:spacing w:after="0" w:line="240" w:lineRule="auto"/>
        <w:ind w:firstLine="720"/>
        <w:jc w:val="both"/>
        <w:rPr>
          <w:rFonts w:ascii="Arial" w:eastAsia="Calibri" w:hAnsi="Arial" w:cs="Arial"/>
          <w:b/>
          <w:sz w:val="24"/>
          <w:szCs w:val="24"/>
        </w:rPr>
      </w:pPr>
      <w:r w:rsidRPr="000B51EE">
        <w:rPr>
          <w:rFonts w:ascii="Arial" w:eastAsia="Calibri" w:hAnsi="Arial" w:cs="Arial"/>
          <w:sz w:val="24"/>
          <w:szCs w:val="24"/>
        </w:rPr>
        <w:t xml:space="preserve">Particulele, praful, aerosolii şi fumul pot, pe termen scurt sau lung, să aibă efecte negative asupra mediului, respectiv asupra sănătăţii umane. </w:t>
      </w:r>
    </w:p>
    <w:p w:rsidR="000645BF" w:rsidRPr="000B51EE" w:rsidRDefault="000645BF" w:rsidP="000645BF">
      <w:pPr>
        <w:pStyle w:val="Default"/>
        <w:widowControl w:val="0"/>
        <w:ind w:firstLine="720"/>
        <w:jc w:val="both"/>
        <w:rPr>
          <w:rFonts w:ascii="Arial" w:hAnsi="Arial" w:cs="Arial"/>
          <w:color w:val="auto"/>
        </w:rPr>
      </w:pPr>
      <w:r w:rsidRPr="000B51EE">
        <w:rPr>
          <w:rFonts w:ascii="Arial" w:hAnsi="Arial" w:cs="Arial"/>
          <w:color w:val="auto"/>
        </w:rPr>
        <w:t>În anul 2017 au fost inregistrate un numar de 12 valori zilnice mai mari decat valorile zilnice limită/ţintă pentru protecţia sănătăţii umane, astfel:</w:t>
      </w:r>
    </w:p>
    <w:p w:rsidR="000645BF" w:rsidRPr="000B51EE" w:rsidRDefault="000645BF" w:rsidP="000645BF">
      <w:pPr>
        <w:pStyle w:val="Default"/>
        <w:widowControl w:val="0"/>
        <w:ind w:firstLine="720"/>
        <w:jc w:val="both"/>
        <w:rPr>
          <w:rFonts w:ascii="Arial" w:hAnsi="Arial" w:cs="Arial"/>
          <w:color w:val="auto"/>
        </w:rPr>
      </w:pPr>
    </w:p>
    <w:tbl>
      <w:tblPr>
        <w:tblStyle w:val="TableGrid"/>
        <w:tblW w:w="0" w:type="auto"/>
        <w:tblInd w:w="534" w:type="dxa"/>
        <w:tblLook w:val="04A0"/>
      </w:tblPr>
      <w:tblGrid>
        <w:gridCol w:w="1559"/>
        <w:gridCol w:w="1417"/>
        <w:gridCol w:w="1276"/>
        <w:gridCol w:w="709"/>
        <w:gridCol w:w="850"/>
        <w:gridCol w:w="709"/>
        <w:gridCol w:w="709"/>
        <w:gridCol w:w="850"/>
        <w:gridCol w:w="851"/>
      </w:tblGrid>
      <w:tr w:rsidR="000645BF" w:rsidRPr="000B51EE" w:rsidTr="004E444C">
        <w:tc>
          <w:tcPr>
            <w:tcW w:w="1559" w:type="dxa"/>
            <w:vMerge w:val="restart"/>
            <w:vAlign w:val="center"/>
          </w:tcPr>
          <w:p w:rsidR="000645BF" w:rsidRPr="000B51EE" w:rsidRDefault="000645BF" w:rsidP="004E444C">
            <w:pPr>
              <w:pStyle w:val="Default"/>
              <w:widowControl w:val="0"/>
              <w:jc w:val="center"/>
              <w:rPr>
                <w:rFonts w:ascii="Arial" w:hAnsi="Arial" w:cs="Arial"/>
                <w:b/>
                <w:color w:val="auto"/>
              </w:rPr>
            </w:pPr>
            <w:r w:rsidRPr="000B51EE">
              <w:rPr>
                <w:rFonts w:ascii="Arial" w:hAnsi="Arial" w:cs="Arial"/>
                <w:b/>
                <w:color w:val="auto"/>
              </w:rPr>
              <w:t>Sta</w:t>
            </w:r>
            <w:r w:rsidRPr="000B51EE">
              <w:rPr>
                <w:rFonts w:ascii="Arial" w:hAnsi="Arial" w:cs="Arial"/>
                <w:b/>
                <w:color w:val="auto"/>
                <w:lang w:val="ro-RO"/>
              </w:rPr>
              <w:t>ţ</w:t>
            </w:r>
            <w:r w:rsidRPr="000B51EE">
              <w:rPr>
                <w:rFonts w:ascii="Arial" w:hAnsi="Arial" w:cs="Arial"/>
                <w:b/>
                <w:color w:val="auto"/>
              </w:rPr>
              <w:t>ia</w:t>
            </w:r>
          </w:p>
        </w:tc>
        <w:tc>
          <w:tcPr>
            <w:tcW w:w="6520" w:type="dxa"/>
            <w:gridSpan w:val="7"/>
            <w:vAlign w:val="center"/>
          </w:tcPr>
          <w:p w:rsidR="000645BF" w:rsidRPr="000B51EE" w:rsidRDefault="000645BF" w:rsidP="004E444C">
            <w:pPr>
              <w:pStyle w:val="Default"/>
              <w:widowControl w:val="0"/>
              <w:jc w:val="center"/>
              <w:rPr>
                <w:rFonts w:ascii="Arial" w:hAnsi="Arial" w:cs="Arial"/>
                <w:b/>
                <w:color w:val="auto"/>
              </w:rPr>
            </w:pPr>
            <w:r w:rsidRPr="000B51EE">
              <w:rPr>
                <w:rFonts w:ascii="Arial" w:hAnsi="Arial" w:cs="Arial"/>
                <w:b/>
                <w:color w:val="auto"/>
              </w:rPr>
              <w:t>Număr valori zilnice peste limita zilnică / per poluant</w:t>
            </w:r>
          </w:p>
        </w:tc>
        <w:tc>
          <w:tcPr>
            <w:tcW w:w="851" w:type="dxa"/>
            <w:vMerge w:val="restart"/>
            <w:vAlign w:val="center"/>
          </w:tcPr>
          <w:p w:rsidR="000645BF" w:rsidRPr="000B51EE" w:rsidRDefault="000645BF" w:rsidP="004E444C">
            <w:pPr>
              <w:pStyle w:val="Default"/>
              <w:widowControl w:val="0"/>
              <w:jc w:val="center"/>
              <w:rPr>
                <w:rFonts w:ascii="Arial" w:hAnsi="Arial" w:cs="Arial"/>
                <w:b/>
                <w:color w:val="auto"/>
              </w:rPr>
            </w:pPr>
            <w:r w:rsidRPr="000B51EE">
              <w:rPr>
                <w:rFonts w:ascii="Arial" w:hAnsi="Arial" w:cs="Arial"/>
                <w:b/>
                <w:color w:val="auto"/>
              </w:rPr>
              <w:t>Total</w:t>
            </w:r>
          </w:p>
        </w:tc>
      </w:tr>
      <w:tr w:rsidR="000645BF" w:rsidRPr="000B51EE" w:rsidTr="004E444C">
        <w:tc>
          <w:tcPr>
            <w:tcW w:w="1559" w:type="dxa"/>
            <w:vMerge/>
          </w:tcPr>
          <w:p w:rsidR="000645BF" w:rsidRPr="000B51EE" w:rsidRDefault="000645BF" w:rsidP="004E444C">
            <w:pPr>
              <w:pStyle w:val="Default"/>
              <w:widowControl w:val="0"/>
              <w:jc w:val="center"/>
              <w:rPr>
                <w:rFonts w:ascii="Arial" w:hAnsi="Arial" w:cs="Arial"/>
                <w:b/>
                <w:color w:val="auto"/>
              </w:rPr>
            </w:pPr>
          </w:p>
        </w:tc>
        <w:tc>
          <w:tcPr>
            <w:tcW w:w="1417"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PM10 grv</w:t>
            </w:r>
          </w:p>
        </w:tc>
        <w:tc>
          <w:tcPr>
            <w:tcW w:w="1276"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PM10 nef</w:t>
            </w:r>
          </w:p>
        </w:tc>
        <w:tc>
          <w:tcPr>
            <w:tcW w:w="709"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O</w:t>
            </w:r>
            <w:r w:rsidRPr="000B51EE">
              <w:rPr>
                <w:rFonts w:ascii="Arial" w:hAnsi="Arial" w:cs="Arial"/>
                <w:b/>
                <w:color w:val="auto"/>
                <w:sz w:val="20"/>
                <w:szCs w:val="20"/>
                <w:vertAlign w:val="subscript"/>
              </w:rPr>
              <w:t>3</w:t>
            </w:r>
          </w:p>
        </w:tc>
        <w:tc>
          <w:tcPr>
            <w:tcW w:w="850"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NO</w:t>
            </w:r>
            <w:r w:rsidRPr="000B51EE">
              <w:rPr>
                <w:rFonts w:ascii="Arial" w:hAnsi="Arial" w:cs="Arial"/>
                <w:b/>
                <w:color w:val="auto"/>
                <w:sz w:val="20"/>
                <w:szCs w:val="20"/>
                <w:vertAlign w:val="subscript"/>
              </w:rPr>
              <w:t>2</w:t>
            </w:r>
          </w:p>
        </w:tc>
        <w:tc>
          <w:tcPr>
            <w:tcW w:w="709"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SO</w:t>
            </w:r>
            <w:r w:rsidRPr="000B51EE">
              <w:rPr>
                <w:rFonts w:ascii="Arial" w:hAnsi="Arial" w:cs="Arial"/>
                <w:b/>
                <w:color w:val="auto"/>
                <w:sz w:val="20"/>
                <w:szCs w:val="20"/>
                <w:vertAlign w:val="subscript"/>
              </w:rPr>
              <w:t>2</w:t>
            </w:r>
          </w:p>
        </w:tc>
        <w:tc>
          <w:tcPr>
            <w:tcW w:w="709"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CO</w:t>
            </w:r>
          </w:p>
        </w:tc>
        <w:tc>
          <w:tcPr>
            <w:tcW w:w="850" w:type="dxa"/>
            <w:vAlign w:val="center"/>
          </w:tcPr>
          <w:p w:rsidR="000645BF" w:rsidRPr="000B51EE" w:rsidRDefault="000645BF" w:rsidP="004E444C">
            <w:pPr>
              <w:pStyle w:val="Default"/>
              <w:widowControl w:val="0"/>
              <w:jc w:val="center"/>
              <w:rPr>
                <w:rFonts w:ascii="Arial" w:hAnsi="Arial" w:cs="Arial"/>
                <w:b/>
                <w:color w:val="auto"/>
                <w:sz w:val="20"/>
                <w:szCs w:val="20"/>
              </w:rPr>
            </w:pPr>
            <w:r w:rsidRPr="000B51EE">
              <w:rPr>
                <w:rFonts w:ascii="Arial" w:hAnsi="Arial" w:cs="Arial"/>
                <w:b/>
                <w:color w:val="auto"/>
                <w:sz w:val="20"/>
                <w:szCs w:val="20"/>
              </w:rPr>
              <w:t>C</w:t>
            </w:r>
            <w:r w:rsidRPr="000B51EE">
              <w:rPr>
                <w:rFonts w:ascii="Arial" w:hAnsi="Arial" w:cs="Arial"/>
                <w:b/>
                <w:color w:val="auto"/>
                <w:sz w:val="20"/>
                <w:szCs w:val="20"/>
                <w:vertAlign w:val="subscript"/>
              </w:rPr>
              <w:t>6</w:t>
            </w:r>
            <w:r w:rsidRPr="000B51EE">
              <w:rPr>
                <w:rFonts w:ascii="Arial" w:hAnsi="Arial" w:cs="Arial"/>
                <w:b/>
                <w:color w:val="auto"/>
                <w:sz w:val="20"/>
                <w:szCs w:val="20"/>
              </w:rPr>
              <w:t>H</w:t>
            </w:r>
            <w:r w:rsidRPr="000B51EE">
              <w:rPr>
                <w:rFonts w:ascii="Arial" w:hAnsi="Arial" w:cs="Arial"/>
                <w:b/>
                <w:color w:val="auto"/>
                <w:sz w:val="20"/>
                <w:szCs w:val="20"/>
                <w:vertAlign w:val="subscript"/>
              </w:rPr>
              <w:t>6</w:t>
            </w:r>
          </w:p>
        </w:tc>
        <w:tc>
          <w:tcPr>
            <w:tcW w:w="851" w:type="dxa"/>
            <w:vMerge/>
          </w:tcPr>
          <w:p w:rsidR="000645BF" w:rsidRPr="000B51EE" w:rsidRDefault="000645BF" w:rsidP="004E444C">
            <w:pPr>
              <w:pStyle w:val="Default"/>
              <w:widowControl w:val="0"/>
              <w:jc w:val="center"/>
              <w:rPr>
                <w:rFonts w:ascii="Arial" w:hAnsi="Arial" w:cs="Arial"/>
                <w:color w:val="auto"/>
              </w:rPr>
            </w:pPr>
          </w:p>
        </w:tc>
      </w:tr>
      <w:tr w:rsidR="000645BF" w:rsidRPr="000B51EE" w:rsidTr="004E444C">
        <w:tc>
          <w:tcPr>
            <w:tcW w:w="155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Staţia BR1</w:t>
            </w:r>
          </w:p>
        </w:tc>
        <w:tc>
          <w:tcPr>
            <w:tcW w:w="1417"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1</w:t>
            </w:r>
          </w:p>
        </w:tc>
        <w:tc>
          <w:tcPr>
            <w:tcW w:w="1276"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1"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1</w:t>
            </w:r>
          </w:p>
        </w:tc>
      </w:tr>
      <w:tr w:rsidR="000645BF" w:rsidRPr="000B51EE" w:rsidTr="004E444C">
        <w:tc>
          <w:tcPr>
            <w:tcW w:w="1559" w:type="dxa"/>
          </w:tcPr>
          <w:p w:rsidR="000645BF" w:rsidRPr="000B51EE" w:rsidRDefault="000645BF" w:rsidP="004E444C">
            <w:pPr>
              <w:jc w:val="center"/>
              <w:rPr>
                <w:sz w:val="24"/>
                <w:szCs w:val="24"/>
              </w:rPr>
            </w:pPr>
            <w:r w:rsidRPr="000B51EE">
              <w:rPr>
                <w:rFonts w:ascii="Arial" w:hAnsi="Arial" w:cs="Arial"/>
                <w:sz w:val="24"/>
                <w:szCs w:val="24"/>
              </w:rPr>
              <w:t>Staţia BR2</w:t>
            </w:r>
          </w:p>
        </w:tc>
        <w:tc>
          <w:tcPr>
            <w:tcW w:w="1417"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1276"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1" w:type="dxa"/>
          </w:tcPr>
          <w:p w:rsidR="000645BF" w:rsidRPr="000B51EE" w:rsidRDefault="000645BF" w:rsidP="004E444C">
            <w:pPr>
              <w:pStyle w:val="Default"/>
              <w:widowControl w:val="0"/>
              <w:jc w:val="center"/>
              <w:rPr>
                <w:rFonts w:ascii="Arial" w:hAnsi="Arial" w:cs="Arial"/>
                <w:color w:val="auto"/>
              </w:rPr>
            </w:pPr>
          </w:p>
        </w:tc>
      </w:tr>
      <w:tr w:rsidR="000645BF" w:rsidRPr="000B51EE" w:rsidTr="004E444C">
        <w:tc>
          <w:tcPr>
            <w:tcW w:w="1559" w:type="dxa"/>
          </w:tcPr>
          <w:p w:rsidR="000645BF" w:rsidRPr="000B51EE" w:rsidRDefault="000645BF" w:rsidP="004E444C">
            <w:pPr>
              <w:jc w:val="center"/>
              <w:rPr>
                <w:sz w:val="24"/>
                <w:szCs w:val="24"/>
              </w:rPr>
            </w:pPr>
            <w:r w:rsidRPr="000B51EE">
              <w:rPr>
                <w:rFonts w:ascii="Arial" w:hAnsi="Arial" w:cs="Arial"/>
                <w:sz w:val="24"/>
                <w:szCs w:val="24"/>
              </w:rPr>
              <w:t>Staţia BR3</w:t>
            </w:r>
          </w:p>
        </w:tc>
        <w:tc>
          <w:tcPr>
            <w:tcW w:w="1417"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3</w:t>
            </w:r>
          </w:p>
        </w:tc>
        <w:tc>
          <w:tcPr>
            <w:tcW w:w="1276"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5</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1"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8</w:t>
            </w:r>
          </w:p>
        </w:tc>
      </w:tr>
      <w:tr w:rsidR="000645BF" w:rsidRPr="000B51EE" w:rsidTr="004E444C">
        <w:tc>
          <w:tcPr>
            <w:tcW w:w="1559" w:type="dxa"/>
          </w:tcPr>
          <w:p w:rsidR="000645BF" w:rsidRPr="000B51EE" w:rsidRDefault="000645BF" w:rsidP="004E444C">
            <w:pPr>
              <w:jc w:val="center"/>
              <w:rPr>
                <w:sz w:val="24"/>
                <w:szCs w:val="24"/>
              </w:rPr>
            </w:pPr>
            <w:r w:rsidRPr="000B51EE">
              <w:rPr>
                <w:rFonts w:ascii="Arial" w:hAnsi="Arial" w:cs="Arial"/>
                <w:sz w:val="24"/>
                <w:szCs w:val="24"/>
              </w:rPr>
              <w:t>Staţia BR4</w:t>
            </w:r>
          </w:p>
        </w:tc>
        <w:tc>
          <w:tcPr>
            <w:tcW w:w="1417"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1276"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1" w:type="dxa"/>
          </w:tcPr>
          <w:p w:rsidR="000645BF" w:rsidRPr="000B51EE" w:rsidRDefault="000645BF" w:rsidP="004E444C">
            <w:pPr>
              <w:pStyle w:val="Default"/>
              <w:widowControl w:val="0"/>
              <w:jc w:val="center"/>
              <w:rPr>
                <w:rFonts w:ascii="Arial" w:hAnsi="Arial" w:cs="Arial"/>
                <w:color w:val="auto"/>
              </w:rPr>
            </w:pPr>
          </w:p>
        </w:tc>
      </w:tr>
      <w:tr w:rsidR="000645BF" w:rsidRPr="000B51EE" w:rsidTr="004E444C">
        <w:tc>
          <w:tcPr>
            <w:tcW w:w="1559" w:type="dxa"/>
          </w:tcPr>
          <w:p w:rsidR="000645BF" w:rsidRPr="000B51EE" w:rsidRDefault="000645BF" w:rsidP="004E444C">
            <w:pPr>
              <w:jc w:val="center"/>
              <w:rPr>
                <w:sz w:val="24"/>
                <w:szCs w:val="24"/>
              </w:rPr>
            </w:pPr>
            <w:r w:rsidRPr="000B51EE">
              <w:rPr>
                <w:rFonts w:ascii="Arial" w:hAnsi="Arial" w:cs="Arial"/>
                <w:sz w:val="24"/>
                <w:szCs w:val="24"/>
              </w:rPr>
              <w:t>Staţia BR5</w:t>
            </w:r>
          </w:p>
        </w:tc>
        <w:tc>
          <w:tcPr>
            <w:tcW w:w="1417"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1276"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3</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709"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0"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w:t>
            </w:r>
          </w:p>
        </w:tc>
        <w:tc>
          <w:tcPr>
            <w:tcW w:w="851"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3</w:t>
            </w:r>
          </w:p>
        </w:tc>
      </w:tr>
      <w:tr w:rsidR="000645BF" w:rsidRPr="000B51EE" w:rsidTr="004E444C">
        <w:tc>
          <w:tcPr>
            <w:tcW w:w="8079" w:type="dxa"/>
            <w:gridSpan w:val="8"/>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Total General</w:t>
            </w:r>
          </w:p>
        </w:tc>
        <w:tc>
          <w:tcPr>
            <w:tcW w:w="851" w:type="dxa"/>
          </w:tcPr>
          <w:p w:rsidR="000645BF" w:rsidRPr="000B51EE" w:rsidRDefault="000645BF" w:rsidP="004E444C">
            <w:pPr>
              <w:pStyle w:val="Default"/>
              <w:widowControl w:val="0"/>
              <w:jc w:val="center"/>
              <w:rPr>
                <w:rFonts w:ascii="Arial" w:hAnsi="Arial" w:cs="Arial"/>
                <w:color w:val="auto"/>
              </w:rPr>
            </w:pPr>
            <w:r w:rsidRPr="000B51EE">
              <w:rPr>
                <w:rFonts w:ascii="Arial" w:hAnsi="Arial" w:cs="Arial"/>
                <w:color w:val="auto"/>
              </w:rPr>
              <w:t>12</w:t>
            </w:r>
          </w:p>
        </w:tc>
      </w:tr>
    </w:tbl>
    <w:p w:rsidR="000645BF" w:rsidRDefault="000645BF" w:rsidP="000645BF">
      <w:pPr>
        <w:pStyle w:val="Default"/>
        <w:widowControl w:val="0"/>
        <w:ind w:firstLine="720"/>
        <w:jc w:val="both"/>
        <w:rPr>
          <w:rFonts w:ascii="Arial" w:hAnsi="Arial" w:cs="Arial"/>
          <w:highlight w:val="yellow"/>
        </w:rPr>
      </w:pPr>
    </w:p>
    <w:p w:rsidR="000645BF" w:rsidRPr="000B51EE" w:rsidRDefault="000645BF" w:rsidP="000645BF">
      <w:pPr>
        <w:pStyle w:val="Default"/>
        <w:widowControl w:val="0"/>
        <w:ind w:firstLine="720"/>
        <w:jc w:val="both"/>
        <w:rPr>
          <w:rFonts w:ascii="Arial" w:hAnsi="Arial" w:cs="Arial"/>
          <w:color w:val="auto"/>
        </w:rPr>
      </w:pPr>
      <w:r w:rsidRPr="000B51EE">
        <w:rPr>
          <w:rFonts w:ascii="Arial" w:hAnsi="Arial" w:cs="Arial"/>
          <w:color w:val="auto"/>
        </w:rPr>
        <w:t xml:space="preserve">În anul </w:t>
      </w:r>
      <w:r w:rsidRPr="000B51EE">
        <w:rPr>
          <w:rFonts w:ascii="Arial" w:hAnsi="Arial" w:cs="Arial"/>
          <w:b/>
          <w:color w:val="auto"/>
        </w:rPr>
        <w:t>2017</w:t>
      </w:r>
      <w:r>
        <w:rPr>
          <w:rFonts w:ascii="Arial" w:hAnsi="Arial" w:cs="Arial"/>
          <w:b/>
          <w:color w:val="auto"/>
        </w:rPr>
        <w:t xml:space="preserve"> </w:t>
      </w:r>
      <w:r w:rsidRPr="000B51EE">
        <w:rPr>
          <w:rFonts w:ascii="Arial" w:hAnsi="Arial" w:cs="Arial"/>
          <w:b/>
          <w:color w:val="auto"/>
        </w:rPr>
        <w:t>nu s-au depăşit valorile limită/ţintă pentru protecţia sănătăţii umane</w:t>
      </w:r>
      <w:r w:rsidRPr="000B51EE">
        <w:rPr>
          <w:rFonts w:ascii="Arial" w:hAnsi="Arial" w:cs="Arial"/>
          <w:color w:val="auto"/>
        </w:rPr>
        <w:t xml:space="preserve"> (aşa cum sunt acestea reglementate prin Legea nr. 104/2011), pentru niciunul din indicatorii de calitate a aerului monitorizaţi (PM10, O</w:t>
      </w:r>
      <w:r w:rsidRPr="000B51EE">
        <w:rPr>
          <w:rFonts w:ascii="Arial" w:hAnsi="Arial" w:cs="Arial"/>
          <w:color w:val="auto"/>
          <w:vertAlign w:val="subscript"/>
        </w:rPr>
        <w:t>3</w:t>
      </w:r>
      <w:r w:rsidRPr="000B51EE">
        <w:rPr>
          <w:rFonts w:ascii="Arial" w:hAnsi="Arial" w:cs="Arial"/>
          <w:color w:val="auto"/>
        </w:rPr>
        <w:t>, NO</w:t>
      </w:r>
      <w:r w:rsidRPr="000B51EE">
        <w:rPr>
          <w:rFonts w:ascii="Arial" w:hAnsi="Arial" w:cs="Arial"/>
          <w:color w:val="auto"/>
          <w:vertAlign w:val="subscript"/>
        </w:rPr>
        <w:t>2</w:t>
      </w:r>
      <w:r w:rsidRPr="000B51EE">
        <w:rPr>
          <w:rFonts w:ascii="Arial" w:hAnsi="Arial" w:cs="Arial"/>
          <w:color w:val="auto"/>
        </w:rPr>
        <w:t>, SO</w:t>
      </w:r>
      <w:r w:rsidRPr="000B51EE">
        <w:rPr>
          <w:rFonts w:ascii="Arial" w:hAnsi="Arial" w:cs="Arial"/>
          <w:color w:val="auto"/>
          <w:vertAlign w:val="subscript"/>
        </w:rPr>
        <w:t>2</w:t>
      </w:r>
      <w:r w:rsidRPr="000B51EE">
        <w:rPr>
          <w:rFonts w:ascii="Arial" w:hAnsi="Arial" w:cs="Arial"/>
          <w:color w:val="auto"/>
        </w:rPr>
        <w:t>, CO, C</w:t>
      </w:r>
      <w:r w:rsidRPr="000B51EE">
        <w:rPr>
          <w:rFonts w:ascii="Arial" w:hAnsi="Arial" w:cs="Arial"/>
          <w:color w:val="auto"/>
          <w:vertAlign w:val="subscript"/>
        </w:rPr>
        <w:t>6</w:t>
      </w:r>
      <w:r w:rsidRPr="000B51EE">
        <w:rPr>
          <w:rFonts w:ascii="Arial" w:hAnsi="Arial" w:cs="Arial"/>
          <w:color w:val="auto"/>
        </w:rPr>
        <w:t>H</w:t>
      </w:r>
      <w:r w:rsidRPr="000B51EE">
        <w:rPr>
          <w:rFonts w:ascii="Arial" w:hAnsi="Arial" w:cs="Arial"/>
          <w:color w:val="auto"/>
          <w:vertAlign w:val="subscript"/>
        </w:rPr>
        <w:t>6</w:t>
      </w:r>
      <w:r w:rsidRPr="000B51EE">
        <w:rPr>
          <w:rFonts w:ascii="Arial" w:hAnsi="Arial" w:cs="Arial"/>
          <w:color w:val="auto"/>
        </w:rPr>
        <w:t xml:space="preserve">) la staţiile automate de monitorizare aparţinând RNMCA, judeţul Brăila. </w:t>
      </w:r>
    </w:p>
    <w:p w:rsidR="000645BF" w:rsidRDefault="000645BF" w:rsidP="000645BF">
      <w:pPr>
        <w:tabs>
          <w:tab w:val="left" w:leader="dot" w:pos="9356"/>
        </w:tabs>
        <w:spacing w:after="0" w:line="240" w:lineRule="auto"/>
        <w:rPr>
          <w:rFonts w:ascii="Arial" w:hAnsi="Arial" w:cs="Arial"/>
          <w:b/>
          <w:sz w:val="24"/>
          <w:szCs w:val="24"/>
        </w:rPr>
      </w:pPr>
    </w:p>
    <w:p w:rsidR="000645BF" w:rsidRPr="00A3177C" w:rsidRDefault="000645BF" w:rsidP="000645BF">
      <w:pPr>
        <w:tabs>
          <w:tab w:val="left" w:leader="dot" w:pos="9356"/>
        </w:tabs>
        <w:spacing w:after="0" w:line="240" w:lineRule="auto"/>
        <w:rPr>
          <w:rFonts w:ascii="Arial" w:hAnsi="Arial" w:cs="Arial"/>
          <w:b/>
          <w:sz w:val="24"/>
          <w:szCs w:val="24"/>
        </w:rPr>
      </w:pPr>
      <w:r w:rsidRPr="00A3177C">
        <w:rPr>
          <w:rFonts w:ascii="Arial" w:hAnsi="Arial" w:cs="Arial"/>
          <w:b/>
          <w:sz w:val="24"/>
          <w:szCs w:val="24"/>
        </w:rPr>
        <w:t xml:space="preserve">              I.1.2.2. Efectele poluării aerului înconjurător asupra ecosistemelor </w:t>
      </w:r>
    </w:p>
    <w:p w:rsidR="000645BF" w:rsidRPr="00A3177C" w:rsidRDefault="000645BF" w:rsidP="000645BF">
      <w:pPr>
        <w:widowControl w:val="0"/>
        <w:spacing w:after="0" w:line="240" w:lineRule="auto"/>
        <w:ind w:firstLine="720"/>
        <w:jc w:val="both"/>
        <w:rPr>
          <w:rFonts w:ascii="Arial" w:hAnsi="Arial" w:cs="Arial"/>
          <w:sz w:val="24"/>
          <w:szCs w:val="24"/>
        </w:rPr>
      </w:pPr>
      <w:r w:rsidRPr="00A3177C">
        <w:rPr>
          <w:rFonts w:ascii="Arial" w:hAnsi="Arial" w:cs="Arial"/>
          <w:sz w:val="24"/>
          <w:szCs w:val="24"/>
        </w:rPr>
        <w:t xml:space="preserve">Efectele poluării aerului înconjurător asupra ecosistemelor sunt tratate doar la nivel naţional, în Raportul anual privind starea mediului în România (vezi site www.anpm.ro), unde sunt descrise expunerea zonelor (de culturi agricole, a zonelor cu păduri şi a zonelor cu vegetaţie) la acidifiere, eutrofizare şi la ozon (AOT40) peste valoarea ţintă pentru protecţia vegetaţiei şi respectiv peste obiectivul pe termen lung. </w:t>
      </w:r>
    </w:p>
    <w:p w:rsidR="000645BF" w:rsidRPr="00C625DB" w:rsidRDefault="000645BF" w:rsidP="000645BF">
      <w:pPr>
        <w:tabs>
          <w:tab w:val="left" w:leader="dot" w:pos="9356"/>
        </w:tabs>
        <w:spacing w:after="0" w:line="240" w:lineRule="auto"/>
        <w:rPr>
          <w:rFonts w:ascii="Arial" w:hAnsi="Arial" w:cs="Arial"/>
          <w:b/>
          <w:sz w:val="24"/>
          <w:szCs w:val="24"/>
        </w:rPr>
      </w:pPr>
    </w:p>
    <w:p w:rsidR="000645BF" w:rsidRPr="0047704D" w:rsidRDefault="000645BF" w:rsidP="000645BF">
      <w:pPr>
        <w:tabs>
          <w:tab w:val="left" w:leader="dot" w:pos="9356"/>
        </w:tabs>
        <w:spacing w:after="0" w:line="240" w:lineRule="auto"/>
        <w:rPr>
          <w:rFonts w:ascii="Arial" w:hAnsi="Arial" w:cs="Arial"/>
          <w:b/>
          <w:sz w:val="24"/>
          <w:szCs w:val="24"/>
        </w:rPr>
      </w:pPr>
      <w:r w:rsidRPr="0047704D">
        <w:rPr>
          <w:rFonts w:ascii="Arial" w:hAnsi="Arial" w:cs="Arial"/>
          <w:b/>
          <w:sz w:val="24"/>
          <w:szCs w:val="24"/>
        </w:rPr>
        <w:t xml:space="preserve">              I.1.2.3. Efectele poluării aerului înconjurător asupra solului și vegetației </w:t>
      </w:r>
    </w:p>
    <w:p w:rsidR="000645BF" w:rsidRPr="0047704D" w:rsidRDefault="000645BF" w:rsidP="000645BF">
      <w:pPr>
        <w:widowControl w:val="0"/>
        <w:spacing w:after="0" w:line="240" w:lineRule="auto"/>
        <w:ind w:firstLine="720"/>
        <w:jc w:val="both"/>
        <w:rPr>
          <w:rFonts w:ascii="Arial" w:hAnsi="Arial" w:cs="Arial"/>
          <w:sz w:val="24"/>
          <w:szCs w:val="24"/>
        </w:rPr>
      </w:pPr>
      <w:r w:rsidRPr="0047704D">
        <w:rPr>
          <w:rFonts w:ascii="Arial" w:hAnsi="Arial" w:cs="Arial"/>
          <w:sz w:val="24"/>
          <w:szCs w:val="24"/>
        </w:rPr>
        <w:t xml:space="preserve">Aceste aspecte se tratează doar la scară naţională, în Raportul anual privind starea mediului în România, fiind descrise prin: </w:t>
      </w:r>
    </w:p>
    <w:p w:rsidR="000645BF" w:rsidRPr="0047704D" w:rsidRDefault="000645BF" w:rsidP="000645BF">
      <w:pPr>
        <w:pStyle w:val="ListParagraph"/>
        <w:widowControl w:val="0"/>
        <w:numPr>
          <w:ilvl w:val="0"/>
          <w:numId w:val="6"/>
        </w:numPr>
        <w:overflowPunct w:val="0"/>
        <w:autoSpaceDE w:val="0"/>
        <w:autoSpaceDN w:val="0"/>
        <w:adjustRightInd w:val="0"/>
        <w:ind w:left="284" w:hanging="284"/>
        <w:contextualSpacing w:val="0"/>
        <w:jc w:val="both"/>
        <w:textAlignment w:val="baseline"/>
        <w:rPr>
          <w:rFonts w:ascii="Arial" w:hAnsi="Arial" w:cs="Arial"/>
        </w:rPr>
      </w:pPr>
      <w:r w:rsidRPr="0047704D">
        <w:rPr>
          <w:rFonts w:ascii="Arial" w:hAnsi="Arial" w:cs="Arial"/>
        </w:rPr>
        <w:t>încărcări critice la nutrienţi CL</w:t>
      </w:r>
      <w:r w:rsidRPr="0047704D">
        <w:rPr>
          <w:rFonts w:ascii="Arial" w:hAnsi="Arial" w:cs="Arial"/>
          <w:vertAlign w:val="subscript"/>
        </w:rPr>
        <w:t>nut</w:t>
      </w:r>
      <w:r w:rsidRPr="0047704D">
        <w:rPr>
          <w:rFonts w:ascii="Arial" w:hAnsi="Arial" w:cs="Arial"/>
        </w:rPr>
        <w:t>(N) şi acidifiere CL</w:t>
      </w:r>
      <w:r w:rsidRPr="0047704D">
        <w:rPr>
          <w:rFonts w:ascii="Arial" w:hAnsi="Arial" w:cs="Arial"/>
          <w:vertAlign w:val="subscript"/>
        </w:rPr>
        <w:t>max</w:t>
      </w:r>
      <w:r w:rsidRPr="0047704D">
        <w:rPr>
          <w:rFonts w:ascii="Arial" w:hAnsi="Arial" w:cs="Arial"/>
        </w:rPr>
        <w:t>(S) în România, pentru ecosistemul păduri. Pragul critic de aciditate este exprimat în echivalenţi de acidifiere (H</w:t>
      </w:r>
      <w:r w:rsidRPr="0047704D">
        <w:rPr>
          <w:rFonts w:ascii="Arial" w:hAnsi="Arial" w:cs="Arial"/>
          <w:vertAlign w:val="superscript"/>
        </w:rPr>
        <w:t>+</w:t>
      </w:r>
      <w:r w:rsidRPr="0047704D">
        <w:rPr>
          <w:rFonts w:ascii="Arial" w:hAnsi="Arial" w:cs="Arial"/>
        </w:rPr>
        <w:t>) pe hectar pe an (eq H</w:t>
      </w:r>
      <w:r w:rsidRPr="0047704D">
        <w:rPr>
          <w:rFonts w:ascii="Arial" w:hAnsi="Arial" w:cs="Arial"/>
          <w:vertAlign w:val="superscript"/>
        </w:rPr>
        <w:t>+</w:t>
      </w:r>
      <w:r w:rsidRPr="0047704D">
        <w:rPr>
          <w:rFonts w:ascii="Arial" w:hAnsi="Arial" w:cs="Arial"/>
        </w:rPr>
        <w:t>.ha</w:t>
      </w:r>
      <w:r w:rsidRPr="0047704D">
        <w:rPr>
          <w:rFonts w:ascii="Arial" w:hAnsi="Arial" w:cs="Arial"/>
          <w:vertAlign w:val="superscript"/>
        </w:rPr>
        <w:t>-1</w:t>
      </w:r>
      <w:r w:rsidRPr="0047704D">
        <w:rPr>
          <w:rFonts w:ascii="Arial" w:hAnsi="Arial" w:cs="Arial"/>
        </w:rPr>
        <w:t>.an</w:t>
      </w:r>
      <w:r w:rsidRPr="0047704D">
        <w:rPr>
          <w:rFonts w:ascii="Arial" w:hAnsi="Arial" w:cs="Arial"/>
          <w:vertAlign w:val="superscript"/>
        </w:rPr>
        <w:t>-1</w:t>
      </w:r>
      <w:r w:rsidRPr="0047704D">
        <w:rPr>
          <w:rFonts w:ascii="Arial" w:hAnsi="Arial" w:cs="Arial"/>
        </w:rPr>
        <w:t>). Poluanţii acidifianţi sunt oxizii de sulf şi de azot. Pragul critic de eutrofizare este exprimat în echivalenţi de eutrofizare (N) pe hectar şi an (eq N.ha</w:t>
      </w:r>
      <w:r w:rsidRPr="0047704D">
        <w:rPr>
          <w:rFonts w:ascii="Arial" w:hAnsi="Arial" w:cs="Arial"/>
          <w:vertAlign w:val="superscript"/>
        </w:rPr>
        <w:t>-1</w:t>
      </w:r>
      <w:r w:rsidRPr="0047704D">
        <w:rPr>
          <w:rFonts w:ascii="Arial" w:hAnsi="Arial" w:cs="Arial"/>
        </w:rPr>
        <w:t>.a</w:t>
      </w:r>
      <w:r w:rsidRPr="0047704D">
        <w:rPr>
          <w:rFonts w:ascii="Arial" w:hAnsi="Arial" w:cs="Arial"/>
          <w:vertAlign w:val="superscript"/>
        </w:rPr>
        <w:t>-1</w:t>
      </w:r>
      <w:r w:rsidRPr="0047704D">
        <w:rPr>
          <w:rFonts w:ascii="Arial" w:hAnsi="Arial" w:cs="Arial"/>
        </w:rPr>
        <w:t>). Poluanţii eutrofizanţi sunt oxizii de azot şi amoniacul.</w:t>
      </w:r>
    </w:p>
    <w:p w:rsidR="000645BF" w:rsidRPr="0047704D" w:rsidRDefault="000645BF" w:rsidP="000645BF">
      <w:pPr>
        <w:pStyle w:val="ListParagraph"/>
        <w:widowControl w:val="0"/>
        <w:numPr>
          <w:ilvl w:val="0"/>
          <w:numId w:val="6"/>
        </w:numPr>
        <w:overflowPunct w:val="0"/>
        <w:autoSpaceDE w:val="0"/>
        <w:autoSpaceDN w:val="0"/>
        <w:adjustRightInd w:val="0"/>
        <w:ind w:left="284" w:hanging="284"/>
        <w:contextualSpacing w:val="0"/>
        <w:jc w:val="both"/>
        <w:textAlignment w:val="baseline"/>
        <w:rPr>
          <w:rFonts w:ascii="Arial" w:hAnsi="Arial" w:cs="Arial"/>
        </w:rPr>
      </w:pPr>
      <w:r w:rsidRPr="0047704D">
        <w:rPr>
          <w:rFonts w:ascii="Arial" w:hAnsi="Arial" w:cs="Arial"/>
        </w:rPr>
        <w:t xml:space="preserve">ponderea suprafeţelor de teren supuse eutrofizării şi acidifierii în România. </w:t>
      </w:r>
    </w:p>
    <w:p w:rsidR="000645BF" w:rsidRDefault="000645BF" w:rsidP="000645BF">
      <w:pPr>
        <w:spacing w:after="0" w:line="240" w:lineRule="auto"/>
        <w:jc w:val="both"/>
        <w:rPr>
          <w:rFonts w:ascii="Arial" w:hAnsi="Arial" w:cs="Arial"/>
          <w:b/>
          <w:sz w:val="24"/>
          <w:szCs w:val="24"/>
          <w:lang w:val="fr-BE"/>
        </w:rPr>
      </w:pPr>
    </w:p>
    <w:p w:rsidR="000645BF" w:rsidRDefault="000645BF" w:rsidP="000645BF">
      <w:pPr>
        <w:spacing w:after="0" w:line="240" w:lineRule="auto"/>
        <w:jc w:val="both"/>
        <w:rPr>
          <w:rFonts w:ascii="Arial" w:hAnsi="Arial" w:cs="Arial"/>
          <w:b/>
          <w:sz w:val="24"/>
          <w:szCs w:val="24"/>
          <w:lang w:val="fr-BE"/>
        </w:rPr>
      </w:pPr>
    </w:p>
    <w:p w:rsidR="000645BF" w:rsidRPr="00E018F0" w:rsidRDefault="000645BF" w:rsidP="000645BF">
      <w:pPr>
        <w:spacing w:after="0" w:line="240" w:lineRule="auto"/>
        <w:jc w:val="both"/>
        <w:rPr>
          <w:rFonts w:ascii="Arial" w:hAnsi="Arial" w:cs="Arial"/>
          <w:b/>
          <w:sz w:val="24"/>
          <w:szCs w:val="24"/>
        </w:rPr>
      </w:pPr>
      <w:r w:rsidRPr="00E018F0">
        <w:rPr>
          <w:rFonts w:ascii="Arial" w:hAnsi="Arial" w:cs="Arial"/>
          <w:b/>
          <w:sz w:val="24"/>
          <w:szCs w:val="24"/>
          <w:lang w:val="fr-BE"/>
        </w:rPr>
        <w:t>I.2. Factorii</w:t>
      </w:r>
      <w:r w:rsidR="004E444C">
        <w:rPr>
          <w:rFonts w:ascii="Arial" w:hAnsi="Arial" w:cs="Arial"/>
          <w:b/>
          <w:sz w:val="24"/>
          <w:szCs w:val="24"/>
          <w:lang w:val="fr-BE"/>
        </w:rPr>
        <w:t xml:space="preserve"> </w:t>
      </w:r>
      <w:r w:rsidRPr="00E018F0">
        <w:rPr>
          <w:rFonts w:ascii="Arial" w:hAnsi="Arial" w:cs="Arial"/>
          <w:b/>
          <w:sz w:val="24"/>
          <w:szCs w:val="24"/>
          <w:lang w:val="fr-BE"/>
        </w:rPr>
        <w:t>determinan</w:t>
      </w:r>
      <w:r w:rsidRPr="00E018F0">
        <w:rPr>
          <w:rFonts w:ascii="Arial" w:hAnsi="Arial" w:cs="Arial"/>
          <w:b/>
          <w:sz w:val="24"/>
          <w:szCs w:val="24"/>
        </w:rPr>
        <w:t>ți și presiunile care afectează starea de calitate a aerului înconjurător</w:t>
      </w:r>
    </w:p>
    <w:p w:rsidR="000645BF" w:rsidRDefault="000645BF" w:rsidP="000645BF">
      <w:pPr>
        <w:spacing w:after="0" w:line="240" w:lineRule="auto"/>
        <w:jc w:val="both"/>
        <w:rPr>
          <w:rFonts w:ascii="Arial" w:hAnsi="Arial" w:cs="Arial"/>
          <w:b/>
          <w:i/>
          <w:sz w:val="24"/>
          <w:szCs w:val="24"/>
        </w:rPr>
      </w:pPr>
      <w:r>
        <w:rPr>
          <w:rFonts w:ascii="Arial" w:hAnsi="Arial" w:cs="Arial"/>
          <w:b/>
          <w:i/>
          <w:sz w:val="24"/>
          <w:szCs w:val="24"/>
        </w:rPr>
        <w:t xml:space="preserve">      </w:t>
      </w:r>
      <w:r w:rsidRPr="00AB2BC1">
        <w:rPr>
          <w:rFonts w:ascii="Arial" w:hAnsi="Arial" w:cs="Arial"/>
          <w:b/>
          <w:i/>
          <w:sz w:val="24"/>
          <w:szCs w:val="24"/>
        </w:rPr>
        <w:t>I.2.1. Emisiile de poluanți atmosferici și principalele surse de emisie</w:t>
      </w:r>
    </w:p>
    <w:p w:rsidR="000645BF" w:rsidRDefault="000645BF" w:rsidP="000645BF">
      <w:pPr>
        <w:spacing w:after="0" w:line="240" w:lineRule="auto"/>
        <w:jc w:val="both"/>
        <w:rPr>
          <w:rFonts w:ascii="Arial" w:hAnsi="Arial" w:cs="Arial"/>
          <w:b/>
          <w:i/>
          <w:sz w:val="24"/>
          <w:szCs w:val="24"/>
        </w:rPr>
      </w:pPr>
    </w:p>
    <w:p w:rsidR="000645BF" w:rsidRPr="00AB2BC1" w:rsidRDefault="000645BF" w:rsidP="000645BF">
      <w:pPr>
        <w:spacing w:after="0" w:line="240" w:lineRule="auto"/>
        <w:jc w:val="both"/>
        <w:rPr>
          <w:rFonts w:ascii="Arial" w:hAnsi="Arial" w:cs="Arial"/>
          <w:b/>
          <w:sz w:val="24"/>
          <w:szCs w:val="24"/>
        </w:rPr>
      </w:pPr>
      <w:r>
        <w:rPr>
          <w:rFonts w:ascii="Arial" w:hAnsi="Arial" w:cs="Arial"/>
          <w:b/>
          <w:sz w:val="24"/>
          <w:szCs w:val="24"/>
        </w:rPr>
        <w:t xml:space="preserve">          I.2.1.1.Energia</w:t>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 xml:space="preserve">            </w:t>
      </w:r>
      <w:r w:rsidRPr="004047AB">
        <w:rPr>
          <w:rFonts w:ascii="Arial" w:hAnsi="Arial" w:cs="Arial"/>
          <w:sz w:val="24"/>
          <w:szCs w:val="24"/>
        </w:rPr>
        <w:t>Cod indicator România RO 01</w:t>
      </w:r>
    </w:p>
    <w:p w:rsidR="000645BF" w:rsidRPr="004047AB" w:rsidRDefault="000645BF" w:rsidP="000645BF">
      <w:pPr>
        <w:spacing w:after="0" w:line="240" w:lineRule="auto"/>
        <w:jc w:val="both"/>
        <w:rPr>
          <w:rFonts w:ascii="Arial" w:hAnsi="Arial" w:cs="Arial"/>
          <w:sz w:val="24"/>
          <w:szCs w:val="24"/>
        </w:rPr>
      </w:pPr>
      <w:r>
        <w:rPr>
          <w:rFonts w:ascii="Arial" w:hAnsi="Arial" w:cs="Arial"/>
          <w:sz w:val="24"/>
          <w:szCs w:val="24"/>
        </w:rPr>
        <w:t xml:space="preserve"> </w:t>
      </w:r>
    </w:p>
    <w:p w:rsidR="000645BF" w:rsidRPr="00AD13F7" w:rsidRDefault="000645BF" w:rsidP="000645BF">
      <w:pPr>
        <w:spacing w:after="0" w:line="240" w:lineRule="auto"/>
        <w:jc w:val="both"/>
        <w:rPr>
          <w:rFonts w:ascii="Arial" w:hAnsi="Arial" w:cs="Arial"/>
          <w:b/>
          <w:sz w:val="24"/>
          <w:szCs w:val="24"/>
        </w:rPr>
      </w:pPr>
      <w:r>
        <w:rPr>
          <w:rFonts w:ascii="Arial" w:hAnsi="Arial" w:cs="Arial"/>
          <w:sz w:val="24"/>
          <w:szCs w:val="24"/>
        </w:rPr>
        <w:t xml:space="preserve">      </w:t>
      </w:r>
      <w:r w:rsidRPr="00AD13F7">
        <w:rPr>
          <w:rFonts w:ascii="Arial" w:hAnsi="Arial" w:cs="Arial"/>
          <w:b/>
          <w:sz w:val="24"/>
          <w:szCs w:val="24"/>
        </w:rPr>
        <w:t>Emisiile de substanțe</w:t>
      </w:r>
      <w:r w:rsidR="004E444C">
        <w:rPr>
          <w:rFonts w:ascii="Arial" w:hAnsi="Arial" w:cs="Arial"/>
          <w:b/>
          <w:sz w:val="24"/>
          <w:szCs w:val="24"/>
        </w:rPr>
        <w:t xml:space="preserve"> </w:t>
      </w:r>
      <w:r w:rsidRPr="00AD13F7">
        <w:rPr>
          <w:rFonts w:ascii="Arial" w:hAnsi="Arial" w:cs="Arial"/>
          <w:b/>
          <w:sz w:val="24"/>
          <w:szCs w:val="24"/>
        </w:rPr>
        <w:t>acidifiante</w:t>
      </w:r>
    </w:p>
    <w:p w:rsidR="000645BF" w:rsidRDefault="000645BF" w:rsidP="000645BF">
      <w:pPr>
        <w:spacing w:after="0" w:line="240" w:lineRule="auto"/>
        <w:ind w:firstLine="720"/>
        <w:jc w:val="both"/>
        <w:rPr>
          <w:rFonts w:ascii="Arial" w:hAnsi="Arial" w:cs="Arial"/>
          <w:sz w:val="24"/>
          <w:szCs w:val="24"/>
          <w:lang w:val="fr-BE"/>
        </w:rPr>
      </w:pPr>
      <w:r w:rsidRPr="004047AB">
        <w:rPr>
          <w:rFonts w:ascii="Arial" w:hAnsi="Arial" w:cs="Arial"/>
          <w:sz w:val="24"/>
          <w:szCs w:val="24"/>
        </w:rPr>
        <w:t>Indicatorul</w:t>
      </w:r>
      <w:r>
        <w:rPr>
          <w:rFonts w:ascii="Arial" w:hAnsi="Arial" w:cs="Arial"/>
          <w:sz w:val="24"/>
          <w:szCs w:val="24"/>
        </w:rPr>
        <w:t xml:space="preserve"> </w:t>
      </w:r>
      <w:r w:rsidRPr="004047AB">
        <w:rPr>
          <w:rFonts w:ascii="Arial" w:hAnsi="Arial" w:cs="Arial"/>
          <w:sz w:val="24"/>
          <w:szCs w:val="24"/>
        </w:rPr>
        <w:t>urmărește</w:t>
      </w:r>
      <w:r>
        <w:rPr>
          <w:rFonts w:ascii="Arial" w:hAnsi="Arial" w:cs="Arial"/>
          <w:sz w:val="24"/>
          <w:szCs w:val="24"/>
        </w:rPr>
        <w:t xml:space="preserve"> </w:t>
      </w:r>
      <w:r w:rsidRPr="004047AB">
        <w:rPr>
          <w:rFonts w:ascii="Arial" w:hAnsi="Arial" w:cs="Arial"/>
          <w:sz w:val="24"/>
          <w:szCs w:val="24"/>
        </w:rPr>
        <w:t>tendințele</w:t>
      </w:r>
      <w:r>
        <w:rPr>
          <w:rFonts w:ascii="Arial" w:hAnsi="Arial" w:cs="Arial"/>
          <w:sz w:val="24"/>
          <w:szCs w:val="24"/>
        </w:rPr>
        <w:t xml:space="preserve"> </w:t>
      </w:r>
      <w:r w:rsidRPr="004047AB">
        <w:rPr>
          <w:rFonts w:ascii="Arial" w:hAnsi="Arial" w:cs="Arial"/>
          <w:sz w:val="24"/>
          <w:szCs w:val="24"/>
        </w:rPr>
        <w:t>emisiilor</w:t>
      </w:r>
      <w:r>
        <w:rPr>
          <w:rFonts w:ascii="Arial" w:hAnsi="Arial" w:cs="Arial"/>
          <w:sz w:val="24"/>
          <w:szCs w:val="24"/>
        </w:rPr>
        <w:t xml:space="preserve"> </w:t>
      </w:r>
      <w:r w:rsidRPr="004047AB">
        <w:rPr>
          <w:rFonts w:ascii="Arial" w:hAnsi="Arial" w:cs="Arial"/>
          <w:sz w:val="24"/>
          <w:szCs w:val="24"/>
        </w:rPr>
        <w:t>antropice ale substanțelor</w:t>
      </w:r>
      <w:r>
        <w:rPr>
          <w:rFonts w:ascii="Arial" w:hAnsi="Arial" w:cs="Arial"/>
          <w:sz w:val="24"/>
          <w:szCs w:val="24"/>
        </w:rPr>
        <w:t xml:space="preserve"> </w:t>
      </w:r>
      <w:r w:rsidRPr="004047AB">
        <w:rPr>
          <w:rFonts w:ascii="Arial" w:hAnsi="Arial" w:cs="Arial"/>
          <w:sz w:val="24"/>
          <w:szCs w:val="24"/>
        </w:rPr>
        <w:t>acidifiante :oxizi de azot (NOx), amoniac (NH</w:t>
      </w:r>
      <w:r w:rsidRPr="004047AB">
        <w:rPr>
          <w:rFonts w:ascii="Arial" w:hAnsi="Arial" w:cs="Arial"/>
          <w:sz w:val="24"/>
          <w:szCs w:val="24"/>
          <w:vertAlign w:val="subscript"/>
        </w:rPr>
        <w:t>3</w:t>
      </w:r>
      <w:r w:rsidRPr="004047AB">
        <w:rPr>
          <w:rFonts w:ascii="Arial" w:hAnsi="Arial" w:cs="Arial"/>
          <w:sz w:val="24"/>
          <w:szCs w:val="24"/>
        </w:rPr>
        <w:t>) și</w:t>
      </w:r>
      <w:r>
        <w:rPr>
          <w:rFonts w:ascii="Arial" w:hAnsi="Arial" w:cs="Arial"/>
          <w:sz w:val="24"/>
          <w:szCs w:val="24"/>
        </w:rPr>
        <w:t xml:space="preserve"> </w:t>
      </w:r>
      <w:r w:rsidRPr="004047AB">
        <w:rPr>
          <w:rFonts w:ascii="Arial" w:hAnsi="Arial" w:cs="Arial"/>
          <w:sz w:val="24"/>
          <w:szCs w:val="24"/>
        </w:rPr>
        <w:t>oxizi de sulf (SOx, SO</w:t>
      </w:r>
      <w:r w:rsidRPr="004047AB">
        <w:rPr>
          <w:rFonts w:ascii="Arial" w:hAnsi="Arial" w:cs="Arial"/>
          <w:sz w:val="24"/>
          <w:szCs w:val="24"/>
          <w:vertAlign w:val="subscript"/>
        </w:rPr>
        <w:t>2</w:t>
      </w:r>
      <w:r w:rsidRPr="004047AB">
        <w:rPr>
          <w:rFonts w:ascii="Arial" w:hAnsi="Arial" w:cs="Arial"/>
          <w:sz w:val="24"/>
          <w:szCs w:val="24"/>
        </w:rPr>
        <w:t xml:space="preserve">). </w:t>
      </w:r>
      <w:r>
        <w:rPr>
          <w:rFonts w:ascii="Arial" w:hAnsi="Arial" w:cs="Arial"/>
          <w:sz w:val="24"/>
          <w:szCs w:val="24"/>
          <w:lang w:val="fr-BE"/>
        </w:rPr>
        <w:t>Principalele sectoare sursă de emisii de substanțe acidifiante sunt: producția și distribuți aenergiei, utlizarea energiei în industrie, procesele industriale, transportul rutier, nerutier, sectorul comercial, industrial.</w:t>
      </w:r>
    </w:p>
    <w:p w:rsidR="000645BF" w:rsidRPr="00C82BD6" w:rsidRDefault="000645BF" w:rsidP="000645BF">
      <w:pPr>
        <w:tabs>
          <w:tab w:val="num" w:pos="0"/>
        </w:tabs>
        <w:spacing w:after="0" w:line="240" w:lineRule="auto"/>
        <w:jc w:val="both"/>
        <w:rPr>
          <w:rFonts w:ascii="Arial" w:hAnsi="Arial" w:cs="Arial"/>
          <w:sz w:val="24"/>
          <w:szCs w:val="24"/>
        </w:rPr>
      </w:pPr>
      <w:r>
        <w:rPr>
          <w:rFonts w:ascii="Arial" w:hAnsi="Arial" w:cs="Arial"/>
          <w:sz w:val="24"/>
          <w:szCs w:val="24"/>
        </w:rPr>
        <w:tab/>
      </w:r>
      <w:r w:rsidRPr="00C82BD6">
        <w:rPr>
          <w:rFonts w:ascii="Arial" w:hAnsi="Arial" w:cs="Arial"/>
          <w:sz w:val="24"/>
          <w:szCs w:val="24"/>
        </w:rPr>
        <w:t>Acidifierea este procesul de modificare a caracterului chimic natural al unui component al mediului, conducând la modificarea pH-ului aerului, precipitaţiilor şi chiar al solului.</w:t>
      </w:r>
    </w:p>
    <w:p w:rsidR="000645BF" w:rsidRPr="005B44FF" w:rsidRDefault="000645BF" w:rsidP="000645BF">
      <w:pPr>
        <w:spacing w:after="0" w:line="240" w:lineRule="auto"/>
        <w:ind w:firstLine="720"/>
        <w:jc w:val="both"/>
        <w:rPr>
          <w:rFonts w:ascii="Arial" w:hAnsi="Arial" w:cs="Arial"/>
          <w:sz w:val="24"/>
          <w:szCs w:val="24"/>
        </w:rPr>
      </w:pPr>
      <w:r w:rsidRPr="00C82BD6">
        <w:rPr>
          <w:rFonts w:ascii="Arial" w:hAnsi="Arial" w:cs="Arial"/>
          <w:bCs/>
          <w:sz w:val="24"/>
          <w:szCs w:val="24"/>
        </w:rPr>
        <w:lastRenderedPageBreak/>
        <w:t xml:space="preserve">Acidifierea atmosferei este produsă de transformarea emisiilor de </w:t>
      </w:r>
      <w:r w:rsidRPr="00C82BD6">
        <w:rPr>
          <w:rFonts w:ascii="Arial" w:hAnsi="Arial" w:cs="Arial"/>
          <w:sz w:val="24"/>
          <w:szCs w:val="24"/>
        </w:rPr>
        <w:t>oxizii de sulf, oxizii de azot şi amoniac</w:t>
      </w:r>
      <w:r w:rsidRPr="00C82BD6">
        <w:rPr>
          <w:rFonts w:ascii="Arial" w:hAnsi="Arial" w:cs="Arial"/>
          <w:b/>
          <w:sz w:val="24"/>
          <w:szCs w:val="24"/>
        </w:rPr>
        <w:t xml:space="preserve"> în substanţe acide. </w:t>
      </w:r>
      <w:r w:rsidRPr="00C82BD6">
        <w:rPr>
          <w:rFonts w:ascii="Arial" w:hAnsi="Arial" w:cs="Arial"/>
          <w:bCs/>
          <w:sz w:val="24"/>
          <w:szCs w:val="24"/>
        </w:rPr>
        <w:t>Efectul sinergic al acestor poluanţi are un impact semnificativ asupra factorilor de mediu: aer, apă şi sol</w:t>
      </w:r>
      <w:r>
        <w:rPr>
          <w:rFonts w:ascii="Arial" w:hAnsi="Arial" w:cs="Arial"/>
          <w:bCs/>
          <w:sz w:val="24"/>
          <w:szCs w:val="24"/>
        </w:rPr>
        <w:t>.</w:t>
      </w:r>
    </w:p>
    <w:p w:rsidR="000645BF" w:rsidRDefault="000645BF" w:rsidP="000645BF">
      <w:pPr>
        <w:spacing w:after="0" w:line="240" w:lineRule="auto"/>
        <w:jc w:val="both"/>
        <w:rPr>
          <w:rFonts w:ascii="Arial" w:hAnsi="Arial" w:cs="Arial"/>
          <w:b/>
          <w:color w:val="FF0000"/>
          <w:sz w:val="24"/>
          <w:szCs w:val="24"/>
        </w:rPr>
      </w:pP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Fig.nr.I.2.1-1</w:t>
      </w:r>
    </w:p>
    <w:p w:rsidR="000645BF" w:rsidRDefault="000645BF" w:rsidP="000645BF">
      <w:pPr>
        <w:tabs>
          <w:tab w:val="left" w:pos="2528"/>
        </w:tabs>
        <w:jc w:val="center"/>
        <w:rPr>
          <w:rFonts w:ascii="Arial" w:hAnsi="Arial" w:cs="Arial"/>
          <w:sz w:val="24"/>
          <w:szCs w:val="24"/>
        </w:rPr>
      </w:pPr>
      <w:r w:rsidRPr="009E1F57">
        <w:rPr>
          <w:rFonts w:ascii="Arial" w:hAnsi="Arial" w:cs="Arial"/>
          <w:noProof/>
          <w:sz w:val="24"/>
          <w:szCs w:val="24"/>
        </w:rPr>
        <w:drawing>
          <wp:inline distT="0" distB="0" distL="0" distR="0">
            <wp:extent cx="4710223" cy="2200939"/>
            <wp:effectExtent l="0" t="0" r="0" b="889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45BF" w:rsidRPr="00263640" w:rsidRDefault="000645BF" w:rsidP="000645BF">
      <w:pPr>
        <w:spacing w:after="0" w:line="240" w:lineRule="auto"/>
        <w:jc w:val="both"/>
        <w:rPr>
          <w:rFonts w:ascii="Arial" w:hAnsi="Arial" w:cs="Arial"/>
          <w:sz w:val="24"/>
          <w:szCs w:val="24"/>
        </w:rPr>
      </w:pPr>
      <w:r w:rsidRPr="00263640">
        <w:rPr>
          <w:rFonts w:ascii="Arial" w:hAnsi="Arial" w:cs="Arial"/>
          <w:sz w:val="24"/>
          <w:szCs w:val="24"/>
        </w:rPr>
        <w:t>Cod indicator România RO 02</w:t>
      </w:r>
    </w:p>
    <w:p w:rsidR="000645BF" w:rsidRPr="00263640" w:rsidRDefault="000645BF" w:rsidP="000645BF">
      <w:pPr>
        <w:spacing w:after="0" w:line="240" w:lineRule="auto"/>
        <w:jc w:val="both"/>
        <w:rPr>
          <w:rFonts w:ascii="Arial" w:hAnsi="Arial" w:cs="Arial"/>
          <w:sz w:val="24"/>
          <w:szCs w:val="24"/>
        </w:rPr>
      </w:pPr>
      <w:r w:rsidRPr="00263640">
        <w:rPr>
          <w:rFonts w:ascii="Arial" w:hAnsi="Arial" w:cs="Arial"/>
          <w:sz w:val="24"/>
          <w:szCs w:val="24"/>
        </w:rPr>
        <w:t>Emisiile de precursori ai ozonului</w:t>
      </w:r>
    </w:p>
    <w:p w:rsidR="000645BF" w:rsidRDefault="000645BF" w:rsidP="000645BF">
      <w:pPr>
        <w:rPr>
          <w:rFonts w:ascii="Arial" w:hAnsi="Arial" w:cs="Arial"/>
          <w:sz w:val="24"/>
          <w:szCs w:val="24"/>
        </w:rPr>
      </w:pPr>
      <w:r w:rsidRPr="00263640">
        <w:rPr>
          <w:rFonts w:ascii="Arial" w:hAnsi="Arial" w:cs="Arial"/>
          <w:sz w:val="24"/>
          <w:szCs w:val="24"/>
        </w:rPr>
        <w:t>Indicatorul urmărește tendințele emisiilor antropice de pol</w:t>
      </w:r>
      <w:r w:rsidRPr="00E018F0">
        <w:rPr>
          <w:rFonts w:ascii="Arial" w:hAnsi="Arial" w:cs="Arial"/>
          <w:sz w:val="24"/>
          <w:szCs w:val="24"/>
        </w:rPr>
        <w:t>uanți precursori ai ozonului: oxizi de azot (NOx), monoxid de carbon (CO), metan(CH</w:t>
      </w:r>
      <w:r w:rsidRPr="00E018F0">
        <w:rPr>
          <w:rFonts w:ascii="Arial" w:hAnsi="Arial" w:cs="Arial"/>
          <w:sz w:val="24"/>
          <w:szCs w:val="24"/>
          <w:vertAlign w:val="subscript"/>
        </w:rPr>
        <w:t>4</w:t>
      </w:r>
      <w:r w:rsidRPr="00E018F0">
        <w:rPr>
          <w:rFonts w:ascii="Arial" w:hAnsi="Arial" w:cs="Arial"/>
          <w:sz w:val="24"/>
          <w:szCs w:val="24"/>
        </w:rPr>
        <w:t>) și compuși organici volatili nemetanici(COVNM) proveniți din: producția și distribuția energiei, utilizarea energiei în industrie, procesele industriale, transportul rutier, nerutier, sectorul comercial, industrial.</w:t>
      </w: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 nr.I.2.1-2</w:t>
      </w:r>
    </w:p>
    <w:p w:rsidR="000645BF" w:rsidRDefault="000645BF" w:rsidP="000645BF">
      <w:pPr>
        <w:ind w:firstLine="720"/>
        <w:rPr>
          <w:rFonts w:ascii="Arial" w:hAnsi="Arial" w:cs="Arial"/>
          <w:sz w:val="24"/>
          <w:szCs w:val="24"/>
        </w:rPr>
      </w:pPr>
      <w:r w:rsidRPr="0026738F">
        <w:rPr>
          <w:rFonts w:ascii="Arial" w:hAnsi="Arial" w:cs="Arial"/>
          <w:noProof/>
          <w:sz w:val="24"/>
          <w:szCs w:val="24"/>
        </w:rPr>
        <w:drawing>
          <wp:inline distT="0" distB="0" distL="0" distR="0">
            <wp:extent cx="5838825" cy="2286000"/>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45BF" w:rsidRDefault="000645BF" w:rsidP="000645BF">
      <w:pPr>
        <w:spacing w:after="0" w:line="240" w:lineRule="auto"/>
        <w:rPr>
          <w:rFonts w:ascii="Arial" w:hAnsi="Arial" w:cs="Arial"/>
          <w:sz w:val="24"/>
          <w:szCs w:val="24"/>
        </w:rPr>
      </w:pPr>
      <w:r w:rsidRPr="00C82BD6">
        <w:rPr>
          <w:rFonts w:ascii="Arial" w:hAnsi="Arial" w:cs="Arial"/>
          <w:sz w:val="24"/>
          <w:szCs w:val="24"/>
        </w:rPr>
        <w:t>Emisiile de oxizi de azot provin în pri</w:t>
      </w:r>
      <w:r>
        <w:rPr>
          <w:rFonts w:ascii="Arial" w:hAnsi="Arial" w:cs="Arial"/>
          <w:sz w:val="24"/>
          <w:szCs w:val="24"/>
        </w:rPr>
        <w:t>ncipal din</w:t>
      </w:r>
      <w:r w:rsidRPr="00C82BD6">
        <w:rPr>
          <w:rFonts w:ascii="Arial" w:hAnsi="Arial" w:cs="Arial"/>
          <w:sz w:val="24"/>
          <w:szCs w:val="24"/>
        </w:rPr>
        <w:t xml:space="preserve"> traficul rutier</w:t>
      </w:r>
      <w:r>
        <w:rPr>
          <w:rFonts w:ascii="Arial" w:hAnsi="Arial" w:cs="Arial"/>
          <w:sz w:val="24"/>
          <w:szCs w:val="24"/>
        </w:rPr>
        <w:t>, din industria energetică</w:t>
      </w:r>
      <w:r w:rsidRPr="00C82BD6">
        <w:rPr>
          <w:rFonts w:ascii="Arial" w:hAnsi="Arial" w:cs="Arial"/>
          <w:sz w:val="24"/>
          <w:szCs w:val="24"/>
        </w:rPr>
        <w:t xml:space="preserve"> şi din industria de prelucrare.</w:t>
      </w:r>
    </w:p>
    <w:p w:rsidR="000645BF" w:rsidRPr="00A15B8A" w:rsidRDefault="000645BF" w:rsidP="000645BF">
      <w:pPr>
        <w:pStyle w:val="BodyTextIndent"/>
        <w:spacing w:after="0" w:line="240" w:lineRule="auto"/>
        <w:ind w:left="0"/>
        <w:rPr>
          <w:rFonts w:ascii="Arial" w:hAnsi="Arial" w:cs="Arial"/>
          <w:sz w:val="24"/>
          <w:szCs w:val="24"/>
        </w:rPr>
      </w:pPr>
      <w:r w:rsidRPr="00A15B8A">
        <w:rPr>
          <w:rFonts w:ascii="Arial" w:hAnsi="Arial" w:cs="Arial"/>
          <w:sz w:val="24"/>
          <w:szCs w:val="24"/>
        </w:rPr>
        <w:t>Compuşii organici volatili (COV) sunt compuşi chimici care au o presiune a vaporilor crescută, de unde rezultă volatilitatea lor ridicată.</w:t>
      </w:r>
    </w:p>
    <w:p w:rsidR="000645BF" w:rsidRPr="00A15B8A" w:rsidRDefault="000645BF" w:rsidP="000645BF">
      <w:pPr>
        <w:pStyle w:val="BodyTextIndent"/>
        <w:spacing w:after="0" w:line="240" w:lineRule="auto"/>
        <w:ind w:left="0"/>
        <w:rPr>
          <w:rFonts w:ascii="Arial" w:hAnsi="Arial" w:cs="Arial"/>
          <w:sz w:val="24"/>
          <w:szCs w:val="24"/>
        </w:rPr>
      </w:pPr>
      <w:r w:rsidRPr="00A15B8A">
        <w:rPr>
          <w:rFonts w:ascii="Arial" w:hAnsi="Arial" w:cs="Arial"/>
          <w:sz w:val="24"/>
          <w:szCs w:val="24"/>
        </w:rPr>
        <w:t xml:space="preserve">Aceste emisii sunt generate preponderent din activităţile de extractie, de stocare şi distribuţie a combustibililor fosili. </w:t>
      </w:r>
    </w:p>
    <w:p w:rsidR="000645BF" w:rsidRDefault="000645BF" w:rsidP="000645BF">
      <w:pPr>
        <w:spacing w:after="0" w:line="240" w:lineRule="auto"/>
        <w:jc w:val="both"/>
        <w:rPr>
          <w:rFonts w:ascii="Arial" w:hAnsi="Arial" w:cs="Arial"/>
          <w:sz w:val="24"/>
          <w:szCs w:val="24"/>
        </w:rPr>
      </w:pPr>
    </w:p>
    <w:p w:rsidR="000645BF" w:rsidRPr="00865683" w:rsidRDefault="000645BF" w:rsidP="000645BF">
      <w:pPr>
        <w:spacing w:after="0" w:line="240" w:lineRule="auto"/>
        <w:jc w:val="both"/>
        <w:rPr>
          <w:rFonts w:ascii="Arial" w:hAnsi="Arial" w:cs="Arial"/>
          <w:sz w:val="24"/>
          <w:szCs w:val="24"/>
        </w:rPr>
      </w:pPr>
      <w:r w:rsidRPr="00865683">
        <w:rPr>
          <w:rFonts w:ascii="Arial" w:hAnsi="Arial" w:cs="Arial"/>
          <w:sz w:val="24"/>
          <w:szCs w:val="24"/>
        </w:rPr>
        <w:t>Cod indicator România RO 03</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primareșiprecursorisecundari de particule</w:t>
      </w:r>
    </w:p>
    <w:p w:rsidR="000645BF"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Indicatorulurmăreștetendințeleemisiilor de particule primarecudiametrul mai mic de 2,5µm (PM</w:t>
      </w:r>
      <w:r w:rsidRPr="00AC7ABD">
        <w:rPr>
          <w:rFonts w:ascii="Arial" w:hAnsi="Arial" w:cs="Arial"/>
          <w:sz w:val="24"/>
          <w:szCs w:val="24"/>
          <w:vertAlign w:val="subscript"/>
          <w:lang w:val="fr-BE"/>
        </w:rPr>
        <w:t>2,5</w:t>
      </w:r>
      <w:r>
        <w:rPr>
          <w:rFonts w:ascii="Arial" w:hAnsi="Arial" w:cs="Arial"/>
          <w:sz w:val="24"/>
          <w:szCs w:val="24"/>
          <w:lang w:val="fr-BE"/>
        </w:rPr>
        <w:t>) șirespectiv 10µm (PM</w:t>
      </w:r>
      <w:r>
        <w:rPr>
          <w:rFonts w:ascii="Arial" w:hAnsi="Arial" w:cs="Arial"/>
          <w:sz w:val="24"/>
          <w:szCs w:val="24"/>
          <w:vertAlign w:val="subscript"/>
          <w:lang w:val="fr-BE"/>
        </w:rPr>
        <w:t>10</w:t>
      </w:r>
      <w:r>
        <w:rPr>
          <w:rFonts w:ascii="Arial" w:hAnsi="Arial" w:cs="Arial"/>
          <w:sz w:val="24"/>
          <w:szCs w:val="24"/>
          <w:lang w:val="fr-BE"/>
        </w:rPr>
        <w:t>) provenite de la surseleantropicepesectoare de sursă: producțiașidistribuțiaenergiei, utilizareaenergieîn industrie, proceseleindustriale, transportulrutier, nerutier, sectorulcomercial, industrial.</w:t>
      </w:r>
    </w:p>
    <w:p w:rsidR="000645BF" w:rsidRDefault="000645BF" w:rsidP="000645BF">
      <w:pPr>
        <w:spacing w:after="0" w:line="240" w:lineRule="auto"/>
        <w:jc w:val="both"/>
        <w:rPr>
          <w:rFonts w:ascii="Arial" w:hAnsi="Arial" w:cs="Arial"/>
          <w:b/>
          <w:color w:val="FF0000"/>
          <w:sz w:val="24"/>
          <w:szCs w:val="24"/>
        </w:rPr>
      </w:pP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 nr.I.2.1-</w:t>
      </w:r>
      <w:r>
        <w:rPr>
          <w:rFonts w:ascii="Arial" w:hAnsi="Arial" w:cs="Arial"/>
          <w:b/>
          <w:sz w:val="24"/>
          <w:szCs w:val="24"/>
        </w:rPr>
        <w:t xml:space="preserve"> </w:t>
      </w:r>
      <w:r w:rsidRPr="00ED79A5">
        <w:rPr>
          <w:rFonts w:ascii="Arial" w:hAnsi="Arial" w:cs="Arial"/>
          <w:b/>
          <w:sz w:val="24"/>
          <w:szCs w:val="24"/>
        </w:rPr>
        <w:t>3</w:t>
      </w:r>
    </w:p>
    <w:p w:rsidR="000645BF" w:rsidRDefault="000645BF" w:rsidP="000645BF">
      <w:pPr>
        <w:tabs>
          <w:tab w:val="left" w:pos="2043"/>
        </w:tabs>
        <w:jc w:val="center"/>
        <w:rPr>
          <w:rFonts w:ascii="Arial" w:hAnsi="Arial" w:cs="Arial"/>
          <w:sz w:val="24"/>
          <w:szCs w:val="24"/>
        </w:rPr>
      </w:pPr>
      <w:r w:rsidRPr="00900E48">
        <w:rPr>
          <w:rFonts w:ascii="Arial" w:hAnsi="Arial" w:cs="Arial"/>
          <w:noProof/>
          <w:sz w:val="24"/>
          <w:szCs w:val="24"/>
        </w:rPr>
        <w:lastRenderedPageBreak/>
        <w:drawing>
          <wp:inline distT="0" distB="0" distL="0" distR="0">
            <wp:extent cx="5038725" cy="241935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indicator România RO 38</w:t>
      </w:r>
    </w:p>
    <w:p w:rsidR="000645BF" w:rsidRDefault="000645BF" w:rsidP="000645BF">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metale grele</w:t>
      </w:r>
    </w:p>
    <w:p w:rsidR="000645BF"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Indicatorul urmărește tendințele emisiilor antropice pe sectoare de activitate: producția și distribuția energiei, utilizarea energiei în industrie, procesele industriale, transportul rutier, nerutier, sectorul comercial, industrial.</w:t>
      </w:r>
    </w:p>
    <w:p w:rsidR="000645BF" w:rsidRDefault="000645BF" w:rsidP="000645BF">
      <w:pPr>
        <w:spacing w:after="0" w:line="240" w:lineRule="auto"/>
        <w:rPr>
          <w:rFonts w:ascii="Arial" w:hAnsi="Arial" w:cs="Arial"/>
          <w:b/>
          <w:color w:val="FF0000"/>
          <w:sz w:val="24"/>
          <w:szCs w:val="24"/>
        </w:rPr>
      </w:pPr>
      <w:r w:rsidRPr="00334127">
        <w:rPr>
          <w:rFonts w:ascii="Arial" w:hAnsi="Arial" w:cs="Arial"/>
          <w:sz w:val="24"/>
          <w:szCs w:val="24"/>
        </w:rPr>
        <w:t xml:space="preserve">Principalele activităţi generatoare de emisii cu conţinut de metale grele </w:t>
      </w:r>
      <w:r>
        <w:rPr>
          <w:rFonts w:ascii="Arial" w:hAnsi="Arial" w:cs="Arial"/>
          <w:sz w:val="24"/>
          <w:szCs w:val="24"/>
        </w:rPr>
        <w:t>sunt traficul naval,</w:t>
      </w:r>
      <w:r w:rsidRPr="00334127">
        <w:rPr>
          <w:rFonts w:ascii="Arial" w:hAnsi="Arial" w:cs="Arial"/>
          <w:sz w:val="24"/>
          <w:szCs w:val="24"/>
        </w:rPr>
        <w:t xml:space="preserve"> traficul rutier</w:t>
      </w:r>
      <w:r>
        <w:rPr>
          <w:rFonts w:ascii="Arial" w:hAnsi="Arial" w:cs="Arial"/>
          <w:sz w:val="24"/>
          <w:szCs w:val="24"/>
        </w:rPr>
        <w:t>.</w:t>
      </w:r>
    </w:p>
    <w:p w:rsidR="000645BF" w:rsidRPr="00ED79A5" w:rsidRDefault="000645BF" w:rsidP="000645BF">
      <w:pPr>
        <w:spacing w:after="0" w:line="240" w:lineRule="auto"/>
        <w:jc w:val="both"/>
        <w:rPr>
          <w:rFonts w:ascii="Arial" w:hAnsi="Arial" w:cs="Arial"/>
          <w:sz w:val="24"/>
          <w:szCs w:val="24"/>
        </w:rPr>
      </w:pPr>
      <w:r>
        <w:rPr>
          <w:rFonts w:ascii="Arial" w:hAnsi="Arial" w:cs="Arial"/>
          <w:b/>
          <w:sz w:val="24"/>
          <w:szCs w:val="24"/>
        </w:rPr>
        <w:t xml:space="preserve">         </w:t>
      </w:r>
      <w:r w:rsidRPr="00ED79A5">
        <w:rPr>
          <w:rFonts w:ascii="Arial" w:hAnsi="Arial" w:cs="Arial"/>
          <w:b/>
          <w:sz w:val="24"/>
          <w:szCs w:val="24"/>
        </w:rPr>
        <w:t>Fig. nr.I.2.1- 4</w:t>
      </w:r>
    </w:p>
    <w:p w:rsidR="000645BF" w:rsidRDefault="000645BF" w:rsidP="000645BF">
      <w:pPr>
        <w:tabs>
          <w:tab w:val="left" w:pos="1490"/>
        </w:tabs>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575310</wp:posOffset>
            </wp:positionH>
            <wp:positionV relativeFrom="paragraph">
              <wp:posOffset>142240</wp:posOffset>
            </wp:positionV>
            <wp:extent cx="4972050" cy="2590800"/>
            <wp:effectExtent l="19050" t="0" r="0"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Arial" w:hAnsi="Arial" w:cs="Arial"/>
          <w:sz w:val="24"/>
          <w:szCs w:val="24"/>
        </w:rPr>
        <w:tab/>
      </w:r>
    </w:p>
    <w:p w:rsidR="000645BF" w:rsidRPr="001A44AA" w:rsidRDefault="000645BF" w:rsidP="000645BF">
      <w:pPr>
        <w:rPr>
          <w:rFonts w:ascii="Arial" w:hAnsi="Arial" w:cs="Arial"/>
          <w:sz w:val="24"/>
          <w:szCs w:val="24"/>
        </w:rPr>
      </w:pPr>
    </w:p>
    <w:p w:rsidR="000645BF" w:rsidRPr="001A44AA" w:rsidRDefault="000645BF" w:rsidP="000645BF">
      <w:pPr>
        <w:rPr>
          <w:rFonts w:ascii="Arial" w:hAnsi="Arial" w:cs="Arial"/>
          <w:sz w:val="24"/>
          <w:szCs w:val="24"/>
        </w:rPr>
      </w:pPr>
    </w:p>
    <w:p w:rsidR="000645BF" w:rsidRPr="001A44AA" w:rsidRDefault="000645BF" w:rsidP="000645BF">
      <w:pPr>
        <w:rPr>
          <w:rFonts w:ascii="Arial" w:hAnsi="Arial" w:cs="Arial"/>
          <w:sz w:val="24"/>
          <w:szCs w:val="24"/>
        </w:rPr>
      </w:pPr>
    </w:p>
    <w:p w:rsidR="000645BF" w:rsidRPr="001A44AA" w:rsidRDefault="000645BF" w:rsidP="000645BF">
      <w:pPr>
        <w:rPr>
          <w:rFonts w:ascii="Arial" w:hAnsi="Arial" w:cs="Arial"/>
          <w:sz w:val="24"/>
          <w:szCs w:val="24"/>
        </w:rPr>
      </w:pPr>
    </w:p>
    <w:p w:rsidR="000645BF" w:rsidRPr="001A44AA" w:rsidRDefault="000645BF" w:rsidP="000645BF">
      <w:pPr>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160B9A" w:rsidRDefault="00160B9A" w:rsidP="000645BF">
      <w:pPr>
        <w:spacing w:after="0" w:line="240" w:lineRule="auto"/>
        <w:jc w:val="both"/>
        <w:rPr>
          <w:rFonts w:ascii="Arial" w:hAnsi="Arial" w:cs="Arial"/>
          <w:sz w:val="24"/>
          <w:szCs w:val="24"/>
        </w:rPr>
      </w:pPr>
    </w:p>
    <w:p w:rsidR="000645BF" w:rsidRPr="00865683" w:rsidRDefault="000645BF" w:rsidP="000645BF">
      <w:pPr>
        <w:spacing w:after="0" w:line="240" w:lineRule="auto"/>
        <w:jc w:val="both"/>
        <w:rPr>
          <w:rFonts w:ascii="Arial" w:hAnsi="Arial" w:cs="Arial"/>
          <w:sz w:val="24"/>
          <w:szCs w:val="24"/>
        </w:rPr>
      </w:pPr>
      <w:r w:rsidRPr="00865683">
        <w:rPr>
          <w:rFonts w:ascii="Arial" w:hAnsi="Arial" w:cs="Arial"/>
          <w:sz w:val="24"/>
          <w:szCs w:val="24"/>
        </w:rPr>
        <w:t>Cod indicator România RO 39</w:t>
      </w:r>
    </w:p>
    <w:p w:rsidR="00160B9A" w:rsidRDefault="00160B9A" w:rsidP="000645BF">
      <w:pPr>
        <w:tabs>
          <w:tab w:val="left" w:pos="5025"/>
        </w:tabs>
        <w:spacing w:after="0" w:line="240" w:lineRule="auto"/>
        <w:jc w:val="both"/>
        <w:rPr>
          <w:rFonts w:ascii="Arial" w:hAnsi="Arial" w:cs="Arial"/>
          <w:sz w:val="24"/>
          <w:szCs w:val="24"/>
          <w:lang w:val="fr-BE"/>
        </w:rPr>
      </w:pPr>
    </w:p>
    <w:p w:rsidR="000645BF" w:rsidRDefault="000645BF" w:rsidP="000645BF">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 organici persistenți</w:t>
      </w:r>
      <w:r w:rsidRPr="00246C15">
        <w:rPr>
          <w:rFonts w:ascii="Arial" w:hAnsi="Arial" w:cs="Arial"/>
          <w:sz w:val="24"/>
          <w:szCs w:val="24"/>
          <w:lang w:val="fr-BE"/>
        </w:rPr>
        <w:tab/>
      </w:r>
    </w:p>
    <w:p w:rsidR="000645BF"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Indicatorul urmărește tendințele emisiilor antropice de poluanți organici persistenți, de hidrocarburi aromatice policiclice (PAH) pe sectoare de activitate: producția și distribuția energiei, utilizarea energiei în industrie, procesele industriale, transportul rutier, nerutier, sectorul comercial, industrial, agricultura, depozitele de deșeuri.</w:t>
      </w:r>
    </w:p>
    <w:p w:rsidR="000645BF" w:rsidRPr="00334127" w:rsidRDefault="000645BF" w:rsidP="000645BF">
      <w:pPr>
        <w:spacing w:after="0" w:line="240" w:lineRule="auto"/>
        <w:jc w:val="both"/>
        <w:rPr>
          <w:rFonts w:ascii="Arial" w:hAnsi="Arial" w:cs="Arial"/>
          <w:sz w:val="24"/>
          <w:szCs w:val="24"/>
        </w:rPr>
      </w:pPr>
      <w:r w:rsidRPr="00334127">
        <w:rPr>
          <w:rFonts w:ascii="Arial" w:hAnsi="Arial" w:cs="Arial"/>
          <w:sz w:val="24"/>
          <w:szCs w:val="24"/>
        </w:rPr>
        <w:t>Poluanţii organici persistenţi sunt substanţe chimice foarte stabile, care se pot acumula în lanţurile trofice biologice, cu un grad mare de risc asupra sănătăţii omului şi mediului înconjurător.</w:t>
      </w:r>
    </w:p>
    <w:p w:rsidR="000645BF" w:rsidRDefault="000645BF" w:rsidP="000645BF">
      <w:pPr>
        <w:spacing w:after="0" w:line="240" w:lineRule="auto"/>
        <w:jc w:val="both"/>
        <w:rPr>
          <w:rFonts w:ascii="Arial" w:hAnsi="Arial" w:cs="Arial"/>
          <w:b/>
          <w:sz w:val="24"/>
          <w:szCs w:val="24"/>
        </w:rPr>
      </w:pP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 nr.I.2.1-5</w:t>
      </w:r>
    </w:p>
    <w:p w:rsidR="000645BF" w:rsidRDefault="000645BF" w:rsidP="000645BF">
      <w:pPr>
        <w:tabs>
          <w:tab w:val="left" w:pos="1859"/>
        </w:tabs>
        <w:jc w:val="center"/>
        <w:rPr>
          <w:rFonts w:ascii="Arial" w:hAnsi="Arial" w:cs="Arial"/>
          <w:sz w:val="24"/>
          <w:szCs w:val="24"/>
        </w:rPr>
      </w:pPr>
      <w:r w:rsidRPr="00DA4A96">
        <w:rPr>
          <w:rFonts w:ascii="Arial" w:hAnsi="Arial" w:cs="Arial"/>
          <w:noProof/>
          <w:sz w:val="24"/>
          <w:szCs w:val="24"/>
        </w:rPr>
        <w:lastRenderedPageBreak/>
        <w:drawing>
          <wp:inline distT="0" distB="0" distL="0" distR="0">
            <wp:extent cx="5095875" cy="2228850"/>
            <wp:effectExtent l="1905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45BF" w:rsidRPr="00ED0273" w:rsidRDefault="000645BF" w:rsidP="000645BF">
      <w:pPr>
        <w:spacing w:after="0" w:line="240" w:lineRule="auto"/>
        <w:jc w:val="both"/>
        <w:rPr>
          <w:rFonts w:ascii="Arial" w:hAnsi="Arial" w:cs="Arial"/>
          <w:b/>
          <w:sz w:val="24"/>
          <w:szCs w:val="24"/>
        </w:rPr>
      </w:pPr>
      <w:r>
        <w:rPr>
          <w:rFonts w:ascii="Arial" w:hAnsi="Arial" w:cs="Arial"/>
          <w:b/>
          <w:sz w:val="24"/>
          <w:szCs w:val="24"/>
        </w:rPr>
        <w:t>I</w:t>
      </w:r>
      <w:r w:rsidRPr="00ED0273">
        <w:rPr>
          <w:rFonts w:ascii="Arial" w:hAnsi="Arial" w:cs="Arial"/>
          <w:b/>
          <w:sz w:val="24"/>
          <w:szCs w:val="24"/>
        </w:rPr>
        <w:t>.2.1.2. Industria</w:t>
      </w:r>
    </w:p>
    <w:p w:rsidR="000645BF" w:rsidRPr="003F517B" w:rsidRDefault="000645BF" w:rsidP="000645BF">
      <w:pPr>
        <w:spacing w:after="0" w:line="240" w:lineRule="auto"/>
        <w:jc w:val="both"/>
        <w:rPr>
          <w:rFonts w:ascii="Arial" w:hAnsi="Arial" w:cs="Arial"/>
          <w:sz w:val="24"/>
          <w:szCs w:val="24"/>
        </w:rPr>
      </w:pPr>
      <w:r w:rsidRPr="003F517B">
        <w:rPr>
          <w:rFonts w:ascii="Arial" w:hAnsi="Arial" w:cs="Arial"/>
          <w:sz w:val="24"/>
          <w:szCs w:val="24"/>
        </w:rPr>
        <w:t>Cod indicator România RO 01</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645BF" w:rsidRDefault="000645BF" w:rsidP="000645BF">
      <w:pPr>
        <w:spacing w:after="0" w:line="240" w:lineRule="auto"/>
        <w:jc w:val="both"/>
        <w:rPr>
          <w:rFonts w:ascii="Arial" w:hAnsi="Arial" w:cs="Arial"/>
          <w:sz w:val="24"/>
          <w:szCs w:val="24"/>
          <w:lang w:val="fr-BE"/>
        </w:rPr>
      </w:pPr>
    </w:p>
    <w:p w:rsidR="000645BF" w:rsidRPr="00ED79A5" w:rsidRDefault="000645BF" w:rsidP="000645BF">
      <w:pPr>
        <w:spacing w:after="0" w:line="240" w:lineRule="auto"/>
        <w:jc w:val="both"/>
        <w:rPr>
          <w:rFonts w:ascii="Arial" w:hAnsi="Arial" w:cs="Arial"/>
          <w:b/>
          <w:sz w:val="24"/>
          <w:szCs w:val="24"/>
        </w:rPr>
      </w:pPr>
      <w:r>
        <w:rPr>
          <w:rFonts w:ascii="Arial" w:hAnsi="Arial" w:cs="Arial"/>
          <w:b/>
          <w:sz w:val="24"/>
          <w:szCs w:val="24"/>
        </w:rPr>
        <w:t xml:space="preserve">  </w:t>
      </w:r>
      <w:r w:rsidRPr="00ED79A5">
        <w:rPr>
          <w:rFonts w:ascii="Arial" w:hAnsi="Arial" w:cs="Arial"/>
          <w:b/>
          <w:sz w:val="24"/>
          <w:szCs w:val="24"/>
        </w:rPr>
        <w:t>Fig. nr.I.2.1.2-1</w:t>
      </w:r>
    </w:p>
    <w:p w:rsidR="000645BF" w:rsidRDefault="000645BF" w:rsidP="000645BF">
      <w:pPr>
        <w:jc w:val="center"/>
        <w:rPr>
          <w:rFonts w:ascii="Arial" w:hAnsi="Arial" w:cs="Arial"/>
          <w:sz w:val="24"/>
          <w:szCs w:val="24"/>
        </w:rPr>
      </w:pPr>
      <w:r w:rsidRPr="009A23DB">
        <w:rPr>
          <w:rFonts w:ascii="Arial" w:hAnsi="Arial" w:cs="Arial"/>
          <w:noProof/>
          <w:sz w:val="24"/>
          <w:szCs w:val="24"/>
        </w:rPr>
        <w:drawing>
          <wp:inline distT="0" distB="0" distL="0" distR="0">
            <wp:extent cx="5095875" cy="2247900"/>
            <wp:effectExtent l="19050" t="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45BF" w:rsidRDefault="000645BF" w:rsidP="000645BF">
      <w:pPr>
        <w:tabs>
          <w:tab w:val="num" w:pos="0"/>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lang w:val="fr-BE"/>
        </w:rPr>
        <w:t>În anul 2015 cele</w:t>
      </w:r>
      <w:r>
        <w:rPr>
          <w:rFonts w:ascii="Arial" w:hAnsi="Arial" w:cs="Arial"/>
          <w:sz w:val="24"/>
          <w:szCs w:val="24"/>
        </w:rPr>
        <w:t xml:space="preserve"> două instalații mari de ardere nu au funcționat, SC CET SA a notificat APM Brăila în data de 26.03.2014  privind situația societății, meționând că s-au început demersurile legale în vederea deschiderii procedurii de insolvență. De asemenea SC Termoelectrica SA, devenită Societatea Complexul Energetic Oltenia SA  Sucursala Electrocentrale Chiscani nu a funcționat  în anul 2015.</w:t>
      </w:r>
    </w:p>
    <w:p w:rsidR="000645BF" w:rsidRDefault="000645BF" w:rsidP="000645BF">
      <w:pPr>
        <w:tabs>
          <w:tab w:val="num" w:pos="0"/>
        </w:tabs>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b/>
          <w:color w:val="FF0000"/>
          <w:sz w:val="24"/>
          <w:szCs w:val="24"/>
        </w:rPr>
      </w:pP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 nr.I.2.1.2 -2</w:t>
      </w:r>
    </w:p>
    <w:p w:rsidR="000645BF" w:rsidRDefault="000645BF" w:rsidP="000645BF">
      <w:pPr>
        <w:tabs>
          <w:tab w:val="left" w:pos="1457"/>
          <w:tab w:val="left" w:pos="2830"/>
        </w:tabs>
        <w:rPr>
          <w:rFonts w:ascii="Arial" w:hAnsi="Arial" w:cs="Arial"/>
          <w:sz w:val="24"/>
          <w:szCs w:val="24"/>
        </w:rPr>
      </w:pPr>
      <w:r>
        <w:rPr>
          <w:rFonts w:ascii="Arial" w:hAnsi="Arial" w:cs="Arial"/>
          <w:sz w:val="24"/>
          <w:szCs w:val="24"/>
        </w:rPr>
        <w:tab/>
      </w:r>
      <w:r w:rsidRPr="004F6013">
        <w:rPr>
          <w:rFonts w:ascii="Arial" w:hAnsi="Arial" w:cs="Arial"/>
          <w:noProof/>
          <w:sz w:val="24"/>
          <w:szCs w:val="24"/>
        </w:rPr>
        <w:drawing>
          <wp:inline distT="0" distB="0" distL="0" distR="0">
            <wp:extent cx="4327451" cy="2275368"/>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444C" w:rsidRDefault="004E444C" w:rsidP="000645BF">
      <w:pPr>
        <w:spacing w:after="0" w:line="240" w:lineRule="auto"/>
        <w:jc w:val="both"/>
        <w:rPr>
          <w:rFonts w:ascii="Arial" w:hAnsi="Arial" w:cs="Arial"/>
          <w:b/>
          <w:sz w:val="24"/>
          <w:szCs w:val="24"/>
        </w:rPr>
      </w:pPr>
    </w:p>
    <w:p w:rsidR="004E444C" w:rsidRDefault="004E444C" w:rsidP="000645BF">
      <w:pPr>
        <w:spacing w:after="0" w:line="240" w:lineRule="auto"/>
        <w:jc w:val="both"/>
        <w:rPr>
          <w:rFonts w:ascii="Arial" w:hAnsi="Arial" w:cs="Arial"/>
          <w:b/>
          <w:sz w:val="24"/>
          <w:szCs w:val="24"/>
        </w:rPr>
      </w:pP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lastRenderedPageBreak/>
        <w:t>Fig. nr.I.2.1.2-3</w:t>
      </w:r>
    </w:p>
    <w:p w:rsidR="000645BF" w:rsidRDefault="000645BF" w:rsidP="000645BF">
      <w:pPr>
        <w:tabs>
          <w:tab w:val="left" w:pos="2562"/>
        </w:tabs>
        <w:jc w:val="center"/>
        <w:rPr>
          <w:rFonts w:ascii="Arial" w:hAnsi="Arial" w:cs="Arial"/>
          <w:sz w:val="24"/>
          <w:szCs w:val="24"/>
        </w:rPr>
      </w:pPr>
      <w:r w:rsidRPr="00993E19">
        <w:rPr>
          <w:rFonts w:ascii="Arial" w:hAnsi="Arial" w:cs="Arial"/>
          <w:noProof/>
          <w:sz w:val="24"/>
          <w:szCs w:val="24"/>
        </w:rPr>
        <w:drawing>
          <wp:inline distT="0" distB="0" distL="0" distR="0">
            <wp:extent cx="5082363" cy="2530548"/>
            <wp:effectExtent l="0" t="0" r="4445" b="317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45BF" w:rsidRDefault="000645BF" w:rsidP="000645BF">
      <w:pPr>
        <w:spacing w:after="0" w:line="240" w:lineRule="auto"/>
        <w:jc w:val="both"/>
        <w:rPr>
          <w:rFonts w:ascii="Arial" w:hAnsi="Arial" w:cs="Arial"/>
          <w:sz w:val="24"/>
          <w:szCs w:val="24"/>
          <w:lang w:val="fr-BE"/>
        </w:rPr>
      </w:pPr>
      <w:r w:rsidRPr="0026738F">
        <w:rPr>
          <w:rFonts w:ascii="Arial" w:hAnsi="Arial" w:cs="Arial"/>
          <w:sz w:val="24"/>
          <w:szCs w:val="24"/>
          <w:lang w:val="fr-BE"/>
        </w:rPr>
        <w:t>Cod indicatorRomânia RO 02</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0645BF" w:rsidRDefault="000645BF" w:rsidP="000645BF">
      <w:pPr>
        <w:spacing w:after="0" w:line="240" w:lineRule="auto"/>
        <w:jc w:val="both"/>
        <w:rPr>
          <w:rFonts w:ascii="Arial" w:hAnsi="Arial" w:cs="Arial"/>
          <w:sz w:val="24"/>
          <w:szCs w:val="24"/>
          <w:lang w:val="fr-BE"/>
        </w:rPr>
      </w:pPr>
    </w:p>
    <w:p w:rsidR="000645BF" w:rsidRPr="00ED79A5" w:rsidRDefault="000645BF" w:rsidP="000645BF">
      <w:pPr>
        <w:spacing w:after="0" w:line="240" w:lineRule="auto"/>
        <w:rPr>
          <w:rFonts w:ascii="Arial" w:hAnsi="Arial" w:cs="Arial"/>
          <w:b/>
          <w:sz w:val="24"/>
          <w:szCs w:val="24"/>
        </w:rPr>
      </w:pPr>
      <w:r w:rsidRPr="00ED79A5">
        <w:rPr>
          <w:rFonts w:ascii="Arial" w:hAnsi="Arial" w:cs="Arial"/>
          <w:b/>
          <w:sz w:val="24"/>
          <w:szCs w:val="24"/>
        </w:rPr>
        <w:t>Fig.nr.I.2.1.2- 4</w:t>
      </w:r>
    </w:p>
    <w:p w:rsidR="000645BF" w:rsidRPr="00FB71B3" w:rsidRDefault="000645BF" w:rsidP="000645BF">
      <w:pPr>
        <w:tabs>
          <w:tab w:val="left" w:pos="1323"/>
        </w:tabs>
        <w:rPr>
          <w:rFonts w:ascii="Arial" w:hAnsi="Arial" w:cs="Arial"/>
          <w:sz w:val="24"/>
          <w:szCs w:val="24"/>
        </w:rPr>
      </w:pPr>
      <w:r>
        <w:rPr>
          <w:rFonts w:ascii="Arial" w:hAnsi="Arial" w:cs="Arial"/>
          <w:b/>
          <w:noProof/>
          <w:color w:val="FF0000"/>
          <w:sz w:val="24"/>
          <w:szCs w:val="24"/>
        </w:rPr>
        <w:drawing>
          <wp:anchor distT="0" distB="0" distL="114300" distR="114300" simplePos="0" relativeHeight="251662336" behindDoc="0" locked="0" layoutInCell="1" allowOverlap="1">
            <wp:simplePos x="0" y="0"/>
            <wp:positionH relativeFrom="column">
              <wp:posOffset>659130</wp:posOffset>
            </wp:positionH>
            <wp:positionV relativeFrom="paragraph">
              <wp:posOffset>173990</wp:posOffset>
            </wp:positionV>
            <wp:extent cx="4326890" cy="2562225"/>
            <wp:effectExtent l="0" t="0" r="0" b="0"/>
            <wp:wrapSquare wrapText="bothSides"/>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645BF" w:rsidRPr="00FB71B3" w:rsidRDefault="000645BF" w:rsidP="000645BF">
      <w:pPr>
        <w:rPr>
          <w:rFonts w:ascii="Arial" w:hAnsi="Arial" w:cs="Arial"/>
          <w:sz w:val="24"/>
          <w:szCs w:val="24"/>
        </w:rPr>
      </w:pPr>
    </w:p>
    <w:p w:rsidR="000645BF" w:rsidRPr="00FB71B3" w:rsidRDefault="000645BF" w:rsidP="000645BF">
      <w:pPr>
        <w:rPr>
          <w:rFonts w:ascii="Arial" w:hAnsi="Arial" w:cs="Arial"/>
          <w:sz w:val="24"/>
          <w:szCs w:val="24"/>
        </w:rPr>
      </w:pPr>
    </w:p>
    <w:p w:rsidR="000645BF" w:rsidRPr="00FB71B3" w:rsidRDefault="000645BF" w:rsidP="000645BF">
      <w:pPr>
        <w:rPr>
          <w:rFonts w:ascii="Arial" w:hAnsi="Arial" w:cs="Arial"/>
          <w:sz w:val="24"/>
          <w:szCs w:val="24"/>
        </w:rPr>
      </w:pPr>
    </w:p>
    <w:p w:rsidR="000645BF" w:rsidRPr="00FB71B3" w:rsidRDefault="000645BF" w:rsidP="000645BF">
      <w:pPr>
        <w:rPr>
          <w:rFonts w:ascii="Arial" w:hAnsi="Arial" w:cs="Arial"/>
          <w:sz w:val="24"/>
          <w:szCs w:val="24"/>
        </w:rPr>
      </w:pPr>
    </w:p>
    <w:p w:rsidR="000645BF" w:rsidRPr="00FB71B3" w:rsidRDefault="000645BF" w:rsidP="000645BF">
      <w:pPr>
        <w:rPr>
          <w:rFonts w:ascii="Arial" w:hAnsi="Arial" w:cs="Arial"/>
          <w:sz w:val="24"/>
          <w:szCs w:val="24"/>
        </w:rPr>
      </w:pPr>
    </w:p>
    <w:p w:rsidR="000645BF" w:rsidRPr="00FB71B3" w:rsidRDefault="000645BF" w:rsidP="000645BF">
      <w:pPr>
        <w:rPr>
          <w:rFonts w:ascii="Arial" w:hAnsi="Arial" w:cs="Arial"/>
          <w:sz w:val="24"/>
          <w:szCs w:val="24"/>
        </w:rPr>
      </w:pPr>
    </w:p>
    <w:p w:rsidR="000645BF" w:rsidRDefault="000645BF" w:rsidP="000645BF">
      <w:pPr>
        <w:tabs>
          <w:tab w:val="left" w:pos="1105"/>
        </w:tabs>
        <w:rPr>
          <w:rFonts w:ascii="Arial" w:hAnsi="Arial" w:cs="Arial"/>
          <w:sz w:val="24"/>
          <w:szCs w:val="24"/>
        </w:rPr>
      </w:pPr>
      <w:r>
        <w:rPr>
          <w:rFonts w:ascii="Arial" w:hAnsi="Arial" w:cs="Arial"/>
          <w:sz w:val="24"/>
          <w:szCs w:val="24"/>
        </w:rPr>
        <w:tab/>
      </w:r>
    </w:p>
    <w:p w:rsidR="000645BF" w:rsidRDefault="000645BF" w:rsidP="000645BF">
      <w:pPr>
        <w:tabs>
          <w:tab w:val="left" w:pos="1105"/>
        </w:tabs>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0645BF" w:rsidRPr="00E018F0" w:rsidRDefault="000645BF" w:rsidP="000645BF">
      <w:pPr>
        <w:spacing w:after="0" w:line="240" w:lineRule="auto"/>
        <w:jc w:val="both"/>
        <w:rPr>
          <w:rFonts w:ascii="Arial" w:hAnsi="Arial" w:cs="Arial"/>
          <w:sz w:val="24"/>
          <w:szCs w:val="24"/>
        </w:rPr>
      </w:pPr>
      <w:r w:rsidRPr="00E018F0">
        <w:rPr>
          <w:rFonts w:ascii="Arial" w:hAnsi="Arial" w:cs="Arial"/>
          <w:sz w:val="24"/>
          <w:szCs w:val="24"/>
        </w:rPr>
        <w:t>Cod indicator România RO 03</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 și precursori secundari de particule</w:t>
      </w:r>
    </w:p>
    <w:p w:rsidR="000645BF" w:rsidRPr="00ED79A5" w:rsidRDefault="000645BF" w:rsidP="000645BF">
      <w:pPr>
        <w:spacing w:after="0" w:line="240" w:lineRule="auto"/>
        <w:jc w:val="both"/>
        <w:rPr>
          <w:rFonts w:ascii="Arial" w:hAnsi="Arial" w:cs="Arial"/>
          <w:b/>
          <w:sz w:val="24"/>
          <w:szCs w:val="24"/>
        </w:rPr>
      </w:pPr>
      <w:r w:rsidRPr="00ED79A5">
        <w:rPr>
          <w:rFonts w:ascii="Arial" w:hAnsi="Arial" w:cs="Arial"/>
          <w:b/>
          <w:sz w:val="24"/>
          <w:szCs w:val="24"/>
        </w:rPr>
        <w:t>Fig. nr.I.2.1.2- 5</w:t>
      </w:r>
    </w:p>
    <w:p w:rsidR="000645BF" w:rsidRDefault="000645BF" w:rsidP="000645BF">
      <w:pPr>
        <w:tabs>
          <w:tab w:val="left" w:pos="2428"/>
        </w:tabs>
        <w:jc w:val="center"/>
        <w:rPr>
          <w:rFonts w:ascii="Arial" w:hAnsi="Arial" w:cs="Arial"/>
          <w:sz w:val="24"/>
          <w:szCs w:val="24"/>
        </w:rPr>
      </w:pPr>
      <w:r w:rsidRPr="0071390C">
        <w:rPr>
          <w:rFonts w:ascii="Arial" w:hAnsi="Arial" w:cs="Arial"/>
          <w:noProof/>
          <w:sz w:val="24"/>
          <w:szCs w:val="24"/>
        </w:rPr>
        <w:drawing>
          <wp:inline distT="0" distB="0" distL="0" distR="0">
            <wp:extent cx="4848446" cy="2190307"/>
            <wp:effectExtent l="0" t="0" r="0" b="635"/>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45BF" w:rsidRPr="009D7F1C" w:rsidRDefault="000645BF" w:rsidP="000645BF">
      <w:pPr>
        <w:spacing w:after="0" w:line="240" w:lineRule="auto"/>
        <w:rPr>
          <w:rFonts w:ascii="Arial" w:hAnsi="Arial" w:cs="Arial"/>
          <w:sz w:val="24"/>
          <w:szCs w:val="24"/>
          <w:lang w:val="fr-BE"/>
        </w:rPr>
      </w:pPr>
      <w:r>
        <w:rPr>
          <w:rFonts w:ascii="Arial" w:hAnsi="Arial" w:cs="Arial"/>
          <w:sz w:val="24"/>
          <w:szCs w:val="24"/>
          <w:lang w:val="fr-BE"/>
        </w:rPr>
        <w:t>Cod indicator România RO 39</w:t>
      </w:r>
    </w:p>
    <w:p w:rsidR="000645BF" w:rsidRDefault="000645BF" w:rsidP="000645BF">
      <w:pPr>
        <w:tabs>
          <w:tab w:val="left" w:pos="1088"/>
        </w:tabs>
        <w:spacing w:after="0" w:line="240" w:lineRule="auto"/>
        <w:rPr>
          <w:rFonts w:ascii="Arial" w:hAnsi="Arial" w:cs="Arial"/>
          <w:sz w:val="24"/>
          <w:szCs w:val="24"/>
        </w:rPr>
      </w:pPr>
      <w:r w:rsidRPr="003F1F50">
        <w:rPr>
          <w:rFonts w:ascii="Arial" w:hAnsi="Arial" w:cs="Arial"/>
          <w:sz w:val="24"/>
          <w:szCs w:val="24"/>
          <w:lang w:val="fr-BE"/>
        </w:rPr>
        <w:t>E</w:t>
      </w:r>
      <w:r>
        <w:rPr>
          <w:rFonts w:ascii="Arial" w:hAnsi="Arial" w:cs="Arial"/>
          <w:sz w:val="24"/>
          <w:szCs w:val="24"/>
          <w:lang w:val="fr-BE"/>
        </w:rPr>
        <w:t>misiile de poluanți organici persistenți</w:t>
      </w:r>
    </w:p>
    <w:p w:rsidR="000645BF" w:rsidRPr="00ED79A5" w:rsidRDefault="000645BF" w:rsidP="000645BF">
      <w:pPr>
        <w:spacing w:after="0" w:line="240" w:lineRule="auto"/>
        <w:rPr>
          <w:rFonts w:ascii="Arial" w:hAnsi="Arial" w:cs="Arial"/>
          <w:b/>
          <w:sz w:val="24"/>
          <w:szCs w:val="24"/>
        </w:rPr>
      </w:pPr>
      <w:r w:rsidRPr="00ED79A5">
        <w:rPr>
          <w:rFonts w:ascii="Arial" w:hAnsi="Arial" w:cs="Arial"/>
          <w:b/>
          <w:sz w:val="24"/>
          <w:szCs w:val="24"/>
        </w:rPr>
        <w:lastRenderedPageBreak/>
        <w:t>Fig. nr.I.2.1.2-</w:t>
      </w:r>
      <w:r>
        <w:rPr>
          <w:rFonts w:ascii="Arial" w:hAnsi="Arial" w:cs="Arial"/>
          <w:b/>
          <w:sz w:val="24"/>
          <w:szCs w:val="24"/>
        </w:rPr>
        <w:t xml:space="preserve"> </w:t>
      </w:r>
      <w:r w:rsidRPr="00ED79A5">
        <w:rPr>
          <w:rFonts w:ascii="Arial" w:hAnsi="Arial" w:cs="Arial"/>
          <w:b/>
          <w:sz w:val="24"/>
          <w:szCs w:val="24"/>
        </w:rPr>
        <w:t>6</w:t>
      </w:r>
    </w:p>
    <w:p w:rsidR="000645BF" w:rsidRDefault="000645BF" w:rsidP="000645BF">
      <w:pPr>
        <w:tabs>
          <w:tab w:val="left" w:pos="3198"/>
        </w:tabs>
        <w:jc w:val="center"/>
        <w:rPr>
          <w:rFonts w:ascii="Arial" w:hAnsi="Arial" w:cs="Arial"/>
          <w:sz w:val="24"/>
          <w:szCs w:val="24"/>
        </w:rPr>
      </w:pPr>
      <w:r w:rsidRPr="0071390C">
        <w:rPr>
          <w:rFonts w:ascii="Arial" w:hAnsi="Arial" w:cs="Arial"/>
          <w:noProof/>
          <w:sz w:val="24"/>
          <w:szCs w:val="24"/>
        </w:rPr>
        <w:drawing>
          <wp:inline distT="0" distB="0" distL="0" distR="0">
            <wp:extent cx="4774018" cy="1818168"/>
            <wp:effectExtent l="0" t="0" r="762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45BF" w:rsidRPr="00ED0273" w:rsidRDefault="000645BF" w:rsidP="000645BF">
      <w:pPr>
        <w:spacing w:after="0" w:line="240" w:lineRule="auto"/>
        <w:jc w:val="both"/>
        <w:rPr>
          <w:rFonts w:ascii="Arial" w:hAnsi="Arial" w:cs="Arial"/>
          <w:b/>
          <w:sz w:val="24"/>
          <w:szCs w:val="24"/>
        </w:rPr>
      </w:pPr>
      <w:r w:rsidRPr="00ED0273">
        <w:rPr>
          <w:rFonts w:ascii="Arial" w:hAnsi="Arial" w:cs="Arial"/>
          <w:b/>
          <w:sz w:val="24"/>
          <w:szCs w:val="24"/>
        </w:rPr>
        <w:t>I.2.1.3. Transportul</w:t>
      </w:r>
    </w:p>
    <w:p w:rsidR="000645BF" w:rsidRDefault="000645BF" w:rsidP="000645BF">
      <w:pPr>
        <w:spacing w:after="0" w:line="240" w:lineRule="auto"/>
        <w:jc w:val="both"/>
        <w:rPr>
          <w:rFonts w:ascii="Arial" w:hAnsi="Arial" w:cs="Arial"/>
          <w:sz w:val="24"/>
          <w:szCs w:val="24"/>
        </w:rPr>
      </w:pPr>
      <w:r w:rsidRPr="002D3D6B">
        <w:rPr>
          <w:rFonts w:ascii="Arial" w:hAnsi="Arial" w:cs="Arial"/>
          <w:sz w:val="24"/>
          <w:szCs w:val="24"/>
        </w:rPr>
        <w:t>Cod indicator România RO 01</w:t>
      </w:r>
    </w:p>
    <w:p w:rsidR="000645BF" w:rsidRPr="003F1F50"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645BF" w:rsidRPr="00E018F0" w:rsidRDefault="000645BF" w:rsidP="000645BF">
      <w:pPr>
        <w:spacing w:after="0" w:line="240" w:lineRule="auto"/>
        <w:jc w:val="both"/>
        <w:rPr>
          <w:rFonts w:ascii="Arial" w:hAnsi="Arial" w:cs="Arial"/>
          <w:b/>
          <w:sz w:val="24"/>
          <w:szCs w:val="24"/>
        </w:rPr>
      </w:pPr>
      <w:r>
        <w:rPr>
          <w:rFonts w:ascii="Arial" w:hAnsi="Arial" w:cs="Arial"/>
          <w:b/>
          <w:sz w:val="24"/>
          <w:szCs w:val="24"/>
        </w:rPr>
        <w:t xml:space="preserve">  </w:t>
      </w:r>
      <w:r w:rsidRPr="00E018F0">
        <w:rPr>
          <w:rFonts w:ascii="Arial" w:hAnsi="Arial" w:cs="Arial"/>
          <w:b/>
          <w:sz w:val="24"/>
          <w:szCs w:val="24"/>
        </w:rPr>
        <w:t>Fig. nr.I.2.1.3-1</w:t>
      </w:r>
    </w:p>
    <w:p w:rsidR="000645BF" w:rsidRDefault="000645BF" w:rsidP="000645BF">
      <w:pPr>
        <w:jc w:val="center"/>
        <w:rPr>
          <w:rFonts w:ascii="Arial" w:hAnsi="Arial" w:cs="Arial"/>
          <w:sz w:val="24"/>
          <w:szCs w:val="24"/>
        </w:rPr>
      </w:pPr>
      <w:r>
        <w:rPr>
          <w:rFonts w:ascii="Arial" w:hAnsi="Arial" w:cs="Arial"/>
          <w:noProof/>
          <w:sz w:val="24"/>
          <w:szCs w:val="24"/>
        </w:rPr>
        <w:drawing>
          <wp:inline distT="0" distB="0" distL="0" distR="0">
            <wp:extent cx="5267325" cy="2828925"/>
            <wp:effectExtent l="1905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45BF" w:rsidRPr="009D7F1C" w:rsidRDefault="000645BF" w:rsidP="000645BF">
      <w:pPr>
        <w:spacing w:after="0" w:line="240" w:lineRule="auto"/>
        <w:jc w:val="both"/>
        <w:rPr>
          <w:rFonts w:ascii="Arial" w:hAnsi="Arial" w:cs="Arial"/>
          <w:sz w:val="24"/>
          <w:szCs w:val="24"/>
          <w:lang w:val="fr-BE"/>
        </w:rPr>
      </w:pPr>
      <w:r w:rsidRPr="009D7F1C">
        <w:rPr>
          <w:rFonts w:ascii="Arial" w:hAnsi="Arial" w:cs="Arial"/>
          <w:sz w:val="24"/>
          <w:szCs w:val="24"/>
          <w:lang w:val="fr-BE"/>
        </w:rPr>
        <w:t>Cod indicator</w:t>
      </w:r>
      <w:r>
        <w:rPr>
          <w:rFonts w:ascii="Arial" w:hAnsi="Arial" w:cs="Arial"/>
          <w:sz w:val="24"/>
          <w:szCs w:val="24"/>
          <w:lang w:val="fr-BE"/>
        </w:rPr>
        <w:t xml:space="preserve"> </w:t>
      </w:r>
      <w:r w:rsidRPr="009D7F1C">
        <w:rPr>
          <w:rFonts w:ascii="Arial" w:hAnsi="Arial" w:cs="Arial"/>
          <w:sz w:val="24"/>
          <w:szCs w:val="24"/>
          <w:lang w:val="fr-BE"/>
        </w:rPr>
        <w:t>România RO 02</w:t>
      </w:r>
    </w:p>
    <w:p w:rsidR="000645BF" w:rsidRPr="003F1F50"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0645BF" w:rsidRDefault="000645BF" w:rsidP="000645BF">
      <w:pPr>
        <w:tabs>
          <w:tab w:val="left" w:pos="1072"/>
        </w:tabs>
        <w:rPr>
          <w:rFonts w:ascii="Arial" w:hAnsi="Arial" w:cs="Arial"/>
          <w:sz w:val="24"/>
          <w:szCs w:val="24"/>
        </w:rPr>
      </w:pPr>
      <w:r w:rsidRPr="00E018F0">
        <w:rPr>
          <w:rFonts w:ascii="Arial" w:hAnsi="Arial" w:cs="Arial"/>
          <w:b/>
          <w:sz w:val="24"/>
          <w:szCs w:val="24"/>
        </w:rPr>
        <w:t>Fig. nr.I.2.1.3-2</w:t>
      </w:r>
    </w:p>
    <w:p w:rsidR="000645BF" w:rsidRDefault="000645BF" w:rsidP="000645BF">
      <w:pPr>
        <w:tabs>
          <w:tab w:val="left" w:pos="3282"/>
        </w:tabs>
        <w:jc w:val="center"/>
        <w:rPr>
          <w:rFonts w:ascii="Arial" w:hAnsi="Arial" w:cs="Arial"/>
          <w:sz w:val="24"/>
          <w:szCs w:val="24"/>
        </w:rPr>
      </w:pPr>
      <w:r w:rsidRPr="00A57A94">
        <w:rPr>
          <w:rFonts w:ascii="Arial" w:hAnsi="Arial" w:cs="Arial"/>
          <w:noProof/>
          <w:sz w:val="24"/>
          <w:szCs w:val="24"/>
        </w:rPr>
        <w:drawing>
          <wp:inline distT="0" distB="0" distL="0" distR="0">
            <wp:extent cx="5263116" cy="2488019"/>
            <wp:effectExtent l="0" t="0" r="0" b="762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 rRomânia RO 03</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 și precursori secundari de particule</w:t>
      </w:r>
    </w:p>
    <w:p w:rsidR="000645BF" w:rsidRDefault="000645BF" w:rsidP="000645BF">
      <w:pPr>
        <w:spacing w:after="0" w:line="240" w:lineRule="auto"/>
        <w:jc w:val="both"/>
        <w:rPr>
          <w:rFonts w:ascii="Arial" w:hAnsi="Arial" w:cs="Arial"/>
          <w:sz w:val="24"/>
          <w:szCs w:val="24"/>
          <w:lang w:val="fr-BE"/>
        </w:rPr>
      </w:pPr>
    </w:p>
    <w:p w:rsidR="004E444C" w:rsidRDefault="004E444C" w:rsidP="000645BF">
      <w:pPr>
        <w:spacing w:after="0" w:line="240" w:lineRule="auto"/>
        <w:jc w:val="both"/>
        <w:rPr>
          <w:rFonts w:ascii="Arial" w:hAnsi="Arial" w:cs="Arial"/>
          <w:b/>
          <w:sz w:val="24"/>
          <w:szCs w:val="24"/>
        </w:rPr>
      </w:pPr>
    </w:p>
    <w:p w:rsidR="000645BF" w:rsidRPr="00E018F0" w:rsidRDefault="000645BF" w:rsidP="000645BF">
      <w:pPr>
        <w:spacing w:after="0" w:line="240" w:lineRule="auto"/>
        <w:jc w:val="both"/>
        <w:rPr>
          <w:rFonts w:ascii="Arial" w:hAnsi="Arial" w:cs="Arial"/>
          <w:b/>
          <w:sz w:val="24"/>
          <w:szCs w:val="24"/>
        </w:rPr>
      </w:pPr>
      <w:r w:rsidRPr="00E018F0">
        <w:rPr>
          <w:rFonts w:ascii="Arial" w:hAnsi="Arial" w:cs="Arial"/>
          <w:b/>
          <w:sz w:val="24"/>
          <w:szCs w:val="24"/>
        </w:rPr>
        <w:lastRenderedPageBreak/>
        <w:t>Fig. nr.I.2.1.3-</w:t>
      </w:r>
      <w:r>
        <w:rPr>
          <w:rFonts w:ascii="Arial" w:hAnsi="Arial" w:cs="Arial"/>
          <w:b/>
          <w:sz w:val="24"/>
          <w:szCs w:val="24"/>
        </w:rPr>
        <w:t xml:space="preserve"> </w:t>
      </w:r>
      <w:r w:rsidRPr="00E018F0">
        <w:rPr>
          <w:rFonts w:ascii="Arial" w:hAnsi="Arial" w:cs="Arial"/>
          <w:b/>
          <w:sz w:val="24"/>
          <w:szCs w:val="24"/>
        </w:rPr>
        <w:t>3</w:t>
      </w:r>
    </w:p>
    <w:p w:rsidR="000645BF" w:rsidRDefault="000645BF" w:rsidP="000645BF">
      <w:pPr>
        <w:tabs>
          <w:tab w:val="left" w:pos="1574"/>
        </w:tabs>
        <w:jc w:val="center"/>
        <w:rPr>
          <w:rFonts w:ascii="Arial" w:hAnsi="Arial" w:cs="Arial"/>
          <w:sz w:val="24"/>
          <w:szCs w:val="24"/>
        </w:rPr>
      </w:pPr>
      <w:r w:rsidRPr="0039283B">
        <w:rPr>
          <w:rFonts w:ascii="Arial" w:hAnsi="Arial" w:cs="Arial"/>
          <w:noProof/>
          <w:sz w:val="24"/>
          <w:szCs w:val="24"/>
        </w:rPr>
        <w:drawing>
          <wp:inline distT="0" distB="0" distL="0" distR="0">
            <wp:extent cx="5029200" cy="2190307"/>
            <wp:effectExtent l="0" t="0" r="0" b="63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45BF" w:rsidRDefault="000645BF" w:rsidP="000645BF">
      <w:pPr>
        <w:spacing w:after="0" w:line="240" w:lineRule="auto"/>
        <w:jc w:val="both"/>
        <w:rPr>
          <w:rFonts w:ascii="Arial" w:hAnsi="Arial" w:cs="Arial"/>
          <w:sz w:val="24"/>
          <w:szCs w:val="24"/>
          <w:lang w:val="fr-BE"/>
        </w:rPr>
      </w:pPr>
    </w:p>
    <w:p w:rsidR="000645BF" w:rsidRDefault="000645BF" w:rsidP="000645BF">
      <w:pPr>
        <w:spacing w:after="0" w:line="240" w:lineRule="auto"/>
        <w:jc w:val="both"/>
        <w:rPr>
          <w:rFonts w:ascii="Arial" w:hAnsi="Arial" w:cs="Arial"/>
          <w:sz w:val="24"/>
          <w:szCs w:val="24"/>
          <w:lang w:val="fr-BE"/>
        </w:rPr>
      </w:pPr>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indicator România RO 38</w:t>
      </w:r>
    </w:p>
    <w:p w:rsidR="000645BF" w:rsidRDefault="000645BF" w:rsidP="000645BF">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metale grele</w:t>
      </w:r>
    </w:p>
    <w:p w:rsidR="000645BF" w:rsidRPr="00E018F0" w:rsidRDefault="000645BF" w:rsidP="000645BF">
      <w:pPr>
        <w:spacing w:after="0" w:line="240" w:lineRule="auto"/>
        <w:jc w:val="both"/>
        <w:rPr>
          <w:rFonts w:ascii="Arial" w:hAnsi="Arial" w:cs="Arial"/>
          <w:b/>
          <w:sz w:val="24"/>
          <w:szCs w:val="24"/>
        </w:rPr>
      </w:pPr>
      <w:r>
        <w:rPr>
          <w:rFonts w:ascii="Arial" w:hAnsi="Arial" w:cs="Arial"/>
          <w:sz w:val="24"/>
          <w:szCs w:val="24"/>
        </w:rPr>
        <w:tab/>
      </w:r>
      <w:r w:rsidRPr="00E018F0">
        <w:rPr>
          <w:rFonts w:ascii="Arial" w:hAnsi="Arial" w:cs="Arial"/>
          <w:b/>
          <w:sz w:val="24"/>
          <w:szCs w:val="24"/>
        </w:rPr>
        <w:t>Fig. nr.I.2.1.3-</w:t>
      </w:r>
      <w:r>
        <w:rPr>
          <w:rFonts w:ascii="Arial" w:hAnsi="Arial" w:cs="Arial"/>
          <w:b/>
          <w:sz w:val="24"/>
          <w:szCs w:val="24"/>
        </w:rPr>
        <w:t xml:space="preserve"> </w:t>
      </w:r>
      <w:r w:rsidRPr="00E018F0">
        <w:rPr>
          <w:rFonts w:ascii="Arial" w:hAnsi="Arial" w:cs="Arial"/>
          <w:b/>
          <w:sz w:val="24"/>
          <w:szCs w:val="24"/>
        </w:rPr>
        <w:t>4</w:t>
      </w:r>
    </w:p>
    <w:p w:rsidR="000645BF" w:rsidRDefault="000645BF" w:rsidP="000645BF">
      <w:pPr>
        <w:tabs>
          <w:tab w:val="left" w:pos="2880"/>
        </w:tabs>
        <w:jc w:val="center"/>
        <w:rPr>
          <w:rFonts w:ascii="Arial" w:hAnsi="Arial" w:cs="Arial"/>
          <w:sz w:val="24"/>
          <w:szCs w:val="24"/>
        </w:rPr>
      </w:pPr>
      <w:r w:rsidRPr="009B1672">
        <w:rPr>
          <w:rFonts w:ascii="Arial" w:hAnsi="Arial" w:cs="Arial"/>
          <w:noProof/>
          <w:sz w:val="24"/>
          <w:szCs w:val="24"/>
        </w:rPr>
        <w:drawing>
          <wp:inline distT="0" distB="0" distL="0" distR="0">
            <wp:extent cx="5143500" cy="2847975"/>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45BF" w:rsidRDefault="000645BF" w:rsidP="000645BF">
      <w:pPr>
        <w:spacing w:after="0" w:line="240" w:lineRule="auto"/>
        <w:jc w:val="both"/>
        <w:rPr>
          <w:rFonts w:ascii="Arial" w:hAnsi="Arial" w:cs="Arial"/>
          <w:sz w:val="24"/>
          <w:szCs w:val="24"/>
          <w:lang w:val="fr-BE"/>
        </w:rPr>
      </w:pPr>
      <w:r w:rsidRPr="00ED0273">
        <w:rPr>
          <w:rFonts w:ascii="Arial" w:hAnsi="Arial" w:cs="Arial"/>
          <w:b/>
          <w:sz w:val="24"/>
          <w:szCs w:val="24"/>
          <w:lang w:val="fr-BE"/>
        </w:rPr>
        <w:t>I.2.1.4 Agricultura</w:t>
      </w:r>
    </w:p>
    <w:p w:rsidR="000645BF" w:rsidRPr="00352C60" w:rsidRDefault="000645BF" w:rsidP="000645BF">
      <w:pPr>
        <w:spacing w:after="0" w:line="240" w:lineRule="auto"/>
        <w:jc w:val="both"/>
        <w:rPr>
          <w:rFonts w:ascii="Arial" w:hAnsi="Arial" w:cs="Arial"/>
          <w:sz w:val="24"/>
          <w:szCs w:val="24"/>
          <w:lang w:val="fr-BE"/>
        </w:rPr>
      </w:pPr>
      <w:r w:rsidRPr="00352C60">
        <w:rPr>
          <w:rFonts w:ascii="Arial" w:hAnsi="Arial" w:cs="Arial"/>
          <w:sz w:val="24"/>
          <w:szCs w:val="24"/>
          <w:lang w:val="fr-BE"/>
        </w:rPr>
        <w:t>Cod indicatorRomânia RO 01</w:t>
      </w:r>
    </w:p>
    <w:p w:rsidR="000645BF" w:rsidRPr="003F1F50"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645BF" w:rsidRPr="00ED79A5" w:rsidRDefault="000645BF" w:rsidP="000645BF">
      <w:pPr>
        <w:spacing w:after="0" w:line="240" w:lineRule="auto"/>
        <w:jc w:val="both"/>
        <w:rPr>
          <w:rFonts w:ascii="Arial" w:hAnsi="Arial" w:cs="Arial"/>
          <w:b/>
          <w:sz w:val="24"/>
          <w:szCs w:val="24"/>
        </w:rPr>
      </w:pPr>
      <w:r>
        <w:rPr>
          <w:rFonts w:ascii="Arial" w:hAnsi="Arial" w:cs="Arial"/>
          <w:b/>
          <w:sz w:val="24"/>
          <w:szCs w:val="24"/>
        </w:rPr>
        <w:t xml:space="preserve">  </w:t>
      </w:r>
      <w:r w:rsidRPr="00ED79A5">
        <w:rPr>
          <w:rFonts w:ascii="Arial" w:hAnsi="Arial" w:cs="Arial"/>
          <w:b/>
          <w:sz w:val="24"/>
          <w:szCs w:val="24"/>
        </w:rPr>
        <w:t>Fig. nr.I.2.1.4-1</w:t>
      </w:r>
    </w:p>
    <w:p w:rsidR="000645BF" w:rsidRDefault="000645BF" w:rsidP="000645BF">
      <w:pPr>
        <w:tabs>
          <w:tab w:val="left" w:pos="3366"/>
        </w:tabs>
        <w:jc w:val="center"/>
        <w:rPr>
          <w:rFonts w:ascii="Arial" w:hAnsi="Arial" w:cs="Arial"/>
          <w:sz w:val="24"/>
          <w:szCs w:val="24"/>
        </w:rPr>
      </w:pPr>
      <w:r w:rsidRPr="00352C60">
        <w:rPr>
          <w:rFonts w:ascii="Arial" w:hAnsi="Arial" w:cs="Arial"/>
          <w:noProof/>
          <w:sz w:val="24"/>
          <w:szCs w:val="24"/>
        </w:rPr>
        <w:drawing>
          <wp:inline distT="0" distB="0" distL="0" distR="0">
            <wp:extent cx="5029200" cy="2295525"/>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4E3D" w:rsidRDefault="006D4E3D" w:rsidP="000645BF">
      <w:pPr>
        <w:spacing w:after="0" w:line="240" w:lineRule="auto"/>
        <w:jc w:val="both"/>
        <w:rPr>
          <w:rFonts w:ascii="Arial" w:hAnsi="Arial" w:cs="Arial"/>
          <w:b/>
          <w:sz w:val="24"/>
          <w:szCs w:val="24"/>
        </w:rPr>
      </w:pPr>
    </w:p>
    <w:p w:rsidR="006D4E3D" w:rsidRDefault="006D4E3D"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sz w:val="24"/>
          <w:szCs w:val="24"/>
          <w:lang w:val="fr-BE"/>
        </w:rPr>
      </w:pPr>
      <w:r w:rsidRPr="00E018F0">
        <w:rPr>
          <w:rFonts w:ascii="Arial" w:hAnsi="Arial" w:cs="Arial"/>
          <w:b/>
          <w:sz w:val="24"/>
          <w:szCs w:val="24"/>
        </w:rPr>
        <w:lastRenderedPageBreak/>
        <w:t>I.3.Tendințe și</w:t>
      </w:r>
      <w:r>
        <w:rPr>
          <w:rFonts w:ascii="Arial" w:hAnsi="Arial" w:cs="Arial"/>
          <w:b/>
          <w:sz w:val="24"/>
          <w:szCs w:val="24"/>
        </w:rPr>
        <w:t xml:space="preserve"> </w:t>
      </w:r>
      <w:r w:rsidRPr="00E018F0">
        <w:rPr>
          <w:rFonts w:ascii="Arial" w:hAnsi="Arial" w:cs="Arial"/>
          <w:b/>
          <w:sz w:val="24"/>
          <w:szCs w:val="24"/>
        </w:rPr>
        <w:t>prognoze</w:t>
      </w:r>
      <w:r>
        <w:rPr>
          <w:rFonts w:ascii="Arial" w:hAnsi="Arial" w:cs="Arial"/>
          <w:b/>
          <w:sz w:val="24"/>
          <w:szCs w:val="24"/>
        </w:rPr>
        <w:t xml:space="preserve"> </w:t>
      </w:r>
      <w:r w:rsidRPr="00E018F0">
        <w:rPr>
          <w:rFonts w:ascii="Arial" w:hAnsi="Arial" w:cs="Arial"/>
          <w:b/>
          <w:sz w:val="24"/>
          <w:szCs w:val="24"/>
        </w:rPr>
        <w:t>privind</w:t>
      </w:r>
      <w:r>
        <w:rPr>
          <w:rFonts w:ascii="Arial" w:hAnsi="Arial" w:cs="Arial"/>
          <w:b/>
          <w:sz w:val="24"/>
          <w:szCs w:val="24"/>
        </w:rPr>
        <w:t xml:space="preserve"> </w:t>
      </w:r>
      <w:r w:rsidRPr="00E018F0">
        <w:rPr>
          <w:rFonts w:ascii="Arial" w:hAnsi="Arial" w:cs="Arial"/>
          <w:b/>
          <w:sz w:val="24"/>
          <w:szCs w:val="24"/>
        </w:rPr>
        <w:t>poluarea</w:t>
      </w:r>
      <w:r>
        <w:rPr>
          <w:rFonts w:ascii="Arial" w:hAnsi="Arial" w:cs="Arial"/>
          <w:b/>
          <w:sz w:val="24"/>
          <w:szCs w:val="24"/>
        </w:rPr>
        <w:t xml:space="preserve"> </w:t>
      </w:r>
      <w:r w:rsidRPr="00E018F0">
        <w:rPr>
          <w:rFonts w:ascii="Arial" w:hAnsi="Arial" w:cs="Arial"/>
          <w:b/>
          <w:sz w:val="24"/>
          <w:szCs w:val="24"/>
        </w:rPr>
        <w:t>aerului</w:t>
      </w:r>
      <w:r>
        <w:rPr>
          <w:rFonts w:ascii="Arial" w:hAnsi="Arial" w:cs="Arial"/>
          <w:b/>
          <w:sz w:val="24"/>
          <w:szCs w:val="24"/>
        </w:rPr>
        <w:t xml:space="preserve"> </w:t>
      </w:r>
      <w:r w:rsidRPr="00E018F0">
        <w:rPr>
          <w:rFonts w:ascii="Arial" w:hAnsi="Arial" w:cs="Arial"/>
          <w:b/>
          <w:sz w:val="24"/>
          <w:szCs w:val="24"/>
        </w:rPr>
        <w:t>înconjurător</w:t>
      </w:r>
    </w:p>
    <w:p w:rsidR="000645BF" w:rsidRPr="00BF3397" w:rsidRDefault="000645BF" w:rsidP="000645BF">
      <w:pPr>
        <w:spacing w:after="0" w:line="240" w:lineRule="auto"/>
        <w:jc w:val="both"/>
        <w:rPr>
          <w:rFonts w:ascii="Arial" w:hAnsi="Arial" w:cs="Arial"/>
          <w:sz w:val="24"/>
          <w:szCs w:val="24"/>
          <w:lang w:val="fr-BE"/>
        </w:rPr>
      </w:pPr>
      <w:r w:rsidRPr="00BF3397">
        <w:rPr>
          <w:rFonts w:ascii="Arial" w:hAnsi="Arial" w:cs="Arial"/>
          <w:sz w:val="24"/>
          <w:szCs w:val="24"/>
          <w:lang w:val="fr-BE"/>
        </w:rPr>
        <w:t>Cod indicatorRomânia RO 01</w:t>
      </w:r>
    </w:p>
    <w:p w:rsidR="000645BF" w:rsidRPr="003F1F50"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645BF" w:rsidRPr="00ED79A5" w:rsidRDefault="000645BF" w:rsidP="000645BF">
      <w:pPr>
        <w:tabs>
          <w:tab w:val="left" w:pos="1122"/>
        </w:tabs>
        <w:rPr>
          <w:rFonts w:ascii="Arial" w:hAnsi="Arial" w:cs="Arial"/>
          <w:sz w:val="24"/>
          <w:szCs w:val="24"/>
        </w:rPr>
      </w:pPr>
      <w:r w:rsidRPr="00ED79A5">
        <w:rPr>
          <w:rFonts w:ascii="Arial" w:hAnsi="Arial" w:cs="Arial"/>
          <w:b/>
          <w:sz w:val="24"/>
          <w:szCs w:val="24"/>
        </w:rPr>
        <w:t>Fig. nr.I.3-1</w:t>
      </w:r>
    </w:p>
    <w:p w:rsidR="000645BF" w:rsidRDefault="000645BF" w:rsidP="000645BF">
      <w:pPr>
        <w:tabs>
          <w:tab w:val="left" w:pos="2327"/>
        </w:tabs>
        <w:jc w:val="center"/>
        <w:rPr>
          <w:rFonts w:ascii="Arial" w:hAnsi="Arial" w:cs="Arial"/>
          <w:sz w:val="24"/>
          <w:szCs w:val="24"/>
        </w:rPr>
      </w:pPr>
      <w:r w:rsidRPr="006901A3">
        <w:rPr>
          <w:rFonts w:ascii="Arial" w:hAnsi="Arial" w:cs="Arial"/>
          <w:noProof/>
          <w:sz w:val="24"/>
          <w:szCs w:val="24"/>
        </w:rPr>
        <w:drawing>
          <wp:inline distT="0" distB="0" distL="0" distR="0">
            <wp:extent cx="4991100" cy="2057400"/>
            <wp:effectExtent l="1905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645BF" w:rsidRDefault="000645BF" w:rsidP="000645BF">
      <w:pPr>
        <w:spacing w:after="0" w:line="240" w:lineRule="auto"/>
        <w:jc w:val="both"/>
        <w:rPr>
          <w:rFonts w:ascii="Arial" w:hAnsi="Arial" w:cs="Arial"/>
          <w:sz w:val="24"/>
          <w:szCs w:val="24"/>
        </w:rPr>
      </w:pPr>
      <w:r w:rsidRPr="00E018F0">
        <w:rPr>
          <w:rFonts w:ascii="Arial" w:hAnsi="Arial" w:cs="Arial"/>
          <w:b/>
          <w:sz w:val="24"/>
          <w:szCs w:val="24"/>
        </w:rPr>
        <w:t>Fig. nr.I.3-2</w:t>
      </w:r>
    </w:p>
    <w:p w:rsidR="000645BF" w:rsidRDefault="000645BF" w:rsidP="000645BF">
      <w:pPr>
        <w:tabs>
          <w:tab w:val="left" w:pos="2662"/>
        </w:tabs>
        <w:jc w:val="center"/>
        <w:rPr>
          <w:rFonts w:ascii="Arial" w:hAnsi="Arial" w:cs="Arial"/>
          <w:sz w:val="24"/>
          <w:szCs w:val="24"/>
        </w:rPr>
      </w:pPr>
      <w:r w:rsidRPr="005A26CF">
        <w:rPr>
          <w:rFonts w:ascii="Arial" w:hAnsi="Arial" w:cs="Arial"/>
          <w:noProof/>
          <w:sz w:val="24"/>
          <w:szCs w:val="24"/>
        </w:rPr>
        <w:drawing>
          <wp:inline distT="0" distB="0" distL="0" distR="0">
            <wp:extent cx="4943475" cy="2276475"/>
            <wp:effectExtent l="1905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45BF" w:rsidRDefault="000645BF" w:rsidP="000645BF">
      <w:pPr>
        <w:rPr>
          <w:rFonts w:ascii="Arial" w:hAnsi="Arial" w:cs="Arial"/>
          <w:sz w:val="24"/>
          <w:szCs w:val="24"/>
        </w:rPr>
      </w:pPr>
      <w:r w:rsidRPr="00E018F0">
        <w:rPr>
          <w:rFonts w:ascii="Arial" w:hAnsi="Arial" w:cs="Arial"/>
          <w:b/>
          <w:sz w:val="24"/>
          <w:szCs w:val="24"/>
        </w:rPr>
        <w:t>Fig. nr.I.3-3</w:t>
      </w:r>
    </w:p>
    <w:p w:rsidR="000645BF" w:rsidRDefault="000645BF" w:rsidP="000645BF">
      <w:pPr>
        <w:tabs>
          <w:tab w:val="left" w:pos="2863"/>
        </w:tabs>
        <w:jc w:val="center"/>
        <w:rPr>
          <w:rFonts w:ascii="Arial" w:hAnsi="Arial" w:cs="Arial"/>
          <w:sz w:val="24"/>
          <w:szCs w:val="24"/>
        </w:rPr>
      </w:pPr>
      <w:r w:rsidRPr="006E16E7">
        <w:rPr>
          <w:rFonts w:ascii="Arial" w:hAnsi="Arial" w:cs="Arial"/>
          <w:noProof/>
          <w:sz w:val="24"/>
          <w:szCs w:val="24"/>
        </w:rPr>
        <w:drawing>
          <wp:inline distT="0" distB="0" distL="0" distR="0">
            <wp:extent cx="4857750" cy="2333625"/>
            <wp:effectExtent l="1905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ab/>
      </w:r>
      <w:r w:rsidRPr="00E018F0">
        <w:rPr>
          <w:rFonts w:ascii="Arial" w:hAnsi="Arial" w:cs="Arial"/>
          <w:b/>
          <w:sz w:val="24"/>
          <w:szCs w:val="24"/>
        </w:rPr>
        <w:t>Fig. nr.I.3-</w:t>
      </w:r>
      <w:r>
        <w:rPr>
          <w:rFonts w:ascii="Arial" w:hAnsi="Arial" w:cs="Arial"/>
          <w:b/>
          <w:sz w:val="24"/>
          <w:szCs w:val="24"/>
        </w:rPr>
        <w:t xml:space="preserve"> </w:t>
      </w:r>
      <w:r w:rsidRPr="00E018F0">
        <w:rPr>
          <w:rFonts w:ascii="Arial" w:hAnsi="Arial" w:cs="Arial"/>
          <w:b/>
          <w:sz w:val="24"/>
          <w:szCs w:val="24"/>
        </w:rPr>
        <w:t>4</w:t>
      </w:r>
    </w:p>
    <w:p w:rsidR="000645BF" w:rsidRDefault="000645BF" w:rsidP="000645BF">
      <w:pPr>
        <w:tabs>
          <w:tab w:val="left" w:pos="2076"/>
        </w:tabs>
        <w:jc w:val="center"/>
        <w:rPr>
          <w:rFonts w:ascii="Arial" w:hAnsi="Arial" w:cs="Arial"/>
          <w:sz w:val="24"/>
          <w:szCs w:val="24"/>
        </w:rPr>
      </w:pPr>
      <w:r w:rsidRPr="0024317E">
        <w:rPr>
          <w:rFonts w:ascii="Arial" w:hAnsi="Arial" w:cs="Arial"/>
          <w:noProof/>
          <w:sz w:val="24"/>
          <w:szCs w:val="24"/>
        </w:rPr>
        <w:lastRenderedPageBreak/>
        <w:drawing>
          <wp:inline distT="0" distB="0" distL="0" distR="0">
            <wp:extent cx="4972050" cy="2390775"/>
            <wp:effectExtent l="1905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p>
    <w:p w:rsidR="000645BF" w:rsidRPr="00ED79A5" w:rsidRDefault="000645BF" w:rsidP="000645BF">
      <w:pPr>
        <w:spacing w:after="0" w:line="240" w:lineRule="auto"/>
        <w:jc w:val="both"/>
        <w:rPr>
          <w:rFonts w:ascii="Arial" w:hAnsi="Arial" w:cs="Arial"/>
          <w:b/>
          <w:sz w:val="24"/>
          <w:szCs w:val="24"/>
        </w:rPr>
      </w:pPr>
      <w:r>
        <w:rPr>
          <w:rFonts w:ascii="Arial" w:hAnsi="Arial" w:cs="Arial"/>
          <w:sz w:val="24"/>
          <w:szCs w:val="24"/>
        </w:rPr>
        <w:tab/>
      </w:r>
      <w:r w:rsidRPr="00ED79A5">
        <w:rPr>
          <w:rFonts w:ascii="Arial" w:hAnsi="Arial" w:cs="Arial"/>
          <w:b/>
          <w:sz w:val="24"/>
          <w:szCs w:val="24"/>
        </w:rPr>
        <w:t>Fig. nr.I.3- 5</w:t>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991C0B">
        <w:rPr>
          <w:rFonts w:ascii="Arial" w:hAnsi="Arial" w:cs="Arial"/>
          <w:noProof/>
          <w:sz w:val="24"/>
          <w:szCs w:val="24"/>
        </w:rPr>
        <w:drawing>
          <wp:inline distT="0" distB="0" distL="0" distR="0">
            <wp:extent cx="4876800" cy="2695575"/>
            <wp:effectExtent l="1905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645BF" w:rsidRPr="00E018F0" w:rsidRDefault="000645BF" w:rsidP="000645BF">
      <w:pPr>
        <w:spacing w:after="0" w:line="240" w:lineRule="auto"/>
        <w:jc w:val="both"/>
        <w:rPr>
          <w:rFonts w:ascii="Arial" w:hAnsi="Arial" w:cs="Arial"/>
          <w:sz w:val="24"/>
          <w:szCs w:val="24"/>
          <w:lang w:val="fr-BE"/>
        </w:rPr>
      </w:pPr>
      <w:r w:rsidRPr="00E018F0">
        <w:rPr>
          <w:rFonts w:ascii="Arial" w:hAnsi="Arial" w:cs="Arial"/>
          <w:sz w:val="24"/>
          <w:szCs w:val="24"/>
          <w:lang w:val="fr-BE"/>
        </w:rPr>
        <w:t>Cod indicator</w:t>
      </w:r>
      <w:r w:rsidR="004E444C">
        <w:rPr>
          <w:rFonts w:ascii="Arial" w:hAnsi="Arial" w:cs="Arial"/>
          <w:sz w:val="24"/>
          <w:szCs w:val="24"/>
          <w:lang w:val="fr-BE"/>
        </w:rPr>
        <w:t xml:space="preserve"> </w:t>
      </w:r>
      <w:r w:rsidRPr="00E018F0">
        <w:rPr>
          <w:rFonts w:ascii="Arial" w:hAnsi="Arial" w:cs="Arial"/>
          <w:sz w:val="24"/>
          <w:szCs w:val="24"/>
          <w:lang w:val="fr-BE"/>
        </w:rPr>
        <w:t>România RO 02</w:t>
      </w:r>
    </w:p>
    <w:p w:rsidR="000645BF" w:rsidRDefault="000645BF" w:rsidP="000645BF">
      <w:pPr>
        <w:rPr>
          <w:rFonts w:ascii="Arial" w:hAnsi="Arial" w:cs="Arial"/>
          <w:sz w:val="24"/>
          <w:szCs w:val="24"/>
        </w:rPr>
      </w:pPr>
      <w:r w:rsidRPr="003F1F50">
        <w:rPr>
          <w:rFonts w:ascii="Arial" w:hAnsi="Arial" w:cs="Arial"/>
          <w:sz w:val="24"/>
          <w:szCs w:val="24"/>
          <w:lang w:val="fr-BE"/>
        </w:rPr>
        <w:t>E</w:t>
      </w:r>
      <w:r>
        <w:rPr>
          <w:rFonts w:ascii="Arial" w:hAnsi="Arial" w:cs="Arial"/>
          <w:sz w:val="24"/>
          <w:szCs w:val="24"/>
          <w:lang w:val="fr-BE"/>
        </w:rPr>
        <w:t>misiile de precursori ai ozonului</w:t>
      </w:r>
    </w:p>
    <w:p w:rsidR="000645BF" w:rsidRPr="00536139" w:rsidRDefault="000645BF" w:rsidP="000645BF">
      <w:pPr>
        <w:tabs>
          <w:tab w:val="left" w:pos="1105"/>
        </w:tabs>
        <w:rPr>
          <w:rFonts w:ascii="Arial" w:hAnsi="Arial" w:cs="Arial"/>
          <w:sz w:val="24"/>
          <w:szCs w:val="24"/>
        </w:rPr>
      </w:pPr>
      <w:r>
        <w:rPr>
          <w:rFonts w:ascii="Arial" w:hAnsi="Arial" w:cs="Arial"/>
          <w:sz w:val="24"/>
          <w:szCs w:val="24"/>
        </w:rPr>
        <w:tab/>
      </w:r>
      <w:r w:rsidRPr="00536139">
        <w:rPr>
          <w:rFonts w:ascii="Arial" w:hAnsi="Arial" w:cs="Arial"/>
          <w:b/>
          <w:sz w:val="24"/>
          <w:szCs w:val="24"/>
        </w:rPr>
        <w:t>Fig. nr.I.3- 6</w:t>
      </w:r>
    </w:p>
    <w:p w:rsidR="000645BF" w:rsidRDefault="000645BF" w:rsidP="000645BF">
      <w:pPr>
        <w:tabs>
          <w:tab w:val="left" w:pos="2662"/>
        </w:tabs>
        <w:jc w:val="center"/>
        <w:rPr>
          <w:rFonts w:ascii="Arial" w:hAnsi="Arial" w:cs="Arial"/>
          <w:sz w:val="24"/>
          <w:szCs w:val="24"/>
        </w:rPr>
      </w:pPr>
      <w:r w:rsidRPr="006133AC">
        <w:rPr>
          <w:rFonts w:ascii="Arial" w:hAnsi="Arial" w:cs="Arial"/>
          <w:noProof/>
          <w:sz w:val="24"/>
          <w:szCs w:val="24"/>
        </w:rPr>
        <w:drawing>
          <wp:inline distT="0" distB="0" distL="0" distR="0">
            <wp:extent cx="4819650" cy="2390775"/>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645BF" w:rsidRPr="00E018F0" w:rsidRDefault="000645BF" w:rsidP="000645BF">
      <w:pPr>
        <w:spacing w:after="0" w:line="240" w:lineRule="auto"/>
        <w:jc w:val="both"/>
        <w:rPr>
          <w:rFonts w:ascii="Arial" w:hAnsi="Arial" w:cs="Arial"/>
          <w:b/>
          <w:sz w:val="24"/>
          <w:szCs w:val="24"/>
        </w:rPr>
      </w:pPr>
      <w:r>
        <w:rPr>
          <w:rFonts w:ascii="Arial" w:hAnsi="Arial" w:cs="Arial"/>
          <w:sz w:val="24"/>
          <w:szCs w:val="24"/>
        </w:rPr>
        <w:tab/>
      </w:r>
      <w:r w:rsidRPr="00E018F0">
        <w:rPr>
          <w:rFonts w:ascii="Arial" w:hAnsi="Arial" w:cs="Arial"/>
          <w:b/>
          <w:sz w:val="24"/>
          <w:szCs w:val="24"/>
        </w:rPr>
        <w:t>Fig. nr.I.3-</w:t>
      </w:r>
      <w:r>
        <w:rPr>
          <w:rFonts w:ascii="Arial" w:hAnsi="Arial" w:cs="Arial"/>
          <w:b/>
          <w:sz w:val="24"/>
          <w:szCs w:val="24"/>
        </w:rPr>
        <w:t xml:space="preserve"> </w:t>
      </w:r>
      <w:r w:rsidRPr="00E018F0">
        <w:rPr>
          <w:rFonts w:ascii="Arial" w:hAnsi="Arial" w:cs="Arial"/>
          <w:b/>
          <w:sz w:val="24"/>
          <w:szCs w:val="24"/>
        </w:rPr>
        <w:t>7</w:t>
      </w:r>
    </w:p>
    <w:p w:rsidR="000645BF" w:rsidRDefault="000645BF" w:rsidP="000645BF">
      <w:pPr>
        <w:tabs>
          <w:tab w:val="left" w:pos="2662"/>
        </w:tabs>
        <w:jc w:val="center"/>
        <w:rPr>
          <w:rFonts w:ascii="Arial" w:hAnsi="Arial" w:cs="Arial"/>
          <w:sz w:val="24"/>
          <w:szCs w:val="24"/>
        </w:rPr>
      </w:pPr>
      <w:r w:rsidRPr="00411C3F">
        <w:rPr>
          <w:rFonts w:ascii="Arial" w:hAnsi="Arial" w:cs="Arial"/>
          <w:noProof/>
          <w:sz w:val="24"/>
          <w:szCs w:val="24"/>
        </w:rPr>
        <w:lastRenderedPageBreak/>
        <w:drawing>
          <wp:inline distT="0" distB="0" distL="0" distR="0">
            <wp:extent cx="4800600" cy="2428875"/>
            <wp:effectExtent l="1905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ab/>
      </w:r>
    </w:p>
    <w:p w:rsidR="000645BF" w:rsidRPr="00536139" w:rsidRDefault="000645BF" w:rsidP="000645BF">
      <w:pPr>
        <w:spacing w:after="0" w:line="240" w:lineRule="auto"/>
        <w:jc w:val="both"/>
        <w:rPr>
          <w:rFonts w:ascii="Arial" w:hAnsi="Arial" w:cs="Arial"/>
          <w:b/>
          <w:sz w:val="24"/>
          <w:szCs w:val="24"/>
        </w:rPr>
      </w:pPr>
      <w:r w:rsidRPr="00536139">
        <w:rPr>
          <w:rFonts w:ascii="Arial" w:hAnsi="Arial" w:cs="Arial"/>
          <w:b/>
          <w:sz w:val="24"/>
          <w:szCs w:val="24"/>
        </w:rPr>
        <w:t>Fig. nr.I.3- 8</w:t>
      </w:r>
    </w:p>
    <w:p w:rsidR="000645BF" w:rsidRDefault="000645BF" w:rsidP="000645BF">
      <w:pPr>
        <w:tabs>
          <w:tab w:val="left" w:pos="2579"/>
        </w:tabs>
        <w:jc w:val="center"/>
        <w:rPr>
          <w:rFonts w:ascii="Arial" w:hAnsi="Arial" w:cs="Arial"/>
          <w:sz w:val="24"/>
          <w:szCs w:val="24"/>
        </w:rPr>
      </w:pPr>
      <w:r w:rsidRPr="001238D1">
        <w:rPr>
          <w:rFonts w:ascii="Arial" w:hAnsi="Arial" w:cs="Arial"/>
          <w:noProof/>
          <w:sz w:val="24"/>
          <w:szCs w:val="24"/>
        </w:rPr>
        <w:drawing>
          <wp:inline distT="0" distB="0" distL="0" distR="0">
            <wp:extent cx="4772025" cy="1933575"/>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645BF" w:rsidRPr="00E018F0" w:rsidRDefault="000645BF" w:rsidP="000645BF">
      <w:pPr>
        <w:spacing w:after="0" w:line="240" w:lineRule="auto"/>
        <w:jc w:val="both"/>
        <w:rPr>
          <w:rFonts w:ascii="Arial" w:hAnsi="Arial" w:cs="Arial"/>
          <w:b/>
          <w:sz w:val="24"/>
          <w:szCs w:val="24"/>
        </w:rPr>
      </w:pPr>
      <w:r>
        <w:rPr>
          <w:rFonts w:ascii="Arial" w:hAnsi="Arial" w:cs="Arial"/>
          <w:sz w:val="24"/>
          <w:szCs w:val="24"/>
        </w:rPr>
        <w:tab/>
      </w:r>
      <w:r w:rsidRPr="00E018F0">
        <w:rPr>
          <w:rFonts w:ascii="Arial" w:hAnsi="Arial" w:cs="Arial"/>
          <w:b/>
          <w:sz w:val="24"/>
          <w:szCs w:val="24"/>
        </w:rPr>
        <w:t>Fig. nr.I.3-9</w:t>
      </w:r>
    </w:p>
    <w:p w:rsidR="000645BF" w:rsidRDefault="000645BF" w:rsidP="000645BF">
      <w:pPr>
        <w:tabs>
          <w:tab w:val="left" w:pos="2411"/>
        </w:tabs>
        <w:jc w:val="center"/>
        <w:rPr>
          <w:rFonts w:ascii="Arial" w:hAnsi="Arial" w:cs="Arial"/>
          <w:sz w:val="24"/>
          <w:szCs w:val="24"/>
        </w:rPr>
      </w:pPr>
      <w:r w:rsidRPr="004754DF">
        <w:rPr>
          <w:rFonts w:ascii="Arial" w:hAnsi="Arial" w:cs="Arial"/>
          <w:noProof/>
          <w:sz w:val="24"/>
          <w:szCs w:val="24"/>
        </w:rPr>
        <w:drawing>
          <wp:inline distT="0" distB="0" distL="0" distR="0">
            <wp:extent cx="4933507" cy="2392326"/>
            <wp:effectExtent l="0" t="0" r="635" b="8255"/>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indicator România RO 03</w:t>
      </w:r>
    </w:p>
    <w:p w:rsidR="000645BF" w:rsidRDefault="000645BF" w:rsidP="000645BF">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 și precursori secundari de particule</w:t>
      </w:r>
    </w:p>
    <w:p w:rsidR="000645BF" w:rsidRPr="001F48B8" w:rsidRDefault="000645BF" w:rsidP="000645BF">
      <w:pPr>
        <w:spacing w:after="0" w:line="240" w:lineRule="auto"/>
        <w:jc w:val="both"/>
        <w:rPr>
          <w:rFonts w:ascii="Arial" w:hAnsi="Arial" w:cs="Arial"/>
          <w:sz w:val="24"/>
          <w:szCs w:val="24"/>
          <w:lang w:val="fr-BE"/>
        </w:rPr>
      </w:pPr>
    </w:p>
    <w:p w:rsidR="000645BF" w:rsidRPr="00536139" w:rsidRDefault="000645BF" w:rsidP="000645BF">
      <w:pPr>
        <w:ind w:firstLine="720"/>
        <w:rPr>
          <w:rFonts w:ascii="Arial" w:hAnsi="Arial" w:cs="Arial"/>
          <w:sz w:val="24"/>
          <w:szCs w:val="24"/>
        </w:rPr>
      </w:pPr>
      <w:r w:rsidRPr="00536139">
        <w:rPr>
          <w:rFonts w:ascii="Arial" w:hAnsi="Arial" w:cs="Arial"/>
          <w:b/>
          <w:sz w:val="24"/>
          <w:szCs w:val="24"/>
        </w:rPr>
        <w:t>Fig. nr.I.3-10</w:t>
      </w:r>
    </w:p>
    <w:p w:rsidR="000645BF" w:rsidRDefault="000645BF" w:rsidP="000645BF">
      <w:pPr>
        <w:tabs>
          <w:tab w:val="left" w:pos="2311"/>
        </w:tabs>
        <w:jc w:val="center"/>
        <w:rPr>
          <w:rFonts w:ascii="Arial" w:hAnsi="Arial" w:cs="Arial"/>
          <w:sz w:val="24"/>
          <w:szCs w:val="24"/>
        </w:rPr>
      </w:pPr>
      <w:r w:rsidRPr="00CF40B2">
        <w:rPr>
          <w:rFonts w:ascii="Arial" w:hAnsi="Arial" w:cs="Arial"/>
          <w:noProof/>
          <w:sz w:val="24"/>
          <w:szCs w:val="24"/>
        </w:rPr>
        <w:lastRenderedPageBreak/>
        <w:drawing>
          <wp:inline distT="0" distB="0" distL="0" distR="0">
            <wp:extent cx="4880344" cy="270067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645BF" w:rsidRDefault="000645BF"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b/>
          <w:sz w:val="24"/>
          <w:szCs w:val="24"/>
        </w:rPr>
      </w:pPr>
    </w:p>
    <w:p w:rsidR="000645BF" w:rsidRPr="00E018F0" w:rsidRDefault="000645BF" w:rsidP="000645BF">
      <w:pPr>
        <w:spacing w:after="0" w:line="240" w:lineRule="auto"/>
        <w:jc w:val="both"/>
        <w:rPr>
          <w:rFonts w:ascii="Arial" w:hAnsi="Arial" w:cs="Arial"/>
          <w:b/>
          <w:sz w:val="24"/>
          <w:szCs w:val="24"/>
        </w:rPr>
      </w:pPr>
      <w:r w:rsidRPr="00E018F0">
        <w:rPr>
          <w:rFonts w:ascii="Arial" w:hAnsi="Arial" w:cs="Arial"/>
          <w:b/>
          <w:sz w:val="24"/>
          <w:szCs w:val="24"/>
        </w:rPr>
        <w:t>Fig. nr.I.3-11</w:t>
      </w:r>
    </w:p>
    <w:p w:rsidR="000645BF" w:rsidRDefault="000645BF" w:rsidP="000645BF">
      <w:pPr>
        <w:jc w:val="center"/>
        <w:rPr>
          <w:rFonts w:ascii="Arial" w:hAnsi="Arial" w:cs="Arial"/>
          <w:sz w:val="24"/>
          <w:szCs w:val="24"/>
        </w:rPr>
      </w:pPr>
      <w:r w:rsidRPr="002C2C52">
        <w:rPr>
          <w:rFonts w:ascii="Arial" w:hAnsi="Arial" w:cs="Arial"/>
          <w:noProof/>
          <w:sz w:val="24"/>
          <w:szCs w:val="24"/>
        </w:rPr>
        <w:drawing>
          <wp:inline distT="0" distB="0" distL="0" distR="0">
            <wp:extent cx="4772025" cy="2124075"/>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645BF" w:rsidRDefault="000645BF" w:rsidP="000645BF">
      <w:pPr>
        <w:tabs>
          <w:tab w:val="left" w:pos="1624"/>
        </w:tabs>
        <w:rPr>
          <w:rFonts w:ascii="Arial" w:hAnsi="Arial" w:cs="Arial"/>
          <w:sz w:val="24"/>
          <w:szCs w:val="24"/>
        </w:rPr>
      </w:pPr>
      <w:r w:rsidRPr="00E018F0">
        <w:rPr>
          <w:rFonts w:ascii="Arial" w:hAnsi="Arial" w:cs="Arial"/>
          <w:b/>
          <w:sz w:val="24"/>
          <w:szCs w:val="24"/>
        </w:rPr>
        <w:t>Fig. nr.I.3-12</w:t>
      </w:r>
    </w:p>
    <w:p w:rsidR="000645BF" w:rsidRDefault="000645BF" w:rsidP="000645BF">
      <w:pPr>
        <w:tabs>
          <w:tab w:val="left" w:pos="2512"/>
        </w:tabs>
        <w:jc w:val="center"/>
        <w:rPr>
          <w:rFonts w:ascii="Arial" w:hAnsi="Arial" w:cs="Arial"/>
          <w:sz w:val="24"/>
          <w:szCs w:val="24"/>
        </w:rPr>
      </w:pPr>
      <w:r w:rsidRPr="00343673">
        <w:rPr>
          <w:rFonts w:ascii="Arial" w:hAnsi="Arial" w:cs="Arial"/>
          <w:noProof/>
          <w:sz w:val="24"/>
          <w:szCs w:val="24"/>
        </w:rPr>
        <w:drawing>
          <wp:inline distT="0" distB="0" distL="0" distR="0">
            <wp:extent cx="4648200" cy="2209800"/>
            <wp:effectExtent l="1905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indicator România RO 38</w:t>
      </w:r>
    </w:p>
    <w:p w:rsidR="000645BF" w:rsidRDefault="000645BF" w:rsidP="000645BF">
      <w:pPr>
        <w:tabs>
          <w:tab w:val="left" w:pos="1425"/>
        </w:tabs>
        <w:spacing w:after="0" w:line="240" w:lineRule="auto"/>
        <w:jc w:val="both"/>
        <w:rPr>
          <w:rFonts w:ascii="Arial" w:hAnsi="Arial" w:cs="Arial"/>
          <w:sz w:val="24"/>
          <w:szCs w:val="24"/>
        </w:rPr>
      </w:pPr>
      <w:r w:rsidRPr="003F1F50">
        <w:rPr>
          <w:rFonts w:ascii="Arial" w:hAnsi="Arial" w:cs="Arial"/>
          <w:sz w:val="24"/>
          <w:szCs w:val="24"/>
          <w:lang w:val="fr-BE"/>
        </w:rPr>
        <w:t>E</w:t>
      </w:r>
      <w:r>
        <w:rPr>
          <w:rFonts w:ascii="Arial" w:hAnsi="Arial" w:cs="Arial"/>
          <w:sz w:val="24"/>
          <w:szCs w:val="24"/>
          <w:lang w:val="fr-BE"/>
        </w:rPr>
        <w:t>misiile de metale grele</w:t>
      </w:r>
    </w:p>
    <w:p w:rsidR="000645BF" w:rsidRPr="00536139" w:rsidRDefault="000645BF" w:rsidP="000645BF">
      <w:pPr>
        <w:spacing w:after="0" w:line="240" w:lineRule="auto"/>
        <w:jc w:val="both"/>
        <w:rPr>
          <w:rFonts w:ascii="Arial" w:hAnsi="Arial" w:cs="Arial"/>
          <w:b/>
          <w:sz w:val="24"/>
          <w:szCs w:val="24"/>
        </w:rPr>
      </w:pPr>
      <w:r w:rsidRPr="00536139">
        <w:rPr>
          <w:rFonts w:ascii="Arial" w:hAnsi="Arial" w:cs="Arial"/>
          <w:b/>
          <w:sz w:val="24"/>
          <w:szCs w:val="24"/>
        </w:rPr>
        <w:t>Fig. nr.I.3-13</w:t>
      </w:r>
    </w:p>
    <w:p w:rsidR="000645BF" w:rsidRDefault="000645BF" w:rsidP="000645BF">
      <w:pPr>
        <w:tabs>
          <w:tab w:val="left" w:pos="4019"/>
        </w:tabs>
        <w:jc w:val="center"/>
        <w:rPr>
          <w:rFonts w:ascii="Arial" w:hAnsi="Arial" w:cs="Arial"/>
          <w:sz w:val="24"/>
          <w:szCs w:val="24"/>
        </w:rPr>
      </w:pPr>
      <w:r w:rsidRPr="00530A81">
        <w:rPr>
          <w:rFonts w:ascii="Arial" w:hAnsi="Arial" w:cs="Arial"/>
          <w:noProof/>
          <w:sz w:val="24"/>
          <w:szCs w:val="24"/>
        </w:rPr>
        <w:lastRenderedPageBreak/>
        <w:drawing>
          <wp:inline distT="0" distB="0" distL="0" distR="0">
            <wp:extent cx="4829175" cy="22574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Arial" w:hAnsi="Arial" w:cs="Arial"/>
          <w:sz w:val="24"/>
          <w:szCs w:val="24"/>
        </w:rPr>
        <w:tab/>
      </w:r>
    </w:p>
    <w:p w:rsidR="000645BF" w:rsidRPr="00536139" w:rsidRDefault="000645BF" w:rsidP="000645BF">
      <w:pPr>
        <w:tabs>
          <w:tab w:val="left" w:pos="4019"/>
        </w:tabs>
        <w:rPr>
          <w:rFonts w:ascii="Arial" w:hAnsi="Arial" w:cs="Arial"/>
          <w:sz w:val="24"/>
          <w:szCs w:val="24"/>
        </w:rPr>
      </w:pPr>
      <w:r w:rsidRPr="00536139">
        <w:rPr>
          <w:rFonts w:ascii="Arial" w:hAnsi="Arial" w:cs="Arial"/>
          <w:b/>
          <w:sz w:val="24"/>
          <w:szCs w:val="24"/>
        </w:rPr>
        <w:t>Fig. nr.I.3-14</w:t>
      </w:r>
    </w:p>
    <w:p w:rsidR="000645BF" w:rsidRDefault="000645BF" w:rsidP="000645BF">
      <w:pPr>
        <w:tabs>
          <w:tab w:val="left" w:pos="1557"/>
        </w:tabs>
        <w:jc w:val="center"/>
        <w:rPr>
          <w:rFonts w:ascii="Arial" w:hAnsi="Arial" w:cs="Arial"/>
          <w:sz w:val="24"/>
          <w:szCs w:val="24"/>
        </w:rPr>
      </w:pPr>
      <w:r w:rsidRPr="0002392E">
        <w:rPr>
          <w:rFonts w:ascii="Arial" w:hAnsi="Arial" w:cs="Arial"/>
          <w:noProof/>
          <w:sz w:val="24"/>
          <w:szCs w:val="24"/>
        </w:rPr>
        <w:drawing>
          <wp:inline distT="0" distB="0" distL="0" distR="0">
            <wp:extent cx="4829175" cy="214312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645BF" w:rsidRDefault="000645BF" w:rsidP="000645BF">
      <w:pPr>
        <w:rPr>
          <w:rFonts w:ascii="Arial" w:hAnsi="Arial" w:cs="Arial"/>
          <w:sz w:val="24"/>
          <w:szCs w:val="24"/>
        </w:rPr>
      </w:pPr>
    </w:p>
    <w:p w:rsidR="000645BF" w:rsidRPr="00E018F0" w:rsidRDefault="000645BF" w:rsidP="000645BF">
      <w:pPr>
        <w:spacing w:after="0" w:line="240" w:lineRule="auto"/>
        <w:jc w:val="both"/>
        <w:rPr>
          <w:rFonts w:ascii="Arial" w:hAnsi="Arial" w:cs="Arial"/>
          <w:b/>
          <w:sz w:val="24"/>
          <w:szCs w:val="24"/>
        </w:rPr>
      </w:pPr>
      <w:r w:rsidRPr="00E018F0">
        <w:rPr>
          <w:rFonts w:ascii="Arial" w:hAnsi="Arial" w:cs="Arial"/>
          <w:b/>
          <w:sz w:val="24"/>
          <w:szCs w:val="24"/>
        </w:rPr>
        <w:t>Fig. nr.I.3-15</w:t>
      </w:r>
    </w:p>
    <w:p w:rsidR="000645BF" w:rsidRDefault="000645BF" w:rsidP="000645BF">
      <w:pPr>
        <w:tabs>
          <w:tab w:val="left" w:pos="2009"/>
        </w:tabs>
        <w:jc w:val="center"/>
        <w:rPr>
          <w:rFonts w:ascii="Arial" w:hAnsi="Arial" w:cs="Arial"/>
          <w:sz w:val="24"/>
          <w:szCs w:val="24"/>
        </w:rPr>
      </w:pPr>
      <w:r w:rsidRPr="000E163A">
        <w:rPr>
          <w:rFonts w:ascii="Arial" w:hAnsi="Arial" w:cs="Arial"/>
          <w:noProof/>
          <w:sz w:val="24"/>
          <w:szCs w:val="24"/>
        </w:rPr>
        <w:drawing>
          <wp:inline distT="0" distB="0" distL="0" distR="0">
            <wp:extent cx="4763386" cy="2009553"/>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1" w:name="_GoBack"/>
      <w:bookmarkEnd w:id="1"/>
    </w:p>
    <w:p w:rsidR="000645BF" w:rsidRPr="009D7F1C" w:rsidRDefault="000645BF" w:rsidP="000645BF">
      <w:pPr>
        <w:spacing w:after="0" w:line="240" w:lineRule="auto"/>
        <w:jc w:val="both"/>
        <w:rPr>
          <w:rFonts w:ascii="Arial" w:hAnsi="Arial" w:cs="Arial"/>
          <w:sz w:val="24"/>
          <w:szCs w:val="24"/>
          <w:lang w:val="fr-BE"/>
        </w:rPr>
      </w:pPr>
      <w:r>
        <w:rPr>
          <w:rFonts w:ascii="Arial" w:hAnsi="Arial" w:cs="Arial"/>
          <w:sz w:val="24"/>
          <w:szCs w:val="24"/>
          <w:lang w:val="fr-BE"/>
        </w:rPr>
        <w:t>Cod indicator România RO 39</w:t>
      </w:r>
    </w:p>
    <w:p w:rsidR="000645BF" w:rsidRPr="00246C15" w:rsidRDefault="000645BF" w:rsidP="000645BF">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 organici persistenți</w:t>
      </w:r>
      <w:r w:rsidRPr="00246C15">
        <w:rPr>
          <w:rFonts w:ascii="Arial" w:hAnsi="Arial" w:cs="Arial"/>
          <w:sz w:val="24"/>
          <w:szCs w:val="24"/>
          <w:lang w:val="fr-BE"/>
        </w:rPr>
        <w:tab/>
      </w:r>
    </w:p>
    <w:p w:rsidR="000645BF" w:rsidRPr="00C97C69" w:rsidRDefault="000645BF" w:rsidP="000645BF">
      <w:pPr>
        <w:spacing w:after="0" w:line="240" w:lineRule="auto"/>
        <w:jc w:val="both"/>
        <w:rPr>
          <w:rFonts w:ascii="Arial" w:hAnsi="Arial" w:cs="Arial"/>
          <w:b/>
          <w:sz w:val="24"/>
          <w:szCs w:val="24"/>
        </w:rPr>
      </w:pPr>
      <w:r w:rsidRPr="00C97C69">
        <w:rPr>
          <w:rFonts w:ascii="Arial" w:hAnsi="Arial" w:cs="Arial"/>
          <w:b/>
          <w:sz w:val="24"/>
          <w:szCs w:val="24"/>
        </w:rPr>
        <w:t>Fig. nr.I.3-16</w:t>
      </w:r>
    </w:p>
    <w:p w:rsidR="000645BF" w:rsidRDefault="000645BF" w:rsidP="000645BF">
      <w:pPr>
        <w:tabs>
          <w:tab w:val="left" w:pos="2579"/>
        </w:tabs>
        <w:jc w:val="center"/>
        <w:rPr>
          <w:rFonts w:ascii="Arial" w:hAnsi="Arial" w:cs="Arial"/>
          <w:sz w:val="24"/>
          <w:szCs w:val="24"/>
        </w:rPr>
      </w:pPr>
      <w:r w:rsidRPr="004C0937">
        <w:rPr>
          <w:rFonts w:ascii="Arial" w:hAnsi="Arial" w:cs="Arial"/>
          <w:noProof/>
          <w:sz w:val="24"/>
          <w:szCs w:val="24"/>
        </w:rPr>
        <w:lastRenderedPageBreak/>
        <w:drawing>
          <wp:inline distT="0" distB="0" distL="0" distR="0">
            <wp:extent cx="4876800" cy="2362200"/>
            <wp:effectExtent l="1905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645BF" w:rsidRDefault="000645BF" w:rsidP="000645BF">
      <w:pPr>
        <w:spacing w:after="0" w:line="240" w:lineRule="auto"/>
        <w:jc w:val="both"/>
        <w:rPr>
          <w:rFonts w:ascii="Arial" w:hAnsi="Arial" w:cs="Arial"/>
          <w:sz w:val="24"/>
          <w:szCs w:val="24"/>
        </w:rPr>
      </w:pPr>
      <w:r w:rsidRPr="00E018F0">
        <w:rPr>
          <w:rFonts w:ascii="Arial" w:hAnsi="Arial" w:cs="Arial"/>
          <w:b/>
          <w:sz w:val="24"/>
          <w:szCs w:val="24"/>
        </w:rPr>
        <w:t>Fig.nr.I.3-17</w:t>
      </w:r>
    </w:p>
    <w:p w:rsidR="000645BF" w:rsidRDefault="000645BF" w:rsidP="000645BF">
      <w:pPr>
        <w:tabs>
          <w:tab w:val="left" w:pos="2746"/>
        </w:tabs>
        <w:jc w:val="center"/>
        <w:rPr>
          <w:rFonts w:ascii="Arial" w:hAnsi="Arial" w:cs="Arial"/>
          <w:sz w:val="24"/>
          <w:szCs w:val="24"/>
        </w:rPr>
      </w:pPr>
      <w:r w:rsidRPr="001C417F">
        <w:rPr>
          <w:rFonts w:ascii="Arial" w:hAnsi="Arial" w:cs="Arial"/>
          <w:b/>
          <w:noProof/>
          <w:sz w:val="24"/>
          <w:szCs w:val="24"/>
        </w:rPr>
        <w:drawing>
          <wp:inline distT="0" distB="0" distL="0" distR="0">
            <wp:extent cx="4890977" cy="1892595"/>
            <wp:effectExtent l="0" t="0" r="508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645BF" w:rsidRDefault="000645BF" w:rsidP="000645BF">
      <w:pPr>
        <w:tabs>
          <w:tab w:val="left" w:pos="1155"/>
        </w:tabs>
        <w:rPr>
          <w:rFonts w:ascii="Arial" w:hAnsi="Arial" w:cs="Arial"/>
          <w:sz w:val="24"/>
          <w:szCs w:val="24"/>
        </w:rPr>
      </w:pPr>
      <w:r w:rsidRPr="00E018F0">
        <w:rPr>
          <w:rFonts w:ascii="Arial" w:hAnsi="Arial" w:cs="Arial"/>
          <w:b/>
          <w:sz w:val="24"/>
          <w:szCs w:val="24"/>
        </w:rPr>
        <w:t>Fig. nr.I.3-18</w:t>
      </w:r>
      <w:r>
        <w:rPr>
          <w:rFonts w:ascii="Arial" w:hAnsi="Arial" w:cs="Arial"/>
          <w:sz w:val="24"/>
          <w:szCs w:val="24"/>
        </w:rPr>
        <w:tab/>
      </w:r>
    </w:p>
    <w:p w:rsidR="000645BF" w:rsidRDefault="000645BF" w:rsidP="000645BF">
      <w:pPr>
        <w:tabs>
          <w:tab w:val="left" w:pos="3366"/>
        </w:tabs>
        <w:jc w:val="center"/>
        <w:rPr>
          <w:rFonts w:ascii="Arial" w:hAnsi="Arial" w:cs="Arial"/>
          <w:sz w:val="24"/>
          <w:szCs w:val="24"/>
        </w:rPr>
      </w:pPr>
      <w:r w:rsidRPr="001C417F">
        <w:rPr>
          <w:rFonts w:ascii="Arial" w:hAnsi="Arial" w:cs="Arial"/>
          <w:noProof/>
          <w:sz w:val="24"/>
          <w:szCs w:val="24"/>
        </w:rPr>
        <w:drawing>
          <wp:inline distT="0" distB="0" distL="0" distR="0">
            <wp:extent cx="4795284" cy="1945758"/>
            <wp:effectExtent l="0" t="0" r="571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444C" w:rsidRDefault="004E444C"/>
    <w:p w:rsidR="000645BF" w:rsidRPr="00C625DB" w:rsidRDefault="000645BF" w:rsidP="000645BF">
      <w:pPr>
        <w:pStyle w:val="BodyTextIndent2"/>
        <w:spacing w:after="0" w:line="240" w:lineRule="auto"/>
        <w:ind w:left="0"/>
        <w:jc w:val="both"/>
        <w:rPr>
          <w:rFonts w:ascii="Arial" w:hAnsi="Arial" w:cs="Arial"/>
          <w:b/>
          <w:bCs/>
          <w:sz w:val="32"/>
          <w:szCs w:val="32"/>
          <w:lang w:val="ro-RO"/>
        </w:rPr>
      </w:pPr>
      <w:r w:rsidRPr="00C625DB">
        <w:rPr>
          <w:rFonts w:ascii="Arial" w:hAnsi="Arial" w:cs="Arial"/>
          <w:b/>
          <w:bCs/>
          <w:sz w:val="32"/>
          <w:szCs w:val="32"/>
          <w:lang w:val="ro-RO"/>
        </w:rPr>
        <w:t>II.  APA</w:t>
      </w:r>
    </w:p>
    <w:p w:rsidR="000645BF" w:rsidRDefault="000645BF" w:rsidP="000645BF">
      <w:pPr>
        <w:spacing w:after="0" w:line="240" w:lineRule="auto"/>
        <w:jc w:val="both"/>
        <w:rPr>
          <w:rFonts w:ascii="Arial" w:hAnsi="Arial" w:cs="Arial"/>
          <w:sz w:val="24"/>
          <w:szCs w:val="24"/>
        </w:rPr>
      </w:pPr>
      <w:r w:rsidRPr="002C1A91">
        <w:rPr>
          <w:rFonts w:ascii="Arial" w:hAnsi="Arial" w:cs="Arial"/>
          <w:sz w:val="24"/>
          <w:szCs w:val="24"/>
        </w:rPr>
        <w:t xml:space="preserve">Conform poziționării geografice , din punct de vedere hidrografic județul Brăila aparține de Bazinul Hidrografic Ialomița </w:t>
      </w:r>
      <w:r>
        <w:rPr>
          <w:rFonts w:ascii="Arial" w:hAnsi="Arial" w:cs="Arial"/>
          <w:sz w:val="24"/>
          <w:szCs w:val="24"/>
        </w:rPr>
        <w:t>–</w:t>
      </w:r>
      <w:r w:rsidRPr="002C1A91">
        <w:rPr>
          <w:rFonts w:ascii="Arial" w:hAnsi="Arial" w:cs="Arial"/>
          <w:sz w:val="24"/>
          <w:szCs w:val="24"/>
        </w:rPr>
        <w:t xml:space="preserve"> Buzău</w:t>
      </w:r>
    </w:p>
    <w:p w:rsidR="000645BF" w:rsidRPr="002C1A91" w:rsidRDefault="000645BF" w:rsidP="000645BF">
      <w:pPr>
        <w:spacing w:after="0" w:line="240" w:lineRule="auto"/>
        <w:jc w:val="both"/>
        <w:rPr>
          <w:rFonts w:ascii="Arial" w:hAnsi="Arial" w:cs="Arial"/>
          <w:sz w:val="24"/>
          <w:szCs w:val="24"/>
        </w:rPr>
      </w:pPr>
    </w:p>
    <w:p w:rsidR="000645BF" w:rsidRDefault="000645BF" w:rsidP="000645BF">
      <w:pPr>
        <w:pStyle w:val="Default"/>
        <w:jc w:val="both"/>
        <w:rPr>
          <w:rFonts w:ascii="Arial" w:hAnsi="Arial" w:cs="Arial"/>
          <w:b/>
          <w:bCs/>
          <w:lang w:val="ro-RO"/>
        </w:rPr>
      </w:pPr>
      <w:r w:rsidRPr="00E92120">
        <w:rPr>
          <w:rFonts w:ascii="Arial" w:hAnsi="Arial" w:cs="Arial"/>
          <w:b/>
          <w:bCs/>
          <w:lang w:val="ro-RO"/>
        </w:rPr>
        <w:t xml:space="preserve">   II.1 Resursele de apă, Cantități și debite </w:t>
      </w:r>
      <w:r>
        <w:rPr>
          <w:rFonts w:ascii="Arial" w:hAnsi="Arial" w:cs="Arial"/>
          <w:b/>
          <w:bCs/>
          <w:lang w:val="ro-RO"/>
        </w:rPr>
        <w:t xml:space="preserve">- </w:t>
      </w:r>
      <w:r w:rsidRPr="002C1A7C">
        <w:rPr>
          <w:rFonts w:ascii="Arial" w:hAnsi="Arial" w:cs="Arial"/>
          <w:bCs/>
          <w:i/>
          <w:color w:val="auto"/>
          <w:lang w:val="ro-RO"/>
        </w:rPr>
        <w:t>date de la ANAR si INHGA</w:t>
      </w:r>
    </w:p>
    <w:p w:rsidR="000645BF" w:rsidRDefault="000645BF" w:rsidP="000645BF">
      <w:pPr>
        <w:pStyle w:val="BodyTextIndent2"/>
        <w:spacing w:after="0" w:line="240" w:lineRule="auto"/>
        <w:ind w:left="0"/>
        <w:jc w:val="both"/>
        <w:rPr>
          <w:rFonts w:ascii="Arial" w:hAnsi="Arial" w:cs="Arial"/>
          <w:b/>
          <w:bCs/>
          <w:lang w:val="ro-RO"/>
        </w:rPr>
      </w:pPr>
      <w:r w:rsidRPr="00E92120">
        <w:rPr>
          <w:rFonts w:ascii="Arial" w:hAnsi="Arial" w:cs="Arial"/>
          <w:b/>
          <w:bCs/>
          <w:iCs/>
          <w:lang w:val="ro-RO"/>
        </w:rPr>
        <w:t>II.1.1 Stare, presiuni şi consecinţe</w:t>
      </w:r>
      <w:r>
        <w:rPr>
          <w:rFonts w:ascii="Arial" w:hAnsi="Arial" w:cs="Arial"/>
          <w:b/>
          <w:bCs/>
          <w:lang w:val="ro-RO"/>
        </w:rPr>
        <w:tab/>
      </w:r>
    </w:p>
    <w:p w:rsidR="000645BF" w:rsidRPr="00E92120" w:rsidRDefault="000645BF" w:rsidP="000645BF">
      <w:pPr>
        <w:pStyle w:val="BodyTextIndent2"/>
        <w:spacing w:after="0" w:line="240" w:lineRule="auto"/>
        <w:ind w:left="0"/>
        <w:jc w:val="both"/>
        <w:rPr>
          <w:rFonts w:ascii="Arial" w:hAnsi="Arial" w:cs="Arial"/>
          <w:b/>
          <w:bCs/>
        </w:rPr>
      </w:pPr>
      <w:r>
        <w:rPr>
          <w:rFonts w:ascii="Arial" w:hAnsi="Arial" w:cs="Arial"/>
          <w:b/>
          <w:bCs/>
          <w:lang w:val="ro-RO"/>
        </w:rPr>
        <w:tab/>
      </w:r>
      <w:r w:rsidRPr="00892D53">
        <w:rPr>
          <w:rFonts w:ascii="Arial" w:hAnsi="Arial" w:cs="Arial"/>
          <w:b/>
        </w:rPr>
        <w:t>II.1.1.1 Resurse de apă potențiale și tehnic utilizabile</w:t>
      </w:r>
    </w:p>
    <w:p w:rsidR="000645BF" w:rsidRPr="00C95A7F" w:rsidRDefault="000645BF" w:rsidP="000645BF">
      <w:pPr>
        <w:spacing w:after="0" w:line="240" w:lineRule="auto"/>
        <w:ind w:firstLine="708"/>
        <w:jc w:val="both"/>
        <w:rPr>
          <w:rFonts w:ascii="Arial" w:hAnsi="Arial" w:cs="Arial"/>
          <w:b/>
          <w:sz w:val="26"/>
          <w:szCs w:val="26"/>
        </w:rPr>
      </w:pPr>
      <w:r w:rsidRPr="00C95A7F">
        <w:rPr>
          <w:rFonts w:ascii="Arial" w:hAnsi="Arial" w:cs="Arial"/>
          <w:b/>
          <w:sz w:val="26"/>
          <w:szCs w:val="26"/>
        </w:rPr>
        <w:t>Resursa naturală de apă la nivelul anului 201</w:t>
      </w:r>
      <w:r>
        <w:rPr>
          <w:rFonts w:ascii="Arial" w:hAnsi="Arial" w:cs="Arial"/>
          <w:b/>
          <w:sz w:val="26"/>
          <w:szCs w:val="26"/>
        </w:rPr>
        <w:t>7</w:t>
      </w:r>
    </w:p>
    <w:p w:rsidR="000645BF" w:rsidRPr="007105A2" w:rsidRDefault="000645BF" w:rsidP="000645BF">
      <w:pPr>
        <w:spacing w:after="0" w:line="240" w:lineRule="auto"/>
        <w:ind w:left="708"/>
        <w:jc w:val="both"/>
        <w:rPr>
          <w:rFonts w:ascii="Arial" w:hAnsi="Arial" w:cs="Arial"/>
          <w:sz w:val="24"/>
          <w:szCs w:val="24"/>
        </w:rPr>
      </w:pPr>
      <w:r w:rsidRPr="00760BCC">
        <w:rPr>
          <w:rFonts w:ascii="Arial" w:hAnsi="Arial" w:cs="Arial"/>
          <w:b/>
          <w:sz w:val="24"/>
          <w:szCs w:val="24"/>
        </w:rPr>
        <w:t>Resursele naturale</w:t>
      </w:r>
      <w:r w:rsidRPr="007105A2">
        <w:rPr>
          <w:rFonts w:ascii="Arial" w:hAnsi="Arial" w:cs="Arial"/>
          <w:sz w:val="24"/>
          <w:szCs w:val="24"/>
        </w:rPr>
        <w:t xml:space="preserve"> de apă reprezintă </w:t>
      </w:r>
      <w:r w:rsidRPr="00760BCC">
        <w:rPr>
          <w:rFonts w:ascii="Arial" w:hAnsi="Arial" w:cs="Arial"/>
          <w:b/>
          <w:sz w:val="24"/>
          <w:szCs w:val="24"/>
        </w:rPr>
        <w:t>rezervele de apă de suprafață și subterane</w:t>
      </w:r>
      <w:r w:rsidRPr="007105A2">
        <w:rPr>
          <w:rFonts w:ascii="Arial" w:hAnsi="Arial" w:cs="Arial"/>
          <w:sz w:val="24"/>
          <w:szCs w:val="24"/>
        </w:rPr>
        <w:t xml:space="preserve"> ale unui teritoriu care pot fi folosite pentru diverse scopuri.</w:t>
      </w:r>
    </w:p>
    <w:p w:rsidR="000645BF" w:rsidRPr="007105A2" w:rsidRDefault="000645BF" w:rsidP="000645BF">
      <w:pPr>
        <w:spacing w:after="0" w:line="240" w:lineRule="auto"/>
        <w:ind w:left="708"/>
        <w:jc w:val="both"/>
        <w:rPr>
          <w:rFonts w:ascii="Arial" w:hAnsi="Arial" w:cs="Arial"/>
          <w:sz w:val="24"/>
          <w:szCs w:val="24"/>
        </w:rPr>
      </w:pPr>
      <w:r w:rsidRPr="00CD7BA9">
        <w:rPr>
          <w:rFonts w:ascii="Arial" w:hAnsi="Arial" w:cs="Arial"/>
          <w:b/>
          <w:sz w:val="24"/>
          <w:szCs w:val="24"/>
        </w:rPr>
        <w:t>Resursa naturală</w:t>
      </w:r>
      <w:r w:rsidRPr="007105A2">
        <w:rPr>
          <w:rFonts w:ascii="Arial" w:hAnsi="Arial" w:cs="Arial"/>
          <w:sz w:val="24"/>
          <w:szCs w:val="24"/>
        </w:rPr>
        <w:t xml:space="preserve"> este cantitatea de apă exprimată în unități de volum acumulată în corpurile de apă într-un interval de timp dat, în cazul de față în cursul anului 201</w:t>
      </w:r>
      <w:r>
        <w:rPr>
          <w:rFonts w:ascii="Arial" w:hAnsi="Arial" w:cs="Arial"/>
          <w:sz w:val="24"/>
          <w:szCs w:val="24"/>
        </w:rPr>
        <w:t>7</w:t>
      </w:r>
      <w:r w:rsidRPr="007105A2">
        <w:rPr>
          <w:rFonts w:ascii="Arial" w:hAnsi="Arial" w:cs="Arial"/>
          <w:sz w:val="24"/>
          <w:szCs w:val="24"/>
        </w:rPr>
        <w:t>.</w:t>
      </w:r>
    </w:p>
    <w:p w:rsidR="000645BF" w:rsidRPr="001E5431" w:rsidRDefault="000645BF" w:rsidP="000645BF">
      <w:pPr>
        <w:spacing w:after="0" w:line="240" w:lineRule="auto"/>
        <w:ind w:left="708"/>
        <w:jc w:val="both"/>
        <w:rPr>
          <w:rFonts w:ascii="Arial" w:hAnsi="Arial" w:cs="Arial"/>
          <w:sz w:val="24"/>
          <w:szCs w:val="24"/>
        </w:rPr>
      </w:pPr>
      <w:r w:rsidRPr="00CD7BA9">
        <w:rPr>
          <w:rFonts w:ascii="Arial" w:hAnsi="Arial" w:cs="Arial"/>
          <w:b/>
          <w:i/>
          <w:sz w:val="24"/>
          <w:szCs w:val="24"/>
        </w:rPr>
        <w:lastRenderedPageBreak/>
        <w:t>Resursa teoretică</w:t>
      </w:r>
      <w:r w:rsidRPr="001E5431">
        <w:rPr>
          <w:rFonts w:ascii="Arial" w:hAnsi="Arial" w:cs="Arial"/>
          <w:sz w:val="24"/>
          <w:szCs w:val="24"/>
        </w:rPr>
        <w:t>este dată de stocul mediu anual reprezentând totalitatea resurselor naturale de apă atât de suprafață cât și subterane.</w:t>
      </w:r>
    </w:p>
    <w:p w:rsidR="000645BF" w:rsidRDefault="000645BF" w:rsidP="000645BF">
      <w:pPr>
        <w:spacing w:after="0" w:line="240" w:lineRule="auto"/>
        <w:ind w:left="708"/>
        <w:jc w:val="both"/>
        <w:rPr>
          <w:rFonts w:ascii="Arial" w:hAnsi="Arial" w:cs="Arial"/>
          <w:b/>
          <w:i/>
          <w:sz w:val="24"/>
          <w:szCs w:val="24"/>
        </w:rPr>
      </w:pPr>
      <w:r w:rsidRPr="00CD7BA9">
        <w:rPr>
          <w:rFonts w:ascii="Arial" w:hAnsi="Arial" w:cs="Arial"/>
          <w:b/>
          <w:i/>
          <w:sz w:val="24"/>
          <w:szCs w:val="24"/>
        </w:rPr>
        <w:t>Resursa tehnic utilizabilă</w:t>
      </w:r>
      <w:r w:rsidRPr="001E5431">
        <w:rPr>
          <w:rFonts w:ascii="Arial" w:hAnsi="Arial" w:cs="Arial"/>
          <w:sz w:val="24"/>
          <w:szCs w:val="24"/>
        </w:rPr>
        <w:t>este cota parte din resursa teoretică care poate fi prelevată pentru a servi la satisfacerea cerințelor de apă ale economiei.</w:t>
      </w:r>
    </w:p>
    <w:p w:rsidR="000645BF" w:rsidRDefault="000645BF" w:rsidP="000645BF">
      <w:pPr>
        <w:spacing w:after="0" w:line="240" w:lineRule="auto"/>
        <w:jc w:val="both"/>
        <w:rPr>
          <w:rFonts w:ascii="Arial" w:hAnsi="Arial" w:cs="Arial"/>
          <w:b/>
          <w:i/>
          <w:sz w:val="24"/>
          <w:szCs w:val="24"/>
        </w:rPr>
      </w:pPr>
      <w:r w:rsidRPr="001E5431">
        <w:rPr>
          <w:rFonts w:ascii="Arial" w:hAnsi="Arial" w:cs="Arial"/>
          <w:b/>
          <w:i/>
          <w:sz w:val="24"/>
          <w:szCs w:val="24"/>
        </w:rPr>
        <w:t xml:space="preserve">Resursele de apă de suprafață </w:t>
      </w:r>
    </w:p>
    <w:p w:rsidR="000645BF" w:rsidRPr="007105A2" w:rsidRDefault="000645BF" w:rsidP="000645BF">
      <w:pPr>
        <w:spacing w:after="0" w:line="240" w:lineRule="auto"/>
        <w:jc w:val="both"/>
        <w:rPr>
          <w:rFonts w:ascii="Arial" w:hAnsi="Arial" w:cs="Arial"/>
          <w:sz w:val="24"/>
          <w:szCs w:val="24"/>
          <w:lang w:val="en-GB"/>
        </w:rPr>
      </w:pPr>
      <w:r w:rsidRPr="007105A2">
        <w:rPr>
          <w:rFonts w:ascii="Arial" w:hAnsi="Arial" w:cs="Arial"/>
          <w:sz w:val="24"/>
          <w:szCs w:val="24"/>
        </w:rPr>
        <w:t>Resursele de apă de suprafață ale României provin din 2 categorii de surse, respectiv</w:t>
      </w:r>
      <w:r w:rsidRPr="007105A2">
        <w:rPr>
          <w:rFonts w:ascii="Arial" w:hAnsi="Arial" w:cs="Arial"/>
          <w:sz w:val="24"/>
          <w:szCs w:val="24"/>
          <w:lang w:val="en-GB"/>
        </w:rPr>
        <w:t>:</w:t>
      </w:r>
    </w:p>
    <w:p w:rsidR="000645BF" w:rsidRPr="007105A2" w:rsidRDefault="000645BF" w:rsidP="00EF3940">
      <w:pPr>
        <w:pStyle w:val="ListParagraph"/>
        <w:numPr>
          <w:ilvl w:val="0"/>
          <w:numId w:val="9"/>
        </w:numPr>
        <w:jc w:val="both"/>
        <w:rPr>
          <w:rFonts w:ascii="Arial" w:hAnsi="Arial" w:cs="Arial"/>
        </w:rPr>
      </w:pPr>
      <w:r w:rsidRPr="007105A2">
        <w:rPr>
          <w:rFonts w:ascii="Arial" w:hAnsi="Arial" w:cs="Arial"/>
        </w:rPr>
        <w:t>râurile interioare (inclusiv lacurile naturale)</w:t>
      </w:r>
    </w:p>
    <w:p w:rsidR="000645BF" w:rsidRPr="007105A2" w:rsidRDefault="000645BF" w:rsidP="00EF3940">
      <w:pPr>
        <w:pStyle w:val="ListParagraph"/>
        <w:numPr>
          <w:ilvl w:val="0"/>
          <w:numId w:val="9"/>
        </w:numPr>
        <w:jc w:val="both"/>
        <w:rPr>
          <w:rFonts w:ascii="Arial" w:hAnsi="Arial" w:cs="Arial"/>
        </w:rPr>
      </w:pPr>
      <w:r w:rsidRPr="007105A2">
        <w:rPr>
          <w:rFonts w:ascii="Arial" w:hAnsi="Arial" w:cs="Arial"/>
        </w:rPr>
        <w:t>fluviul Dunărea</w:t>
      </w:r>
    </w:p>
    <w:p w:rsidR="000645BF" w:rsidRPr="007105A2" w:rsidRDefault="000645BF" w:rsidP="000645BF">
      <w:pPr>
        <w:spacing w:after="0" w:line="240" w:lineRule="auto"/>
        <w:ind w:firstLine="360"/>
        <w:jc w:val="both"/>
        <w:rPr>
          <w:rFonts w:ascii="Arial" w:hAnsi="Arial" w:cs="Arial"/>
          <w:sz w:val="24"/>
          <w:szCs w:val="24"/>
        </w:rPr>
      </w:pPr>
      <w:r w:rsidRPr="007105A2">
        <w:rPr>
          <w:rFonts w:ascii="Arial" w:hAnsi="Arial" w:cs="Arial"/>
          <w:sz w:val="24"/>
          <w:szCs w:val="24"/>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0645BF" w:rsidRPr="007105A2" w:rsidRDefault="000645BF" w:rsidP="000645BF">
      <w:pPr>
        <w:spacing w:after="0" w:line="240" w:lineRule="auto"/>
        <w:ind w:firstLine="360"/>
        <w:jc w:val="both"/>
        <w:rPr>
          <w:rFonts w:ascii="Arial" w:hAnsi="Arial" w:cs="Arial"/>
          <w:sz w:val="24"/>
          <w:szCs w:val="24"/>
        </w:rPr>
      </w:pPr>
      <w:r w:rsidRPr="007105A2">
        <w:rPr>
          <w:rFonts w:ascii="Arial" w:hAnsi="Arial" w:cs="Arial"/>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0645BF" w:rsidRPr="00CD2CC5" w:rsidRDefault="000645BF" w:rsidP="000645BF">
      <w:pPr>
        <w:spacing w:after="0" w:line="240" w:lineRule="auto"/>
        <w:jc w:val="both"/>
        <w:rPr>
          <w:rFonts w:ascii="Arial" w:hAnsi="Arial" w:cs="Arial"/>
          <w:sz w:val="24"/>
          <w:szCs w:val="24"/>
        </w:rPr>
      </w:pPr>
      <w:r w:rsidRPr="003A706E">
        <w:rPr>
          <w:rFonts w:ascii="Arial" w:hAnsi="Arial" w:cs="Arial"/>
          <w:b/>
          <w:i/>
          <w:sz w:val="24"/>
          <w:szCs w:val="24"/>
          <w:u w:val="single"/>
        </w:rPr>
        <w:t xml:space="preserve">Resursa naturală de apă a anului </w:t>
      </w:r>
      <w:r w:rsidRPr="00870281">
        <w:rPr>
          <w:rFonts w:ascii="Arial" w:hAnsi="Arial" w:cs="Arial"/>
          <w:b/>
          <w:i/>
          <w:sz w:val="24"/>
          <w:szCs w:val="24"/>
          <w:u w:val="single"/>
        </w:rPr>
        <w:t>2017</w:t>
      </w:r>
      <w:r>
        <w:rPr>
          <w:rFonts w:ascii="Arial" w:hAnsi="Arial" w:cs="Arial"/>
          <w:b/>
          <w:i/>
          <w:sz w:val="24"/>
          <w:szCs w:val="24"/>
          <w:u w:val="single"/>
        </w:rPr>
        <w:t xml:space="preserve"> </w:t>
      </w:r>
      <w:r w:rsidRPr="00870281">
        <w:rPr>
          <w:rFonts w:ascii="Arial" w:hAnsi="Arial" w:cs="Arial"/>
          <w:b/>
          <w:sz w:val="24"/>
          <w:szCs w:val="24"/>
          <w:u w:val="single"/>
        </w:rPr>
        <w:t>provenită din râurile interioare</w:t>
      </w:r>
      <w:r w:rsidRPr="000F1D9B">
        <w:rPr>
          <w:rFonts w:ascii="Arial" w:hAnsi="Arial" w:cs="Arial"/>
          <w:sz w:val="24"/>
          <w:szCs w:val="24"/>
        </w:rPr>
        <w:t xml:space="preserve"> a reprezentat un volum scurs </w:t>
      </w:r>
      <w:r w:rsidRPr="00CD2CC5">
        <w:rPr>
          <w:rFonts w:ascii="Arial" w:hAnsi="Arial" w:cs="Arial"/>
          <w:sz w:val="24"/>
          <w:szCs w:val="24"/>
        </w:rPr>
        <w:t>de 29228*10</w:t>
      </w:r>
      <w:r w:rsidRPr="00CD2CC5">
        <w:rPr>
          <w:rFonts w:ascii="Arial" w:hAnsi="Arial" w:cs="Arial"/>
          <w:sz w:val="24"/>
          <w:szCs w:val="24"/>
          <w:vertAlign w:val="superscript"/>
        </w:rPr>
        <w:t>6</w:t>
      </w:r>
      <w:r w:rsidRPr="00CD2CC5">
        <w:rPr>
          <w:rFonts w:ascii="Arial" w:hAnsi="Arial" w:cs="Arial"/>
          <w:sz w:val="24"/>
          <w:szCs w:val="24"/>
        </w:rPr>
        <w:t>m</w:t>
      </w:r>
      <w:r w:rsidRPr="00CD2CC5">
        <w:rPr>
          <w:rFonts w:ascii="Arial" w:hAnsi="Arial" w:cs="Arial"/>
          <w:sz w:val="24"/>
          <w:szCs w:val="24"/>
          <w:vertAlign w:val="superscript"/>
        </w:rPr>
        <w:t>3</w:t>
      </w:r>
      <w:r w:rsidRPr="00CD2CC5">
        <w:rPr>
          <w:rFonts w:ascii="Arial" w:hAnsi="Arial" w:cs="Arial"/>
          <w:sz w:val="24"/>
          <w:szCs w:val="24"/>
        </w:rPr>
        <w:t xml:space="preserve"> care îl situează sub nivelul volumului mediu multianual calculat pentru o perioadă îndelungată (1950 – 2017)</w:t>
      </w:r>
      <w:r>
        <w:rPr>
          <w:rFonts w:ascii="Arial" w:hAnsi="Arial" w:cs="Arial"/>
          <w:sz w:val="24"/>
          <w:szCs w:val="24"/>
        </w:rPr>
        <w:t xml:space="preserve">, respectiv 40 000 </w:t>
      </w:r>
      <w:r w:rsidRPr="00CD2CC5">
        <w:rPr>
          <w:rFonts w:ascii="Arial" w:hAnsi="Arial" w:cs="Arial"/>
          <w:sz w:val="24"/>
          <w:szCs w:val="24"/>
        </w:rPr>
        <w:t>*10</w:t>
      </w:r>
      <w:r w:rsidRPr="00CD2CC5">
        <w:rPr>
          <w:rFonts w:ascii="Arial" w:hAnsi="Arial" w:cs="Arial"/>
          <w:sz w:val="24"/>
          <w:szCs w:val="24"/>
          <w:vertAlign w:val="superscript"/>
        </w:rPr>
        <w:t>6</w:t>
      </w:r>
      <w:r w:rsidRPr="00CD2CC5">
        <w:rPr>
          <w:rFonts w:ascii="Arial" w:hAnsi="Arial" w:cs="Arial"/>
          <w:sz w:val="24"/>
          <w:szCs w:val="24"/>
        </w:rPr>
        <w:t>m</w:t>
      </w:r>
      <w:r w:rsidRPr="00CD2CC5">
        <w:rPr>
          <w:rFonts w:ascii="Arial" w:hAnsi="Arial" w:cs="Arial"/>
          <w:sz w:val="24"/>
          <w:szCs w:val="24"/>
          <w:vertAlign w:val="superscript"/>
        </w:rPr>
        <w:t>3</w:t>
      </w:r>
    </w:p>
    <w:p w:rsidR="000645BF" w:rsidRPr="00CD2CC5" w:rsidRDefault="000645BF" w:rsidP="000645BF">
      <w:pPr>
        <w:spacing w:after="0" w:line="240" w:lineRule="auto"/>
        <w:jc w:val="both"/>
        <w:rPr>
          <w:rFonts w:ascii="Arial" w:hAnsi="Arial" w:cs="Arial"/>
          <w:sz w:val="24"/>
          <w:szCs w:val="24"/>
        </w:rPr>
      </w:pPr>
      <w:r w:rsidRPr="00CD2CC5">
        <w:rPr>
          <w:rFonts w:ascii="Arial" w:hAnsi="Arial" w:cs="Arial"/>
          <w:sz w:val="24"/>
          <w:szCs w:val="24"/>
        </w:rPr>
        <w:t>În acest context anul 2017 poate fi considerat un an secetos.</w:t>
      </w:r>
    </w:p>
    <w:p w:rsidR="000645BF" w:rsidRDefault="000645BF" w:rsidP="000645BF">
      <w:pPr>
        <w:spacing w:after="0" w:line="240" w:lineRule="auto"/>
        <w:ind w:firstLine="708"/>
        <w:jc w:val="both"/>
        <w:rPr>
          <w:rFonts w:ascii="Arial" w:hAnsi="Arial" w:cs="Arial"/>
          <w:sz w:val="24"/>
          <w:szCs w:val="24"/>
        </w:rPr>
      </w:pPr>
      <w:r w:rsidRPr="00CD2CC5">
        <w:rPr>
          <w:rFonts w:ascii="Arial" w:hAnsi="Arial" w:cs="Arial"/>
          <w:sz w:val="24"/>
          <w:szCs w:val="24"/>
        </w:rPr>
        <w:t>Comparativ cu ultimii 5 ani (2012 – 2016), volumul scur</w:t>
      </w:r>
      <w:r>
        <w:rPr>
          <w:rFonts w:ascii="Arial" w:hAnsi="Arial" w:cs="Arial"/>
          <w:sz w:val="24"/>
          <w:szCs w:val="24"/>
        </w:rPr>
        <w:t>s în anul 2017 a reprezentat 81,</w:t>
      </w:r>
      <w:r w:rsidRPr="00CD2CC5">
        <w:rPr>
          <w:rFonts w:ascii="Arial" w:hAnsi="Arial" w:cs="Arial"/>
          <w:sz w:val="24"/>
          <w:szCs w:val="24"/>
        </w:rPr>
        <w:t>8 % față de media multianuală a stocului anual scurs în intervalul amintit (</w:t>
      </w:r>
      <w:r w:rsidRPr="008B6F6F">
        <w:rPr>
          <w:rFonts w:ascii="Arial" w:hAnsi="Arial" w:cs="Arial"/>
          <w:i/>
          <w:sz w:val="24"/>
          <w:szCs w:val="24"/>
        </w:rPr>
        <w:t>vezi tabel nr. 1</w:t>
      </w:r>
      <w:r w:rsidRPr="00CD2CC5">
        <w:rPr>
          <w:rFonts w:ascii="Arial" w:hAnsi="Arial" w:cs="Arial"/>
          <w:sz w:val="24"/>
          <w:szCs w:val="24"/>
        </w:rPr>
        <w:t>).Scăderea cu circa 20%, mai precis cu 18,2%</w:t>
      </w:r>
      <w:r w:rsidRPr="007105A2">
        <w:rPr>
          <w:rFonts w:ascii="Arial" w:hAnsi="Arial" w:cs="Arial"/>
          <w:sz w:val="24"/>
          <w:szCs w:val="24"/>
        </w:rPr>
        <w:t>față de media multianuală a ultimilor 5 ani se explică prin faptul că</w:t>
      </w:r>
      <w:r>
        <w:rPr>
          <w:rFonts w:ascii="Arial" w:hAnsi="Arial" w:cs="Arial"/>
          <w:sz w:val="24"/>
          <w:szCs w:val="24"/>
        </w:rPr>
        <w:t xml:space="preserve"> anul 2017, comparativ cu ceilalți ani a fost un an secetos cuexcepția anului 2012. În anul 2012, resursa de apă era mai mică în comparație cu cea calculată pentru anul 2017.În ultimii 5 ani</w:t>
      </w:r>
      <w:r w:rsidRPr="007105A2">
        <w:rPr>
          <w:rFonts w:ascii="Arial" w:hAnsi="Arial" w:cs="Arial"/>
          <w:sz w:val="24"/>
          <w:szCs w:val="24"/>
        </w:rPr>
        <w:t xml:space="preserve"> în acest interval au existat </w:t>
      </w:r>
      <w:r>
        <w:rPr>
          <w:rFonts w:ascii="Arial" w:hAnsi="Arial" w:cs="Arial"/>
          <w:sz w:val="24"/>
          <w:szCs w:val="24"/>
        </w:rPr>
        <w:t>ani ploioși (2013, 2014 și 2016) comparativ cu anul 2017 care au ridicat valoarea medie a resursei de apă (vezi grafic nr. 1).</w:t>
      </w:r>
    </w:p>
    <w:p w:rsidR="000645BF" w:rsidRPr="007105A2" w:rsidRDefault="000645BF" w:rsidP="000645BF">
      <w:pPr>
        <w:spacing w:after="0" w:line="240" w:lineRule="auto"/>
        <w:ind w:firstLine="708"/>
        <w:jc w:val="both"/>
        <w:rPr>
          <w:rFonts w:ascii="Arial" w:hAnsi="Arial" w:cs="Arial"/>
          <w:sz w:val="24"/>
          <w:szCs w:val="24"/>
        </w:rPr>
      </w:pPr>
      <w:r w:rsidRPr="007105A2">
        <w:rPr>
          <w:rFonts w:ascii="Arial" w:hAnsi="Arial" w:cs="Arial"/>
          <w:sz w:val="24"/>
          <w:szCs w:val="24"/>
        </w:rPr>
        <w:t>Extinzând analiza evoluției comparative a resursei aferente anului 201</w:t>
      </w:r>
      <w:r>
        <w:rPr>
          <w:rFonts w:ascii="Arial" w:hAnsi="Arial" w:cs="Arial"/>
          <w:sz w:val="24"/>
          <w:szCs w:val="24"/>
        </w:rPr>
        <w:t>7</w:t>
      </w:r>
      <w:r w:rsidRPr="007105A2">
        <w:rPr>
          <w:rFonts w:ascii="Arial" w:hAnsi="Arial" w:cs="Arial"/>
          <w:sz w:val="24"/>
          <w:szCs w:val="24"/>
        </w:rPr>
        <w:t xml:space="preserve"> la nivelul bazinelor principale constatăm că în zona de nord – vest </w:t>
      </w:r>
      <w:r>
        <w:rPr>
          <w:rFonts w:ascii="Arial" w:hAnsi="Arial" w:cs="Arial"/>
          <w:sz w:val="24"/>
          <w:szCs w:val="24"/>
        </w:rPr>
        <w:t>a țării și de est</w:t>
      </w:r>
      <w:r w:rsidRPr="007105A2">
        <w:rPr>
          <w:rFonts w:ascii="Arial" w:hAnsi="Arial" w:cs="Arial"/>
          <w:sz w:val="24"/>
          <w:szCs w:val="24"/>
        </w:rPr>
        <w:t>, volumul scurs în 201</w:t>
      </w:r>
      <w:r>
        <w:rPr>
          <w:rFonts w:ascii="Arial" w:hAnsi="Arial" w:cs="Arial"/>
          <w:sz w:val="24"/>
          <w:szCs w:val="24"/>
        </w:rPr>
        <w:t>7</w:t>
      </w:r>
      <w:r w:rsidRPr="007105A2">
        <w:rPr>
          <w:rFonts w:ascii="Arial" w:hAnsi="Arial" w:cs="Arial"/>
          <w:sz w:val="24"/>
          <w:szCs w:val="24"/>
        </w:rPr>
        <w:t xml:space="preserve"> a fost excedentar față de media multianuală a ultimilor 5 ani. Situația menționată se observă în bazinele Tisei, Someșului</w:t>
      </w:r>
      <w:r>
        <w:rPr>
          <w:rFonts w:ascii="Arial" w:hAnsi="Arial" w:cs="Arial"/>
          <w:sz w:val="24"/>
          <w:szCs w:val="24"/>
        </w:rPr>
        <w:t xml:space="preserve"> și Prutului </w:t>
      </w:r>
      <w:r w:rsidRPr="007105A2">
        <w:rPr>
          <w:rFonts w:ascii="Arial" w:hAnsi="Arial" w:cs="Arial"/>
          <w:sz w:val="24"/>
          <w:szCs w:val="24"/>
        </w:rPr>
        <w:t>(</w:t>
      </w:r>
      <w:r w:rsidRPr="008B6F6F">
        <w:rPr>
          <w:rFonts w:ascii="Arial" w:hAnsi="Arial" w:cs="Arial"/>
          <w:i/>
          <w:sz w:val="24"/>
          <w:szCs w:val="24"/>
        </w:rPr>
        <w:t>vezi tabel nr. 1</w:t>
      </w:r>
      <w:r w:rsidRPr="007105A2">
        <w:rPr>
          <w:rFonts w:ascii="Arial" w:hAnsi="Arial" w:cs="Arial"/>
          <w:sz w:val="24"/>
          <w:szCs w:val="24"/>
        </w:rPr>
        <w:t>).</w:t>
      </w:r>
      <w:r>
        <w:rPr>
          <w:rFonts w:ascii="Arial" w:hAnsi="Arial" w:cs="Arial"/>
          <w:sz w:val="24"/>
          <w:szCs w:val="24"/>
        </w:rPr>
        <w:t xml:space="preserve"> Cea mai mare creștere se constată în bazinul râului Tisa unde stocul anual din 2017 a </w:t>
      </w:r>
      <w:r w:rsidRPr="00CD2CC5">
        <w:rPr>
          <w:rFonts w:ascii="Arial" w:hAnsi="Arial" w:cs="Arial"/>
          <w:sz w:val="24"/>
          <w:szCs w:val="24"/>
        </w:rPr>
        <w:t>reprezentat 145%</w:t>
      </w:r>
      <w:r>
        <w:rPr>
          <w:rFonts w:ascii="Arial" w:hAnsi="Arial" w:cs="Arial"/>
          <w:sz w:val="24"/>
          <w:szCs w:val="24"/>
        </w:rPr>
        <w:t xml:space="preserve"> din media stocului multianual (2012-2016) urmat de bazinul hidrografic Prut cu 132,7%.</w:t>
      </w:r>
    </w:p>
    <w:p w:rsidR="000645BF" w:rsidRPr="000F1D9B" w:rsidRDefault="000645BF" w:rsidP="000645BF">
      <w:pPr>
        <w:spacing w:after="0" w:line="240" w:lineRule="auto"/>
        <w:ind w:firstLine="708"/>
        <w:jc w:val="both"/>
        <w:rPr>
          <w:rFonts w:ascii="Arial" w:hAnsi="Arial" w:cs="Arial"/>
          <w:sz w:val="24"/>
          <w:szCs w:val="24"/>
        </w:rPr>
      </w:pPr>
      <w:r w:rsidRPr="007105A2">
        <w:rPr>
          <w:rFonts w:ascii="Arial" w:hAnsi="Arial" w:cs="Arial"/>
          <w:sz w:val="24"/>
          <w:szCs w:val="24"/>
        </w:rPr>
        <w:t xml:space="preserve">Bazinele principale </w:t>
      </w:r>
      <w:r>
        <w:rPr>
          <w:rFonts w:ascii="Arial" w:hAnsi="Arial" w:cs="Arial"/>
          <w:sz w:val="24"/>
          <w:szCs w:val="24"/>
        </w:rPr>
        <w:t>din vest și sudsunt sub nivelul</w:t>
      </w:r>
      <w:r w:rsidRPr="007105A2">
        <w:rPr>
          <w:rFonts w:ascii="Arial" w:hAnsi="Arial" w:cs="Arial"/>
          <w:sz w:val="24"/>
          <w:szCs w:val="24"/>
        </w:rPr>
        <w:t xml:space="preserve"> mediei multianuale a ultimilor 5 ani, </w:t>
      </w:r>
      <w:r>
        <w:rPr>
          <w:rFonts w:ascii="Arial" w:hAnsi="Arial" w:cs="Arial"/>
          <w:sz w:val="24"/>
          <w:szCs w:val="24"/>
        </w:rPr>
        <w:t>fiind</w:t>
      </w:r>
      <w:r w:rsidRPr="008C4F8A">
        <w:rPr>
          <w:rFonts w:ascii="Arial" w:hAnsi="Arial" w:cs="Arial"/>
          <w:sz w:val="24"/>
          <w:szCs w:val="24"/>
        </w:rPr>
        <w:t>afectate de seceta hidrologică. În bazinul râului Vedea, stocul anual de apă în 2017 a reprezentat doar 41,6% din media stocului multianual pentru intervalul 2012 – 2016 urmat de bazinurile râurilor Nera – Cerna unde a fost de 4</w:t>
      </w:r>
      <w:r>
        <w:rPr>
          <w:rFonts w:ascii="Arial" w:hAnsi="Arial" w:cs="Arial"/>
          <w:sz w:val="24"/>
          <w:szCs w:val="24"/>
        </w:rPr>
        <w:t>8.8</w:t>
      </w:r>
      <w:r w:rsidRPr="008C4F8A">
        <w:rPr>
          <w:rFonts w:ascii="Arial" w:hAnsi="Arial" w:cs="Arial"/>
          <w:sz w:val="24"/>
          <w:szCs w:val="24"/>
        </w:rPr>
        <w:t>% din medie.</w:t>
      </w:r>
    </w:p>
    <w:p w:rsidR="000645BF" w:rsidRPr="000F1D9B" w:rsidRDefault="000645BF" w:rsidP="000645BF">
      <w:pPr>
        <w:spacing w:after="0" w:line="240" w:lineRule="auto"/>
        <w:ind w:firstLine="708"/>
        <w:jc w:val="both"/>
        <w:rPr>
          <w:rFonts w:ascii="Arial" w:hAnsi="Arial" w:cs="Arial"/>
          <w:sz w:val="24"/>
          <w:szCs w:val="24"/>
        </w:rPr>
      </w:pPr>
      <w:r w:rsidRPr="000F1D9B">
        <w:rPr>
          <w:rFonts w:ascii="Arial" w:hAnsi="Arial" w:cs="Arial"/>
          <w:sz w:val="24"/>
          <w:szCs w:val="24"/>
        </w:rPr>
        <w:t xml:space="preserve">În concluzie, anul 2017 a fost un an secetos în ceea ce privește </w:t>
      </w:r>
      <w:r w:rsidRPr="008C4F8A">
        <w:rPr>
          <w:rFonts w:ascii="Arial" w:hAnsi="Arial" w:cs="Arial"/>
          <w:sz w:val="24"/>
          <w:szCs w:val="24"/>
        </w:rPr>
        <w:t>cuantumul resursei de apă totale provenită din râurile interioare,</w:t>
      </w:r>
      <w:r>
        <w:rPr>
          <w:rFonts w:ascii="Arial" w:hAnsi="Arial" w:cs="Arial"/>
          <w:sz w:val="24"/>
          <w:szCs w:val="24"/>
        </w:rPr>
        <w:t xml:space="preserve"> stocul mediu anual fiind cu 27,</w:t>
      </w:r>
      <w:r w:rsidRPr="008C4F8A">
        <w:rPr>
          <w:rFonts w:ascii="Arial" w:hAnsi="Arial" w:cs="Arial"/>
          <w:sz w:val="24"/>
          <w:szCs w:val="24"/>
        </w:rPr>
        <w:t>3 % mai mic decât valoarea medie multianuală calculată pe lungă perioadă.</w:t>
      </w:r>
    </w:p>
    <w:p w:rsidR="000645BF" w:rsidRPr="000F1D9B" w:rsidRDefault="000645BF" w:rsidP="000645BF">
      <w:pPr>
        <w:spacing w:after="0" w:line="240" w:lineRule="auto"/>
        <w:ind w:firstLine="708"/>
        <w:jc w:val="both"/>
        <w:rPr>
          <w:rFonts w:ascii="Arial" w:hAnsi="Arial" w:cs="Arial"/>
          <w:sz w:val="24"/>
          <w:szCs w:val="24"/>
        </w:rPr>
      </w:pPr>
      <w:r w:rsidRPr="000F1D9B">
        <w:rPr>
          <w:rFonts w:ascii="Arial" w:hAnsi="Arial" w:cs="Arial"/>
          <w:sz w:val="24"/>
          <w:szCs w:val="24"/>
        </w:rPr>
        <w:t>Fluviul Dunărea prezintă o situație asemănătoare cu cea înregistrată pe cursurile râurilor interioare, volumul scurs la intrarea în țară (st. h. Baziaș) și cel înregistrat la ieșirea din țară (st. h. Isaccea) situându-se sub nivelul mediu calculat pe ultimii 5 ani</w:t>
      </w:r>
      <w:r>
        <w:rPr>
          <w:rFonts w:ascii="Arial" w:hAnsi="Arial" w:cs="Arial"/>
          <w:sz w:val="24"/>
          <w:szCs w:val="24"/>
        </w:rPr>
        <w:t xml:space="preserve"> (</w:t>
      </w:r>
      <w:r w:rsidRPr="008B6F6F">
        <w:rPr>
          <w:rFonts w:ascii="Arial" w:hAnsi="Arial" w:cs="Arial"/>
          <w:i/>
          <w:sz w:val="24"/>
          <w:szCs w:val="24"/>
        </w:rPr>
        <w:t>tabel nr. 2</w:t>
      </w:r>
      <w:r>
        <w:rPr>
          <w:rFonts w:ascii="Arial" w:hAnsi="Arial" w:cs="Arial"/>
          <w:sz w:val="24"/>
          <w:szCs w:val="24"/>
        </w:rPr>
        <w:t>).</w:t>
      </w:r>
    </w:p>
    <w:p w:rsidR="000645BF" w:rsidRPr="000F1D9B" w:rsidRDefault="000645BF" w:rsidP="000645BF">
      <w:pPr>
        <w:spacing w:after="0" w:line="240" w:lineRule="auto"/>
        <w:ind w:firstLine="708"/>
        <w:jc w:val="both"/>
        <w:rPr>
          <w:rFonts w:ascii="Arial" w:hAnsi="Arial" w:cs="Arial"/>
          <w:sz w:val="24"/>
          <w:szCs w:val="24"/>
        </w:rPr>
      </w:pPr>
      <w:r w:rsidRPr="000F1D9B">
        <w:rPr>
          <w:rFonts w:ascii="Arial" w:hAnsi="Arial" w:cs="Arial"/>
          <w:sz w:val="24"/>
          <w:szCs w:val="24"/>
        </w:rPr>
        <w:t>Resursa corespunzătoare fluviului Dunărea la intrarea în țară este de 71 429 mid.m</w:t>
      </w:r>
      <w:r w:rsidRPr="000F1D9B">
        <w:rPr>
          <w:rFonts w:ascii="Arial" w:hAnsi="Arial" w:cs="Arial"/>
          <w:sz w:val="24"/>
          <w:szCs w:val="24"/>
          <w:vertAlign w:val="superscript"/>
        </w:rPr>
        <w:t>3</w:t>
      </w:r>
      <w:r w:rsidRPr="000F1D9B">
        <w:rPr>
          <w:rFonts w:ascii="Arial" w:hAnsi="Arial" w:cs="Arial"/>
          <w:sz w:val="24"/>
          <w:szCs w:val="24"/>
        </w:rPr>
        <w:t xml:space="preserve"> în anul 2017 (respectiv, 85305 mld. m</w:t>
      </w:r>
      <w:r w:rsidRPr="000F1D9B">
        <w:rPr>
          <w:rFonts w:ascii="Arial" w:hAnsi="Arial" w:cs="Arial"/>
          <w:sz w:val="24"/>
          <w:szCs w:val="24"/>
          <w:vertAlign w:val="superscript"/>
        </w:rPr>
        <w:t>3</w:t>
      </w:r>
      <w:r w:rsidRPr="000F1D9B">
        <w:rPr>
          <w:rFonts w:ascii="Arial" w:hAnsi="Arial" w:cs="Arial"/>
          <w:sz w:val="24"/>
          <w:szCs w:val="24"/>
        </w:rPr>
        <w:t xml:space="preserve"> în anul 2016 și </w:t>
      </w:r>
      <w:r>
        <w:rPr>
          <w:rFonts w:ascii="Arial" w:hAnsi="Arial" w:cs="Arial"/>
          <w:sz w:val="24"/>
          <w:szCs w:val="24"/>
        </w:rPr>
        <w:t>84608</w:t>
      </w:r>
      <w:r w:rsidRPr="000F1D9B">
        <w:rPr>
          <w:rFonts w:ascii="Arial" w:hAnsi="Arial" w:cs="Arial"/>
          <w:sz w:val="24"/>
          <w:szCs w:val="24"/>
        </w:rPr>
        <w:t xml:space="preserve"> mld. m</w:t>
      </w:r>
      <w:r w:rsidRPr="000F1D9B">
        <w:rPr>
          <w:rFonts w:ascii="Arial" w:hAnsi="Arial" w:cs="Arial"/>
          <w:sz w:val="24"/>
          <w:szCs w:val="24"/>
          <w:vertAlign w:val="superscript"/>
        </w:rPr>
        <w:t>3</w:t>
      </w:r>
      <w:r w:rsidRPr="000F1D9B">
        <w:rPr>
          <w:rFonts w:ascii="Arial" w:hAnsi="Arial" w:cs="Arial"/>
          <w:sz w:val="24"/>
          <w:szCs w:val="24"/>
        </w:rPr>
        <w:t xml:space="preserve"> în perioada 2012-2016), cu </w:t>
      </w:r>
      <w:r>
        <w:rPr>
          <w:rFonts w:ascii="Arial" w:hAnsi="Arial" w:cs="Arial"/>
          <w:sz w:val="24"/>
          <w:szCs w:val="24"/>
        </w:rPr>
        <w:t>1</w:t>
      </w:r>
      <w:r w:rsidRPr="000F1D9B">
        <w:rPr>
          <w:rFonts w:ascii="Arial" w:hAnsi="Arial" w:cs="Arial"/>
          <w:sz w:val="24"/>
          <w:szCs w:val="24"/>
        </w:rPr>
        <w:t>6% mai putin fa</w:t>
      </w:r>
      <w:r>
        <w:rPr>
          <w:rFonts w:ascii="Arial" w:hAnsi="Arial" w:cs="Arial"/>
          <w:sz w:val="24"/>
          <w:szCs w:val="24"/>
        </w:rPr>
        <w:t>ță</w:t>
      </w:r>
      <w:r w:rsidRPr="000F1D9B">
        <w:rPr>
          <w:rFonts w:ascii="Arial" w:hAnsi="Arial" w:cs="Arial"/>
          <w:sz w:val="24"/>
          <w:szCs w:val="24"/>
        </w:rPr>
        <w:t xml:space="preserve"> de media multianuală a fluviului care, pentru ultimii 60 ani, este de cca. 85 mld. m</w:t>
      </w:r>
      <w:r w:rsidRPr="000F1D9B">
        <w:rPr>
          <w:rFonts w:ascii="Arial" w:hAnsi="Arial" w:cs="Arial"/>
          <w:sz w:val="24"/>
          <w:szCs w:val="24"/>
          <w:vertAlign w:val="superscript"/>
        </w:rPr>
        <w:t>3</w:t>
      </w:r>
      <w:r w:rsidRPr="000F1D9B">
        <w:rPr>
          <w:rFonts w:ascii="Arial" w:hAnsi="Arial" w:cs="Arial"/>
          <w:sz w:val="24"/>
          <w:szCs w:val="24"/>
        </w:rPr>
        <w:t xml:space="preserve"> (valorile reprezintă 50% din volumele scurse pe Dunăre la intrarea în țară, aferente României, cealaltă jumătate revenind Republicii Serbia).</w:t>
      </w:r>
    </w:p>
    <w:p w:rsidR="000645BF" w:rsidRDefault="000645BF" w:rsidP="000645BF">
      <w:pPr>
        <w:spacing w:after="0" w:line="240" w:lineRule="auto"/>
        <w:ind w:firstLine="708"/>
        <w:jc w:val="both"/>
        <w:rPr>
          <w:rFonts w:ascii="Arial" w:hAnsi="Arial" w:cs="Arial"/>
          <w:sz w:val="24"/>
          <w:szCs w:val="24"/>
        </w:rPr>
      </w:pPr>
      <w:r w:rsidRPr="007105A2">
        <w:rPr>
          <w:rFonts w:ascii="Arial" w:hAnsi="Arial" w:cs="Arial"/>
          <w:sz w:val="24"/>
          <w:szCs w:val="24"/>
        </w:rPr>
        <w:t>Față de volumul total al resursei oferite de râurile interioare (</w:t>
      </w:r>
      <w:r>
        <w:rPr>
          <w:rFonts w:ascii="Arial" w:hAnsi="Arial" w:cs="Arial"/>
          <w:sz w:val="24"/>
          <w:szCs w:val="24"/>
        </w:rPr>
        <w:t>29228</w:t>
      </w:r>
      <w:r w:rsidRPr="007105A2">
        <w:rPr>
          <w:rFonts w:ascii="Arial" w:hAnsi="Arial" w:cs="Arial"/>
          <w:sz w:val="24"/>
          <w:szCs w:val="24"/>
        </w:rPr>
        <w:t>*10</w:t>
      </w:r>
      <w:r w:rsidRPr="007105A2">
        <w:rPr>
          <w:rFonts w:ascii="Arial" w:hAnsi="Arial" w:cs="Arial"/>
          <w:sz w:val="24"/>
          <w:szCs w:val="24"/>
          <w:vertAlign w:val="superscript"/>
        </w:rPr>
        <w:t>6</w:t>
      </w:r>
      <w:r w:rsidRPr="007105A2">
        <w:rPr>
          <w:rFonts w:ascii="Arial" w:hAnsi="Arial" w:cs="Arial"/>
          <w:sz w:val="24"/>
          <w:szCs w:val="24"/>
        </w:rPr>
        <w:t>m</w:t>
      </w:r>
      <w:r w:rsidRPr="007105A2">
        <w:rPr>
          <w:rFonts w:ascii="Arial" w:hAnsi="Arial" w:cs="Arial"/>
          <w:sz w:val="24"/>
          <w:szCs w:val="24"/>
          <w:vertAlign w:val="superscript"/>
        </w:rPr>
        <w:t>3</w:t>
      </w:r>
      <w:r w:rsidRPr="007105A2">
        <w:rPr>
          <w:rFonts w:ascii="Arial" w:hAnsi="Arial" w:cs="Arial"/>
          <w:sz w:val="24"/>
          <w:szCs w:val="24"/>
        </w:rPr>
        <w:t xml:space="preserve">), la ieșirea din țară (Isaccea), Dunărea a avut un volum scurs de </w:t>
      </w:r>
      <w:r>
        <w:rPr>
          <w:rFonts w:ascii="Arial" w:hAnsi="Arial" w:cs="Arial"/>
          <w:sz w:val="24"/>
          <w:szCs w:val="24"/>
        </w:rPr>
        <w:t>circa 6</w:t>
      </w:r>
      <w:r w:rsidRPr="007105A2">
        <w:rPr>
          <w:rFonts w:ascii="Arial" w:hAnsi="Arial" w:cs="Arial"/>
          <w:sz w:val="24"/>
          <w:szCs w:val="24"/>
        </w:rPr>
        <w:t xml:space="preserve"> ori mai mare (</w:t>
      </w:r>
      <w:r w:rsidRPr="003B53AF">
        <w:rPr>
          <w:rFonts w:ascii="Arial" w:hAnsi="Arial" w:cs="Arial"/>
          <w:sz w:val="24"/>
          <w:szCs w:val="24"/>
        </w:rPr>
        <w:t>164303*10</w:t>
      </w:r>
      <w:r w:rsidRPr="003B53AF">
        <w:rPr>
          <w:rFonts w:ascii="Arial" w:hAnsi="Arial" w:cs="Arial"/>
          <w:sz w:val="24"/>
          <w:szCs w:val="24"/>
          <w:vertAlign w:val="superscript"/>
        </w:rPr>
        <w:t xml:space="preserve">6 </w:t>
      </w:r>
      <w:r w:rsidRPr="007105A2">
        <w:rPr>
          <w:rFonts w:ascii="Arial" w:hAnsi="Arial" w:cs="Arial"/>
          <w:sz w:val="24"/>
          <w:szCs w:val="24"/>
        </w:rPr>
        <w:t>m</w:t>
      </w:r>
      <w:r w:rsidRPr="007105A2">
        <w:rPr>
          <w:rFonts w:ascii="Arial" w:hAnsi="Arial" w:cs="Arial"/>
          <w:sz w:val="24"/>
          <w:szCs w:val="24"/>
          <w:vertAlign w:val="superscript"/>
        </w:rPr>
        <w:t>3</w:t>
      </w:r>
      <w:r w:rsidRPr="007105A2">
        <w:rPr>
          <w:rFonts w:ascii="Arial" w:hAnsi="Arial" w:cs="Arial"/>
          <w:sz w:val="24"/>
          <w:szCs w:val="24"/>
        </w:rPr>
        <w:t>).</w:t>
      </w:r>
    </w:p>
    <w:p w:rsidR="000645BF" w:rsidRDefault="000645BF" w:rsidP="000645BF">
      <w:pPr>
        <w:spacing w:after="0" w:line="240" w:lineRule="auto"/>
        <w:jc w:val="both"/>
        <w:rPr>
          <w:rFonts w:ascii="Arial" w:hAnsi="Arial" w:cs="Arial"/>
          <w:sz w:val="24"/>
          <w:szCs w:val="24"/>
        </w:rPr>
      </w:pPr>
      <w:r w:rsidRPr="007105A2">
        <w:rPr>
          <w:rFonts w:ascii="Arial" w:hAnsi="Arial" w:cs="Arial"/>
          <w:sz w:val="24"/>
          <w:szCs w:val="24"/>
        </w:rPr>
        <w:t>Resursa considerabilă pe care o reprezintă fluviul Dunărea este însă puțin accesibilă din cauza poluării apelor fluviului și a excentricității poziției sale față de utilizatorii potențiali din România.</w:t>
      </w:r>
    </w:p>
    <w:p w:rsidR="000645BF" w:rsidRDefault="000645BF" w:rsidP="000645BF">
      <w:pPr>
        <w:spacing w:after="0" w:line="240" w:lineRule="auto"/>
        <w:ind w:firstLine="708"/>
        <w:jc w:val="both"/>
        <w:rPr>
          <w:rFonts w:ascii="Arial" w:hAnsi="Arial" w:cs="Arial"/>
          <w:sz w:val="24"/>
          <w:szCs w:val="24"/>
        </w:rPr>
      </w:pPr>
      <w:r w:rsidRPr="001E5431">
        <w:rPr>
          <w:rFonts w:ascii="Arial" w:hAnsi="Arial" w:cs="Arial"/>
          <w:sz w:val="24"/>
          <w:szCs w:val="24"/>
        </w:rPr>
        <w:t>Resursa medie la nivelul României este de circa 0,1</w:t>
      </w:r>
      <w:r>
        <w:rPr>
          <w:rFonts w:ascii="Arial" w:hAnsi="Arial" w:cs="Arial"/>
          <w:sz w:val="24"/>
          <w:szCs w:val="24"/>
        </w:rPr>
        <w:t>23</w:t>
      </w:r>
      <w:r w:rsidRPr="001E5431">
        <w:rPr>
          <w:rFonts w:ascii="Arial" w:hAnsi="Arial" w:cs="Arial"/>
          <w:sz w:val="24"/>
          <w:szCs w:val="24"/>
        </w:rPr>
        <w:t xml:space="preserve"> mil. m</w:t>
      </w:r>
      <w:r w:rsidRPr="001E5431">
        <w:rPr>
          <w:rFonts w:ascii="Arial" w:hAnsi="Arial" w:cs="Arial"/>
          <w:sz w:val="24"/>
          <w:szCs w:val="24"/>
          <w:vertAlign w:val="superscript"/>
        </w:rPr>
        <w:t>3</w:t>
      </w:r>
      <w:r w:rsidRPr="001E5431">
        <w:rPr>
          <w:rFonts w:ascii="Arial" w:hAnsi="Arial" w:cs="Arial"/>
          <w:sz w:val="24"/>
          <w:szCs w:val="24"/>
        </w:rPr>
        <w:t>/km</w:t>
      </w:r>
      <w:r w:rsidRPr="001E5431">
        <w:rPr>
          <w:rFonts w:ascii="Arial" w:hAnsi="Arial" w:cs="Arial"/>
          <w:sz w:val="24"/>
          <w:szCs w:val="24"/>
          <w:vertAlign w:val="superscript"/>
        </w:rPr>
        <w:t>2</w:t>
      </w:r>
      <w:r w:rsidRPr="001E5431">
        <w:rPr>
          <w:rFonts w:ascii="Arial" w:hAnsi="Arial" w:cs="Arial"/>
          <w:sz w:val="24"/>
          <w:szCs w:val="24"/>
        </w:rPr>
        <w:t xml:space="preserve">. </w:t>
      </w:r>
      <w:r>
        <w:rPr>
          <w:rFonts w:ascii="Arial" w:hAnsi="Arial" w:cs="Arial"/>
          <w:sz w:val="24"/>
          <w:szCs w:val="24"/>
        </w:rPr>
        <w:t>În anul 2017 c</w:t>
      </w:r>
      <w:r w:rsidRPr="001E5431">
        <w:rPr>
          <w:rFonts w:ascii="Arial" w:hAnsi="Arial" w:cs="Arial"/>
          <w:sz w:val="24"/>
          <w:szCs w:val="24"/>
        </w:rPr>
        <w:t xml:space="preserve">ea mai bogată reusursă </w:t>
      </w:r>
      <w:r>
        <w:rPr>
          <w:rFonts w:ascii="Arial" w:hAnsi="Arial" w:cs="Arial"/>
          <w:sz w:val="24"/>
          <w:szCs w:val="24"/>
        </w:rPr>
        <w:t xml:space="preserve">de apă a revenit bazinelor Tisa, Someș și Prut </w:t>
      </w:r>
      <w:r w:rsidRPr="001E5431">
        <w:rPr>
          <w:rFonts w:ascii="Arial" w:hAnsi="Arial" w:cs="Arial"/>
          <w:sz w:val="24"/>
          <w:szCs w:val="24"/>
        </w:rPr>
        <w:t xml:space="preserve">în timp ce unitățile cele mai deficitare din acest punct de vedere sunt </w:t>
      </w:r>
      <w:r>
        <w:rPr>
          <w:rFonts w:ascii="Arial" w:hAnsi="Arial" w:cs="Arial"/>
          <w:sz w:val="24"/>
          <w:szCs w:val="24"/>
        </w:rPr>
        <w:t xml:space="preserve">bazinele râurilor Vedea,  Bega – Timiș – Caraș Nera – </w:t>
      </w:r>
      <w:r>
        <w:rPr>
          <w:rFonts w:ascii="Arial" w:hAnsi="Arial" w:cs="Arial"/>
          <w:sz w:val="24"/>
          <w:szCs w:val="24"/>
        </w:rPr>
        <w:lastRenderedPageBreak/>
        <w:t xml:space="preserve">Cerna și Jiu.De asemenea, </w:t>
      </w:r>
      <w:r w:rsidRPr="001E5431">
        <w:rPr>
          <w:rFonts w:ascii="Arial" w:hAnsi="Arial" w:cs="Arial"/>
          <w:sz w:val="24"/>
          <w:szCs w:val="24"/>
        </w:rPr>
        <w:t xml:space="preserve">România </w:t>
      </w:r>
      <w:r>
        <w:rPr>
          <w:rFonts w:ascii="Arial" w:hAnsi="Arial" w:cs="Arial"/>
          <w:sz w:val="24"/>
          <w:szCs w:val="24"/>
        </w:rPr>
        <w:t xml:space="preserve">a avut la nivelul anului 2017 </w:t>
      </w:r>
      <w:r w:rsidRPr="001E5431">
        <w:rPr>
          <w:rFonts w:ascii="Arial" w:hAnsi="Arial" w:cs="Arial"/>
          <w:sz w:val="24"/>
          <w:szCs w:val="24"/>
        </w:rPr>
        <w:t>o resursă specifică din râurile interioare de 1</w:t>
      </w:r>
      <w:r>
        <w:rPr>
          <w:rFonts w:ascii="Arial" w:hAnsi="Arial" w:cs="Arial"/>
          <w:sz w:val="24"/>
          <w:szCs w:val="24"/>
        </w:rPr>
        <w:t>489</w:t>
      </w:r>
      <w:r w:rsidRPr="001E5431">
        <w:rPr>
          <w:rFonts w:ascii="Arial" w:hAnsi="Arial" w:cs="Arial"/>
          <w:sz w:val="24"/>
          <w:szCs w:val="24"/>
        </w:rPr>
        <w:t xml:space="preserve"> m</w:t>
      </w:r>
      <w:r w:rsidRPr="001E5431">
        <w:rPr>
          <w:rFonts w:ascii="Arial" w:hAnsi="Arial" w:cs="Arial"/>
          <w:sz w:val="24"/>
          <w:szCs w:val="24"/>
          <w:vertAlign w:val="superscript"/>
        </w:rPr>
        <w:t>3</w:t>
      </w:r>
      <w:r w:rsidRPr="001E5431">
        <w:rPr>
          <w:rFonts w:ascii="Arial" w:hAnsi="Arial" w:cs="Arial"/>
          <w:sz w:val="24"/>
          <w:szCs w:val="24"/>
        </w:rPr>
        <w:t xml:space="preserve">/loc./an </w:t>
      </w:r>
      <w:r>
        <w:rPr>
          <w:rFonts w:ascii="Arial" w:hAnsi="Arial" w:cs="Arial"/>
          <w:sz w:val="24"/>
          <w:szCs w:val="24"/>
        </w:rPr>
        <w:t>raportată la 19.63 mil loc (populația României la 1 ianuarie 2017).</w:t>
      </w:r>
    </w:p>
    <w:p w:rsidR="000645BF" w:rsidRDefault="000645BF" w:rsidP="000645BF">
      <w:pPr>
        <w:spacing w:after="0" w:line="240" w:lineRule="auto"/>
        <w:ind w:firstLine="708"/>
        <w:jc w:val="both"/>
        <w:rPr>
          <w:rFonts w:ascii="Arial" w:eastAsia="Times New Roman" w:hAnsi="Arial" w:cs="Arial"/>
          <w:bCs/>
          <w:i/>
          <w:color w:val="943634" w:themeColor="accent2" w:themeShade="BF"/>
        </w:rPr>
      </w:pPr>
    </w:p>
    <w:p w:rsidR="000645BF" w:rsidRPr="00305124" w:rsidRDefault="000645BF" w:rsidP="000645BF">
      <w:pPr>
        <w:spacing w:after="0" w:line="240" w:lineRule="auto"/>
        <w:jc w:val="both"/>
        <w:rPr>
          <w:rFonts w:ascii="Arial" w:hAnsi="Arial" w:cs="Arial"/>
        </w:rPr>
      </w:pPr>
      <w:r w:rsidRPr="00305124">
        <w:rPr>
          <w:rFonts w:ascii="Arial" w:eastAsia="Times New Roman" w:hAnsi="Arial" w:cs="Arial"/>
          <w:b/>
          <w:bCs/>
          <w:i/>
        </w:rPr>
        <w:t>Tabel. nr. II.1.1</w:t>
      </w:r>
      <w:r>
        <w:rPr>
          <w:rFonts w:ascii="Arial" w:eastAsia="Times New Roman" w:hAnsi="Arial" w:cs="Arial"/>
          <w:b/>
          <w:bCs/>
          <w:i/>
        </w:rPr>
        <w:t>.1.</w:t>
      </w:r>
      <w:r w:rsidRPr="00305124">
        <w:rPr>
          <w:rFonts w:ascii="Arial" w:eastAsia="Times New Roman" w:hAnsi="Arial" w:cs="Arial"/>
          <w:b/>
          <w:bCs/>
          <w:i/>
        </w:rPr>
        <w:t xml:space="preserve"> -1Resursele de apă ale anului 2017</w:t>
      </w:r>
      <w:r w:rsidRPr="00305124">
        <w:rPr>
          <w:rFonts w:ascii="Arial" w:eastAsia="Times New Roman" w:hAnsi="Arial" w:cs="Arial"/>
          <w:bCs/>
          <w:i/>
        </w:rPr>
        <w:t>, comparativ cu perioada anterioară (2012-2016)</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1213"/>
        <w:gridCol w:w="897"/>
        <w:gridCol w:w="783"/>
        <w:gridCol w:w="783"/>
        <w:gridCol w:w="783"/>
        <w:gridCol w:w="783"/>
        <w:gridCol w:w="783"/>
        <w:gridCol w:w="954"/>
        <w:gridCol w:w="840"/>
        <w:gridCol w:w="1132"/>
      </w:tblGrid>
      <w:tr w:rsidR="000645BF" w:rsidRPr="007105A2" w:rsidTr="004E444C">
        <w:trPr>
          <w:trHeight w:val="312"/>
          <w:jc w:val="center"/>
        </w:trPr>
        <w:tc>
          <w:tcPr>
            <w:tcW w:w="1570" w:type="dxa"/>
            <w:vMerge w:val="restart"/>
            <w:tcBorders>
              <w:top w:val="single" w:sz="8" w:space="0" w:color="auto"/>
              <w:left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Bazinul hidrografic</w:t>
            </w:r>
          </w:p>
        </w:tc>
        <w:tc>
          <w:tcPr>
            <w:tcW w:w="926" w:type="dxa"/>
            <w:vMerge w:val="restart"/>
            <w:tcBorders>
              <w:top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Parametrul</w:t>
            </w:r>
          </w:p>
        </w:tc>
        <w:tc>
          <w:tcPr>
            <w:tcW w:w="747" w:type="dxa"/>
            <w:vMerge w:val="restart"/>
            <w:tcBorders>
              <w:top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F (km</w:t>
            </w:r>
            <w:r w:rsidRPr="007105A2">
              <w:rPr>
                <w:rFonts w:ascii="Arial" w:eastAsia="Times New Roman" w:hAnsi="Arial" w:cs="Arial"/>
                <w:color w:val="000000"/>
                <w:vertAlign w:val="superscript"/>
              </w:rPr>
              <w:t>2</w:t>
            </w:r>
            <w:r w:rsidRPr="007105A2">
              <w:rPr>
                <w:rFonts w:ascii="Arial" w:eastAsia="Times New Roman" w:hAnsi="Arial" w:cs="Arial"/>
                <w:color w:val="000000"/>
              </w:rPr>
              <w:t>)</w:t>
            </w:r>
          </w:p>
        </w:tc>
        <w:tc>
          <w:tcPr>
            <w:tcW w:w="5177" w:type="dxa"/>
            <w:gridSpan w:val="7"/>
            <w:tcBorders>
              <w:top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 xml:space="preserve">Q </w:t>
            </w:r>
            <w:r w:rsidRPr="007105A2">
              <w:rPr>
                <w:rFonts w:ascii="Arial" w:eastAsia="Times New Roman" w:hAnsi="Arial" w:cs="Arial"/>
                <w:b/>
                <w:bCs/>
                <w:color w:val="000000"/>
                <w:vertAlign w:val="subscript"/>
              </w:rPr>
              <w:t xml:space="preserve">med anual </w:t>
            </w:r>
            <w:r w:rsidRPr="007105A2">
              <w:rPr>
                <w:rFonts w:ascii="Arial" w:eastAsia="Times New Roman" w:hAnsi="Arial" w:cs="Arial"/>
                <w:b/>
                <w:bCs/>
                <w:color w:val="000000"/>
              </w:rPr>
              <w:t>(m</w:t>
            </w:r>
            <w:r w:rsidRPr="007105A2">
              <w:rPr>
                <w:rFonts w:ascii="Arial" w:eastAsia="Times New Roman" w:hAnsi="Arial" w:cs="Arial"/>
                <w:b/>
                <w:bCs/>
                <w:color w:val="000000"/>
                <w:vertAlign w:val="superscript"/>
              </w:rPr>
              <w:t>3</w:t>
            </w:r>
            <w:r w:rsidRPr="007105A2">
              <w:rPr>
                <w:rFonts w:ascii="Arial" w:eastAsia="Times New Roman" w:hAnsi="Arial" w:cs="Arial"/>
                <w:b/>
                <w:bCs/>
                <w:color w:val="000000"/>
              </w:rPr>
              <w:t>/s)</w:t>
            </w:r>
          </w:p>
        </w:tc>
        <w:tc>
          <w:tcPr>
            <w:tcW w:w="1044" w:type="dxa"/>
            <w:vMerge w:val="restart"/>
            <w:tcBorders>
              <w:top w:val="single" w:sz="8" w:space="0" w:color="auto"/>
              <w:right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Q</w:t>
            </w:r>
            <w:r w:rsidRPr="007105A2">
              <w:rPr>
                <w:rFonts w:ascii="Arial" w:eastAsia="Times New Roman" w:hAnsi="Arial" w:cs="Arial"/>
                <w:color w:val="000000"/>
                <w:vertAlign w:val="subscript"/>
              </w:rPr>
              <w:t>201</w:t>
            </w:r>
            <w:r>
              <w:rPr>
                <w:rFonts w:ascii="Arial" w:eastAsia="Times New Roman" w:hAnsi="Arial" w:cs="Arial"/>
                <w:color w:val="000000"/>
                <w:vertAlign w:val="subscript"/>
              </w:rPr>
              <w:t>7</w:t>
            </w:r>
            <w:r w:rsidRPr="007105A2">
              <w:rPr>
                <w:rFonts w:ascii="Arial" w:eastAsia="Times New Roman" w:hAnsi="Arial" w:cs="Arial"/>
                <w:color w:val="000000"/>
              </w:rPr>
              <w:t>/Q</w:t>
            </w:r>
            <w:r w:rsidRPr="007105A2">
              <w:rPr>
                <w:rFonts w:ascii="Arial" w:eastAsia="Times New Roman" w:hAnsi="Arial" w:cs="Arial"/>
                <w:color w:val="000000"/>
                <w:vertAlign w:val="subscript"/>
              </w:rPr>
              <w:t>med</w:t>
            </w:r>
            <w:r w:rsidRPr="007105A2">
              <w:rPr>
                <w:rFonts w:ascii="Arial" w:eastAsia="Times New Roman" w:hAnsi="Arial" w:cs="Arial"/>
                <w:color w:val="000000"/>
              </w:rPr>
              <w:t xml:space="preserve"> (%)</w:t>
            </w:r>
          </w:p>
        </w:tc>
      </w:tr>
      <w:tr w:rsidR="000645BF" w:rsidRPr="007105A2" w:rsidTr="004E444C">
        <w:trPr>
          <w:trHeight w:val="300"/>
          <w:jc w:val="center"/>
        </w:trPr>
        <w:tc>
          <w:tcPr>
            <w:tcW w:w="1570" w:type="dxa"/>
            <w:vMerge/>
            <w:tcBorders>
              <w:left w:val="single" w:sz="8" w:space="0" w:color="auto"/>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vMerge/>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47" w:type="dxa"/>
            <w:vMerge/>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2</w:t>
            </w:r>
          </w:p>
        </w:tc>
        <w:tc>
          <w:tcPr>
            <w:tcW w:w="709"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3</w:t>
            </w:r>
          </w:p>
        </w:tc>
        <w:tc>
          <w:tcPr>
            <w:tcW w:w="709"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4</w:t>
            </w:r>
          </w:p>
        </w:tc>
        <w:tc>
          <w:tcPr>
            <w:tcW w:w="709"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5</w:t>
            </w:r>
          </w:p>
        </w:tc>
        <w:tc>
          <w:tcPr>
            <w:tcW w:w="709"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6</w:t>
            </w:r>
          </w:p>
        </w:tc>
        <w:tc>
          <w:tcPr>
            <w:tcW w:w="972"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rPr>
            </w:pPr>
            <w:r w:rsidRPr="007105A2">
              <w:rPr>
                <w:rFonts w:ascii="Arial" w:eastAsia="Times New Roman" w:hAnsi="Arial" w:cs="Arial"/>
                <w:color w:val="000000"/>
              </w:rPr>
              <w:t>MED</w:t>
            </w:r>
          </w:p>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b/>
                <w:bCs/>
                <w:color w:val="16365C"/>
                <w:vertAlign w:val="subscript"/>
              </w:rPr>
              <w:t>201</w:t>
            </w:r>
            <w:r>
              <w:rPr>
                <w:rFonts w:ascii="Arial" w:eastAsia="Times New Roman" w:hAnsi="Arial" w:cs="Arial"/>
                <w:b/>
                <w:bCs/>
                <w:color w:val="16365C"/>
                <w:vertAlign w:val="subscript"/>
              </w:rPr>
              <w:t>2</w:t>
            </w:r>
            <w:r w:rsidRPr="007105A2">
              <w:rPr>
                <w:rFonts w:ascii="Arial" w:eastAsia="Times New Roman" w:hAnsi="Arial" w:cs="Arial"/>
                <w:b/>
                <w:bCs/>
                <w:color w:val="16365C"/>
                <w:vertAlign w:val="subscript"/>
              </w:rPr>
              <w:t>-201</w:t>
            </w:r>
            <w:r>
              <w:rPr>
                <w:rFonts w:ascii="Arial" w:eastAsia="Times New Roman" w:hAnsi="Arial" w:cs="Arial"/>
                <w:b/>
                <w:bCs/>
                <w:color w:val="16365C"/>
                <w:vertAlign w:val="subscript"/>
              </w:rPr>
              <w:t>6</w:t>
            </w:r>
          </w:p>
        </w:tc>
        <w:tc>
          <w:tcPr>
            <w:tcW w:w="660"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w:t>
            </w:r>
            <w:r>
              <w:rPr>
                <w:rFonts w:ascii="Arial" w:eastAsia="Times New Roman" w:hAnsi="Arial" w:cs="Arial"/>
                <w:color w:val="000000"/>
              </w:rPr>
              <w:t>7</w:t>
            </w:r>
          </w:p>
        </w:tc>
        <w:tc>
          <w:tcPr>
            <w:tcW w:w="1044" w:type="dxa"/>
            <w:vMerge/>
            <w:tcBorders>
              <w:bottom w:val="single" w:sz="8" w:space="0" w:color="auto"/>
              <w:right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top w:val="single" w:sz="8" w:space="0" w:color="auto"/>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TISA</w:t>
            </w:r>
          </w:p>
        </w:tc>
        <w:tc>
          <w:tcPr>
            <w:tcW w:w="926" w:type="dxa"/>
            <w:tcBorders>
              <w:top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tcBorders>
              <w:top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4540</w:t>
            </w:r>
          </w:p>
        </w:tc>
        <w:tc>
          <w:tcPr>
            <w:tcW w:w="709"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46,7</w:t>
            </w:r>
          </w:p>
        </w:tc>
        <w:tc>
          <w:tcPr>
            <w:tcW w:w="709"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57,9</w:t>
            </w:r>
          </w:p>
        </w:tc>
        <w:tc>
          <w:tcPr>
            <w:tcW w:w="709"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40,9</w:t>
            </w:r>
          </w:p>
        </w:tc>
        <w:tc>
          <w:tcPr>
            <w:tcW w:w="709"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50,1</w:t>
            </w:r>
          </w:p>
        </w:tc>
        <w:tc>
          <w:tcPr>
            <w:tcW w:w="709"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62,2</w:t>
            </w:r>
          </w:p>
        </w:tc>
        <w:tc>
          <w:tcPr>
            <w:tcW w:w="972" w:type="dxa"/>
            <w:tcBorders>
              <w:top w:val="single" w:sz="8" w:space="0" w:color="auto"/>
            </w:tcBorders>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51.56</w:t>
            </w:r>
          </w:p>
        </w:tc>
        <w:tc>
          <w:tcPr>
            <w:tcW w:w="660" w:type="dxa"/>
            <w:tcBorders>
              <w:top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74.57</w:t>
            </w:r>
          </w:p>
        </w:tc>
        <w:tc>
          <w:tcPr>
            <w:tcW w:w="1044" w:type="dxa"/>
            <w:vMerge w:val="restart"/>
            <w:tcBorders>
              <w:top w:val="single" w:sz="8" w:space="0" w:color="auto"/>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145</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1476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1826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1288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1579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1962</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1626.2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2352</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SOMEȘ</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17840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68,6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112,9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68,7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92,6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129,8</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94.52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95.21</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101</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2169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3559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2166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2919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4092</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2981</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3003</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CRIȘURI</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14860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49,6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86,3</w:t>
            </w:r>
          </w:p>
        </w:tc>
        <w:tc>
          <w:tcPr>
            <w:tcW w:w="709" w:type="dxa"/>
            <w:shd w:val="clear" w:color="auto" w:fill="auto"/>
            <w:noWrap/>
            <w:vAlign w:val="center"/>
          </w:tcPr>
          <w:p w:rsidR="000645BF" w:rsidRPr="009E45BA" w:rsidRDefault="000645BF" w:rsidP="004E444C">
            <w:pPr>
              <w:spacing w:after="0" w:line="240" w:lineRule="auto"/>
              <w:jc w:val="both"/>
              <w:rPr>
                <w:rFonts w:ascii="Arial" w:eastAsia="Times New Roman" w:hAnsi="Arial" w:cs="Arial"/>
                <w:color w:val="000000"/>
              </w:rPr>
            </w:pPr>
            <w:r>
              <w:rPr>
                <w:rFonts w:ascii="Arial" w:eastAsia="Times New Roman" w:hAnsi="Arial" w:cs="Arial"/>
                <w:color w:val="000000"/>
              </w:rPr>
              <w:t>51.9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55,0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90,4</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66.64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64.92</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97,4</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1568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2723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1637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1734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2851</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2104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2047</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MUREȘ</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29390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102,8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125,4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127,0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176,4</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131.12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116,1</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88,5</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3251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3954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4005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3910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5562</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4136.4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3661</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BEGA – TIMIȘ - CARAȘ</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13060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48,9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94,6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73,1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57</w:t>
            </w:r>
            <w:r>
              <w:rPr>
                <w:rFonts w:ascii="Arial" w:eastAsia="Times New Roman" w:hAnsi="Arial" w:cs="Arial"/>
                <w:color w:val="000000"/>
              </w:rPr>
              <w:t>,13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78,85</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70.52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46.61</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66,1</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1546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2984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2305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1802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2487</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2224.8</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1470</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NERA - CERNA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2740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30,6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36,06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54,2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41,75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35,8</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39.682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19.38</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48,8</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968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1137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1710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1317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1129</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1252.2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611</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JIU</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10080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52,9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168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154</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121</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70,8</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58,5</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1673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3154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5298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4068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rPr>
              <w:t>4876</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3820</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2233</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OLT</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24050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226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168</w:t>
            </w:r>
          </w:p>
        </w:tc>
        <w:tc>
          <w:tcPr>
            <w:tcW w:w="709" w:type="dxa"/>
            <w:shd w:val="clear" w:color="auto" w:fill="auto"/>
            <w:noWrap/>
            <w:vAlign w:val="center"/>
          </w:tcPr>
          <w:p w:rsidR="000645BF" w:rsidRPr="00BA12C8" w:rsidRDefault="000645BF" w:rsidP="004E444C">
            <w:pPr>
              <w:spacing w:after="0" w:line="240" w:lineRule="auto"/>
              <w:jc w:val="both"/>
              <w:rPr>
                <w:rFonts w:ascii="Arial" w:eastAsia="Times New Roman" w:hAnsi="Arial" w:cs="Arial"/>
                <w:color w:val="000000"/>
                <w:lang w:val="en-US"/>
              </w:rPr>
            </w:pPr>
            <w:r w:rsidRPr="00BA12C8">
              <w:rPr>
                <w:rFonts w:ascii="Arial" w:eastAsia="Times New Roman" w:hAnsi="Arial" w:cs="Arial"/>
                <w:color w:val="000000"/>
              </w:rPr>
              <w:t>162</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158.6</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134</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84,5</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3447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4037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7127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5298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5109</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5003</w:t>
            </w:r>
            <w:r>
              <w:rPr>
                <w:rFonts w:ascii="Arial" w:eastAsia="Times New Roman" w:hAnsi="Arial" w:cs="Arial"/>
                <w:color w:val="000000"/>
              </w:rPr>
              <w:t>,</w:t>
            </w:r>
            <w:r w:rsidRPr="007027FB">
              <w:rPr>
                <w:rFonts w:ascii="Arial" w:eastAsia="Times New Roman" w:hAnsi="Arial" w:cs="Arial"/>
                <w:color w:val="000000"/>
              </w:rPr>
              <w:t>6</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4226</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VEDEA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5430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7,58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7,07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37,7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15,9</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17</w:t>
            </w:r>
            <w:r>
              <w:rPr>
                <w:rFonts w:ascii="Arial" w:eastAsia="Times New Roman" w:hAnsi="Arial" w:cs="Arial"/>
                <w:color w:val="000000"/>
              </w:rPr>
              <w:t>,</w:t>
            </w:r>
            <w:r w:rsidRPr="007027FB">
              <w:rPr>
                <w:rFonts w:ascii="Arial" w:eastAsia="Times New Roman" w:hAnsi="Arial" w:cs="Arial"/>
                <w:color w:val="000000"/>
              </w:rPr>
              <w:t>17</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7,15</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41,6</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223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1188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555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501</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541</w:t>
            </w:r>
            <w:r>
              <w:rPr>
                <w:rFonts w:ascii="Arial" w:eastAsia="Times New Roman" w:hAnsi="Arial" w:cs="Arial"/>
                <w:color w:val="000000"/>
              </w:rPr>
              <w:t>,</w:t>
            </w:r>
            <w:r w:rsidRPr="007027FB">
              <w:rPr>
                <w:rFonts w:ascii="Arial" w:eastAsia="Times New Roman" w:hAnsi="Arial" w:cs="Arial"/>
                <w:color w:val="000000"/>
              </w:rPr>
              <w:t>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225</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ARGEȘ</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12550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52,9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95,4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83,8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75,0</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76</w:t>
            </w:r>
            <w:r>
              <w:rPr>
                <w:rFonts w:ascii="Arial" w:eastAsia="Times New Roman" w:hAnsi="Arial" w:cs="Arial"/>
                <w:color w:val="000000"/>
              </w:rPr>
              <w:t>,</w:t>
            </w:r>
            <w:r w:rsidRPr="007027FB">
              <w:rPr>
                <w:rFonts w:ascii="Arial" w:eastAsia="Times New Roman" w:hAnsi="Arial" w:cs="Arial"/>
                <w:color w:val="000000"/>
              </w:rPr>
              <w:t>22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57,68</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75,7</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1673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2333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3008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2642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2366</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2404</w:t>
            </w:r>
            <w:r>
              <w:rPr>
                <w:rFonts w:ascii="Arial" w:eastAsia="Times New Roman" w:hAnsi="Arial" w:cs="Arial"/>
                <w:color w:val="000000"/>
              </w:rPr>
              <w:t>,</w:t>
            </w:r>
            <w:r w:rsidRPr="007027FB">
              <w:rPr>
                <w:rFonts w:ascii="Arial" w:eastAsia="Times New Roman" w:hAnsi="Arial" w:cs="Arial"/>
                <w:color w:val="000000"/>
              </w:rPr>
              <w:t>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1819</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IALOMITA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10350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29,3</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40,51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61,9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42,5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45.1</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43.9</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40,2</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91,6</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927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1278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1952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1340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14</w:t>
            </w:r>
            <w:r>
              <w:rPr>
                <w:rFonts w:ascii="Arial" w:eastAsia="Times New Roman" w:hAnsi="Arial" w:cs="Arial"/>
                <w:color w:val="000000"/>
              </w:rPr>
              <w:t>28</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1386</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1268</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DUNĂREA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34141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16,4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26,7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41,7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36,9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33,1</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30.96</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23.55</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76,0</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518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841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1316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1164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1045</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976.8</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743</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SIRET</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42890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219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288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206</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217</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216.8</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160,3</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73,9</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4867</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6899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9084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6481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6850</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6836.2</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5055</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PRUT</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10990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6,48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17,8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6,92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7,39</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10</w:t>
            </w:r>
            <w:r>
              <w:rPr>
                <w:rFonts w:ascii="Arial" w:eastAsia="Times New Roman" w:hAnsi="Arial" w:cs="Arial"/>
                <w:color w:val="000000"/>
              </w:rPr>
              <w:t>,33</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13,72</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132,7</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560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412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218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233</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323</w:t>
            </w:r>
            <w:r>
              <w:rPr>
                <w:rFonts w:ascii="Arial" w:eastAsia="Times New Roman" w:hAnsi="Arial" w:cs="Arial"/>
                <w:color w:val="000000"/>
              </w:rPr>
              <w:t>,</w:t>
            </w:r>
            <w:r w:rsidRPr="007027FB">
              <w:rPr>
                <w:rFonts w:ascii="Arial" w:eastAsia="Times New Roman" w:hAnsi="Arial" w:cs="Arial"/>
                <w:color w:val="000000"/>
              </w:rPr>
              <w:t>3</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433</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DOBROGEA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5480</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2,69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2,51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3,92</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4,88</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3.21</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2,63</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81,9</w:t>
            </w:r>
          </w:p>
        </w:tc>
      </w:tr>
      <w:tr w:rsidR="000645BF" w:rsidRPr="007105A2" w:rsidTr="004E444C">
        <w:trPr>
          <w:trHeight w:val="300"/>
          <w:jc w:val="center"/>
        </w:trPr>
        <w:tc>
          <w:tcPr>
            <w:tcW w:w="1570"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85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65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79</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154</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101.4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82,8</w:t>
            </w:r>
          </w:p>
        </w:tc>
        <w:tc>
          <w:tcPr>
            <w:tcW w:w="1044" w:type="dxa"/>
            <w:vMerge/>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570"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Total România fără fluviul Dunărea</w:t>
            </w:r>
          </w:p>
        </w:tc>
        <w:tc>
          <w:tcPr>
            <w:tcW w:w="926"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747" w:type="dxa"/>
            <w:vMerge w:val="restart"/>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238391</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778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1128</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1334</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1115</w:t>
            </w:r>
          </w:p>
        </w:tc>
        <w:tc>
          <w:tcPr>
            <w:tcW w:w="709"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1277</w:t>
            </w:r>
          </w:p>
        </w:tc>
        <w:tc>
          <w:tcPr>
            <w:tcW w:w="972" w:type="dxa"/>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1126</w:t>
            </w:r>
            <w:r>
              <w:rPr>
                <w:rFonts w:ascii="Arial" w:eastAsia="Times New Roman" w:hAnsi="Arial" w:cs="Arial"/>
                <w:color w:val="000000"/>
              </w:rPr>
              <w:t>,</w:t>
            </w:r>
            <w:r w:rsidRPr="007027FB">
              <w:rPr>
                <w:rFonts w:ascii="Arial" w:eastAsia="Times New Roman" w:hAnsi="Arial" w:cs="Arial"/>
                <w:color w:val="000000"/>
              </w:rPr>
              <w:t>4</w:t>
            </w:r>
          </w:p>
        </w:tc>
        <w:tc>
          <w:tcPr>
            <w:tcW w:w="660" w:type="dxa"/>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926.83</w:t>
            </w:r>
          </w:p>
        </w:tc>
        <w:tc>
          <w:tcPr>
            <w:tcW w:w="1044" w:type="dxa"/>
            <w:vMerge w:val="restart"/>
            <w:tcBorders>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82,2</w:t>
            </w:r>
          </w:p>
        </w:tc>
      </w:tr>
      <w:tr w:rsidR="000645BF" w:rsidRPr="007105A2" w:rsidTr="004E444C">
        <w:trPr>
          <w:trHeight w:val="288"/>
          <w:jc w:val="center"/>
        </w:trPr>
        <w:tc>
          <w:tcPr>
            <w:tcW w:w="1570" w:type="dxa"/>
            <w:vMerge/>
            <w:tcBorders>
              <w:left w:val="single" w:sz="8" w:space="0" w:color="auto"/>
              <w:bottom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926" w:type="dxa"/>
            <w:tcBorders>
              <w:bottom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747" w:type="dxa"/>
            <w:vMerge/>
            <w:tcBorders>
              <w:bottom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709"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24612</w:t>
            </w:r>
          </w:p>
        </w:tc>
        <w:tc>
          <w:tcPr>
            <w:tcW w:w="709"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35571</w:t>
            </w:r>
          </w:p>
        </w:tc>
        <w:tc>
          <w:tcPr>
            <w:tcW w:w="709"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42084</w:t>
            </w:r>
          </w:p>
        </w:tc>
        <w:tc>
          <w:tcPr>
            <w:tcW w:w="709"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35151</w:t>
            </w:r>
          </w:p>
        </w:tc>
        <w:tc>
          <w:tcPr>
            <w:tcW w:w="709"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40268</w:t>
            </w:r>
          </w:p>
        </w:tc>
        <w:tc>
          <w:tcPr>
            <w:tcW w:w="972" w:type="dxa"/>
            <w:tcBorders>
              <w:bottom w:val="single" w:sz="8" w:space="0" w:color="auto"/>
            </w:tcBorders>
            <w:shd w:val="clear" w:color="auto" w:fill="auto"/>
            <w:noWrap/>
            <w:vAlign w:val="center"/>
          </w:tcPr>
          <w:p w:rsidR="000645BF" w:rsidRPr="007027FB" w:rsidRDefault="000645BF" w:rsidP="004E444C">
            <w:pPr>
              <w:spacing w:after="0" w:line="240" w:lineRule="auto"/>
              <w:jc w:val="both"/>
              <w:rPr>
                <w:rFonts w:ascii="Arial" w:eastAsia="Times New Roman" w:hAnsi="Arial" w:cs="Arial"/>
                <w:color w:val="000000"/>
              </w:rPr>
            </w:pPr>
            <w:r w:rsidRPr="007027FB">
              <w:rPr>
                <w:rFonts w:ascii="Arial" w:eastAsia="Times New Roman" w:hAnsi="Arial" w:cs="Arial"/>
                <w:color w:val="000000"/>
              </w:rPr>
              <w:t>35537</w:t>
            </w:r>
            <w:r>
              <w:rPr>
                <w:rFonts w:ascii="Arial" w:eastAsia="Times New Roman" w:hAnsi="Arial" w:cs="Arial"/>
                <w:color w:val="000000"/>
              </w:rPr>
              <w:t>,</w:t>
            </w:r>
            <w:r w:rsidRPr="007027FB">
              <w:rPr>
                <w:rFonts w:ascii="Arial" w:eastAsia="Times New Roman" w:hAnsi="Arial" w:cs="Arial"/>
                <w:color w:val="000000"/>
              </w:rPr>
              <w:t>2</w:t>
            </w:r>
          </w:p>
        </w:tc>
        <w:tc>
          <w:tcPr>
            <w:tcW w:w="660" w:type="dxa"/>
            <w:tcBorders>
              <w:bottom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29228</w:t>
            </w:r>
          </w:p>
        </w:tc>
        <w:tc>
          <w:tcPr>
            <w:tcW w:w="1044" w:type="dxa"/>
            <w:vMerge/>
            <w:tcBorders>
              <w:bottom w:val="single" w:sz="8" w:space="0" w:color="auto"/>
              <w:right w:val="single" w:sz="8" w:space="0" w:color="auto"/>
            </w:tcBorders>
            <w:shd w:val="clear" w:color="auto" w:fill="auto"/>
            <w:noWrap/>
            <w:vAlign w:val="center"/>
          </w:tcPr>
          <w:p w:rsidR="000645BF" w:rsidRPr="007105A2" w:rsidRDefault="000645BF" w:rsidP="004E444C">
            <w:pPr>
              <w:spacing w:after="0" w:line="240" w:lineRule="auto"/>
              <w:jc w:val="both"/>
              <w:rPr>
                <w:rFonts w:ascii="Arial" w:eastAsia="Times New Roman" w:hAnsi="Arial" w:cs="Arial"/>
                <w:color w:val="000000"/>
                <w:lang w:val="en-US"/>
              </w:rPr>
            </w:pPr>
          </w:p>
        </w:tc>
      </w:tr>
    </w:tbl>
    <w:p w:rsidR="000645BF" w:rsidRPr="007105A2" w:rsidRDefault="000645BF" w:rsidP="000645BF">
      <w:pPr>
        <w:spacing w:after="0" w:line="240" w:lineRule="auto"/>
        <w:jc w:val="both"/>
        <w:rPr>
          <w:rFonts w:ascii="Arial" w:hAnsi="Arial" w:cs="Arial"/>
        </w:rPr>
      </w:pPr>
      <w:r w:rsidRPr="007105A2">
        <w:rPr>
          <w:rFonts w:ascii="Arial" w:hAnsi="Arial" w:cs="Arial"/>
        </w:rPr>
        <w:t>Q - Debit Q (m</w:t>
      </w:r>
      <w:r w:rsidRPr="007105A2">
        <w:rPr>
          <w:rFonts w:ascii="Arial" w:hAnsi="Arial" w:cs="Arial"/>
          <w:vertAlign w:val="superscript"/>
        </w:rPr>
        <w:t>3</w:t>
      </w:r>
      <w:r w:rsidRPr="007105A2">
        <w:rPr>
          <w:rFonts w:ascii="Arial" w:hAnsi="Arial" w:cs="Arial"/>
        </w:rPr>
        <w:t>/s)</w:t>
      </w:r>
    </w:p>
    <w:p w:rsidR="000645BF" w:rsidRDefault="000645BF" w:rsidP="000645BF">
      <w:pPr>
        <w:spacing w:after="0" w:line="240" w:lineRule="auto"/>
        <w:jc w:val="both"/>
        <w:rPr>
          <w:rFonts w:ascii="Arial" w:hAnsi="Arial" w:cs="Arial"/>
        </w:rPr>
      </w:pPr>
      <w:r w:rsidRPr="007105A2">
        <w:rPr>
          <w:rFonts w:ascii="Arial" w:hAnsi="Arial" w:cs="Arial"/>
        </w:rPr>
        <w:t>V - volum total (</w:t>
      </w:r>
      <w:r w:rsidRPr="00943030">
        <w:rPr>
          <w:rFonts w:ascii="Arial" w:hAnsi="Arial" w:cs="Arial"/>
        </w:rPr>
        <w:t>10</w:t>
      </w:r>
      <w:r w:rsidRPr="00943030">
        <w:rPr>
          <w:rFonts w:ascii="Arial" w:hAnsi="Arial" w:cs="Arial"/>
          <w:vertAlign w:val="superscript"/>
        </w:rPr>
        <w:t>6</w:t>
      </w:r>
      <w:r w:rsidRPr="00943030">
        <w:rPr>
          <w:rFonts w:ascii="Arial" w:hAnsi="Arial" w:cs="Arial"/>
        </w:rPr>
        <w:t>m</w:t>
      </w:r>
      <w:r w:rsidRPr="00943030">
        <w:rPr>
          <w:rFonts w:ascii="Arial" w:hAnsi="Arial" w:cs="Arial"/>
          <w:vertAlign w:val="superscript"/>
        </w:rPr>
        <w:t>3</w:t>
      </w:r>
      <w:r w:rsidRPr="007105A2">
        <w:rPr>
          <w:rFonts w:ascii="Arial" w:hAnsi="Arial" w:cs="Arial"/>
        </w:rPr>
        <w:t>)</w:t>
      </w:r>
    </w:p>
    <w:p w:rsidR="000645BF" w:rsidRPr="007105A2" w:rsidRDefault="000645BF" w:rsidP="000645BF">
      <w:pPr>
        <w:spacing w:after="0" w:line="240" w:lineRule="auto"/>
        <w:jc w:val="both"/>
        <w:rPr>
          <w:rFonts w:ascii="Arial" w:hAnsi="Arial" w:cs="Arial"/>
        </w:rPr>
      </w:pPr>
    </w:p>
    <w:p w:rsidR="000645BF" w:rsidRPr="00BA402A" w:rsidRDefault="000645BF" w:rsidP="000645BF">
      <w:pPr>
        <w:spacing w:after="0" w:line="240" w:lineRule="auto"/>
        <w:jc w:val="both"/>
        <w:rPr>
          <w:rFonts w:ascii="Arial" w:eastAsia="Times New Roman" w:hAnsi="Arial" w:cs="Arial"/>
          <w:bCs/>
          <w:i/>
        </w:rPr>
      </w:pPr>
      <w:r w:rsidRPr="00305124">
        <w:rPr>
          <w:rFonts w:ascii="Arial" w:eastAsia="Times New Roman" w:hAnsi="Arial" w:cs="Arial"/>
          <w:b/>
          <w:bCs/>
          <w:i/>
        </w:rPr>
        <w:t>Tabel nr.II.1.1.</w:t>
      </w:r>
      <w:r>
        <w:rPr>
          <w:rFonts w:ascii="Arial" w:eastAsia="Times New Roman" w:hAnsi="Arial" w:cs="Arial"/>
          <w:b/>
          <w:bCs/>
          <w:i/>
        </w:rPr>
        <w:t>1.</w:t>
      </w:r>
      <w:r w:rsidRPr="00305124">
        <w:rPr>
          <w:rFonts w:ascii="Arial" w:eastAsia="Times New Roman" w:hAnsi="Arial" w:cs="Arial"/>
          <w:b/>
          <w:bCs/>
          <w:i/>
        </w:rPr>
        <w:t>-2. Resursele de apă ale fluviului Dunărea în anul 2017</w:t>
      </w:r>
      <w:r w:rsidRPr="00BA402A">
        <w:rPr>
          <w:rFonts w:ascii="Arial" w:eastAsia="Times New Roman" w:hAnsi="Arial" w:cs="Arial"/>
          <w:bCs/>
          <w:i/>
        </w:rPr>
        <w:t>, comparativ cu perioada anterioară (2012-2016)</w:t>
      </w:r>
    </w:p>
    <w:tbl>
      <w:tblPr>
        <w:tblW w:w="10353"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5"/>
        <w:gridCol w:w="1218"/>
        <w:gridCol w:w="1073"/>
        <w:gridCol w:w="1003"/>
        <w:gridCol w:w="990"/>
        <w:gridCol w:w="990"/>
        <w:gridCol w:w="990"/>
        <w:gridCol w:w="1080"/>
        <w:gridCol w:w="990"/>
        <w:gridCol w:w="714"/>
      </w:tblGrid>
      <w:tr w:rsidR="000645BF" w:rsidRPr="007105A2" w:rsidTr="004E444C">
        <w:trPr>
          <w:trHeight w:val="312"/>
          <w:jc w:val="center"/>
        </w:trPr>
        <w:tc>
          <w:tcPr>
            <w:tcW w:w="1305" w:type="dxa"/>
            <w:vMerge w:val="restart"/>
            <w:tcBorders>
              <w:top w:val="single" w:sz="8" w:space="0" w:color="auto"/>
              <w:left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rPr>
              <w:t>Stații hidrometricede control pe fluviul Dunărea</w:t>
            </w:r>
          </w:p>
        </w:tc>
        <w:tc>
          <w:tcPr>
            <w:tcW w:w="1218" w:type="dxa"/>
            <w:vMerge w:val="restart"/>
            <w:tcBorders>
              <w:top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Parametrul</w:t>
            </w:r>
          </w:p>
        </w:tc>
        <w:tc>
          <w:tcPr>
            <w:tcW w:w="7116" w:type="dxa"/>
            <w:gridSpan w:val="7"/>
            <w:tcBorders>
              <w:top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 xml:space="preserve">Q </w:t>
            </w:r>
            <w:r w:rsidRPr="007105A2">
              <w:rPr>
                <w:rFonts w:ascii="Arial" w:eastAsia="Times New Roman" w:hAnsi="Arial" w:cs="Arial"/>
                <w:b/>
                <w:bCs/>
                <w:color w:val="000000"/>
                <w:vertAlign w:val="subscript"/>
              </w:rPr>
              <w:t xml:space="preserve">med anual </w:t>
            </w:r>
            <w:r w:rsidRPr="007105A2">
              <w:rPr>
                <w:rFonts w:ascii="Arial" w:eastAsia="Times New Roman" w:hAnsi="Arial" w:cs="Arial"/>
                <w:b/>
                <w:bCs/>
                <w:color w:val="000000"/>
              </w:rPr>
              <w:t>(m</w:t>
            </w:r>
            <w:r w:rsidRPr="007105A2">
              <w:rPr>
                <w:rFonts w:ascii="Arial" w:eastAsia="Times New Roman" w:hAnsi="Arial" w:cs="Arial"/>
                <w:b/>
                <w:bCs/>
                <w:color w:val="000000"/>
                <w:vertAlign w:val="superscript"/>
              </w:rPr>
              <w:t>3</w:t>
            </w:r>
            <w:r w:rsidRPr="007105A2">
              <w:rPr>
                <w:rFonts w:ascii="Arial" w:eastAsia="Times New Roman" w:hAnsi="Arial" w:cs="Arial"/>
                <w:b/>
                <w:bCs/>
                <w:color w:val="000000"/>
              </w:rPr>
              <w:t>/s)</w:t>
            </w:r>
          </w:p>
        </w:tc>
        <w:tc>
          <w:tcPr>
            <w:tcW w:w="714" w:type="dxa"/>
            <w:vMerge w:val="restart"/>
            <w:tcBorders>
              <w:top w:val="single" w:sz="8" w:space="0" w:color="auto"/>
              <w:right w:val="single" w:sz="8" w:space="0" w:color="auto"/>
            </w:tcBorders>
            <w:shd w:val="clear" w:color="000000" w:fill="FFFF00"/>
            <w:noWrap/>
            <w:vAlign w:val="center"/>
            <w:hideMark/>
          </w:tcPr>
          <w:p w:rsidR="000645BF" w:rsidRDefault="000645BF" w:rsidP="004E444C">
            <w:pPr>
              <w:spacing w:after="0" w:line="240" w:lineRule="auto"/>
              <w:jc w:val="both"/>
              <w:rPr>
                <w:rFonts w:ascii="Arial" w:eastAsia="Times New Roman" w:hAnsi="Arial" w:cs="Arial"/>
                <w:color w:val="000000"/>
              </w:rPr>
            </w:pPr>
          </w:p>
          <w:p w:rsidR="000645BF" w:rsidRDefault="000645BF" w:rsidP="004E444C">
            <w:pPr>
              <w:spacing w:after="0" w:line="240" w:lineRule="auto"/>
              <w:jc w:val="both"/>
              <w:rPr>
                <w:rFonts w:ascii="Arial" w:eastAsia="Times New Roman" w:hAnsi="Arial" w:cs="Arial"/>
                <w:color w:val="000000"/>
                <w:vertAlign w:val="subscript"/>
              </w:rPr>
            </w:pPr>
            <w:r w:rsidRPr="007105A2">
              <w:rPr>
                <w:rFonts w:ascii="Arial" w:eastAsia="Times New Roman" w:hAnsi="Arial" w:cs="Arial"/>
                <w:color w:val="000000"/>
              </w:rPr>
              <w:t>Q</w:t>
            </w:r>
            <w:r w:rsidRPr="007105A2">
              <w:rPr>
                <w:rFonts w:ascii="Arial" w:eastAsia="Times New Roman" w:hAnsi="Arial" w:cs="Arial"/>
                <w:color w:val="000000"/>
                <w:vertAlign w:val="subscript"/>
              </w:rPr>
              <w:t>201</w:t>
            </w:r>
            <w:r>
              <w:rPr>
                <w:rFonts w:ascii="Arial" w:eastAsia="Times New Roman" w:hAnsi="Arial" w:cs="Arial"/>
                <w:color w:val="000000"/>
                <w:vertAlign w:val="subscript"/>
              </w:rPr>
              <w:t>7</w:t>
            </w:r>
          </w:p>
          <w:p w:rsidR="000645BF" w:rsidRDefault="000645BF" w:rsidP="004E444C">
            <w:pPr>
              <w:spacing w:after="0" w:line="240" w:lineRule="auto"/>
              <w:jc w:val="both"/>
              <w:rPr>
                <w:rFonts w:ascii="Arial" w:eastAsia="Times New Roman" w:hAnsi="Arial" w:cs="Arial"/>
                <w:color w:val="000000"/>
              </w:rPr>
            </w:pPr>
            <w:r w:rsidRPr="007105A2">
              <w:rPr>
                <w:rFonts w:ascii="Arial" w:eastAsia="Times New Roman" w:hAnsi="Arial" w:cs="Arial"/>
                <w:color w:val="000000"/>
              </w:rPr>
              <w:t>/</w:t>
            </w:r>
          </w:p>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Q</w:t>
            </w:r>
            <w:r w:rsidRPr="007105A2">
              <w:rPr>
                <w:rFonts w:ascii="Arial" w:eastAsia="Times New Roman" w:hAnsi="Arial" w:cs="Arial"/>
                <w:color w:val="000000"/>
                <w:vertAlign w:val="subscript"/>
              </w:rPr>
              <w:t>med</w:t>
            </w:r>
            <w:r w:rsidRPr="007105A2">
              <w:rPr>
                <w:rFonts w:ascii="Arial" w:eastAsia="Times New Roman" w:hAnsi="Arial" w:cs="Arial"/>
                <w:color w:val="000000"/>
              </w:rPr>
              <w:t xml:space="preserve"> (%)</w:t>
            </w:r>
          </w:p>
        </w:tc>
      </w:tr>
      <w:tr w:rsidR="000645BF" w:rsidRPr="007105A2" w:rsidTr="004E444C">
        <w:trPr>
          <w:trHeight w:val="300"/>
          <w:jc w:val="center"/>
        </w:trPr>
        <w:tc>
          <w:tcPr>
            <w:tcW w:w="1305" w:type="dxa"/>
            <w:vMerge/>
            <w:tcBorders>
              <w:left w:val="single" w:sz="8" w:space="0" w:color="auto"/>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1218" w:type="dxa"/>
            <w:vMerge/>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1073"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2012</w:t>
            </w:r>
          </w:p>
        </w:tc>
        <w:tc>
          <w:tcPr>
            <w:tcW w:w="1003" w:type="dxa"/>
            <w:tcBorders>
              <w:bottom w:val="single" w:sz="8" w:space="0" w:color="auto"/>
            </w:tcBorders>
            <w:shd w:val="clear" w:color="000000" w:fill="FFFF00"/>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2013</w:t>
            </w:r>
          </w:p>
        </w:tc>
        <w:tc>
          <w:tcPr>
            <w:tcW w:w="990" w:type="dxa"/>
            <w:tcBorders>
              <w:bottom w:val="single" w:sz="8" w:space="0" w:color="auto"/>
            </w:tcBorders>
            <w:shd w:val="clear" w:color="000000" w:fill="FFFF00"/>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2014</w:t>
            </w:r>
          </w:p>
        </w:tc>
        <w:tc>
          <w:tcPr>
            <w:tcW w:w="990" w:type="dxa"/>
            <w:tcBorders>
              <w:bottom w:val="single" w:sz="8" w:space="0" w:color="auto"/>
            </w:tcBorders>
            <w:shd w:val="clear" w:color="000000" w:fill="FFFF00"/>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2015</w:t>
            </w:r>
          </w:p>
        </w:tc>
        <w:tc>
          <w:tcPr>
            <w:tcW w:w="990" w:type="dxa"/>
            <w:tcBorders>
              <w:bottom w:val="single" w:sz="8" w:space="0" w:color="auto"/>
            </w:tcBorders>
            <w:shd w:val="clear" w:color="000000" w:fill="FFFF00"/>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2016</w:t>
            </w:r>
          </w:p>
        </w:tc>
        <w:tc>
          <w:tcPr>
            <w:tcW w:w="1080" w:type="dxa"/>
            <w:tcBorders>
              <w:bottom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rPr>
            </w:pPr>
            <w:r w:rsidRPr="007105A2">
              <w:rPr>
                <w:rFonts w:ascii="Arial" w:eastAsia="Times New Roman" w:hAnsi="Arial" w:cs="Arial"/>
                <w:color w:val="000000"/>
              </w:rPr>
              <w:t>MED</w:t>
            </w:r>
          </w:p>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b/>
                <w:bCs/>
                <w:color w:val="16365C"/>
                <w:vertAlign w:val="subscript"/>
              </w:rPr>
              <w:t>201</w:t>
            </w:r>
            <w:r>
              <w:rPr>
                <w:rFonts w:ascii="Arial" w:eastAsia="Times New Roman" w:hAnsi="Arial" w:cs="Arial"/>
                <w:b/>
                <w:bCs/>
                <w:color w:val="16365C"/>
                <w:vertAlign w:val="subscript"/>
              </w:rPr>
              <w:t>2</w:t>
            </w:r>
            <w:r w:rsidRPr="007105A2">
              <w:rPr>
                <w:rFonts w:ascii="Arial" w:eastAsia="Times New Roman" w:hAnsi="Arial" w:cs="Arial"/>
                <w:b/>
                <w:bCs/>
                <w:color w:val="16365C"/>
                <w:vertAlign w:val="subscript"/>
              </w:rPr>
              <w:t>-201</w:t>
            </w:r>
            <w:r>
              <w:rPr>
                <w:rFonts w:ascii="Arial" w:eastAsia="Times New Roman" w:hAnsi="Arial" w:cs="Arial"/>
                <w:b/>
                <w:bCs/>
                <w:color w:val="16365C"/>
                <w:vertAlign w:val="subscript"/>
              </w:rPr>
              <w:t>6</w:t>
            </w:r>
          </w:p>
        </w:tc>
        <w:tc>
          <w:tcPr>
            <w:tcW w:w="990" w:type="dxa"/>
            <w:tcBorders>
              <w:bottom w:val="single" w:sz="8" w:space="0" w:color="auto"/>
            </w:tcBorders>
            <w:shd w:val="clear" w:color="000000" w:fill="FFFF00"/>
            <w:noWrap/>
            <w:vAlign w:val="center"/>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2017</w:t>
            </w:r>
          </w:p>
        </w:tc>
        <w:tc>
          <w:tcPr>
            <w:tcW w:w="714" w:type="dxa"/>
            <w:vMerge/>
            <w:tcBorders>
              <w:bottom w:val="single" w:sz="8" w:space="0" w:color="auto"/>
              <w:right w:val="single" w:sz="8" w:space="0" w:color="auto"/>
            </w:tcBorders>
            <w:shd w:val="clear" w:color="000000" w:fill="FFFF00"/>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305" w:type="dxa"/>
            <w:vMerge w:val="restart"/>
            <w:tcBorders>
              <w:top w:val="single" w:sz="8" w:space="0" w:color="auto"/>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b/>
                <w:bCs/>
                <w:color w:val="000000"/>
              </w:rPr>
              <w:t>Baziaș</w:t>
            </w:r>
          </w:p>
        </w:tc>
        <w:tc>
          <w:tcPr>
            <w:tcW w:w="1218" w:type="dxa"/>
            <w:tcBorders>
              <w:top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1073"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4400</w:t>
            </w:r>
          </w:p>
        </w:tc>
        <w:tc>
          <w:tcPr>
            <w:tcW w:w="1003"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6080</w:t>
            </w:r>
          </w:p>
        </w:tc>
        <w:tc>
          <w:tcPr>
            <w:tcW w:w="990"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6016</w:t>
            </w:r>
          </w:p>
        </w:tc>
        <w:tc>
          <w:tcPr>
            <w:tcW w:w="990"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4920</w:t>
            </w:r>
          </w:p>
        </w:tc>
        <w:tc>
          <w:tcPr>
            <w:tcW w:w="990"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5410</w:t>
            </w:r>
          </w:p>
        </w:tc>
        <w:tc>
          <w:tcPr>
            <w:tcW w:w="1080" w:type="dxa"/>
            <w:tcBorders>
              <w:top w:val="single" w:sz="8" w:space="0" w:color="auto"/>
            </w:tcBorders>
            <w:shd w:val="clear" w:color="auto" w:fill="auto"/>
            <w:vAlign w:val="center"/>
            <w:hideMark/>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5366</w:t>
            </w:r>
          </w:p>
        </w:tc>
        <w:tc>
          <w:tcPr>
            <w:tcW w:w="990" w:type="dxa"/>
            <w:tcBorders>
              <w:top w:val="single" w:sz="8" w:space="0" w:color="auto"/>
            </w:tcBorders>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4530</w:t>
            </w:r>
          </w:p>
        </w:tc>
        <w:tc>
          <w:tcPr>
            <w:tcW w:w="714" w:type="dxa"/>
            <w:vMerge w:val="restart"/>
            <w:tcBorders>
              <w:top w:val="single" w:sz="8" w:space="0" w:color="auto"/>
              <w:righ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84,4</w:t>
            </w:r>
          </w:p>
        </w:tc>
      </w:tr>
      <w:tr w:rsidR="000645BF" w:rsidRPr="007105A2" w:rsidTr="004E444C">
        <w:trPr>
          <w:trHeight w:val="300"/>
          <w:jc w:val="center"/>
        </w:trPr>
        <w:tc>
          <w:tcPr>
            <w:tcW w:w="1305"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1218"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107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139139</w:t>
            </w:r>
          </w:p>
        </w:tc>
        <w:tc>
          <w:tcPr>
            <w:tcW w:w="100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191739</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189721</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155157</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170610</w:t>
            </w:r>
          </w:p>
        </w:tc>
        <w:tc>
          <w:tcPr>
            <w:tcW w:w="108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169405</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142858</w:t>
            </w:r>
          </w:p>
        </w:tc>
        <w:tc>
          <w:tcPr>
            <w:tcW w:w="714" w:type="dxa"/>
            <w:vMerge/>
            <w:tcBorders>
              <w:righ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300"/>
          <w:jc w:val="center"/>
        </w:trPr>
        <w:tc>
          <w:tcPr>
            <w:tcW w:w="1305"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1218"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rPr>
            </w:pPr>
            <w:r>
              <w:rPr>
                <w:rFonts w:ascii="Arial" w:eastAsia="Times New Roman" w:hAnsi="Arial" w:cs="Arial"/>
                <w:color w:val="000000"/>
              </w:rPr>
              <w:t>V 1/2</w:t>
            </w:r>
          </w:p>
        </w:tc>
        <w:tc>
          <w:tcPr>
            <w:tcW w:w="1073"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sidRPr="00C74B42">
              <w:rPr>
                <w:rFonts w:ascii="Arial" w:eastAsia="Times New Roman" w:hAnsi="Arial" w:cs="Arial"/>
                <w:color w:val="000000"/>
              </w:rPr>
              <w:t>69570</w:t>
            </w:r>
          </w:p>
        </w:tc>
        <w:tc>
          <w:tcPr>
            <w:tcW w:w="1003"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sidRPr="00C74B42">
              <w:rPr>
                <w:rFonts w:ascii="Arial" w:eastAsia="Times New Roman" w:hAnsi="Arial" w:cs="Arial"/>
                <w:color w:val="000000"/>
              </w:rPr>
              <w:t>95870</w:t>
            </w:r>
          </w:p>
        </w:tc>
        <w:tc>
          <w:tcPr>
            <w:tcW w:w="990"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sidRPr="00C74B42">
              <w:rPr>
                <w:rFonts w:ascii="Arial" w:eastAsia="Times New Roman" w:hAnsi="Arial" w:cs="Arial"/>
                <w:color w:val="000000"/>
              </w:rPr>
              <w:t>94861</w:t>
            </w:r>
          </w:p>
        </w:tc>
        <w:tc>
          <w:tcPr>
            <w:tcW w:w="990"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sidRPr="00C74B42">
              <w:rPr>
                <w:rFonts w:ascii="Arial" w:eastAsia="Times New Roman" w:hAnsi="Arial" w:cs="Arial"/>
                <w:color w:val="000000"/>
              </w:rPr>
              <w:t>77579</w:t>
            </w:r>
          </w:p>
        </w:tc>
        <w:tc>
          <w:tcPr>
            <w:tcW w:w="990"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sidRPr="00C74B42">
              <w:rPr>
                <w:rFonts w:ascii="Arial" w:eastAsia="Times New Roman" w:hAnsi="Arial" w:cs="Arial"/>
                <w:color w:val="000000"/>
              </w:rPr>
              <w:t>85305</w:t>
            </w:r>
          </w:p>
        </w:tc>
        <w:tc>
          <w:tcPr>
            <w:tcW w:w="1080"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84703</w:t>
            </w:r>
          </w:p>
        </w:tc>
        <w:tc>
          <w:tcPr>
            <w:tcW w:w="990" w:type="dxa"/>
            <w:shd w:val="clear" w:color="auto" w:fill="auto"/>
            <w:vAlign w:val="center"/>
          </w:tcPr>
          <w:p w:rsidR="000645BF" w:rsidRPr="00C74B4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71429</w:t>
            </w:r>
          </w:p>
        </w:tc>
        <w:tc>
          <w:tcPr>
            <w:tcW w:w="714" w:type="dxa"/>
            <w:vMerge/>
            <w:tcBorders>
              <w:righ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r>
      <w:tr w:rsidR="000645BF" w:rsidRPr="007105A2" w:rsidTr="004E444C">
        <w:trPr>
          <w:trHeight w:val="288"/>
          <w:jc w:val="center"/>
        </w:trPr>
        <w:tc>
          <w:tcPr>
            <w:tcW w:w="1305" w:type="dxa"/>
            <w:vMerge w:val="restart"/>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b/>
                <w:bCs/>
                <w:color w:val="000000"/>
              </w:rPr>
              <w:t>Isaccea</w:t>
            </w:r>
          </w:p>
        </w:tc>
        <w:tc>
          <w:tcPr>
            <w:tcW w:w="1218"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lang w:val="en-US"/>
              </w:rPr>
              <w:t>Q</w:t>
            </w:r>
          </w:p>
        </w:tc>
        <w:tc>
          <w:tcPr>
            <w:tcW w:w="107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5050</w:t>
            </w:r>
          </w:p>
        </w:tc>
        <w:tc>
          <w:tcPr>
            <w:tcW w:w="100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7170</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7439</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6170</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6470</w:t>
            </w:r>
          </w:p>
        </w:tc>
        <w:tc>
          <w:tcPr>
            <w:tcW w:w="108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6460</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5210</w:t>
            </w:r>
          </w:p>
        </w:tc>
        <w:tc>
          <w:tcPr>
            <w:tcW w:w="714" w:type="dxa"/>
            <w:vMerge w:val="restart"/>
            <w:tcBorders>
              <w:righ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80,7</w:t>
            </w:r>
          </w:p>
        </w:tc>
      </w:tr>
      <w:tr w:rsidR="000645BF" w:rsidRPr="007105A2" w:rsidTr="004E444C">
        <w:trPr>
          <w:trHeight w:val="300"/>
          <w:jc w:val="center"/>
        </w:trPr>
        <w:tc>
          <w:tcPr>
            <w:tcW w:w="1305" w:type="dxa"/>
            <w:vMerge/>
            <w:tcBorders>
              <w:lef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c>
          <w:tcPr>
            <w:tcW w:w="1218" w:type="dxa"/>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r w:rsidRPr="007105A2">
              <w:rPr>
                <w:rFonts w:ascii="Arial" w:eastAsia="Times New Roman" w:hAnsi="Arial" w:cs="Arial"/>
                <w:color w:val="000000"/>
              </w:rPr>
              <w:t>V</w:t>
            </w:r>
          </w:p>
        </w:tc>
        <w:tc>
          <w:tcPr>
            <w:tcW w:w="107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159693</w:t>
            </w:r>
          </w:p>
        </w:tc>
        <w:tc>
          <w:tcPr>
            <w:tcW w:w="1003"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226113</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234596</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194577</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sidRPr="007105A2">
              <w:rPr>
                <w:rFonts w:ascii="Arial" w:eastAsia="Times New Roman" w:hAnsi="Arial" w:cs="Arial"/>
                <w:color w:val="000000"/>
              </w:rPr>
              <w:t>204038</w:t>
            </w:r>
          </w:p>
        </w:tc>
        <w:tc>
          <w:tcPr>
            <w:tcW w:w="108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20394</w:t>
            </w:r>
          </w:p>
        </w:tc>
        <w:tc>
          <w:tcPr>
            <w:tcW w:w="990" w:type="dxa"/>
            <w:shd w:val="clear" w:color="auto" w:fill="auto"/>
            <w:vAlign w:val="center"/>
          </w:tcPr>
          <w:p w:rsidR="000645BF" w:rsidRPr="007105A2" w:rsidRDefault="000645BF" w:rsidP="004E444C">
            <w:pPr>
              <w:spacing w:after="0" w:line="240" w:lineRule="auto"/>
              <w:rPr>
                <w:rFonts w:ascii="Arial" w:eastAsia="Times New Roman" w:hAnsi="Arial" w:cs="Arial"/>
                <w:color w:val="000000"/>
              </w:rPr>
            </w:pPr>
            <w:r>
              <w:rPr>
                <w:rFonts w:ascii="Arial" w:eastAsia="Times New Roman" w:hAnsi="Arial" w:cs="Arial"/>
                <w:color w:val="000000"/>
              </w:rPr>
              <w:t>164303</w:t>
            </w:r>
          </w:p>
        </w:tc>
        <w:tc>
          <w:tcPr>
            <w:tcW w:w="714" w:type="dxa"/>
            <w:vMerge/>
            <w:tcBorders>
              <w:right w:val="single" w:sz="8" w:space="0" w:color="auto"/>
            </w:tcBorders>
            <w:shd w:val="clear" w:color="auto" w:fill="auto"/>
            <w:noWrap/>
            <w:vAlign w:val="center"/>
            <w:hideMark/>
          </w:tcPr>
          <w:p w:rsidR="000645BF" w:rsidRPr="007105A2" w:rsidRDefault="000645BF" w:rsidP="004E444C">
            <w:pPr>
              <w:spacing w:after="0" w:line="240" w:lineRule="auto"/>
              <w:jc w:val="both"/>
              <w:rPr>
                <w:rFonts w:ascii="Arial" w:eastAsia="Times New Roman" w:hAnsi="Arial" w:cs="Arial"/>
                <w:color w:val="000000"/>
                <w:lang w:val="en-US"/>
              </w:rPr>
            </w:pPr>
          </w:p>
        </w:tc>
      </w:tr>
    </w:tbl>
    <w:p w:rsidR="000645BF" w:rsidRPr="007105A2" w:rsidRDefault="000645BF" w:rsidP="000645BF">
      <w:pPr>
        <w:spacing w:after="0" w:line="240" w:lineRule="auto"/>
        <w:jc w:val="both"/>
        <w:rPr>
          <w:rFonts w:ascii="Arial" w:hAnsi="Arial" w:cs="Arial"/>
        </w:rPr>
      </w:pPr>
      <w:r w:rsidRPr="007105A2">
        <w:rPr>
          <w:rFonts w:ascii="Arial" w:hAnsi="Arial" w:cs="Arial"/>
        </w:rPr>
        <w:t>Q - Debit Q (m</w:t>
      </w:r>
      <w:r w:rsidRPr="007105A2">
        <w:rPr>
          <w:rFonts w:ascii="Arial" w:hAnsi="Arial" w:cs="Arial"/>
          <w:vertAlign w:val="superscript"/>
        </w:rPr>
        <w:t>3</w:t>
      </w:r>
      <w:r w:rsidRPr="007105A2">
        <w:rPr>
          <w:rFonts w:ascii="Arial" w:hAnsi="Arial" w:cs="Arial"/>
        </w:rPr>
        <w:t>/s)</w:t>
      </w:r>
    </w:p>
    <w:p w:rsidR="000645BF" w:rsidRPr="007105A2" w:rsidRDefault="000645BF" w:rsidP="000645BF">
      <w:pPr>
        <w:spacing w:after="0" w:line="240" w:lineRule="auto"/>
        <w:jc w:val="both"/>
        <w:rPr>
          <w:rFonts w:ascii="Arial" w:hAnsi="Arial" w:cs="Arial"/>
        </w:rPr>
      </w:pPr>
      <w:r w:rsidRPr="007105A2">
        <w:rPr>
          <w:rFonts w:ascii="Arial" w:hAnsi="Arial" w:cs="Arial"/>
        </w:rPr>
        <w:t>V - volum total (</w:t>
      </w:r>
      <w:r w:rsidRPr="00943030">
        <w:rPr>
          <w:rFonts w:ascii="Arial" w:hAnsi="Arial" w:cs="Arial"/>
        </w:rPr>
        <w:t>10</w:t>
      </w:r>
      <w:r w:rsidRPr="00943030">
        <w:rPr>
          <w:rFonts w:ascii="Arial" w:hAnsi="Arial" w:cs="Arial"/>
          <w:vertAlign w:val="superscript"/>
        </w:rPr>
        <w:t>6</w:t>
      </w:r>
      <w:r w:rsidRPr="00943030">
        <w:rPr>
          <w:rFonts w:ascii="Arial" w:hAnsi="Arial" w:cs="Arial"/>
        </w:rPr>
        <w:t>m</w:t>
      </w:r>
      <w:r w:rsidRPr="00943030">
        <w:rPr>
          <w:rFonts w:ascii="Arial" w:hAnsi="Arial" w:cs="Arial"/>
          <w:vertAlign w:val="superscript"/>
        </w:rPr>
        <w:t>3</w:t>
      </w:r>
      <w:r w:rsidRPr="007105A2">
        <w:rPr>
          <w:rFonts w:ascii="Arial" w:hAnsi="Arial" w:cs="Arial"/>
        </w:rPr>
        <w:t>)</w:t>
      </w:r>
    </w:p>
    <w:p w:rsidR="000645BF" w:rsidRPr="00C74B42" w:rsidRDefault="000645BF" w:rsidP="000645BF">
      <w:pPr>
        <w:spacing w:after="0" w:line="240" w:lineRule="auto"/>
        <w:jc w:val="both"/>
        <w:rPr>
          <w:rFonts w:ascii="Arial" w:hAnsi="Arial" w:cs="Arial"/>
        </w:rPr>
      </w:pPr>
      <w:r>
        <w:rPr>
          <w:rFonts w:ascii="Arial" w:hAnsi="Arial" w:cs="Arial"/>
        </w:rPr>
        <w:t xml:space="preserve">V 1/2 - </w:t>
      </w:r>
      <w:r w:rsidRPr="00C74B42">
        <w:rPr>
          <w:rFonts w:ascii="Arial" w:hAnsi="Arial" w:cs="Arial"/>
        </w:rPr>
        <w:t>valorile reprezintă 50% din volumele scurse pe Dunăre la intrarea în țară, aferente României, cealaltă jumătate revenind Republicii Serbia</w:t>
      </w:r>
    </w:p>
    <w:p w:rsidR="000645BF" w:rsidRDefault="000645BF" w:rsidP="000645BF">
      <w:pPr>
        <w:pStyle w:val="Default"/>
        <w:jc w:val="both"/>
        <w:rPr>
          <w:rFonts w:ascii="Arial" w:hAnsi="Arial" w:cs="Arial"/>
          <w:bCs/>
          <w:color w:val="auto"/>
        </w:rPr>
      </w:pPr>
    </w:p>
    <w:p w:rsidR="000645BF" w:rsidRPr="007105A2" w:rsidRDefault="000645BF" w:rsidP="000645BF">
      <w:pPr>
        <w:spacing w:after="0" w:line="240" w:lineRule="auto"/>
        <w:jc w:val="center"/>
        <w:rPr>
          <w:rFonts w:ascii="Arial" w:hAnsi="Arial" w:cs="Arial"/>
        </w:rPr>
      </w:pPr>
      <w:r>
        <w:rPr>
          <w:noProof/>
        </w:rPr>
        <w:drawing>
          <wp:inline distT="0" distB="0" distL="0" distR="0">
            <wp:extent cx="5868062" cy="2727298"/>
            <wp:effectExtent l="0" t="0" r="0" b="0"/>
            <wp:docPr id="27"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5512874-1C2F-43C1-BB0B-A1B0E98F1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645BF" w:rsidRPr="000222DE" w:rsidRDefault="000645BF" w:rsidP="000645BF">
      <w:pPr>
        <w:spacing w:after="0" w:line="240" w:lineRule="auto"/>
        <w:jc w:val="both"/>
        <w:rPr>
          <w:rFonts w:ascii="Arial" w:eastAsia="Times New Roman" w:hAnsi="Arial" w:cs="Arial"/>
          <w:b/>
          <w:bCs/>
          <w:i/>
        </w:rPr>
      </w:pPr>
      <w:r w:rsidRPr="000222DE">
        <w:rPr>
          <w:rFonts w:ascii="Arial" w:eastAsia="Times New Roman" w:hAnsi="Arial" w:cs="Arial"/>
          <w:b/>
          <w:bCs/>
          <w:i/>
        </w:rPr>
        <w:t>Fig. II.1.1.</w:t>
      </w:r>
      <w:r>
        <w:rPr>
          <w:rFonts w:ascii="Arial" w:eastAsia="Times New Roman" w:hAnsi="Arial" w:cs="Arial"/>
          <w:b/>
          <w:bCs/>
          <w:i/>
        </w:rPr>
        <w:t>1.</w:t>
      </w:r>
      <w:r w:rsidRPr="000222DE">
        <w:rPr>
          <w:rFonts w:ascii="Arial" w:eastAsia="Times New Roman" w:hAnsi="Arial" w:cs="Arial"/>
          <w:b/>
          <w:bCs/>
          <w:i/>
        </w:rPr>
        <w:t>-1 Resursele de apă ale anului 2017, comparativ cu perioada anterioară (2012-2016)</w:t>
      </w:r>
    </w:p>
    <w:p w:rsidR="000645BF" w:rsidRPr="003B49D8" w:rsidRDefault="000645BF" w:rsidP="000645BF">
      <w:pPr>
        <w:spacing w:after="0" w:line="240" w:lineRule="auto"/>
        <w:jc w:val="both"/>
        <w:rPr>
          <w:rFonts w:ascii="Arial" w:hAnsi="Arial" w:cs="Arial"/>
          <w:i/>
          <w:sz w:val="26"/>
          <w:szCs w:val="26"/>
          <w:lang w:val="en-US"/>
        </w:rPr>
      </w:pPr>
    </w:p>
    <w:p w:rsidR="000645BF" w:rsidRDefault="000645BF" w:rsidP="000645BF">
      <w:pPr>
        <w:spacing w:after="0" w:line="240" w:lineRule="auto"/>
        <w:ind w:firstLine="708"/>
        <w:jc w:val="both"/>
        <w:rPr>
          <w:rFonts w:ascii="Arial" w:hAnsi="Arial" w:cs="Arial"/>
          <w:b/>
          <w:i/>
          <w:sz w:val="24"/>
          <w:szCs w:val="24"/>
        </w:rPr>
      </w:pPr>
      <w:r>
        <w:rPr>
          <w:rFonts w:ascii="Arial" w:hAnsi="Arial" w:cs="Arial"/>
          <w:b/>
          <w:i/>
          <w:sz w:val="24"/>
          <w:szCs w:val="24"/>
        </w:rPr>
        <w:t>Resurse de apă subterană</w:t>
      </w:r>
    </w:p>
    <w:p w:rsidR="000645BF" w:rsidRDefault="000645BF" w:rsidP="000645BF">
      <w:pPr>
        <w:spacing w:after="0" w:line="240" w:lineRule="auto"/>
        <w:ind w:firstLine="708"/>
        <w:jc w:val="both"/>
        <w:rPr>
          <w:rFonts w:ascii="Arial" w:hAnsi="Arial" w:cs="Arial"/>
          <w:b/>
          <w:i/>
          <w:sz w:val="24"/>
          <w:szCs w:val="24"/>
        </w:rPr>
      </w:pPr>
    </w:p>
    <w:p w:rsidR="000645BF" w:rsidRDefault="000645BF" w:rsidP="000645BF">
      <w:pPr>
        <w:spacing w:after="0" w:line="240" w:lineRule="auto"/>
        <w:jc w:val="both"/>
        <w:rPr>
          <w:rFonts w:ascii="Arial" w:hAnsi="Arial" w:cs="Arial"/>
          <w:sz w:val="24"/>
          <w:szCs w:val="24"/>
        </w:rPr>
      </w:pPr>
      <w:r>
        <w:rPr>
          <w:rFonts w:ascii="Arial" w:hAnsi="Arial" w:cs="Arial"/>
          <w:b/>
          <w:sz w:val="24"/>
          <w:szCs w:val="24"/>
        </w:rPr>
        <w:t>Resursele de apă subterană</w:t>
      </w:r>
      <w:r>
        <w:rPr>
          <w:rFonts w:ascii="Arial" w:hAnsi="Arial" w:cs="Arial"/>
          <w:sz w:val="24"/>
          <w:szCs w:val="24"/>
        </w:rPr>
        <w:t xml:space="preserve"> reprezintă volumul de apă care poate fi extras dintr-un strat acvifer, deci volumul de apă exploatabilă. Această noţiune este complexă, deoarece cantitatea de apă ce poate fi furnizată de un strat acvifer depinde de volumul rezervelor şi este limitată de posibilităţile tehnice şi economice, de conservare şi protecţie a resurselor. </w:t>
      </w:r>
    </w:p>
    <w:p w:rsidR="000645BF" w:rsidRDefault="000645BF" w:rsidP="000645BF">
      <w:pPr>
        <w:spacing w:after="0" w:line="240" w:lineRule="auto"/>
        <w:jc w:val="both"/>
        <w:rPr>
          <w:rFonts w:ascii="Arial" w:hAnsi="Arial" w:cs="Arial"/>
          <w:sz w:val="24"/>
          <w:szCs w:val="24"/>
        </w:rPr>
      </w:pPr>
      <w:r>
        <w:rPr>
          <w:rFonts w:ascii="Arial" w:hAnsi="Arial" w:cs="Arial"/>
          <w:b/>
          <w:sz w:val="24"/>
          <w:szCs w:val="24"/>
        </w:rPr>
        <w:t>Rezervele de apă subterană</w:t>
      </w:r>
      <w:r>
        <w:rPr>
          <w:rFonts w:ascii="Arial" w:hAnsi="Arial" w:cs="Arial"/>
          <w:sz w:val="24"/>
          <w:szCs w:val="24"/>
        </w:rPr>
        <w:t xml:space="preserve"> reprezintă volumul de apă gravitaţională ȋnmagazinată ȋntr-o anumită perioadă sau ȋntr-un anumit moment dat ȋntr-un acvifer sau rocă magazin. Rezervele sunt condiţionate astfel, de structura geologică, adică de geometria acviferului şi de porozitatea eficace sau coeficientul de ȋnmagazinare, factor care exprimă volumul de apă liberă ȋn roca magazin. Rezervele depind exclusiv de datele volumetrice şi se exprimă ȋn unităţi de volum (de regulă, ȋn m</w:t>
      </w:r>
      <w:r>
        <w:rPr>
          <w:rFonts w:ascii="Arial" w:hAnsi="Arial" w:cs="Arial"/>
          <w:sz w:val="24"/>
          <w:szCs w:val="24"/>
          <w:vertAlign w:val="superscript"/>
        </w:rPr>
        <w:t>3</w:t>
      </w:r>
      <w:r>
        <w:rPr>
          <w:rFonts w:ascii="Arial" w:hAnsi="Arial" w:cs="Arial"/>
          <w:sz w:val="24"/>
          <w:szCs w:val="24"/>
        </w:rPr>
        <w:t xml:space="preserve">). </w:t>
      </w:r>
    </w:p>
    <w:p w:rsidR="000645BF" w:rsidRDefault="000645BF" w:rsidP="000645BF">
      <w:pPr>
        <w:spacing w:after="0" w:line="240" w:lineRule="auto"/>
        <w:jc w:val="both"/>
        <w:rPr>
          <w:rFonts w:ascii="Arial" w:hAnsi="Arial" w:cs="Arial"/>
          <w:sz w:val="24"/>
          <w:szCs w:val="24"/>
        </w:rPr>
      </w:pPr>
      <w:r w:rsidRPr="001D410A">
        <w:rPr>
          <w:rFonts w:ascii="Arial" w:hAnsi="Arial" w:cs="Arial"/>
          <w:b/>
          <w:sz w:val="24"/>
          <w:szCs w:val="24"/>
        </w:rPr>
        <w:t>Resursele totale</w:t>
      </w:r>
      <w:r w:rsidRPr="00870281">
        <w:rPr>
          <w:rFonts w:ascii="Arial" w:hAnsi="Arial" w:cs="Arial"/>
          <w:b/>
          <w:sz w:val="24"/>
          <w:szCs w:val="24"/>
        </w:rPr>
        <w:t>de apă subterană</w:t>
      </w:r>
      <w:r>
        <w:rPr>
          <w:rFonts w:ascii="Arial" w:hAnsi="Arial" w:cs="Arial"/>
          <w:sz w:val="24"/>
          <w:szCs w:val="24"/>
        </w:rPr>
        <w:t xml:space="preserve"> din România au fost estimate la 9,68 mld. m</w:t>
      </w:r>
      <w:r>
        <w:rPr>
          <w:rFonts w:ascii="Arial" w:hAnsi="Arial" w:cs="Arial"/>
          <w:sz w:val="24"/>
          <w:szCs w:val="24"/>
          <w:vertAlign w:val="superscript"/>
        </w:rPr>
        <w:t>3</w:t>
      </w:r>
      <w:r>
        <w:rPr>
          <w:rFonts w:ascii="Arial" w:hAnsi="Arial" w:cs="Arial"/>
          <w:sz w:val="24"/>
          <w:szCs w:val="24"/>
        </w:rPr>
        <w:t>/an, din care 4,74 mld. m</w:t>
      </w:r>
      <w:r>
        <w:rPr>
          <w:rFonts w:ascii="Arial" w:hAnsi="Arial" w:cs="Arial"/>
          <w:sz w:val="24"/>
          <w:szCs w:val="24"/>
          <w:vertAlign w:val="superscript"/>
        </w:rPr>
        <w:t>3</w:t>
      </w:r>
      <w:r>
        <w:rPr>
          <w:rFonts w:ascii="Arial" w:hAnsi="Arial" w:cs="Arial"/>
          <w:sz w:val="24"/>
          <w:szCs w:val="24"/>
        </w:rPr>
        <w:t>/an apele freatice și 4,94 mld. m</w:t>
      </w:r>
      <w:r>
        <w:rPr>
          <w:rFonts w:ascii="Arial" w:hAnsi="Arial" w:cs="Arial"/>
          <w:sz w:val="24"/>
          <w:szCs w:val="24"/>
          <w:vertAlign w:val="superscript"/>
        </w:rPr>
        <w:t>3</w:t>
      </w:r>
      <w:r>
        <w:rPr>
          <w:rFonts w:ascii="Arial" w:hAnsi="Arial" w:cs="Arial"/>
          <w:sz w:val="24"/>
          <w:szCs w:val="24"/>
        </w:rPr>
        <w:t xml:space="preserve">/an de apă subterană de adâncime, reprezentând circa 25% din apa de suprafață. </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În România, identificarea şi delimitarea corpurilor de apă subterană s-a făcut în concordanţă cu metodologia specifică de caracterizare a apelor subterane elaborată în cadrul INHGA, care a ţinut cont de prevederile Directivei Cadru a Apei 2000/60/EC şi de Ghidurile elaborate în cadrul Strategiei Comune de Implementare a DCA. Delimitarea corpurilor de ape subterane s-a făcut pentru zonele în care există acvifere semnificative ca importanţă pentru alimentări cu apă şi anume debite exploatabile mai mari de 10 m</w:t>
      </w:r>
      <w:r>
        <w:rPr>
          <w:rFonts w:ascii="Arial" w:hAnsi="Arial" w:cs="Arial"/>
          <w:sz w:val="24"/>
          <w:szCs w:val="24"/>
          <w:vertAlign w:val="superscript"/>
        </w:rPr>
        <w:t>3</w:t>
      </w:r>
      <w:r>
        <w:rPr>
          <w:rFonts w:ascii="Arial" w:hAnsi="Arial" w:cs="Arial"/>
          <w:sz w:val="24"/>
          <w:szCs w:val="24"/>
        </w:rPr>
        <w:t xml:space="preserve">/zi. În restul teritoriului, chiar dacă există condiţii locale de acumulare a apelor în subteran, acestea nu se constituie în corpuri de apă, conform prevederilor Directivei Cadru Apă. În România au fost identificate, delimitate şi caracterizate un număr de 143 de corpuri de apă subterană. Dintre acestea, un număr de 115 reprezintă corpuri de apă subterană freatică, iar 28 sunt corpuri de apă subterană de adâncime. Ca urmare a analizei de risc efectuate în cadrul Planului de management, a rezultat că toate cele 143 corpuri de apă subterană din România sunt în stare cantitativă bună. </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 xml:space="preserve">În general, apa freatică este utilizată pentru irigaţii şi industrie, pentru alimentarea populaţiei fiind utilizată apa captată din izvoare. Calitatea apei subterane este determinată de alcătuirea mineralogică şi, implicit chimică, a suportului mineral în care este localizată apa subterană, dar şi de evoluţia geologică şi tectonică a fiecărei regiuni. Astfel, există ape </w:t>
      </w:r>
      <w:r>
        <w:rPr>
          <w:rFonts w:ascii="Arial" w:hAnsi="Arial" w:cs="Arial"/>
          <w:sz w:val="24"/>
          <w:szCs w:val="24"/>
        </w:rPr>
        <w:lastRenderedPageBreak/>
        <w:t>subterane de adâncime cu un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acumulărilor salifere aflate la zi sau la adâncime mică). Aceste aspecte calitative fac ca apa subterană să nu poată fi utilizată pentru alimentarea populaţiei. În Depresiunea Transilvaniei, Câmpia de Vest, vestul Olteniei, apele de adâncime au local, în mod natural, conţinuturi ridicate de amoniu, ceea determină caracterul nepotabil al apelor şi aplicarea unor măsuri de tratare.</w:t>
      </w:r>
    </w:p>
    <w:p w:rsidR="000645BF" w:rsidRDefault="000645BF" w:rsidP="000645BF">
      <w:pPr>
        <w:spacing w:after="0" w:line="240" w:lineRule="auto"/>
        <w:ind w:firstLine="708"/>
        <w:jc w:val="both"/>
        <w:rPr>
          <w:rFonts w:ascii="Arial" w:hAnsi="Arial" w:cs="Arial"/>
          <w:sz w:val="24"/>
          <w:szCs w:val="24"/>
        </w:rPr>
      </w:pPr>
    </w:p>
    <w:p w:rsidR="000645BF" w:rsidRPr="008B6F6F" w:rsidRDefault="000645BF" w:rsidP="000645BF">
      <w:pPr>
        <w:spacing w:after="0" w:line="240" w:lineRule="auto"/>
        <w:jc w:val="both"/>
        <w:rPr>
          <w:rFonts w:ascii="Arial" w:hAnsi="Arial" w:cs="Arial"/>
          <w:b/>
          <w:i/>
          <w:sz w:val="24"/>
          <w:szCs w:val="24"/>
        </w:rPr>
      </w:pPr>
      <w:r w:rsidRPr="008B6F6F">
        <w:rPr>
          <w:rFonts w:ascii="Arial" w:hAnsi="Arial" w:cs="Arial"/>
          <w:b/>
          <w:i/>
          <w:sz w:val="24"/>
          <w:szCs w:val="24"/>
        </w:rPr>
        <w:t>Caracterizarea regimului de curgere a apelor freatice în anul 2017 faţa de anul 2016</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Pe baza prelucrărilor statistice efectuate asupra valorilor caracteristice ale nivelurilor piezometrice măsurate într-un număr de 271 de foraje reprezentative a fost elaborată caracterizarea anului hidrogeologic 2017 prin comparaţie cu anul anterior şi cu valorile caracteristice (media lunară multianuală, minima istorică). Interpretarea rezultatelor a fost integrată spaţial ȋn cadrul unităţilor geomorfologice majore ale României.</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Din calculul mediilor lunare multianuale, reactualizat la nivelul anului 2016, rezultă că în 21% din situaţiile analizate nu s-au produs modificări, în 37% a scăzut cu valori între 1-50 cm, iar în 42% a crescut cu valori între 1-38 cm. În ceea ce priveşte valorile minime istorice (adâncimi maxime ale nivelurilor piezometrice), în anul 2017 s-au atins valori mai adânci ale nivelului piezometric în 18 foraje.</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 xml:space="preserve">Diferenţele dintre valorile medii ale adâncimii  nivelurilor piezometrice din anii 2017 şi 2016 au fost reprezentate pe hartă, conform </w:t>
      </w:r>
      <w:r>
        <w:rPr>
          <w:rFonts w:ascii="Arial" w:hAnsi="Arial" w:cs="Arial"/>
          <w:i/>
          <w:sz w:val="24"/>
          <w:szCs w:val="24"/>
        </w:rPr>
        <w:t>figurii 2</w:t>
      </w:r>
      <w:r>
        <w:rPr>
          <w:rFonts w:ascii="Arial" w:hAnsi="Arial" w:cs="Arial"/>
          <w:sz w:val="24"/>
          <w:szCs w:val="24"/>
        </w:rPr>
        <w:t xml:space="preserve">. La nivelul întregii tări, creşterile de nivel, respectiv forajele simbolizate cu culoare albastru, reprezintă 54% din numărul total al forajelor. </w:t>
      </w:r>
    </w:p>
    <w:p w:rsidR="000645BF" w:rsidRDefault="000645BF" w:rsidP="000645BF">
      <w:pPr>
        <w:spacing w:after="0" w:line="240" w:lineRule="auto"/>
        <w:jc w:val="center"/>
        <w:rPr>
          <w:sz w:val="24"/>
          <w:szCs w:val="24"/>
        </w:rPr>
      </w:pPr>
      <w:r>
        <w:rPr>
          <w:rFonts w:ascii="Arial" w:hAnsi="Arial" w:cs="Arial"/>
          <w:noProof/>
          <w:sz w:val="24"/>
          <w:szCs w:val="24"/>
        </w:rPr>
        <w:drawing>
          <wp:inline distT="0" distB="0" distL="0" distR="0">
            <wp:extent cx="5422992" cy="3872285"/>
            <wp:effectExtent l="0" t="0" r="0" b="0"/>
            <wp:docPr id="28" name="Picture 8" descr="COMPARATII_2017&amp;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ATII_2017&amp;201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045" cy="3870895"/>
                    </a:xfrm>
                    <a:prstGeom prst="rect">
                      <a:avLst/>
                    </a:prstGeom>
                    <a:noFill/>
                    <a:ln>
                      <a:noFill/>
                    </a:ln>
                  </pic:spPr>
                </pic:pic>
              </a:graphicData>
            </a:graphic>
          </wp:inline>
        </w:drawing>
      </w:r>
    </w:p>
    <w:p w:rsidR="000645BF" w:rsidRPr="0033369D" w:rsidRDefault="000645BF" w:rsidP="000645BF">
      <w:pPr>
        <w:tabs>
          <w:tab w:val="left" w:pos="993"/>
        </w:tabs>
        <w:spacing w:after="0" w:line="240" w:lineRule="auto"/>
        <w:jc w:val="both"/>
        <w:rPr>
          <w:rFonts w:ascii="Arial" w:eastAsia="Times New Roman" w:hAnsi="Arial" w:cs="Arial"/>
          <w:b/>
          <w:bCs/>
          <w:i/>
        </w:rPr>
      </w:pPr>
      <w:r w:rsidRPr="0033369D">
        <w:rPr>
          <w:rFonts w:ascii="Arial" w:eastAsia="Times New Roman" w:hAnsi="Arial" w:cs="Arial"/>
          <w:b/>
          <w:bCs/>
          <w:i/>
        </w:rPr>
        <w:t>Fig. II.1.1.</w:t>
      </w:r>
      <w:r>
        <w:rPr>
          <w:rFonts w:ascii="Arial" w:eastAsia="Times New Roman" w:hAnsi="Arial" w:cs="Arial"/>
          <w:b/>
          <w:bCs/>
          <w:i/>
        </w:rPr>
        <w:t>1.</w:t>
      </w:r>
      <w:r w:rsidRPr="0033369D">
        <w:rPr>
          <w:rFonts w:ascii="Arial" w:eastAsia="Times New Roman" w:hAnsi="Arial" w:cs="Arial"/>
          <w:b/>
          <w:bCs/>
          <w:i/>
        </w:rPr>
        <w:t xml:space="preserve">-2 Regimul de curgere a apelor subterane freatice în anul 2017 comparativ cu anul anterior </w:t>
      </w:r>
    </w:p>
    <w:p w:rsidR="000645BF" w:rsidRDefault="000645BF" w:rsidP="000645BF">
      <w:pPr>
        <w:pStyle w:val="Default"/>
        <w:jc w:val="both"/>
        <w:rPr>
          <w:rFonts w:ascii="Arial" w:hAnsi="Arial" w:cs="Arial"/>
          <w:bCs/>
          <w:color w:val="auto"/>
        </w:rPr>
      </w:pPr>
    </w:p>
    <w:p w:rsidR="000645BF" w:rsidRDefault="000645BF" w:rsidP="000645BF">
      <w:pPr>
        <w:spacing w:after="0" w:line="240" w:lineRule="auto"/>
        <w:jc w:val="both"/>
        <w:rPr>
          <w:rFonts w:ascii="Arial" w:hAnsi="Arial" w:cs="Arial"/>
          <w:sz w:val="24"/>
          <w:szCs w:val="24"/>
        </w:rPr>
      </w:pPr>
      <w:r>
        <w:rPr>
          <w:rFonts w:ascii="Arial" w:hAnsi="Arial" w:cs="Arial"/>
          <w:sz w:val="24"/>
          <w:szCs w:val="24"/>
        </w:rPr>
        <w:t xml:space="preserve">Diferenţele calculate între valorile medii ale anului 2017, valorile medii ale anului 2016 şi valorile caracteristice, grupate pe zone geografice, sunt sintetizate în </w:t>
      </w:r>
      <w:r>
        <w:rPr>
          <w:rFonts w:ascii="Arial" w:hAnsi="Arial" w:cs="Arial"/>
          <w:i/>
          <w:sz w:val="24"/>
          <w:szCs w:val="24"/>
        </w:rPr>
        <w:t>tabelul 4</w:t>
      </w:r>
      <w:r>
        <w:rPr>
          <w:rFonts w:ascii="Arial" w:hAnsi="Arial" w:cs="Arial"/>
          <w:sz w:val="24"/>
          <w:szCs w:val="24"/>
        </w:rPr>
        <w:t>. Cele mai mari diferenţe, atât pozitive cât şi negative, se înregistrează în zona A, Câmpia Română, Piemontul Getic şi Subcarpaţii Getici.</w:t>
      </w:r>
    </w:p>
    <w:p w:rsidR="000645BF" w:rsidRDefault="000645BF" w:rsidP="000645BF">
      <w:pPr>
        <w:spacing w:after="0" w:line="240" w:lineRule="auto"/>
        <w:jc w:val="both"/>
        <w:rPr>
          <w:rFonts w:ascii="Arial" w:hAnsi="Arial" w:cs="Arial"/>
          <w:sz w:val="24"/>
          <w:szCs w:val="24"/>
        </w:rPr>
      </w:pPr>
    </w:p>
    <w:p w:rsidR="000645BF" w:rsidRPr="0033369D" w:rsidRDefault="000645BF" w:rsidP="000645BF">
      <w:pPr>
        <w:spacing w:after="0" w:line="240" w:lineRule="auto"/>
        <w:jc w:val="both"/>
        <w:rPr>
          <w:rFonts w:ascii="Arial" w:eastAsia="Times New Roman" w:hAnsi="Arial" w:cs="Arial"/>
          <w:b/>
          <w:bCs/>
          <w:i/>
        </w:rPr>
      </w:pPr>
      <w:r w:rsidRPr="0033369D">
        <w:rPr>
          <w:rFonts w:ascii="Arial" w:eastAsia="Times New Roman" w:hAnsi="Arial" w:cs="Arial"/>
          <w:b/>
          <w:bCs/>
          <w:i/>
        </w:rPr>
        <w:t>Tabelul nr.II.1.1</w:t>
      </w:r>
      <w:r>
        <w:rPr>
          <w:rFonts w:ascii="Arial" w:eastAsia="Times New Roman" w:hAnsi="Arial" w:cs="Arial"/>
          <w:b/>
          <w:bCs/>
          <w:i/>
        </w:rPr>
        <w:t>.1.-</w:t>
      </w:r>
      <w:r w:rsidRPr="0033369D">
        <w:rPr>
          <w:rFonts w:ascii="Arial" w:eastAsia="Times New Roman" w:hAnsi="Arial" w:cs="Arial"/>
          <w:b/>
          <w:bCs/>
          <w:i/>
        </w:rPr>
        <w:t>3 Diferenţele dintre valorile mediilor anului 2017 faţă de  mediile anului  2016</w:t>
      </w:r>
      <w:r>
        <w:rPr>
          <w:rFonts w:ascii="Arial" w:eastAsia="Times New Roman" w:hAnsi="Arial" w:cs="Arial"/>
          <w:b/>
          <w:bCs/>
          <w:i/>
        </w:rPr>
        <w:t xml:space="preserve"> </w:t>
      </w:r>
      <w:r w:rsidRPr="0033369D">
        <w:rPr>
          <w:rFonts w:ascii="Arial" w:eastAsia="Times New Roman" w:hAnsi="Arial" w:cs="Arial"/>
          <w:b/>
          <w:bCs/>
          <w:i/>
        </w:rPr>
        <w:t>şi mediile multianuale</w:t>
      </w:r>
    </w:p>
    <w:tbl>
      <w:tblPr>
        <w:tblW w:w="10303"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863"/>
        <w:gridCol w:w="897"/>
        <w:gridCol w:w="920"/>
        <w:gridCol w:w="766"/>
        <w:gridCol w:w="1216"/>
        <w:gridCol w:w="1150"/>
        <w:gridCol w:w="1255"/>
        <w:gridCol w:w="1236"/>
      </w:tblGrid>
      <w:tr w:rsidR="000645BF" w:rsidTr="004E444C">
        <w:trPr>
          <w:trHeight w:val="371"/>
        </w:trPr>
        <w:tc>
          <w:tcPr>
            <w:tcW w:w="2863" w:type="dxa"/>
            <w:vMerge w:val="restart"/>
            <w:shd w:val="clear" w:color="auto" w:fill="FFFF00"/>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Zon</w:t>
            </w:r>
            <w:r>
              <w:rPr>
                <w:rFonts w:ascii="Arial" w:hAnsi="Arial" w:cs="Arial"/>
                <w:sz w:val="24"/>
                <w:szCs w:val="24"/>
              </w:rPr>
              <w:t>ă</w:t>
            </w:r>
            <w:r w:rsidRPr="003B49D8">
              <w:rPr>
                <w:rFonts w:ascii="Arial" w:hAnsi="Arial" w:cs="Arial"/>
                <w:sz w:val="24"/>
                <w:szCs w:val="24"/>
              </w:rPr>
              <w:t>/</w:t>
            </w:r>
            <w:r>
              <w:rPr>
                <w:rFonts w:ascii="Arial" w:hAnsi="Arial" w:cs="Arial"/>
                <w:sz w:val="24"/>
                <w:szCs w:val="24"/>
              </w:rPr>
              <w:t>D</w:t>
            </w:r>
            <w:r w:rsidRPr="003B49D8">
              <w:rPr>
                <w:rFonts w:ascii="Arial" w:hAnsi="Arial" w:cs="Arial"/>
                <w:sz w:val="24"/>
                <w:szCs w:val="24"/>
              </w:rPr>
              <w:t>ep</w:t>
            </w:r>
            <w:r>
              <w:rPr>
                <w:rFonts w:ascii="Arial" w:hAnsi="Arial" w:cs="Arial"/>
                <w:sz w:val="24"/>
                <w:szCs w:val="24"/>
              </w:rPr>
              <w:t>ăș</w:t>
            </w:r>
            <w:r w:rsidRPr="003B49D8">
              <w:rPr>
                <w:rFonts w:ascii="Arial" w:hAnsi="Arial" w:cs="Arial"/>
                <w:sz w:val="24"/>
                <w:szCs w:val="24"/>
              </w:rPr>
              <w:t>iri ale ad</w:t>
            </w:r>
            <w:r>
              <w:rPr>
                <w:rFonts w:ascii="Arial" w:hAnsi="Arial" w:cs="Arial"/>
                <w:sz w:val="24"/>
                <w:szCs w:val="24"/>
              </w:rPr>
              <w:t>â</w:t>
            </w:r>
            <w:r w:rsidRPr="003B49D8">
              <w:rPr>
                <w:rFonts w:ascii="Arial" w:hAnsi="Arial" w:cs="Arial"/>
                <w:sz w:val="24"/>
                <w:szCs w:val="24"/>
              </w:rPr>
              <w:t>ncimii NP (cm)</w:t>
            </w:r>
          </w:p>
        </w:tc>
        <w:tc>
          <w:tcPr>
            <w:tcW w:w="897" w:type="dxa"/>
            <w:vMerge w:val="restart"/>
            <w:shd w:val="clear" w:color="auto" w:fill="FFFF00"/>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Nr. Foraje</w:t>
            </w:r>
          </w:p>
        </w:tc>
        <w:tc>
          <w:tcPr>
            <w:tcW w:w="1686" w:type="dxa"/>
            <w:gridSpan w:val="2"/>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 xml:space="preserve">Medii anuale 2017 şi 2016 </w:t>
            </w:r>
          </w:p>
        </w:tc>
        <w:tc>
          <w:tcPr>
            <w:tcW w:w="2366" w:type="dxa"/>
            <w:gridSpan w:val="2"/>
            <w:shd w:val="clear" w:color="auto" w:fill="FFFF00"/>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 xml:space="preserve">Medii anuale 2017 </w:t>
            </w:r>
            <w:r>
              <w:rPr>
                <w:rFonts w:ascii="Arial" w:hAnsi="Arial" w:cs="Arial"/>
                <w:sz w:val="24"/>
                <w:szCs w:val="24"/>
              </w:rPr>
              <w:t>ș</w:t>
            </w:r>
            <w:r w:rsidRPr="003B49D8">
              <w:rPr>
                <w:rFonts w:ascii="Arial" w:hAnsi="Arial" w:cs="Arial"/>
                <w:sz w:val="24"/>
                <w:szCs w:val="24"/>
              </w:rPr>
              <w:t xml:space="preserve">i medii multianuale </w:t>
            </w:r>
          </w:p>
        </w:tc>
        <w:tc>
          <w:tcPr>
            <w:tcW w:w="2491" w:type="dxa"/>
            <w:gridSpan w:val="2"/>
            <w:shd w:val="clear" w:color="auto" w:fill="FFFF00"/>
            <w:vAlign w:val="center"/>
            <w:hideMark/>
          </w:tcPr>
          <w:p w:rsidR="000645BF" w:rsidRPr="003B49D8" w:rsidRDefault="000645BF" w:rsidP="004E444C">
            <w:pPr>
              <w:spacing w:after="0" w:line="240" w:lineRule="auto"/>
              <w:rPr>
                <w:rFonts w:ascii="Arial" w:hAnsi="Arial" w:cs="Arial"/>
                <w:sz w:val="24"/>
                <w:szCs w:val="24"/>
              </w:rPr>
            </w:pPr>
            <w:r w:rsidRPr="003B49D8">
              <w:rPr>
                <w:rFonts w:ascii="Arial" w:hAnsi="Arial" w:cs="Arial"/>
                <w:sz w:val="24"/>
                <w:szCs w:val="24"/>
              </w:rPr>
              <w:t xml:space="preserve">Medii anuale 2017 </w:t>
            </w:r>
            <w:r>
              <w:rPr>
                <w:rFonts w:ascii="Arial" w:hAnsi="Arial" w:cs="Arial"/>
                <w:sz w:val="24"/>
                <w:szCs w:val="24"/>
              </w:rPr>
              <w:t>ș</w:t>
            </w:r>
            <w:r w:rsidRPr="003B49D8">
              <w:rPr>
                <w:rFonts w:ascii="Arial" w:hAnsi="Arial" w:cs="Arial"/>
                <w:sz w:val="24"/>
                <w:szCs w:val="24"/>
              </w:rPr>
              <w:t>i valoareaminim</w:t>
            </w:r>
            <w:r>
              <w:rPr>
                <w:rFonts w:ascii="Arial" w:hAnsi="Arial" w:cs="Arial"/>
                <w:sz w:val="24"/>
                <w:szCs w:val="24"/>
              </w:rPr>
              <w:t>ă</w:t>
            </w:r>
            <w:r w:rsidRPr="003B49D8">
              <w:rPr>
                <w:rFonts w:ascii="Arial" w:hAnsi="Arial" w:cs="Arial"/>
                <w:sz w:val="24"/>
                <w:szCs w:val="24"/>
              </w:rPr>
              <w:t xml:space="preserve"> </w:t>
            </w:r>
            <w:r w:rsidRPr="003B49D8">
              <w:rPr>
                <w:rFonts w:ascii="Arial" w:hAnsi="Arial" w:cs="Arial"/>
                <w:sz w:val="24"/>
                <w:szCs w:val="24"/>
              </w:rPr>
              <w:lastRenderedPageBreak/>
              <w:t>istoric</w:t>
            </w:r>
            <w:r>
              <w:rPr>
                <w:rFonts w:ascii="Arial" w:hAnsi="Arial" w:cs="Arial"/>
                <w:sz w:val="24"/>
                <w:szCs w:val="24"/>
              </w:rPr>
              <w:t>ă</w:t>
            </w:r>
          </w:p>
        </w:tc>
      </w:tr>
      <w:tr w:rsidR="000645BF" w:rsidTr="004E444C">
        <w:trPr>
          <w:trHeight w:val="229"/>
        </w:trPr>
        <w:tc>
          <w:tcPr>
            <w:tcW w:w="0" w:type="auto"/>
            <w:vMerge/>
            <w:shd w:val="clear" w:color="auto" w:fill="FFFF00"/>
            <w:vAlign w:val="center"/>
            <w:hideMark/>
          </w:tcPr>
          <w:p w:rsidR="000645BF" w:rsidRPr="003B49D8" w:rsidRDefault="000645BF" w:rsidP="004E444C">
            <w:pPr>
              <w:spacing w:after="0" w:line="240" w:lineRule="auto"/>
              <w:jc w:val="both"/>
              <w:rPr>
                <w:rFonts w:ascii="Arial" w:hAnsi="Arial" w:cs="Arial"/>
                <w:sz w:val="24"/>
                <w:szCs w:val="24"/>
              </w:rPr>
            </w:pPr>
          </w:p>
        </w:tc>
        <w:tc>
          <w:tcPr>
            <w:tcW w:w="0" w:type="auto"/>
            <w:vMerge/>
            <w:shd w:val="clear" w:color="auto" w:fill="FFFF00"/>
            <w:vAlign w:val="center"/>
            <w:hideMark/>
          </w:tcPr>
          <w:p w:rsidR="000645BF" w:rsidRPr="003B49D8" w:rsidRDefault="000645BF" w:rsidP="004E444C">
            <w:pPr>
              <w:spacing w:after="0" w:line="240" w:lineRule="auto"/>
              <w:jc w:val="both"/>
              <w:rPr>
                <w:rFonts w:ascii="Arial" w:hAnsi="Arial" w:cs="Arial"/>
                <w:sz w:val="24"/>
                <w:szCs w:val="24"/>
              </w:rPr>
            </w:pPr>
          </w:p>
        </w:tc>
        <w:tc>
          <w:tcPr>
            <w:tcW w:w="920"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Max</w:t>
            </w:r>
          </w:p>
        </w:tc>
        <w:tc>
          <w:tcPr>
            <w:tcW w:w="766"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Min</w:t>
            </w:r>
          </w:p>
        </w:tc>
        <w:tc>
          <w:tcPr>
            <w:tcW w:w="1216"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Max</w:t>
            </w:r>
          </w:p>
        </w:tc>
        <w:tc>
          <w:tcPr>
            <w:tcW w:w="1150"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Min</w:t>
            </w:r>
          </w:p>
        </w:tc>
        <w:tc>
          <w:tcPr>
            <w:tcW w:w="1255"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Max</w:t>
            </w:r>
          </w:p>
        </w:tc>
        <w:tc>
          <w:tcPr>
            <w:tcW w:w="1236" w:type="dxa"/>
            <w:shd w:val="clear" w:color="auto" w:fill="FFFF00"/>
            <w:noWrap/>
            <w:vAlign w:val="center"/>
            <w:hideMark/>
          </w:tcPr>
          <w:p w:rsidR="000645BF" w:rsidRPr="003B49D8" w:rsidRDefault="000645BF" w:rsidP="004E444C">
            <w:pPr>
              <w:spacing w:after="0" w:line="240" w:lineRule="auto"/>
              <w:jc w:val="both"/>
              <w:rPr>
                <w:rFonts w:ascii="Arial" w:hAnsi="Arial" w:cs="Arial"/>
                <w:sz w:val="24"/>
                <w:szCs w:val="24"/>
              </w:rPr>
            </w:pPr>
            <w:r w:rsidRPr="003B49D8">
              <w:rPr>
                <w:rFonts w:ascii="Arial" w:hAnsi="Arial" w:cs="Arial"/>
                <w:sz w:val="24"/>
                <w:szCs w:val="24"/>
              </w:rPr>
              <w:t>Min</w:t>
            </w:r>
          </w:p>
        </w:tc>
      </w:tr>
      <w:tr w:rsidR="000645BF" w:rsidTr="004E444C">
        <w:trPr>
          <w:trHeight w:val="382"/>
        </w:trPr>
        <w:tc>
          <w:tcPr>
            <w:tcW w:w="2863" w:type="dxa"/>
            <w:shd w:val="clear" w:color="auto" w:fill="auto"/>
            <w:vAlign w:val="center"/>
            <w:hideMark/>
          </w:tcPr>
          <w:p w:rsidR="000645BF" w:rsidRDefault="000645BF" w:rsidP="004E444C">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A. Câmpia Română, Piemontul Getic şi Subcarpaţii Getici</w:t>
            </w:r>
          </w:p>
        </w:tc>
        <w:tc>
          <w:tcPr>
            <w:tcW w:w="897" w:type="dxa"/>
            <w:shd w:val="clear" w:color="auto" w:fill="auto"/>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116</w:t>
            </w:r>
          </w:p>
        </w:tc>
        <w:tc>
          <w:tcPr>
            <w:tcW w:w="92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70C0"/>
                <w:sz w:val="20"/>
                <w:szCs w:val="20"/>
              </w:rPr>
            </w:pPr>
            <w:r>
              <w:rPr>
                <w:rFonts w:ascii="Arial" w:eastAsia="Times New Roman" w:hAnsi="Arial" w:cs="Arial"/>
                <w:color w:val="0070C0"/>
                <w:sz w:val="20"/>
                <w:szCs w:val="20"/>
              </w:rPr>
              <w:t>159</w:t>
            </w:r>
          </w:p>
        </w:tc>
        <w:tc>
          <w:tcPr>
            <w:tcW w:w="76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FF0000"/>
                <w:sz w:val="20"/>
                <w:szCs w:val="20"/>
              </w:rPr>
            </w:pPr>
            <w:r>
              <w:rPr>
                <w:rFonts w:ascii="Arial" w:eastAsia="Times New Roman" w:hAnsi="Arial" w:cs="Arial"/>
                <w:color w:val="FF0000"/>
                <w:sz w:val="20"/>
                <w:szCs w:val="20"/>
              </w:rPr>
              <w:t>-163</w:t>
            </w:r>
          </w:p>
        </w:tc>
        <w:tc>
          <w:tcPr>
            <w:tcW w:w="121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70C0"/>
                <w:sz w:val="20"/>
                <w:szCs w:val="20"/>
              </w:rPr>
            </w:pPr>
            <w:r>
              <w:rPr>
                <w:rFonts w:ascii="Arial" w:eastAsia="Times New Roman" w:hAnsi="Arial" w:cs="Arial"/>
                <w:color w:val="0070C0"/>
                <w:sz w:val="20"/>
                <w:szCs w:val="20"/>
              </w:rPr>
              <w:t>415</w:t>
            </w:r>
          </w:p>
        </w:tc>
        <w:tc>
          <w:tcPr>
            <w:tcW w:w="115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FF0000"/>
                <w:sz w:val="20"/>
                <w:szCs w:val="20"/>
              </w:rPr>
            </w:pPr>
            <w:r>
              <w:rPr>
                <w:rFonts w:ascii="Arial" w:eastAsia="Times New Roman" w:hAnsi="Arial" w:cs="Arial"/>
                <w:color w:val="FF0000"/>
                <w:sz w:val="20"/>
                <w:szCs w:val="20"/>
              </w:rPr>
              <w:t>-686</w:t>
            </w:r>
          </w:p>
        </w:tc>
        <w:tc>
          <w:tcPr>
            <w:tcW w:w="1255"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70C0"/>
                <w:sz w:val="20"/>
                <w:szCs w:val="20"/>
              </w:rPr>
            </w:pPr>
            <w:r>
              <w:rPr>
                <w:rFonts w:ascii="Arial" w:eastAsia="Times New Roman" w:hAnsi="Arial" w:cs="Arial"/>
                <w:color w:val="0070C0"/>
                <w:sz w:val="20"/>
                <w:szCs w:val="20"/>
              </w:rPr>
              <w:t>579</w:t>
            </w:r>
          </w:p>
        </w:tc>
        <w:tc>
          <w:tcPr>
            <w:tcW w:w="123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FF0000"/>
                <w:sz w:val="20"/>
                <w:szCs w:val="20"/>
              </w:rPr>
            </w:pPr>
            <w:r>
              <w:rPr>
                <w:rFonts w:ascii="Arial" w:eastAsia="Times New Roman" w:hAnsi="Arial" w:cs="Arial"/>
                <w:color w:val="FF0000"/>
                <w:sz w:val="20"/>
                <w:szCs w:val="20"/>
              </w:rPr>
              <w:t>-43</w:t>
            </w:r>
          </w:p>
        </w:tc>
      </w:tr>
      <w:tr w:rsidR="000645BF" w:rsidTr="004E444C">
        <w:trPr>
          <w:trHeight w:val="382"/>
        </w:trPr>
        <w:tc>
          <w:tcPr>
            <w:tcW w:w="2863" w:type="dxa"/>
            <w:shd w:val="clear" w:color="auto" w:fill="auto"/>
            <w:vAlign w:val="center"/>
            <w:hideMark/>
          </w:tcPr>
          <w:p w:rsidR="000645BF" w:rsidRDefault="000645BF" w:rsidP="004E444C">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B. Câmpia de Vest, Dealurile Crişanei şi Banatului</w:t>
            </w:r>
          </w:p>
        </w:tc>
        <w:tc>
          <w:tcPr>
            <w:tcW w:w="897" w:type="dxa"/>
            <w:shd w:val="clear" w:color="auto" w:fill="auto"/>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65</w:t>
            </w:r>
          </w:p>
        </w:tc>
        <w:tc>
          <w:tcPr>
            <w:tcW w:w="92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70</w:t>
            </w:r>
          </w:p>
        </w:tc>
        <w:tc>
          <w:tcPr>
            <w:tcW w:w="76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-48</w:t>
            </w:r>
          </w:p>
        </w:tc>
        <w:tc>
          <w:tcPr>
            <w:tcW w:w="121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65</w:t>
            </w:r>
          </w:p>
        </w:tc>
        <w:tc>
          <w:tcPr>
            <w:tcW w:w="115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-233</w:t>
            </w:r>
          </w:p>
        </w:tc>
        <w:tc>
          <w:tcPr>
            <w:tcW w:w="1255"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564</w:t>
            </w:r>
          </w:p>
        </w:tc>
        <w:tc>
          <w:tcPr>
            <w:tcW w:w="123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24</w:t>
            </w:r>
          </w:p>
        </w:tc>
      </w:tr>
      <w:tr w:rsidR="000645BF" w:rsidTr="004E444C">
        <w:trPr>
          <w:trHeight w:val="382"/>
        </w:trPr>
        <w:tc>
          <w:tcPr>
            <w:tcW w:w="2863" w:type="dxa"/>
            <w:shd w:val="clear" w:color="auto" w:fill="auto"/>
            <w:vAlign w:val="center"/>
            <w:hideMark/>
          </w:tcPr>
          <w:p w:rsidR="000645BF" w:rsidRDefault="000645BF" w:rsidP="004E444C">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C. Depresiunea Transilvaniei şi depresiunile din Carpaţii Orientali</w:t>
            </w:r>
          </w:p>
        </w:tc>
        <w:tc>
          <w:tcPr>
            <w:tcW w:w="897" w:type="dxa"/>
            <w:shd w:val="clear" w:color="auto" w:fill="auto"/>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42</w:t>
            </w:r>
          </w:p>
        </w:tc>
        <w:tc>
          <w:tcPr>
            <w:tcW w:w="92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49</w:t>
            </w:r>
          </w:p>
        </w:tc>
        <w:tc>
          <w:tcPr>
            <w:tcW w:w="76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-138</w:t>
            </w:r>
          </w:p>
        </w:tc>
        <w:tc>
          <w:tcPr>
            <w:tcW w:w="121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86</w:t>
            </w:r>
          </w:p>
        </w:tc>
        <w:tc>
          <w:tcPr>
            <w:tcW w:w="1150"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-232</w:t>
            </w:r>
          </w:p>
        </w:tc>
        <w:tc>
          <w:tcPr>
            <w:tcW w:w="1255"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465</w:t>
            </w:r>
          </w:p>
        </w:tc>
        <w:tc>
          <w:tcPr>
            <w:tcW w:w="1236" w:type="dxa"/>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19</w:t>
            </w:r>
          </w:p>
        </w:tc>
      </w:tr>
      <w:tr w:rsidR="000645BF" w:rsidTr="004E444C">
        <w:trPr>
          <w:trHeight w:val="382"/>
        </w:trPr>
        <w:tc>
          <w:tcPr>
            <w:tcW w:w="2863" w:type="dxa"/>
            <w:tcBorders>
              <w:bottom w:val="single" w:sz="6" w:space="0" w:color="auto"/>
            </w:tcBorders>
            <w:shd w:val="clear" w:color="auto" w:fill="auto"/>
            <w:vAlign w:val="center"/>
            <w:hideMark/>
          </w:tcPr>
          <w:p w:rsidR="000645BF" w:rsidRDefault="000645BF" w:rsidP="004E444C">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D. Podişul Moldovei, Subcarpaţii Orientali şi de Curbură</w:t>
            </w:r>
          </w:p>
        </w:tc>
        <w:tc>
          <w:tcPr>
            <w:tcW w:w="897" w:type="dxa"/>
            <w:tcBorders>
              <w:bottom w:val="single" w:sz="6" w:space="0" w:color="auto"/>
            </w:tcBorders>
            <w:shd w:val="clear" w:color="auto" w:fill="auto"/>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39</w:t>
            </w:r>
          </w:p>
        </w:tc>
        <w:tc>
          <w:tcPr>
            <w:tcW w:w="920"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84</w:t>
            </w:r>
          </w:p>
        </w:tc>
        <w:tc>
          <w:tcPr>
            <w:tcW w:w="766"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-61</w:t>
            </w:r>
          </w:p>
        </w:tc>
        <w:tc>
          <w:tcPr>
            <w:tcW w:w="1216"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90</w:t>
            </w:r>
          </w:p>
        </w:tc>
        <w:tc>
          <w:tcPr>
            <w:tcW w:w="1150"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-329</w:t>
            </w:r>
          </w:p>
        </w:tc>
        <w:tc>
          <w:tcPr>
            <w:tcW w:w="1255"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350</w:t>
            </w:r>
          </w:p>
        </w:tc>
        <w:tc>
          <w:tcPr>
            <w:tcW w:w="1236" w:type="dxa"/>
            <w:tcBorders>
              <w:bottom w:val="single" w:sz="6"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-36</w:t>
            </w:r>
          </w:p>
        </w:tc>
      </w:tr>
      <w:tr w:rsidR="000645BF" w:rsidTr="004E444C">
        <w:trPr>
          <w:trHeight w:val="229"/>
        </w:trPr>
        <w:tc>
          <w:tcPr>
            <w:tcW w:w="2863" w:type="dxa"/>
            <w:tcBorders>
              <w:top w:val="single" w:sz="6" w:space="0" w:color="auto"/>
              <w:bottom w:val="single" w:sz="8" w:space="0" w:color="auto"/>
            </w:tcBorders>
            <w:shd w:val="clear" w:color="auto" w:fill="auto"/>
            <w:vAlign w:val="center"/>
            <w:hideMark/>
          </w:tcPr>
          <w:p w:rsidR="000645BF" w:rsidRDefault="000645BF" w:rsidP="004E444C">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E. Podişul Dobrogei</w:t>
            </w:r>
          </w:p>
        </w:tc>
        <w:tc>
          <w:tcPr>
            <w:tcW w:w="897" w:type="dxa"/>
            <w:tcBorders>
              <w:top w:val="single" w:sz="6" w:space="0" w:color="auto"/>
              <w:bottom w:val="single" w:sz="8" w:space="0" w:color="auto"/>
            </w:tcBorders>
            <w:shd w:val="clear" w:color="auto" w:fill="auto"/>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9</w:t>
            </w:r>
          </w:p>
        </w:tc>
        <w:tc>
          <w:tcPr>
            <w:tcW w:w="920"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116</w:t>
            </w:r>
          </w:p>
        </w:tc>
        <w:tc>
          <w:tcPr>
            <w:tcW w:w="766"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-24</w:t>
            </w:r>
          </w:p>
        </w:tc>
        <w:tc>
          <w:tcPr>
            <w:tcW w:w="1216"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124</w:t>
            </w:r>
          </w:p>
        </w:tc>
        <w:tc>
          <w:tcPr>
            <w:tcW w:w="1150"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-429</w:t>
            </w:r>
          </w:p>
        </w:tc>
        <w:tc>
          <w:tcPr>
            <w:tcW w:w="1255"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425</w:t>
            </w:r>
          </w:p>
        </w:tc>
        <w:tc>
          <w:tcPr>
            <w:tcW w:w="1236" w:type="dxa"/>
            <w:tcBorders>
              <w:top w:val="single" w:sz="6" w:space="0" w:color="auto"/>
              <w:bottom w:val="single" w:sz="8" w:space="0" w:color="auto"/>
            </w:tcBorders>
            <w:shd w:val="clear" w:color="auto" w:fill="auto"/>
            <w:noWrap/>
            <w:vAlign w:val="center"/>
            <w:hideMark/>
          </w:tcPr>
          <w:p w:rsidR="000645BF" w:rsidRDefault="000645BF" w:rsidP="004E444C">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w:t>
            </w:r>
          </w:p>
        </w:tc>
      </w:tr>
    </w:tbl>
    <w:p w:rsidR="000645BF" w:rsidRDefault="000645BF" w:rsidP="000645BF">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NP - nivel piezometric</w:t>
      </w: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r>
        <w:rPr>
          <w:rFonts w:ascii="Arial" w:hAnsi="Arial" w:cs="Arial"/>
          <w:sz w:val="24"/>
          <w:szCs w:val="24"/>
        </w:rPr>
        <w:t>Valorile medii ale anului 2017 s-au situat, faţă de media multianuală, la valori mai mari cu până la 415 cm (Câmpia Piteştiului) în 29% dintre foraje şi mai scăzute cu până la 685 cm (Câmpia Burnas) în 67% dintre acestea (</w:t>
      </w:r>
      <w:r w:rsidRPr="003B49D8">
        <w:rPr>
          <w:rFonts w:ascii="Arial" w:hAnsi="Arial" w:cs="Arial"/>
          <w:i/>
          <w:sz w:val="24"/>
          <w:szCs w:val="24"/>
        </w:rPr>
        <w:t>fig</w:t>
      </w:r>
      <w:r>
        <w:rPr>
          <w:rFonts w:ascii="Arial" w:hAnsi="Arial" w:cs="Arial"/>
          <w:i/>
          <w:sz w:val="24"/>
          <w:szCs w:val="24"/>
        </w:rPr>
        <w:t>ura 3</w:t>
      </w:r>
      <w:r>
        <w:rPr>
          <w:rFonts w:ascii="Arial" w:hAnsi="Arial" w:cs="Arial"/>
          <w:sz w:val="24"/>
          <w:szCs w:val="24"/>
        </w:rPr>
        <w:t>).</w:t>
      </w:r>
    </w:p>
    <w:p w:rsidR="000645BF" w:rsidRDefault="000645BF" w:rsidP="000645BF">
      <w:pPr>
        <w:tabs>
          <w:tab w:val="left" w:pos="0"/>
        </w:tabs>
        <w:spacing w:after="0" w:line="240" w:lineRule="auto"/>
        <w:jc w:val="center"/>
        <w:rPr>
          <w:rFonts w:ascii="Arial" w:hAnsi="Arial" w:cs="Arial"/>
          <w:i/>
          <w:sz w:val="24"/>
          <w:szCs w:val="24"/>
        </w:rPr>
      </w:pPr>
      <w:r>
        <w:rPr>
          <w:rFonts w:ascii="Arial" w:hAnsi="Arial" w:cs="Arial"/>
          <w:i/>
          <w:noProof/>
          <w:sz w:val="24"/>
          <w:szCs w:val="24"/>
        </w:rPr>
        <w:drawing>
          <wp:inline distT="0" distB="0" distL="0" distR="0">
            <wp:extent cx="5478448" cy="3880565"/>
            <wp:effectExtent l="0" t="0" r="0" b="0"/>
            <wp:docPr id="30" name="Picture 7" descr="COMPARATII_2017&amp;MM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ATII_2017&amp;MMA_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8140" cy="3887430"/>
                    </a:xfrm>
                    <a:prstGeom prst="rect">
                      <a:avLst/>
                    </a:prstGeom>
                    <a:noFill/>
                    <a:ln>
                      <a:noFill/>
                    </a:ln>
                  </pic:spPr>
                </pic:pic>
              </a:graphicData>
            </a:graphic>
          </wp:inline>
        </w:drawing>
      </w:r>
    </w:p>
    <w:p w:rsidR="000645BF" w:rsidRPr="005A0037" w:rsidRDefault="000645BF" w:rsidP="000645BF">
      <w:pPr>
        <w:tabs>
          <w:tab w:val="left" w:pos="993"/>
        </w:tabs>
        <w:spacing w:after="0" w:line="240" w:lineRule="auto"/>
        <w:jc w:val="both"/>
        <w:rPr>
          <w:rFonts w:ascii="Arial" w:eastAsia="Times New Roman" w:hAnsi="Arial" w:cs="Arial"/>
          <w:b/>
          <w:bCs/>
          <w:i/>
        </w:rPr>
      </w:pPr>
      <w:r w:rsidRPr="005A0037">
        <w:rPr>
          <w:rFonts w:ascii="Arial" w:eastAsia="Times New Roman" w:hAnsi="Arial" w:cs="Arial"/>
          <w:b/>
          <w:bCs/>
          <w:i/>
        </w:rPr>
        <w:t>Fig.II.1.1.</w:t>
      </w:r>
      <w:r>
        <w:rPr>
          <w:rFonts w:ascii="Arial" w:eastAsia="Times New Roman" w:hAnsi="Arial" w:cs="Arial"/>
          <w:b/>
          <w:bCs/>
          <w:i/>
        </w:rPr>
        <w:t>1.</w:t>
      </w:r>
      <w:r w:rsidRPr="005A0037">
        <w:rPr>
          <w:rFonts w:ascii="Arial" w:eastAsia="Times New Roman" w:hAnsi="Arial" w:cs="Arial"/>
          <w:b/>
          <w:bCs/>
          <w:i/>
        </w:rPr>
        <w:t xml:space="preserve">-3 Adâncimea nivelurilor piezometrice medii anuale comparativ cu valorile medii multianuale </w:t>
      </w:r>
    </w:p>
    <w:p w:rsidR="000645BF" w:rsidRPr="005A0037" w:rsidRDefault="000645BF" w:rsidP="000645BF">
      <w:pPr>
        <w:tabs>
          <w:tab w:val="left" w:pos="993"/>
        </w:tabs>
        <w:spacing w:after="0" w:line="240" w:lineRule="auto"/>
        <w:jc w:val="both"/>
        <w:rPr>
          <w:rFonts w:ascii="Arial" w:eastAsia="Times New Roman" w:hAnsi="Arial" w:cs="Arial"/>
          <w:b/>
          <w:bCs/>
          <w:i/>
        </w:rPr>
      </w:pPr>
    </w:p>
    <w:p w:rsidR="000645BF" w:rsidRDefault="000645BF" w:rsidP="000645BF">
      <w:pPr>
        <w:spacing w:after="0" w:line="240" w:lineRule="auto"/>
        <w:ind w:firstLine="708"/>
        <w:jc w:val="both"/>
        <w:rPr>
          <w:rFonts w:ascii="Arial" w:hAnsi="Arial" w:cs="Arial"/>
          <w:sz w:val="24"/>
          <w:szCs w:val="24"/>
        </w:rPr>
      </w:pPr>
      <w:r>
        <w:rPr>
          <w:rFonts w:ascii="Arial" w:hAnsi="Arial" w:cs="Arial"/>
          <w:b/>
          <w:sz w:val="24"/>
          <w:szCs w:val="24"/>
        </w:rPr>
        <w:t>În concluzie</w:t>
      </w:r>
      <w:r>
        <w:rPr>
          <w:rFonts w:ascii="Arial" w:hAnsi="Arial" w:cs="Arial"/>
          <w:sz w:val="24"/>
          <w:szCs w:val="24"/>
        </w:rPr>
        <w:t xml:space="preserve">, în anul 2017 se remarcă o scădere a nivelurilor în forajele situate în câmpiile Teleormanului, Moviliţei, Gherghiţei, Săratei, Urziceniului, Amara, Ştefan Vodă,  Siretului, în zona Subcarpaţilor de curbură şi Orientali, în zonele de luncă ale râului Prut şi afluenţilor şi în partea sudică a Depresiunii Transilvaniei (Depresiunea Făgăraş). </w:t>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În Câmpia de Vest şi în Dealurile Crişanei şi Banatului se constată, în general, o tendinţă de creştere a nivelurilor freatice, datorată alimentării din precipitaţii, mai ales în Dealurile şi Carpaţii Banatului.</w:t>
      </w:r>
    </w:p>
    <w:p w:rsidR="000645BF" w:rsidRDefault="000645BF" w:rsidP="000645BF">
      <w:pPr>
        <w:spacing w:after="0" w:line="240" w:lineRule="auto"/>
        <w:ind w:firstLine="708"/>
        <w:jc w:val="both"/>
        <w:rPr>
          <w:rFonts w:ascii="Arial" w:hAnsi="Arial" w:cs="Arial"/>
          <w:sz w:val="24"/>
          <w:szCs w:val="24"/>
        </w:rPr>
      </w:pPr>
      <w:r>
        <w:rPr>
          <w:rFonts w:ascii="Arial" w:hAnsi="Arial" w:cs="Arial"/>
          <w:sz w:val="24"/>
          <w:szCs w:val="24"/>
        </w:rPr>
        <w:t xml:space="preserve">Faţă de regimul multianual, scăderile cele mai frecvente s-au manifestat în continuare în întreg Podişul Moldovei şi pe zone însemnate în Câmpia de Vest şi în Câmpia Bărăganului. </w:t>
      </w: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b/>
          <w:sz w:val="24"/>
          <w:szCs w:val="24"/>
        </w:rPr>
      </w:pPr>
      <w:r w:rsidRPr="00892D53">
        <w:rPr>
          <w:rFonts w:ascii="Arial" w:hAnsi="Arial" w:cs="Arial"/>
          <w:b/>
          <w:sz w:val="24"/>
          <w:szCs w:val="24"/>
        </w:rPr>
        <w:t>Resurse de apă potențiale și tehnic utilizabile (teoretică și utilizabilă)</w:t>
      </w:r>
    </w:p>
    <w:p w:rsidR="000645BF" w:rsidRDefault="000645BF"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b/>
          <w:sz w:val="20"/>
          <w:szCs w:val="20"/>
          <w:u w:val="single"/>
        </w:rPr>
      </w:pPr>
      <w:r w:rsidRPr="00870281">
        <w:rPr>
          <w:rFonts w:ascii="Arial" w:hAnsi="Arial" w:cs="Arial"/>
          <w:b/>
          <w:sz w:val="20"/>
          <w:szCs w:val="20"/>
          <w:u w:val="single"/>
        </w:rPr>
        <w:lastRenderedPageBreak/>
        <w:t>INDICATOR CSI 18. UTILIZAREA RESURSELOR DE APĂ DULCE (RO 18)</w:t>
      </w:r>
    </w:p>
    <w:p w:rsidR="000645BF" w:rsidRDefault="000645BF" w:rsidP="000645BF">
      <w:pPr>
        <w:spacing w:after="0" w:line="240" w:lineRule="auto"/>
        <w:jc w:val="both"/>
        <w:rPr>
          <w:rFonts w:ascii="Arial" w:hAnsi="Arial" w:cs="Arial"/>
          <w:b/>
          <w:sz w:val="20"/>
          <w:szCs w:val="20"/>
          <w:u w:val="single"/>
        </w:rPr>
      </w:pPr>
    </w:p>
    <w:p w:rsidR="000645BF" w:rsidRDefault="000645BF" w:rsidP="000645BF">
      <w:pPr>
        <w:spacing w:after="0" w:line="240" w:lineRule="auto"/>
        <w:jc w:val="both"/>
        <w:rPr>
          <w:rFonts w:ascii="Arial" w:hAnsi="Arial" w:cs="Arial"/>
          <w:b/>
          <w:sz w:val="20"/>
          <w:szCs w:val="20"/>
          <w:u w:val="single"/>
        </w:rPr>
      </w:pPr>
      <w:r>
        <w:rPr>
          <w:rFonts w:ascii="Arial" w:eastAsia="Times New Roman" w:hAnsi="Arial" w:cs="Arial"/>
          <w:b/>
          <w:bCs/>
          <w:i/>
          <w:iCs/>
          <w:color w:val="0D0D0D"/>
          <w:sz w:val="24"/>
          <w:szCs w:val="24"/>
        </w:rPr>
        <w:t>Tabelul II.1.1.1.- 4</w:t>
      </w:r>
    </w:p>
    <w:tbl>
      <w:tblPr>
        <w:tblW w:w="5670" w:type="dxa"/>
        <w:jc w:val="center"/>
        <w:tblLook w:val="04A0"/>
      </w:tblPr>
      <w:tblGrid>
        <w:gridCol w:w="1700"/>
        <w:gridCol w:w="1700"/>
        <w:gridCol w:w="2270"/>
      </w:tblGrid>
      <w:tr w:rsidR="000645BF" w:rsidRPr="00DC0E7E" w:rsidTr="004E444C">
        <w:trPr>
          <w:trHeight w:val="879"/>
          <w:jc w:val="center"/>
        </w:trPr>
        <w:tc>
          <w:tcPr>
            <w:tcW w:w="1700" w:type="dxa"/>
            <w:tcBorders>
              <w:top w:val="single" w:sz="4" w:space="0" w:color="auto"/>
              <w:left w:val="single" w:sz="4" w:space="0" w:color="auto"/>
              <w:bottom w:val="single" w:sz="8" w:space="0" w:color="auto"/>
              <w:right w:val="single" w:sz="4" w:space="0" w:color="auto"/>
            </w:tcBorders>
            <w:shd w:val="clear" w:color="auto" w:fill="FBD4B4" w:themeFill="accent6" w:themeFillTint="66"/>
            <w:noWrap/>
            <w:vAlign w:val="center"/>
            <w:hideMark/>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Anii</w:t>
            </w:r>
          </w:p>
        </w:tc>
        <w:tc>
          <w:tcPr>
            <w:tcW w:w="1700" w:type="dxa"/>
            <w:tcBorders>
              <w:top w:val="single" w:sz="4" w:space="0" w:color="auto"/>
              <w:left w:val="nil"/>
              <w:bottom w:val="single" w:sz="8" w:space="0" w:color="auto"/>
              <w:right w:val="single" w:sz="4" w:space="0" w:color="auto"/>
            </w:tcBorders>
            <w:shd w:val="clear" w:color="auto" w:fill="FBD4B4" w:themeFill="accent6" w:themeFillTint="66"/>
            <w:vAlign w:val="center"/>
            <w:hideMark/>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Resursa teoretica</w:t>
            </w:r>
          </w:p>
        </w:tc>
        <w:tc>
          <w:tcPr>
            <w:tcW w:w="2270" w:type="dxa"/>
            <w:tcBorders>
              <w:top w:val="single" w:sz="4" w:space="0" w:color="auto"/>
              <w:left w:val="nil"/>
              <w:bottom w:val="single" w:sz="8" w:space="0" w:color="auto"/>
              <w:right w:val="single" w:sz="4" w:space="0" w:color="auto"/>
            </w:tcBorders>
            <w:shd w:val="clear" w:color="auto" w:fill="FBD4B4" w:themeFill="accent6" w:themeFillTint="66"/>
            <w:vAlign w:val="center"/>
            <w:hideMark/>
          </w:tcPr>
          <w:p w:rsidR="000645BF" w:rsidRPr="00DC0E7E" w:rsidRDefault="000645BF" w:rsidP="004E444C">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Resursa utilizabilă</w:t>
            </w:r>
          </w:p>
        </w:tc>
      </w:tr>
      <w:tr w:rsidR="000645BF" w:rsidRPr="00DC0E7E" w:rsidTr="004E444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2012</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39270803</w:t>
            </w:r>
          </w:p>
        </w:tc>
      </w:tr>
      <w:tr w:rsidR="000645BF" w:rsidRPr="00DC0E7E" w:rsidTr="004E444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2013</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38346760</w:t>
            </w:r>
          </w:p>
        </w:tc>
      </w:tr>
      <w:tr w:rsidR="000645BF" w:rsidRPr="00DC0E7E" w:rsidTr="004E444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2014</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38346760</w:t>
            </w:r>
          </w:p>
        </w:tc>
      </w:tr>
      <w:tr w:rsidR="000645BF" w:rsidRPr="00DC0E7E" w:rsidTr="004E444C">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2015</w:t>
            </w:r>
          </w:p>
        </w:tc>
        <w:tc>
          <w:tcPr>
            <w:tcW w:w="170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38346760</w:t>
            </w:r>
          </w:p>
        </w:tc>
      </w:tr>
      <w:tr w:rsidR="000645BF" w:rsidRPr="00DC0E7E" w:rsidTr="004E444C">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2016</w:t>
            </w:r>
          </w:p>
        </w:tc>
        <w:tc>
          <w:tcPr>
            <w:tcW w:w="170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38346760</w:t>
            </w:r>
          </w:p>
        </w:tc>
      </w:tr>
      <w:tr w:rsidR="000645BF" w:rsidRPr="00DC0E7E" w:rsidTr="004E444C">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2017</w:t>
            </w:r>
          </w:p>
        </w:tc>
        <w:tc>
          <w:tcPr>
            <w:tcW w:w="170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134600000</w:t>
            </w:r>
          </w:p>
        </w:tc>
        <w:tc>
          <w:tcPr>
            <w:tcW w:w="2270" w:type="dxa"/>
            <w:tcBorders>
              <w:top w:val="nil"/>
              <w:left w:val="nil"/>
              <w:bottom w:val="single" w:sz="4" w:space="0" w:color="auto"/>
              <w:right w:val="single" w:sz="4" w:space="0" w:color="auto"/>
            </w:tcBorders>
            <w:shd w:val="clear" w:color="auto" w:fill="auto"/>
            <w:noWrap/>
            <w:vAlign w:val="bottom"/>
          </w:tcPr>
          <w:p w:rsidR="000645BF" w:rsidRPr="00DC0E7E" w:rsidRDefault="000645BF" w:rsidP="004E444C">
            <w:pPr>
              <w:spacing w:after="0" w:line="240" w:lineRule="auto"/>
              <w:jc w:val="both"/>
              <w:rPr>
                <w:rFonts w:ascii="Arial" w:eastAsia="Times New Roman" w:hAnsi="Arial" w:cs="Arial"/>
                <w:color w:val="000000"/>
                <w:sz w:val="24"/>
                <w:szCs w:val="24"/>
              </w:rPr>
            </w:pPr>
            <w:r w:rsidRPr="00DC0E7E">
              <w:rPr>
                <w:rFonts w:ascii="Arial" w:eastAsia="Times New Roman" w:hAnsi="Arial" w:cs="Arial"/>
                <w:color w:val="000000"/>
                <w:sz w:val="24"/>
                <w:szCs w:val="24"/>
              </w:rPr>
              <w:t>38346760</w:t>
            </w:r>
          </w:p>
        </w:tc>
      </w:tr>
    </w:tbl>
    <w:p w:rsidR="000645BF" w:rsidRDefault="000645BF" w:rsidP="000645BF">
      <w:pPr>
        <w:spacing w:after="0" w:line="240" w:lineRule="auto"/>
        <w:jc w:val="both"/>
        <w:rPr>
          <w:rFonts w:ascii="Arial" w:hAnsi="Arial" w:cs="Arial"/>
          <w:b/>
          <w:sz w:val="24"/>
          <w:szCs w:val="24"/>
          <w:u w:val="single"/>
        </w:rPr>
      </w:pPr>
    </w:p>
    <w:p w:rsidR="000645BF" w:rsidRDefault="000645BF" w:rsidP="000645BF">
      <w:pPr>
        <w:spacing w:after="0" w:line="240" w:lineRule="auto"/>
        <w:jc w:val="center"/>
        <w:rPr>
          <w:rFonts w:ascii="Arial" w:hAnsi="Arial" w:cs="Arial"/>
          <w:b/>
          <w:sz w:val="24"/>
          <w:szCs w:val="24"/>
          <w:u w:val="single"/>
        </w:rPr>
      </w:pPr>
      <w:r>
        <w:rPr>
          <w:rFonts w:ascii="Arial" w:hAnsi="Arial" w:cs="Arial"/>
          <w:b/>
          <w:sz w:val="24"/>
          <w:szCs w:val="24"/>
          <w:u w:val="single"/>
        </w:rPr>
        <w:br/>
      </w:r>
      <w:r>
        <w:rPr>
          <w:noProof/>
        </w:rPr>
        <w:drawing>
          <wp:inline distT="0" distB="0" distL="0" distR="0">
            <wp:extent cx="5510213" cy="3562350"/>
            <wp:effectExtent l="19050" t="0" r="14287" b="0"/>
            <wp:docPr id="2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645BF" w:rsidRDefault="000645BF" w:rsidP="000645BF">
      <w:pPr>
        <w:spacing w:after="0" w:line="240" w:lineRule="auto"/>
        <w:jc w:val="both"/>
        <w:rPr>
          <w:rFonts w:ascii="Arial" w:hAnsi="Arial" w:cs="Arial"/>
          <w:b/>
          <w:sz w:val="24"/>
          <w:szCs w:val="24"/>
          <w:u w:val="single"/>
        </w:rPr>
      </w:pPr>
    </w:p>
    <w:p w:rsidR="000645BF" w:rsidRDefault="000645BF" w:rsidP="000645BF">
      <w:pPr>
        <w:spacing w:after="0" w:line="240" w:lineRule="auto"/>
        <w:jc w:val="both"/>
        <w:rPr>
          <w:rFonts w:ascii="Arial" w:hAnsi="Arial" w:cs="Arial"/>
          <w:b/>
          <w:sz w:val="24"/>
          <w:szCs w:val="24"/>
          <w:u w:val="single"/>
        </w:rPr>
      </w:pPr>
      <w:r>
        <w:rPr>
          <w:rFonts w:ascii="Arial" w:hAnsi="Arial" w:cs="Arial"/>
          <w:b/>
          <w:sz w:val="24"/>
          <w:szCs w:val="24"/>
          <w:u w:val="single"/>
        </w:rPr>
        <w:t>II.1.1.2 Utilizarea resurselor de apă</w:t>
      </w:r>
    </w:p>
    <w:p w:rsidR="000645BF" w:rsidRDefault="000645BF" w:rsidP="000645BF">
      <w:pPr>
        <w:spacing w:after="0" w:line="240" w:lineRule="auto"/>
        <w:jc w:val="both"/>
        <w:rPr>
          <w:rFonts w:ascii="Arial" w:hAnsi="Arial" w:cs="Arial"/>
          <w:b/>
          <w:sz w:val="24"/>
          <w:szCs w:val="24"/>
          <w:u w:val="single"/>
        </w:rPr>
      </w:pPr>
    </w:p>
    <w:p w:rsidR="000645BF" w:rsidRPr="00DB2BA7" w:rsidRDefault="000645BF" w:rsidP="000645BF">
      <w:pPr>
        <w:spacing w:after="0" w:line="240" w:lineRule="auto"/>
        <w:jc w:val="both"/>
        <w:rPr>
          <w:rFonts w:ascii="Arial" w:hAnsi="Arial" w:cs="Arial"/>
          <w:b/>
          <w:sz w:val="24"/>
          <w:szCs w:val="24"/>
          <w:u w:val="single"/>
        </w:rPr>
      </w:pPr>
      <w:r>
        <w:rPr>
          <w:rFonts w:ascii="Arial" w:eastAsia="Times New Roman" w:hAnsi="Arial" w:cs="Arial"/>
          <w:b/>
          <w:bCs/>
          <w:i/>
          <w:iCs/>
          <w:color w:val="0D0D0D"/>
        </w:rPr>
        <w:t xml:space="preserve">Tabelul II.1.1.2. -1 </w:t>
      </w:r>
      <w:r w:rsidRPr="00F90806">
        <w:rPr>
          <w:rFonts w:ascii="Arial" w:eastAsia="Times New Roman" w:hAnsi="Arial" w:cs="Arial"/>
          <w:b/>
          <w:color w:val="000000"/>
          <w:sz w:val="24"/>
          <w:szCs w:val="24"/>
        </w:rPr>
        <w:t>Evoluția cerinței de apă</w:t>
      </w:r>
      <w:r w:rsidRPr="00DC0E7E">
        <w:rPr>
          <w:rFonts w:ascii="Arial" w:eastAsia="Times New Roman" w:hAnsi="Arial" w:cs="Arial"/>
          <w:color w:val="000000"/>
          <w:sz w:val="24"/>
          <w:szCs w:val="24"/>
        </w:rPr>
        <w:t xml:space="preserve"> comparati</w:t>
      </w:r>
      <w:r>
        <w:rPr>
          <w:rFonts w:ascii="Arial" w:eastAsia="Times New Roman" w:hAnsi="Arial" w:cs="Arial"/>
          <w:color w:val="000000"/>
          <w:sz w:val="24"/>
          <w:szCs w:val="24"/>
        </w:rPr>
        <w:t>v cu prelevarea volumelor de apă</w:t>
      </w:r>
      <w:r w:rsidRPr="00DC0E7E">
        <w:rPr>
          <w:rFonts w:ascii="Arial" w:eastAsia="Times New Roman" w:hAnsi="Arial" w:cs="Arial"/>
          <w:color w:val="000000"/>
          <w:sz w:val="24"/>
          <w:szCs w:val="24"/>
        </w:rPr>
        <w:t xml:space="preserve"> (mii m</w:t>
      </w:r>
      <w:r w:rsidRPr="00DC0E7E">
        <w:rPr>
          <w:rFonts w:ascii="Arial" w:eastAsia="Times New Roman" w:hAnsi="Arial" w:cs="Arial"/>
          <w:color w:val="000000"/>
          <w:sz w:val="24"/>
          <w:szCs w:val="24"/>
          <w:vertAlign w:val="superscript"/>
        </w:rPr>
        <w:t>3</w:t>
      </w:r>
      <w:r w:rsidRPr="00DC0E7E">
        <w:rPr>
          <w:rFonts w:ascii="Arial" w:eastAsia="Times New Roman" w:hAnsi="Arial" w:cs="Arial"/>
          <w:color w:val="000000"/>
          <w:sz w:val="24"/>
          <w:szCs w:val="24"/>
        </w:rPr>
        <w:t>)</w:t>
      </w:r>
    </w:p>
    <w:tbl>
      <w:tblPr>
        <w:tblW w:w="10280" w:type="dxa"/>
        <w:jc w:val="center"/>
        <w:tblInd w:w="-730" w:type="dxa"/>
        <w:tblLook w:val="04A0"/>
      </w:tblPr>
      <w:tblGrid>
        <w:gridCol w:w="1600"/>
        <w:gridCol w:w="1073"/>
        <w:gridCol w:w="1097"/>
        <w:gridCol w:w="1073"/>
        <w:gridCol w:w="1097"/>
        <w:gridCol w:w="1073"/>
        <w:gridCol w:w="1097"/>
        <w:gridCol w:w="1073"/>
        <w:gridCol w:w="1097"/>
      </w:tblGrid>
      <w:tr w:rsidR="000645BF" w:rsidRPr="00D738A4" w:rsidTr="004E444C">
        <w:trPr>
          <w:trHeight w:val="300"/>
          <w:jc w:val="center"/>
        </w:trPr>
        <w:tc>
          <w:tcPr>
            <w:tcW w:w="1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Sursă</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Populaț</w:t>
            </w:r>
            <w:r w:rsidRPr="00D738A4">
              <w:rPr>
                <w:rFonts w:ascii="Arial" w:eastAsia="Times New Roman" w:hAnsi="Arial" w:cs="Arial"/>
                <w:i/>
                <w:iCs/>
                <w:color w:val="000000"/>
                <w:sz w:val="24"/>
                <w:szCs w:val="24"/>
                <w:lang w:val="en-US"/>
              </w:rPr>
              <w:t xml:space="preserve">ie </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 xml:space="preserve">Industrie </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Agricultură</w:t>
            </w:r>
          </w:p>
        </w:tc>
        <w:tc>
          <w:tcPr>
            <w:tcW w:w="1073" w:type="dxa"/>
            <w:tcBorders>
              <w:top w:val="single" w:sz="8" w:space="0" w:color="auto"/>
              <w:left w:val="single" w:sz="4" w:space="0" w:color="auto"/>
              <w:bottom w:val="single" w:sz="4" w:space="0" w:color="auto"/>
              <w:right w:val="nil"/>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 xml:space="preserve">TOTAL </w:t>
            </w:r>
          </w:p>
        </w:tc>
        <w:tc>
          <w:tcPr>
            <w:tcW w:w="1097" w:type="dxa"/>
            <w:tcBorders>
              <w:top w:val="single" w:sz="8" w:space="0" w:color="auto"/>
              <w:left w:val="nil"/>
              <w:bottom w:val="single" w:sz="4" w:space="0" w:color="auto"/>
              <w:right w:val="single" w:sz="8"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 </w:t>
            </w:r>
          </w:p>
        </w:tc>
      </w:tr>
      <w:tr w:rsidR="000645BF" w:rsidRPr="00D738A4" w:rsidTr="004E444C">
        <w:trPr>
          <w:trHeight w:val="315"/>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p>
        </w:tc>
        <w:tc>
          <w:tcPr>
            <w:tcW w:w="1073"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Cerință</w:t>
            </w:r>
          </w:p>
        </w:tc>
        <w:tc>
          <w:tcPr>
            <w:tcW w:w="1097" w:type="dxa"/>
            <w:tcBorders>
              <w:top w:val="nil"/>
              <w:left w:val="nil"/>
              <w:bottom w:val="single" w:sz="8" w:space="0" w:color="auto"/>
              <w:right w:val="single" w:sz="8"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i/>
                <w:iCs/>
                <w:color w:val="000000"/>
                <w:sz w:val="24"/>
                <w:szCs w:val="24"/>
                <w:lang w:val="en-US"/>
              </w:rPr>
            </w:pPr>
            <w:r w:rsidRPr="00D738A4">
              <w:rPr>
                <w:rFonts w:ascii="Arial" w:eastAsia="Times New Roman" w:hAnsi="Arial" w:cs="Arial"/>
                <w:i/>
                <w:iCs/>
                <w:color w:val="000000"/>
                <w:sz w:val="24"/>
                <w:szCs w:val="24"/>
                <w:lang w:val="en-US"/>
              </w:rPr>
              <w:t>Prelevat</w:t>
            </w:r>
          </w:p>
        </w:tc>
      </w:tr>
      <w:tr w:rsidR="000645BF" w:rsidRPr="00D738A4" w:rsidTr="004E444C">
        <w:trPr>
          <w:trHeight w:val="300"/>
          <w:jc w:val="center"/>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Suprafață</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597740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558094</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1731890</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1578079</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689127</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735573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3018757</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2871746</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617004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514753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1927355</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1427053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829435</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768548</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3373794</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2710354</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669012</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542360</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2010819</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1341359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850863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816313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3530694</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2700032</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568137</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546977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1782359</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1285454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875837</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910626</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3226333</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2743057</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579424</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536969</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1690074</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1244955</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998258</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888659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3267756</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2670583</w:t>
            </w:r>
          </w:p>
        </w:tc>
      </w:tr>
      <w:tr w:rsidR="000645BF" w:rsidRPr="00D738A4" w:rsidTr="004E444C">
        <w:trPr>
          <w:trHeight w:val="315"/>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594990</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535160</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1707998</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1350532</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942300</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1035709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3245288</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2921401</w:t>
            </w:r>
          </w:p>
        </w:tc>
      </w:tr>
      <w:tr w:rsidR="000645BF" w:rsidRPr="00D738A4" w:rsidTr="004E444C">
        <w:trPr>
          <w:trHeight w:val="30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Subteran</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412498</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411522</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242297</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156086</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28592</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30150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683387</w:t>
            </w:r>
          </w:p>
        </w:tc>
        <w:tc>
          <w:tcPr>
            <w:tcW w:w="1097" w:type="dxa"/>
            <w:tcBorders>
              <w:top w:val="single" w:sz="4" w:space="0" w:color="auto"/>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597758</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453685</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400677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181544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153620</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30386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25924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665615</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580221</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435448</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397883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179770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129393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31460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27903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646678</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555179</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434383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420464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173783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134530</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35993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35365</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644159</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590359</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472993</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454977</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166987</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140553</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40674</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39518</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680654</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635048</w:t>
            </w:r>
          </w:p>
        </w:tc>
      </w:tr>
      <w:tr w:rsidR="000645BF" w:rsidRPr="00D738A4" w:rsidTr="004E444C">
        <w:trPr>
          <w:trHeight w:val="315"/>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482213</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452958</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162548</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147014</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44805</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46458</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689566</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646430</w:t>
            </w:r>
          </w:p>
        </w:tc>
      </w:tr>
      <w:tr w:rsidR="000645BF" w:rsidRPr="00D738A4" w:rsidTr="004E444C">
        <w:trPr>
          <w:trHeight w:val="30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lastRenderedPageBreak/>
              <w:t xml:space="preserve"> Dună</w:t>
            </w:r>
            <w:r w:rsidRPr="00D738A4">
              <w:rPr>
                <w:rFonts w:ascii="Arial" w:eastAsia="Times New Roman" w:hAnsi="Arial" w:cs="Arial"/>
                <w:color w:val="000000"/>
                <w:lang w:val="en-US"/>
              </w:rPr>
              <w:t>re</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92518</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82633</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2830627</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2602250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561716</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327830</w:t>
            </w:r>
          </w:p>
        </w:tc>
        <w:tc>
          <w:tcPr>
            <w:tcW w:w="1073" w:type="dxa"/>
            <w:tcBorders>
              <w:top w:val="single" w:sz="4" w:space="0" w:color="auto"/>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3484861</w:t>
            </w:r>
          </w:p>
        </w:tc>
        <w:tc>
          <w:tcPr>
            <w:tcW w:w="1097" w:type="dxa"/>
            <w:tcBorders>
              <w:top w:val="single" w:sz="4" w:space="0" w:color="auto"/>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3012713</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89748</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64277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2792627</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2721731</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548205</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340143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3430580</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3126151</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84774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76607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2474334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2685627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472783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234995</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3031891</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2997229</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69200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62869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2449641</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2716769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302339</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344753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2821180</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3124391</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69170</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59187</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2336364</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2684657</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363069</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314452</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2768603</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3058296</w:t>
            </w:r>
          </w:p>
        </w:tc>
      </w:tr>
      <w:tr w:rsidR="000645BF" w:rsidRPr="00D738A4" w:rsidTr="004E444C">
        <w:trPr>
          <w:trHeight w:val="315"/>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67599</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60042</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2595753</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2725887</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387068</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408583</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3050420</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3194512</w:t>
            </w:r>
          </w:p>
        </w:tc>
      </w:tr>
      <w:tr w:rsidR="000645BF" w:rsidRPr="00D738A4" w:rsidTr="004E444C">
        <w:trPr>
          <w:trHeight w:val="30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Marea Neagră</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8584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9802</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Calibri" w:eastAsia="Times New Roman" w:hAnsi="Calibri" w:cs="Times New Roman"/>
                <w:color w:val="000000"/>
                <w:lang w:val="en-US"/>
              </w:rPr>
            </w:pPr>
            <w:r w:rsidRPr="00D738A4">
              <w:rPr>
                <w:rFonts w:ascii="Calibri" w:eastAsia="Times New Roman" w:hAnsi="Calibri" w:cs="Times New Roman"/>
                <w:color w:val="000000"/>
                <w:lang w:val="en-US"/>
              </w:rPr>
              <w:t> </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8584</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9886</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62</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8964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10046</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45</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9027</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10153</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63</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8804</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13198</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33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8903</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13294</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61</w:t>
            </w:r>
          </w:p>
        </w:tc>
        <w:tc>
          <w:tcPr>
            <w:tcW w:w="1097"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49</w:t>
            </w:r>
          </w:p>
        </w:tc>
        <w:tc>
          <w:tcPr>
            <w:tcW w:w="1073"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11803</w:t>
            </w:r>
          </w:p>
        </w:tc>
        <w:tc>
          <w:tcPr>
            <w:tcW w:w="1097"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7011</w:t>
            </w:r>
          </w:p>
        </w:tc>
        <w:tc>
          <w:tcPr>
            <w:tcW w:w="1073"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Calibri" w:eastAsia="Times New Roman" w:hAnsi="Calibri" w:cs="Times New Roman"/>
                <w:color w:val="000000"/>
                <w:lang w:val="en-US"/>
              </w:rPr>
            </w:pPr>
            <w:r w:rsidRPr="00D738A4">
              <w:rPr>
                <w:rFonts w:ascii="Calibri" w:eastAsia="Times New Roman" w:hAnsi="Calibri" w:cs="Times New Roman"/>
                <w:color w:val="000000"/>
                <w:lang w:val="en-US"/>
              </w:rPr>
              <w:t> </w:t>
            </w:r>
          </w:p>
        </w:tc>
        <w:tc>
          <w:tcPr>
            <w:tcW w:w="1097" w:type="dxa"/>
            <w:tcBorders>
              <w:top w:val="nil"/>
              <w:left w:val="nil"/>
              <w:bottom w:val="nil"/>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11864</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7060</w:t>
            </w:r>
          </w:p>
        </w:tc>
      </w:tr>
      <w:tr w:rsidR="000645BF" w:rsidRPr="00D738A4" w:rsidTr="004E444C">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60</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65</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9503</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9533</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 </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9563</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9598</w:t>
            </w:r>
          </w:p>
        </w:tc>
      </w:tr>
      <w:tr w:rsidR="000645BF" w:rsidRPr="00D738A4" w:rsidTr="004E444C">
        <w:trPr>
          <w:trHeight w:val="315"/>
          <w:jc w:val="center"/>
        </w:trPr>
        <w:tc>
          <w:tcPr>
            <w:tcW w:w="1600" w:type="dxa"/>
            <w:vMerge/>
            <w:tcBorders>
              <w:top w:val="nil"/>
              <w:left w:val="single" w:sz="8" w:space="0" w:color="auto"/>
              <w:bottom w:val="single" w:sz="8" w:space="0" w:color="000000"/>
              <w:right w:val="single" w:sz="4" w:space="0" w:color="auto"/>
            </w:tcBorders>
            <w:vAlign w:val="center"/>
            <w:hideMark/>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58</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52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10287</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10253</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10345</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10305</w:t>
            </w:r>
          </w:p>
        </w:tc>
      </w:tr>
      <w:tr w:rsidR="000645BF" w:rsidRPr="00D738A4" w:rsidTr="004E444C">
        <w:trPr>
          <w:trHeight w:val="300"/>
          <w:jc w:val="center"/>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TOTAL 2012</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1102756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1052333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4813398</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4346217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1279435</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1093553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7195589</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6492103</w:t>
            </w:r>
          </w:p>
        </w:tc>
      </w:tr>
      <w:tr w:rsidR="000645BF" w:rsidRPr="00D738A4" w:rsidTr="004E444C">
        <w:trPr>
          <w:trHeight w:val="300"/>
          <w:jc w:val="center"/>
        </w:trPr>
        <w:tc>
          <w:tcPr>
            <w:tcW w:w="1600" w:type="dxa"/>
            <w:tcBorders>
              <w:top w:val="nil"/>
              <w:left w:val="single" w:sz="8" w:space="0" w:color="auto"/>
              <w:bottom w:val="single" w:sz="4"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TOTAL 2013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1160500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979769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4910490</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4312450</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1408026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1134660</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7479016</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6426879</w:t>
            </w:r>
          </w:p>
        </w:tc>
      </w:tr>
      <w:tr w:rsidR="000645BF" w:rsidRPr="00D738A4" w:rsidTr="004E444C">
        <w:trPr>
          <w:trHeight w:val="300"/>
          <w:jc w:val="center"/>
        </w:trPr>
        <w:tc>
          <w:tcPr>
            <w:tcW w:w="1600" w:type="dxa"/>
            <w:tcBorders>
              <w:top w:val="nil"/>
              <w:left w:val="single" w:sz="8" w:space="0" w:color="auto"/>
              <w:bottom w:val="single" w:sz="4"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TOTAL 2014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1189297</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1016913</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4673727</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4169577</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1355106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1079244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7218130</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6265734</w:t>
            </w:r>
          </w:p>
        </w:tc>
      </w:tr>
      <w:tr w:rsidR="000645BF" w:rsidRPr="00D738A4" w:rsidTr="004E444C">
        <w:trPr>
          <w:trHeight w:val="300"/>
          <w:jc w:val="center"/>
        </w:trPr>
        <w:tc>
          <w:tcPr>
            <w:tcW w:w="1600" w:type="dxa"/>
            <w:tcBorders>
              <w:top w:val="nil"/>
              <w:left w:val="single" w:sz="8" w:space="0" w:color="auto"/>
              <w:bottom w:val="single" w:sz="4"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TOTAL 2015</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1071781</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1030359</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4417586</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4143764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1214169</w:t>
            </w:r>
          </w:p>
        </w:tc>
        <w:tc>
          <w:tcPr>
            <w:tcW w:w="1097"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1290744</w:t>
            </w:r>
          </w:p>
        </w:tc>
        <w:tc>
          <w:tcPr>
            <w:tcW w:w="1073" w:type="dxa"/>
            <w:tcBorders>
              <w:top w:val="nil"/>
              <w:left w:val="nil"/>
              <w:bottom w:val="single" w:sz="4"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6703536</w:t>
            </w:r>
          </w:p>
        </w:tc>
        <w:tc>
          <w:tcPr>
            <w:tcW w:w="1097" w:type="dxa"/>
            <w:tcBorders>
              <w:top w:val="nil"/>
              <w:left w:val="nil"/>
              <w:bottom w:val="single" w:sz="4"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6464867</w:t>
            </w:r>
          </w:p>
        </w:tc>
      </w:tr>
      <w:tr w:rsidR="000645BF" w:rsidRPr="00D738A4" w:rsidTr="004E444C">
        <w:trPr>
          <w:trHeight w:val="300"/>
          <w:jc w:val="center"/>
        </w:trPr>
        <w:tc>
          <w:tcPr>
            <w:tcW w:w="1600" w:type="dxa"/>
            <w:tcBorders>
              <w:top w:val="nil"/>
              <w:left w:val="single" w:sz="8" w:space="0" w:color="auto"/>
              <w:bottom w:val="single" w:sz="8"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sidRPr="00D738A4">
              <w:rPr>
                <w:rFonts w:ascii="Arial" w:eastAsia="Times New Roman" w:hAnsi="Arial" w:cs="Arial"/>
                <w:color w:val="000000"/>
                <w:lang w:val="en-US"/>
              </w:rPr>
              <w:t>TOTAL 2016</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1121647</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1051198</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4202928</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4079698</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1402001</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1242629</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6726576</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sidRPr="00D738A4">
              <w:rPr>
                <w:rFonts w:ascii="Arial" w:eastAsia="Times New Roman" w:hAnsi="Arial" w:cs="Arial"/>
                <w:i/>
                <w:iCs/>
                <w:color w:val="000000"/>
                <w:lang w:val="en-US"/>
              </w:rPr>
              <w:t>6373525</w:t>
            </w:r>
          </w:p>
        </w:tc>
      </w:tr>
      <w:tr w:rsidR="000645BF" w:rsidRPr="00D738A4" w:rsidTr="004E444C">
        <w:trPr>
          <w:trHeight w:val="315"/>
          <w:jc w:val="center"/>
        </w:trPr>
        <w:tc>
          <w:tcPr>
            <w:tcW w:w="1600" w:type="dxa"/>
            <w:tcBorders>
              <w:top w:val="nil"/>
              <w:left w:val="single" w:sz="8" w:space="0" w:color="auto"/>
              <w:bottom w:val="single" w:sz="8" w:space="0" w:color="auto"/>
              <w:right w:val="single" w:sz="4" w:space="0" w:color="auto"/>
            </w:tcBorders>
            <w:shd w:val="clear" w:color="auto" w:fill="auto"/>
            <w:noWrap/>
            <w:vAlign w:val="center"/>
          </w:tcPr>
          <w:p w:rsidR="000645BF" w:rsidRPr="00D738A4" w:rsidRDefault="000645BF" w:rsidP="004E444C">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TOTAL 2017</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1144860</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1048211</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4476586</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4233686</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1374173</w:t>
            </w:r>
          </w:p>
        </w:tc>
        <w:tc>
          <w:tcPr>
            <w:tcW w:w="1097"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1490751</w:t>
            </w:r>
          </w:p>
        </w:tc>
        <w:tc>
          <w:tcPr>
            <w:tcW w:w="1073" w:type="dxa"/>
            <w:tcBorders>
              <w:top w:val="nil"/>
              <w:left w:val="nil"/>
              <w:bottom w:val="single" w:sz="8" w:space="0" w:color="auto"/>
              <w:right w:val="single" w:sz="4"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6995619</w:t>
            </w:r>
          </w:p>
        </w:tc>
        <w:tc>
          <w:tcPr>
            <w:tcW w:w="1097" w:type="dxa"/>
            <w:tcBorders>
              <w:top w:val="nil"/>
              <w:left w:val="nil"/>
              <w:bottom w:val="single" w:sz="8" w:space="0" w:color="auto"/>
              <w:right w:val="single" w:sz="8" w:space="0" w:color="auto"/>
            </w:tcBorders>
            <w:shd w:val="clear" w:color="auto" w:fill="auto"/>
            <w:noWrap/>
            <w:vAlign w:val="bottom"/>
          </w:tcPr>
          <w:p w:rsidR="000645BF" w:rsidRPr="00D738A4" w:rsidRDefault="000645BF" w:rsidP="004E444C">
            <w:pPr>
              <w:spacing w:after="0" w:line="240" w:lineRule="auto"/>
              <w:jc w:val="both"/>
              <w:rPr>
                <w:rFonts w:ascii="Arial" w:eastAsia="Times New Roman" w:hAnsi="Arial" w:cs="Arial"/>
                <w:i/>
                <w:iCs/>
                <w:color w:val="000000"/>
                <w:lang w:val="en-US"/>
              </w:rPr>
            </w:pPr>
            <w:r>
              <w:rPr>
                <w:rFonts w:ascii="Arial" w:eastAsia="Times New Roman" w:hAnsi="Arial" w:cs="Arial"/>
                <w:i/>
                <w:iCs/>
                <w:color w:val="000000"/>
                <w:lang w:val="en-US"/>
              </w:rPr>
              <w:t>6772648</w:t>
            </w:r>
          </w:p>
        </w:tc>
      </w:tr>
    </w:tbl>
    <w:p w:rsidR="000645BF" w:rsidRDefault="000645BF" w:rsidP="000645BF">
      <w:pPr>
        <w:spacing w:after="0" w:line="240" w:lineRule="auto"/>
        <w:jc w:val="both"/>
        <w:rPr>
          <w:rFonts w:ascii="Arial" w:hAnsi="Arial" w:cs="Arial"/>
          <w:b/>
          <w:sz w:val="28"/>
          <w:szCs w:val="28"/>
          <w:u w:val="single"/>
        </w:rPr>
      </w:pPr>
    </w:p>
    <w:p w:rsidR="000645BF" w:rsidRDefault="000645BF" w:rsidP="000645BF">
      <w:pPr>
        <w:spacing w:after="0" w:line="240" w:lineRule="auto"/>
        <w:jc w:val="center"/>
        <w:rPr>
          <w:rFonts w:ascii="Arial" w:hAnsi="Arial" w:cs="Arial"/>
          <w:b/>
          <w:sz w:val="28"/>
          <w:szCs w:val="28"/>
          <w:u w:val="single"/>
        </w:rPr>
      </w:pPr>
      <w:r w:rsidRPr="006F00C1">
        <w:rPr>
          <w:rFonts w:ascii="Arial" w:hAnsi="Arial" w:cs="Arial"/>
          <w:noProof/>
          <w:sz w:val="28"/>
          <w:szCs w:val="28"/>
        </w:rPr>
        <w:drawing>
          <wp:inline distT="0" distB="0" distL="0" distR="0">
            <wp:extent cx="6062979" cy="3771900"/>
            <wp:effectExtent l="0" t="0" r="0" b="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773" cy="3796657"/>
                    </a:xfrm>
                    <a:prstGeom prst="rect">
                      <a:avLst/>
                    </a:prstGeom>
                    <a:noFill/>
                    <a:ln>
                      <a:noFill/>
                    </a:ln>
                  </pic:spPr>
                </pic:pic>
              </a:graphicData>
            </a:graphic>
          </wp:inline>
        </w:drawing>
      </w:r>
    </w:p>
    <w:p w:rsidR="000645BF" w:rsidRDefault="000645BF" w:rsidP="000645BF">
      <w:pPr>
        <w:spacing w:after="0" w:line="240" w:lineRule="auto"/>
        <w:jc w:val="both"/>
        <w:rPr>
          <w:rFonts w:ascii="Arial" w:eastAsia="Times New Roman" w:hAnsi="Arial" w:cs="Arial"/>
          <w:color w:val="000000"/>
          <w:sz w:val="24"/>
          <w:szCs w:val="24"/>
        </w:rPr>
      </w:pPr>
      <w:r>
        <w:rPr>
          <w:rFonts w:ascii="Arial" w:eastAsia="Times New Roman" w:hAnsi="Arial" w:cs="Arial"/>
          <w:b/>
          <w:bCs/>
          <w:i/>
          <w:iCs/>
          <w:color w:val="0D0D0D"/>
        </w:rPr>
        <w:lastRenderedPageBreak/>
        <w:t>Tabelul II.1.1.2 -2</w:t>
      </w:r>
      <w:r>
        <w:rPr>
          <w:rFonts w:ascii="Arial" w:eastAsia="Times New Roman" w:hAnsi="Arial" w:cs="Arial"/>
          <w:color w:val="000000"/>
          <w:sz w:val="24"/>
          <w:szCs w:val="24"/>
        </w:rPr>
        <w:t>Evoluția cerinței de apă</w:t>
      </w:r>
      <w:r w:rsidRPr="00DC0E7E">
        <w:rPr>
          <w:rFonts w:ascii="Arial" w:eastAsia="Times New Roman" w:hAnsi="Arial" w:cs="Arial"/>
          <w:color w:val="000000"/>
          <w:sz w:val="24"/>
          <w:szCs w:val="24"/>
        </w:rPr>
        <w:t xml:space="preserve"> comparati</w:t>
      </w:r>
      <w:r>
        <w:rPr>
          <w:rFonts w:ascii="Arial" w:eastAsia="Times New Roman" w:hAnsi="Arial" w:cs="Arial"/>
          <w:color w:val="000000"/>
          <w:sz w:val="24"/>
          <w:szCs w:val="24"/>
        </w:rPr>
        <w:t>v cu prelevarea volumelor de apă</w:t>
      </w:r>
      <w:r w:rsidRPr="00DC0E7E">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Pr="00DC0E7E">
        <w:rPr>
          <w:rFonts w:ascii="Arial" w:eastAsia="Times New Roman" w:hAnsi="Arial" w:cs="Arial"/>
          <w:color w:val="000000"/>
          <w:sz w:val="24"/>
          <w:szCs w:val="24"/>
        </w:rPr>
        <w:t>)</w:t>
      </w:r>
      <w:r w:rsidRPr="00C011AE">
        <w:rPr>
          <w:noProof/>
        </w:rPr>
        <w:drawing>
          <wp:inline distT="0" distB="0" distL="0" distR="0">
            <wp:extent cx="6153150" cy="4886325"/>
            <wp:effectExtent l="0" t="0" r="0" b="9525"/>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8" cy="4886331"/>
                    </a:xfrm>
                    <a:prstGeom prst="rect">
                      <a:avLst/>
                    </a:prstGeom>
                    <a:noFill/>
                    <a:ln>
                      <a:noFill/>
                    </a:ln>
                  </pic:spPr>
                </pic:pic>
              </a:graphicData>
            </a:graphic>
          </wp:inline>
        </w:drawing>
      </w:r>
    </w:p>
    <w:p w:rsidR="000645BF" w:rsidRDefault="000645BF" w:rsidP="000645BF">
      <w:pPr>
        <w:pStyle w:val="Default"/>
        <w:jc w:val="both"/>
        <w:rPr>
          <w:rFonts w:ascii="Arial" w:hAnsi="Arial" w:cs="Arial"/>
          <w:bCs/>
          <w:color w:val="auto"/>
        </w:rPr>
      </w:pPr>
    </w:p>
    <w:p w:rsidR="000645BF" w:rsidRDefault="000645BF" w:rsidP="000645BF">
      <w:pPr>
        <w:pStyle w:val="Default"/>
        <w:jc w:val="both"/>
        <w:rPr>
          <w:rFonts w:ascii="Arial" w:hAnsi="Arial" w:cs="Arial"/>
          <w:bCs/>
          <w:color w:val="auto"/>
        </w:rPr>
      </w:pPr>
    </w:p>
    <w:p w:rsidR="000645BF" w:rsidRPr="00E92120" w:rsidRDefault="000645BF" w:rsidP="000645BF">
      <w:pPr>
        <w:pStyle w:val="Default"/>
        <w:jc w:val="both"/>
        <w:rPr>
          <w:rFonts w:ascii="Arial" w:hAnsi="Arial" w:cs="Arial"/>
          <w:b/>
          <w:bCs/>
          <w:color w:val="auto"/>
        </w:rPr>
      </w:pPr>
      <w:r w:rsidRPr="00E92120">
        <w:rPr>
          <w:rFonts w:ascii="Arial" w:hAnsi="Arial" w:cs="Arial"/>
          <w:b/>
          <w:bCs/>
          <w:color w:val="auto"/>
        </w:rPr>
        <w:t xml:space="preserve">       II.1.1.3. Evenimente extreme produse de debitele cursurilor de apă </w:t>
      </w:r>
    </w:p>
    <w:p w:rsidR="000645BF" w:rsidRPr="00E92120" w:rsidRDefault="000645BF" w:rsidP="000645BF">
      <w:pPr>
        <w:pStyle w:val="Default"/>
        <w:tabs>
          <w:tab w:val="left" w:pos="1234"/>
        </w:tabs>
        <w:jc w:val="both"/>
        <w:rPr>
          <w:rFonts w:ascii="Arial" w:hAnsi="Arial" w:cs="Arial"/>
          <w:b/>
          <w:color w:val="auto"/>
        </w:rPr>
      </w:pPr>
    </w:p>
    <w:p w:rsidR="000645BF" w:rsidRDefault="000645BF" w:rsidP="000645BF">
      <w:pPr>
        <w:pStyle w:val="Default"/>
        <w:jc w:val="both"/>
        <w:rPr>
          <w:rFonts w:ascii="Arial" w:hAnsi="Arial" w:cs="Arial"/>
        </w:rPr>
      </w:pPr>
      <w:r w:rsidRPr="00E92120">
        <w:rPr>
          <w:rFonts w:ascii="Arial" w:hAnsi="Arial" w:cs="Arial"/>
        </w:rPr>
        <w:t xml:space="preserve">Apele curgătoare de pe teritoriul judeţului </w:t>
      </w:r>
      <w:r>
        <w:rPr>
          <w:rFonts w:ascii="Arial" w:hAnsi="Arial" w:cs="Arial"/>
        </w:rPr>
        <w:t>Brăila</w:t>
      </w:r>
      <w:r w:rsidRPr="00E92120">
        <w:rPr>
          <w:rFonts w:ascii="Arial" w:hAnsi="Arial" w:cs="Arial"/>
        </w:rPr>
        <w:t xml:space="preserve">, aparţin urmatoarelor bazine hidrografice: de fluviul Dunărea, râurile Siret, Buzău şi Călmăţui. </w:t>
      </w:r>
    </w:p>
    <w:p w:rsidR="000645BF" w:rsidRPr="00E92120" w:rsidRDefault="000645BF" w:rsidP="000645BF">
      <w:pPr>
        <w:pStyle w:val="Default"/>
        <w:jc w:val="both"/>
        <w:rPr>
          <w:rFonts w:ascii="Arial" w:hAnsi="Arial" w:cs="Arial"/>
        </w:rPr>
      </w:pPr>
    </w:p>
    <w:p w:rsidR="000645BF" w:rsidRPr="00E92120" w:rsidRDefault="000645BF" w:rsidP="000645BF">
      <w:pPr>
        <w:pStyle w:val="Default"/>
        <w:jc w:val="both"/>
        <w:rPr>
          <w:rFonts w:ascii="Arial" w:hAnsi="Arial" w:cs="Arial"/>
        </w:rPr>
      </w:pPr>
      <w:r w:rsidRPr="00E92120">
        <w:rPr>
          <w:rFonts w:ascii="Arial" w:hAnsi="Arial" w:cs="Arial"/>
          <w:b/>
          <w:bCs/>
        </w:rPr>
        <w:t xml:space="preserve">1. Bazinul Hidrografic al fluviului Dunărea </w:t>
      </w:r>
    </w:p>
    <w:p w:rsidR="000645BF" w:rsidRPr="00E92120" w:rsidRDefault="000645BF" w:rsidP="000645BF">
      <w:pPr>
        <w:pStyle w:val="Default"/>
        <w:ind w:firstLine="708"/>
        <w:jc w:val="both"/>
        <w:rPr>
          <w:rFonts w:ascii="Arial" w:hAnsi="Arial" w:cs="Arial"/>
        </w:rPr>
      </w:pPr>
      <w:r w:rsidRPr="00E92120">
        <w:rPr>
          <w:rFonts w:ascii="Arial" w:hAnsi="Arial" w:cs="Arial"/>
          <w:b/>
          <w:bCs/>
        </w:rPr>
        <w:t xml:space="preserve">Dunărea </w:t>
      </w:r>
      <w:r w:rsidRPr="00E92120">
        <w:rPr>
          <w:rFonts w:ascii="Arial" w:hAnsi="Arial" w:cs="Arial"/>
        </w:rPr>
        <w:t xml:space="preserve">în cadrul judeţului este reprezentată prin </w:t>
      </w:r>
      <w:r>
        <w:rPr>
          <w:rFonts w:ascii="Arial" w:hAnsi="Arial" w:cs="Arial"/>
        </w:rPr>
        <w:t>br</w:t>
      </w:r>
      <w:r w:rsidRPr="00E92120">
        <w:rPr>
          <w:rFonts w:ascii="Arial" w:hAnsi="Arial" w:cs="Arial"/>
        </w:rPr>
        <w:t xml:space="preserve">aţele principale – Cremenea si Măcin (Dunărea Veche) – si </w:t>
      </w:r>
      <w:r>
        <w:rPr>
          <w:rFonts w:ascii="Arial" w:hAnsi="Arial" w:cs="Arial"/>
        </w:rPr>
        <w:t>br</w:t>
      </w:r>
      <w:r w:rsidRPr="00E92120">
        <w:rPr>
          <w:rFonts w:ascii="Arial" w:hAnsi="Arial" w:cs="Arial"/>
        </w:rPr>
        <w:t xml:space="preserve">aţele secundare – Vâlciu, Mănusoaia, Pasca, Calia, Arapu – în arealul Bălţii </w:t>
      </w:r>
      <w:r>
        <w:rPr>
          <w:rFonts w:ascii="Arial" w:hAnsi="Arial" w:cs="Arial"/>
        </w:rPr>
        <w:t>Brăilei – ș</w:t>
      </w:r>
      <w:r w:rsidRPr="00E92120">
        <w:rPr>
          <w:rFonts w:ascii="Arial" w:hAnsi="Arial" w:cs="Arial"/>
        </w:rPr>
        <w:t xml:space="preserve">i prin Dunărea propriu-zisă din dreptul municipiului </w:t>
      </w:r>
      <w:r>
        <w:rPr>
          <w:rFonts w:ascii="Arial" w:hAnsi="Arial" w:cs="Arial"/>
        </w:rPr>
        <w:t>Brăila</w:t>
      </w:r>
      <w:r w:rsidRPr="00E92120">
        <w:rPr>
          <w:rFonts w:ascii="Arial" w:hAnsi="Arial" w:cs="Arial"/>
        </w:rPr>
        <w:t xml:space="preserve"> si până la confluenţa cu Siretul. Dunărea Veche sau </w:t>
      </w:r>
      <w:r>
        <w:rPr>
          <w:rFonts w:ascii="Arial" w:hAnsi="Arial" w:cs="Arial"/>
        </w:rPr>
        <w:t>br</w:t>
      </w:r>
      <w:r w:rsidRPr="00E92120">
        <w:rPr>
          <w:rFonts w:ascii="Arial" w:hAnsi="Arial" w:cs="Arial"/>
        </w:rPr>
        <w:t xml:space="preserve">aţul Măcin, care formează si limita estică a judeţului, are 96 Km lungime, un coeficient mare de meandrare (1,24) si o lăţime medie de 250 m. Panta mică, ca urmare a gradului mare de meandrare, face ca acest </w:t>
      </w:r>
      <w:r>
        <w:rPr>
          <w:rFonts w:ascii="Arial" w:hAnsi="Arial" w:cs="Arial"/>
        </w:rPr>
        <w:t>br</w:t>
      </w:r>
      <w:r w:rsidRPr="00E92120">
        <w:rPr>
          <w:rFonts w:ascii="Arial" w:hAnsi="Arial" w:cs="Arial"/>
        </w:rPr>
        <w:t>aţ să transporte o cantitate mică de apă (13%) din debitul total de la Hârsova (5949 m</w:t>
      </w:r>
      <w:r w:rsidRPr="00AB09A2">
        <w:rPr>
          <w:rFonts w:ascii="Arial" w:hAnsi="Arial" w:cs="Arial"/>
          <w:vertAlign w:val="superscript"/>
        </w:rPr>
        <w:t>3</w:t>
      </w:r>
      <w:r w:rsidRPr="00E92120">
        <w:rPr>
          <w:rFonts w:ascii="Arial" w:hAnsi="Arial" w:cs="Arial"/>
        </w:rPr>
        <w:t xml:space="preserve">/s). </w:t>
      </w:r>
    </w:p>
    <w:p w:rsidR="000645BF" w:rsidRPr="00E92120" w:rsidRDefault="000645BF" w:rsidP="000645BF">
      <w:pPr>
        <w:pStyle w:val="Default"/>
        <w:ind w:firstLine="708"/>
        <w:jc w:val="both"/>
        <w:rPr>
          <w:rFonts w:ascii="Arial" w:hAnsi="Arial" w:cs="Arial"/>
        </w:rPr>
      </w:pPr>
      <w:r>
        <w:rPr>
          <w:rFonts w:ascii="Arial" w:hAnsi="Arial" w:cs="Arial"/>
        </w:rPr>
        <w:t>Br</w:t>
      </w:r>
      <w:r w:rsidRPr="00E92120">
        <w:rPr>
          <w:rFonts w:ascii="Arial" w:hAnsi="Arial" w:cs="Arial"/>
        </w:rPr>
        <w:t xml:space="preserve">aţul Cremenea, cel mai important, are o lungime mai mică (70 Km), o pantă de scurgere mai mare si o lăţime medie de 500 m. Dacă caracteristica </w:t>
      </w:r>
      <w:r>
        <w:rPr>
          <w:rFonts w:ascii="Arial" w:hAnsi="Arial" w:cs="Arial"/>
        </w:rPr>
        <w:t>br</w:t>
      </w:r>
      <w:r w:rsidRPr="00E92120">
        <w:rPr>
          <w:rFonts w:ascii="Arial" w:hAnsi="Arial" w:cs="Arial"/>
        </w:rPr>
        <w:t xml:space="preserve">aţului Măcin este gradul de meandrare, cea a </w:t>
      </w:r>
      <w:r>
        <w:rPr>
          <w:rFonts w:ascii="Arial" w:hAnsi="Arial" w:cs="Arial"/>
        </w:rPr>
        <w:t>br</w:t>
      </w:r>
      <w:r w:rsidRPr="00E92120">
        <w:rPr>
          <w:rFonts w:ascii="Arial" w:hAnsi="Arial" w:cs="Arial"/>
        </w:rPr>
        <w:t xml:space="preserve">aţului Cremenea este gradul de despletire. Din </w:t>
      </w:r>
      <w:r>
        <w:rPr>
          <w:rFonts w:ascii="Arial" w:hAnsi="Arial" w:cs="Arial"/>
        </w:rPr>
        <w:t>br</w:t>
      </w:r>
      <w:r w:rsidRPr="00E92120">
        <w:rPr>
          <w:rFonts w:ascii="Arial" w:hAnsi="Arial" w:cs="Arial"/>
        </w:rPr>
        <w:t xml:space="preserve">aţul Măcin (numai la 2 Km de la bifurcaţie) se desprinde </w:t>
      </w:r>
      <w:r>
        <w:rPr>
          <w:rFonts w:ascii="Arial" w:hAnsi="Arial" w:cs="Arial"/>
        </w:rPr>
        <w:t>br</w:t>
      </w:r>
      <w:r w:rsidRPr="00E92120">
        <w:rPr>
          <w:rFonts w:ascii="Arial" w:hAnsi="Arial" w:cs="Arial"/>
        </w:rPr>
        <w:t xml:space="preserve">aţul Vâlciu care se varsă apoi în Cremenea. </w:t>
      </w:r>
    </w:p>
    <w:p w:rsidR="000645BF" w:rsidRPr="00E92120" w:rsidRDefault="000645BF" w:rsidP="000645BF">
      <w:pPr>
        <w:pStyle w:val="Default"/>
        <w:jc w:val="both"/>
        <w:rPr>
          <w:rFonts w:ascii="Arial" w:hAnsi="Arial" w:cs="Arial"/>
        </w:rPr>
      </w:pPr>
      <w:r w:rsidRPr="005211EA">
        <w:rPr>
          <w:rFonts w:ascii="Arial" w:hAnsi="Arial" w:cs="Arial"/>
          <w:b/>
        </w:rPr>
        <w:t>Debitul maxim</w:t>
      </w:r>
      <w:r w:rsidRPr="00E92120">
        <w:rPr>
          <w:rFonts w:ascii="Arial" w:hAnsi="Arial" w:cs="Arial"/>
        </w:rPr>
        <w:t xml:space="preserve"> la asigurarea de 1% a fost estimat pentru Hârsova la 15.080m</w:t>
      </w:r>
      <w:r w:rsidRPr="00AB09A2">
        <w:rPr>
          <w:rFonts w:ascii="Arial" w:hAnsi="Arial" w:cs="Arial"/>
          <w:vertAlign w:val="superscript"/>
        </w:rPr>
        <w:t>3</w:t>
      </w:r>
      <w:r w:rsidRPr="00E92120">
        <w:rPr>
          <w:rFonts w:ascii="Arial" w:hAnsi="Arial" w:cs="Arial"/>
        </w:rPr>
        <w:t xml:space="preserve">/s si pentru </w:t>
      </w:r>
      <w:r>
        <w:rPr>
          <w:rFonts w:ascii="Arial" w:hAnsi="Arial" w:cs="Arial"/>
        </w:rPr>
        <w:t>Brăila</w:t>
      </w:r>
      <w:r w:rsidRPr="00E92120">
        <w:rPr>
          <w:rFonts w:ascii="Arial" w:hAnsi="Arial" w:cs="Arial"/>
        </w:rPr>
        <w:t xml:space="preserve"> la 14.620 m</w:t>
      </w:r>
      <w:r w:rsidRPr="00AB09A2">
        <w:rPr>
          <w:rFonts w:ascii="Arial" w:hAnsi="Arial" w:cs="Arial"/>
          <w:vertAlign w:val="superscript"/>
        </w:rPr>
        <w:t>3</w:t>
      </w:r>
      <w:r w:rsidRPr="00E92120">
        <w:rPr>
          <w:rFonts w:ascii="Arial" w:hAnsi="Arial" w:cs="Arial"/>
        </w:rPr>
        <w:t>/s.</w:t>
      </w:r>
    </w:p>
    <w:p w:rsidR="000645BF" w:rsidRDefault="000645BF" w:rsidP="000645BF">
      <w:pPr>
        <w:pStyle w:val="Default"/>
        <w:jc w:val="both"/>
        <w:rPr>
          <w:rFonts w:ascii="Arial" w:hAnsi="Arial" w:cs="Arial"/>
        </w:rPr>
      </w:pPr>
      <w:r w:rsidRPr="005211EA">
        <w:rPr>
          <w:rFonts w:ascii="Arial" w:hAnsi="Arial" w:cs="Arial"/>
          <w:b/>
        </w:rPr>
        <w:t>Debitul minim</w:t>
      </w:r>
      <w:r w:rsidRPr="00E92120">
        <w:rPr>
          <w:rFonts w:ascii="Arial" w:hAnsi="Arial" w:cs="Arial"/>
        </w:rPr>
        <w:t xml:space="preserve"> se înregist</w:t>
      </w:r>
      <w:r>
        <w:rPr>
          <w:rFonts w:ascii="Arial" w:hAnsi="Arial" w:cs="Arial"/>
        </w:rPr>
        <w:t>rează în două perioade (toamna ș</w:t>
      </w:r>
      <w:r w:rsidRPr="00E92120">
        <w:rPr>
          <w:rFonts w:ascii="Arial" w:hAnsi="Arial" w:cs="Arial"/>
        </w:rPr>
        <w:t xml:space="preserve">i iarna), cel de iarnă fiind mai scăzut faţă de cel de toamnă. La asigurarea de 99,9% la staţia hidrometrică </w:t>
      </w:r>
      <w:r>
        <w:rPr>
          <w:rFonts w:ascii="Arial" w:hAnsi="Arial" w:cs="Arial"/>
        </w:rPr>
        <w:t>Brăila</w:t>
      </w:r>
      <w:r w:rsidRPr="00E92120">
        <w:rPr>
          <w:rFonts w:ascii="Arial" w:hAnsi="Arial" w:cs="Arial"/>
        </w:rPr>
        <w:t xml:space="preserve"> debitul minim a fost apreciat la 1000 m</w:t>
      </w:r>
      <w:r w:rsidRPr="00AB09A2">
        <w:rPr>
          <w:rFonts w:ascii="Arial" w:hAnsi="Arial" w:cs="Arial"/>
          <w:vertAlign w:val="superscript"/>
        </w:rPr>
        <w:t>3</w:t>
      </w:r>
      <w:r w:rsidRPr="00E92120">
        <w:rPr>
          <w:rFonts w:ascii="Arial" w:hAnsi="Arial" w:cs="Arial"/>
        </w:rPr>
        <w:t>/s.</w:t>
      </w:r>
    </w:p>
    <w:p w:rsidR="000645BF" w:rsidRDefault="000645BF" w:rsidP="000645BF">
      <w:pPr>
        <w:pStyle w:val="Default"/>
        <w:jc w:val="both"/>
        <w:rPr>
          <w:rFonts w:ascii="Arial" w:hAnsi="Arial" w:cs="Arial"/>
        </w:rPr>
      </w:pPr>
    </w:p>
    <w:p w:rsidR="000645BF" w:rsidRPr="00E92120" w:rsidRDefault="000645BF" w:rsidP="000645BF">
      <w:pPr>
        <w:pStyle w:val="Default"/>
        <w:jc w:val="both"/>
        <w:rPr>
          <w:rFonts w:ascii="Arial" w:hAnsi="Arial" w:cs="Arial"/>
        </w:rPr>
      </w:pPr>
    </w:p>
    <w:p w:rsidR="000645BF" w:rsidRPr="00E92120" w:rsidRDefault="000645BF" w:rsidP="000645BF">
      <w:pPr>
        <w:pStyle w:val="Default"/>
        <w:jc w:val="both"/>
        <w:rPr>
          <w:rFonts w:ascii="Arial" w:hAnsi="Arial" w:cs="Arial"/>
        </w:rPr>
      </w:pPr>
      <w:r w:rsidRPr="00E92120">
        <w:rPr>
          <w:rFonts w:ascii="Arial" w:hAnsi="Arial" w:cs="Arial"/>
          <w:b/>
          <w:bCs/>
        </w:rPr>
        <w:t>2. Bazinul Hidrografic al râului Siret</w:t>
      </w:r>
    </w:p>
    <w:p w:rsidR="000645BF" w:rsidRPr="00E92120" w:rsidRDefault="000645BF" w:rsidP="000645BF">
      <w:pPr>
        <w:pStyle w:val="Default"/>
        <w:ind w:firstLine="708"/>
        <w:jc w:val="both"/>
        <w:rPr>
          <w:rFonts w:ascii="Arial" w:hAnsi="Arial" w:cs="Arial"/>
        </w:rPr>
      </w:pPr>
      <w:r w:rsidRPr="00E92120">
        <w:rPr>
          <w:rFonts w:ascii="Arial" w:hAnsi="Arial" w:cs="Arial"/>
          <w:b/>
          <w:bCs/>
        </w:rPr>
        <w:lastRenderedPageBreak/>
        <w:t xml:space="preserve">Siretul </w:t>
      </w:r>
      <w:r w:rsidRPr="00E92120">
        <w:rPr>
          <w:rFonts w:ascii="Arial" w:hAnsi="Arial" w:cs="Arial"/>
        </w:rPr>
        <w:t xml:space="preserve">formează limita dintre judeţele </w:t>
      </w:r>
      <w:r>
        <w:rPr>
          <w:rFonts w:ascii="Arial" w:hAnsi="Arial" w:cs="Arial"/>
        </w:rPr>
        <w:t>Brăilaș</w:t>
      </w:r>
      <w:r w:rsidRPr="00E92120">
        <w:rPr>
          <w:rFonts w:ascii="Arial" w:hAnsi="Arial" w:cs="Arial"/>
        </w:rPr>
        <w:t>i Galaţi, între localitatea Corbu Vechi si confluenţa cu Dunărea pe 47,4 Km lungime. În acest sector, pe partea dreaptă, la Voinesti, Siretul primeste apele Buzăului.</w:t>
      </w:r>
    </w:p>
    <w:p w:rsidR="000645BF" w:rsidRPr="00E92120" w:rsidRDefault="000645BF" w:rsidP="000645BF">
      <w:pPr>
        <w:pStyle w:val="Default"/>
        <w:ind w:firstLine="708"/>
        <w:jc w:val="both"/>
        <w:rPr>
          <w:rFonts w:ascii="Arial" w:hAnsi="Arial" w:cs="Arial"/>
        </w:rPr>
      </w:pPr>
      <w:r w:rsidRPr="00E92120">
        <w:rPr>
          <w:rFonts w:ascii="Arial" w:hAnsi="Arial" w:cs="Arial"/>
        </w:rPr>
        <w:t>Faţă de debitul mediu multianual (153 m</w:t>
      </w:r>
      <w:r w:rsidRPr="00AB09A2">
        <w:rPr>
          <w:rFonts w:ascii="Arial" w:hAnsi="Arial" w:cs="Arial"/>
          <w:vertAlign w:val="superscript"/>
        </w:rPr>
        <w:t>3</w:t>
      </w:r>
      <w:r w:rsidRPr="00E92120">
        <w:rPr>
          <w:rFonts w:ascii="Arial" w:hAnsi="Arial" w:cs="Arial"/>
        </w:rPr>
        <w:t>/s), analizat la staţia hidrometrică Lungoci, situată în amonte de câţiva kilometri, la vârsarea în Dunăre, debitul maxim este de 4500 m</w:t>
      </w:r>
      <w:r w:rsidRPr="00AB09A2">
        <w:rPr>
          <w:rFonts w:ascii="Arial" w:hAnsi="Arial" w:cs="Arial"/>
          <w:vertAlign w:val="superscript"/>
        </w:rPr>
        <w:t>3</w:t>
      </w:r>
      <w:r w:rsidRPr="00E92120">
        <w:rPr>
          <w:rFonts w:ascii="Arial" w:hAnsi="Arial" w:cs="Arial"/>
        </w:rPr>
        <w:t>/s (asigurarea de 1%), iar cel minim de 26 m3/s (asigurarea de 95%).</w:t>
      </w:r>
    </w:p>
    <w:p w:rsidR="000645BF" w:rsidRDefault="000645BF" w:rsidP="000645BF">
      <w:pPr>
        <w:pStyle w:val="Default"/>
        <w:jc w:val="both"/>
        <w:rPr>
          <w:rFonts w:ascii="Arial" w:hAnsi="Arial" w:cs="Arial"/>
        </w:rPr>
      </w:pPr>
      <w:r w:rsidRPr="00E92120">
        <w:rPr>
          <w:rFonts w:ascii="Arial" w:hAnsi="Arial" w:cs="Arial"/>
        </w:rPr>
        <w:t>Minera</w:t>
      </w:r>
      <w:r>
        <w:rPr>
          <w:rFonts w:ascii="Arial" w:hAnsi="Arial" w:cs="Arial"/>
        </w:rPr>
        <w:t xml:space="preserve">lizarea apei redusă (375 mg/l) </w:t>
      </w:r>
      <w:r w:rsidRPr="00E92120">
        <w:rPr>
          <w:rFonts w:ascii="Arial" w:hAnsi="Arial" w:cs="Arial"/>
        </w:rPr>
        <w:t>fac</w:t>
      </w:r>
      <w:r>
        <w:rPr>
          <w:rFonts w:ascii="Arial" w:hAnsi="Arial" w:cs="Arial"/>
        </w:rPr>
        <w:t>e</w:t>
      </w:r>
      <w:r w:rsidRPr="00E92120">
        <w:rPr>
          <w:rFonts w:ascii="Arial" w:hAnsi="Arial" w:cs="Arial"/>
        </w:rPr>
        <w:t xml:space="preserve"> ca apa din Siret să fie folosită în bune condiţii în irigaţii.</w:t>
      </w:r>
    </w:p>
    <w:p w:rsidR="000645BF" w:rsidRPr="00E92120" w:rsidRDefault="000645BF" w:rsidP="000645BF">
      <w:pPr>
        <w:pStyle w:val="Default"/>
        <w:jc w:val="both"/>
        <w:rPr>
          <w:rFonts w:ascii="Arial" w:hAnsi="Arial" w:cs="Arial"/>
        </w:rPr>
      </w:pPr>
    </w:p>
    <w:p w:rsidR="000645BF" w:rsidRPr="00E92120" w:rsidRDefault="000645BF" w:rsidP="000645BF">
      <w:pPr>
        <w:pStyle w:val="Default"/>
        <w:jc w:val="both"/>
        <w:rPr>
          <w:rFonts w:ascii="Arial" w:hAnsi="Arial" w:cs="Arial"/>
        </w:rPr>
      </w:pPr>
      <w:r w:rsidRPr="00E92120">
        <w:rPr>
          <w:rFonts w:ascii="Arial" w:hAnsi="Arial" w:cs="Arial"/>
          <w:b/>
          <w:bCs/>
        </w:rPr>
        <w:t>3. Bazinul Hidrografic al râului Buzău</w:t>
      </w:r>
    </w:p>
    <w:p w:rsidR="000645BF" w:rsidRPr="00E92120" w:rsidRDefault="000645BF" w:rsidP="000645BF">
      <w:pPr>
        <w:pStyle w:val="Default"/>
        <w:ind w:firstLine="708"/>
        <w:jc w:val="both"/>
        <w:rPr>
          <w:rFonts w:ascii="Arial" w:hAnsi="Arial" w:cs="Arial"/>
        </w:rPr>
      </w:pPr>
      <w:r w:rsidRPr="00E92120">
        <w:rPr>
          <w:rFonts w:ascii="Arial" w:hAnsi="Arial" w:cs="Arial"/>
          <w:b/>
          <w:bCs/>
        </w:rPr>
        <w:t xml:space="preserve">Buzăul </w:t>
      </w:r>
      <w:r w:rsidRPr="00E92120">
        <w:rPr>
          <w:rFonts w:ascii="Arial" w:hAnsi="Arial" w:cs="Arial"/>
        </w:rPr>
        <w:t>pe teritoriul judeţului, se desfăsoară pe o l</w:t>
      </w:r>
      <w:r>
        <w:rPr>
          <w:rFonts w:ascii="Arial" w:hAnsi="Arial" w:cs="Arial"/>
        </w:rPr>
        <w:t>ungime de 141 km, între Făurei ș</w:t>
      </w:r>
      <w:r w:rsidRPr="00E92120">
        <w:rPr>
          <w:rFonts w:ascii="Arial" w:hAnsi="Arial" w:cs="Arial"/>
        </w:rPr>
        <w:t>i confluenţa cu Siretul la Voine</w:t>
      </w:r>
      <w:r>
        <w:rPr>
          <w:rFonts w:ascii="Arial" w:hAnsi="Arial" w:cs="Arial"/>
        </w:rPr>
        <w:t>ș</w:t>
      </w:r>
      <w:r w:rsidRPr="00E92120">
        <w:rPr>
          <w:rFonts w:ascii="Arial" w:hAnsi="Arial" w:cs="Arial"/>
        </w:rPr>
        <w:t>ti.</w:t>
      </w:r>
    </w:p>
    <w:p w:rsidR="000645BF" w:rsidRPr="00E92120" w:rsidRDefault="000645BF" w:rsidP="000645BF">
      <w:pPr>
        <w:pStyle w:val="Default"/>
        <w:jc w:val="both"/>
        <w:rPr>
          <w:rFonts w:ascii="Arial" w:hAnsi="Arial" w:cs="Arial"/>
          <w:b/>
          <w:color w:val="auto"/>
        </w:rPr>
      </w:pPr>
      <w:r w:rsidRPr="00E92120">
        <w:rPr>
          <w:rFonts w:ascii="Arial" w:hAnsi="Arial" w:cs="Arial"/>
        </w:rPr>
        <w:t xml:space="preserve">Buzăul transportă o cantitate redusă de apă la niveluri medii multianuale, respective 25,4 m la staţia hidrometrică Băinţa, situată la 10 </w:t>
      </w:r>
      <w:r>
        <w:rPr>
          <w:rFonts w:ascii="Arial" w:hAnsi="Arial" w:cs="Arial"/>
        </w:rPr>
        <w:t>k</w:t>
      </w:r>
      <w:r w:rsidRPr="00E92120">
        <w:rPr>
          <w:rFonts w:ascii="Arial" w:hAnsi="Arial" w:cs="Arial"/>
        </w:rPr>
        <w:t>m amonte de limita judeţului</w:t>
      </w:r>
      <w:r>
        <w:rPr>
          <w:rFonts w:ascii="Arial" w:hAnsi="Arial" w:cs="Arial"/>
        </w:rPr>
        <w:t>.</w:t>
      </w:r>
    </w:p>
    <w:p w:rsidR="000645BF" w:rsidRPr="00E92120" w:rsidRDefault="000645BF" w:rsidP="000645BF">
      <w:pPr>
        <w:pStyle w:val="Default"/>
        <w:jc w:val="both"/>
        <w:rPr>
          <w:rFonts w:ascii="Arial" w:hAnsi="Arial" w:cs="Arial"/>
          <w:color w:val="auto"/>
        </w:rPr>
      </w:pPr>
    </w:p>
    <w:p w:rsidR="000645BF" w:rsidRDefault="000645BF" w:rsidP="000645BF">
      <w:pPr>
        <w:pStyle w:val="Default"/>
        <w:jc w:val="both"/>
        <w:rPr>
          <w:rFonts w:ascii="Arial" w:hAnsi="Arial" w:cs="Arial"/>
          <w:b/>
          <w:bCs/>
          <w:color w:val="auto"/>
        </w:rPr>
      </w:pPr>
      <w:r w:rsidRPr="00E92120">
        <w:rPr>
          <w:rFonts w:ascii="Arial" w:hAnsi="Arial" w:cs="Arial"/>
          <w:b/>
          <w:bCs/>
          <w:color w:val="auto"/>
        </w:rPr>
        <w:t xml:space="preserve">          II.1.1.4. Schimbări hidromorfologice ale cursurilor de apă </w:t>
      </w:r>
    </w:p>
    <w:p w:rsidR="000645BF" w:rsidRPr="00E92120" w:rsidRDefault="000645BF" w:rsidP="000645BF">
      <w:pPr>
        <w:pStyle w:val="Default"/>
        <w:jc w:val="both"/>
        <w:rPr>
          <w:rFonts w:ascii="Arial" w:hAnsi="Arial" w:cs="Arial"/>
          <w:color w:val="auto"/>
        </w:rPr>
      </w:pPr>
    </w:p>
    <w:p w:rsidR="000645BF" w:rsidRPr="00B12DAC" w:rsidRDefault="000645BF" w:rsidP="000645BF">
      <w:pPr>
        <w:pStyle w:val="Default"/>
        <w:ind w:firstLine="708"/>
        <w:jc w:val="both"/>
        <w:rPr>
          <w:rFonts w:ascii="Arial" w:hAnsi="Arial" w:cs="Arial"/>
        </w:rPr>
      </w:pPr>
      <w:r w:rsidRPr="00B12DAC">
        <w:rPr>
          <w:rFonts w:ascii="Arial" w:hAnsi="Arial" w:cs="Arial"/>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0645BF" w:rsidRDefault="000645BF" w:rsidP="000645BF">
      <w:pPr>
        <w:spacing w:after="0" w:line="240" w:lineRule="auto"/>
        <w:ind w:firstLine="708"/>
        <w:jc w:val="both"/>
        <w:rPr>
          <w:rFonts w:ascii="Arial" w:hAnsi="Arial" w:cs="Arial"/>
          <w:sz w:val="24"/>
          <w:szCs w:val="24"/>
        </w:rPr>
      </w:pPr>
      <w:r w:rsidRPr="00A772F4">
        <w:rPr>
          <w:rFonts w:ascii="Arial" w:hAnsi="Arial" w:cs="Arial"/>
          <w:sz w:val="24"/>
          <w:szCs w:val="24"/>
        </w:rPr>
        <w:t>Conform Directivei Cadru Apă</w:t>
      </w:r>
      <w:r>
        <w:rPr>
          <w:rFonts w:ascii="Arial" w:hAnsi="Arial" w:cs="Arial"/>
          <w:sz w:val="24"/>
          <w:szCs w:val="24"/>
        </w:rPr>
        <w:t xml:space="preserve"> 2000/60/CE</w:t>
      </w:r>
      <w:r w:rsidRPr="00A772F4">
        <w:rPr>
          <w:rFonts w:ascii="Arial" w:hAnsi="Arial" w:cs="Arial"/>
          <w:sz w:val="24"/>
          <w:szCs w:val="24"/>
        </w:rPr>
        <w:t xml:space="preserv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0645BF" w:rsidRDefault="000645BF" w:rsidP="000645BF">
      <w:pPr>
        <w:spacing w:after="0" w:line="240" w:lineRule="auto"/>
        <w:ind w:firstLine="708"/>
        <w:jc w:val="both"/>
        <w:rPr>
          <w:rFonts w:ascii="Arial" w:hAnsi="Arial" w:cs="Arial"/>
          <w:sz w:val="24"/>
          <w:szCs w:val="24"/>
        </w:rPr>
      </w:pPr>
      <w:r w:rsidRPr="00A772F4">
        <w:rPr>
          <w:rFonts w:ascii="Arial" w:hAnsi="Arial" w:cs="Arial"/>
          <w:sz w:val="24"/>
          <w:szCs w:val="24"/>
        </w:rPr>
        <w:t>Corpurile de apă puternic modificate si corpurile de apă artificiale au ca obiectiv atingerea unui „potenţial ecologic bun”, precum şi atingerea „stării chimice bune”.</w:t>
      </w:r>
    </w:p>
    <w:p w:rsidR="000645BF" w:rsidRDefault="000645BF" w:rsidP="000645BF">
      <w:pPr>
        <w:spacing w:after="0" w:line="240" w:lineRule="auto"/>
        <w:jc w:val="both"/>
        <w:rPr>
          <w:rFonts w:ascii="Arial" w:hAnsi="Arial" w:cs="Arial"/>
          <w:sz w:val="24"/>
          <w:szCs w:val="24"/>
        </w:rPr>
      </w:pPr>
      <w:r w:rsidRPr="00A772F4">
        <w:rPr>
          <w:rFonts w:ascii="Arial"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0645BF" w:rsidRPr="00050FDE" w:rsidRDefault="000645BF" w:rsidP="000645BF">
      <w:pPr>
        <w:spacing w:after="0" w:line="240" w:lineRule="auto"/>
        <w:ind w:firstLine="708"/>
        <w:jc w:val="both"/>
        <w:rPr>
          <w:rFonts w:ascii="Arial" w:hAnsi="Arial" w:cs="Arial"/>
          <w:sz w:val="24"/>
          <w:szCs w:val="24"/>
        </w:rPr>
      </w:pPr>
      <w:r w:rsidRPr="00050FDE">
        <w:rPr>
          <w:rFonts w:ascii="Arial"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0645BF" w:rsidRDefault="000645BF" w:rsidP="000645BF">
      <w:pPr>
        <w:spacing w:after="0" w:line="240" w:lineRule="auto"/>
        <w:jc w:val="both"/>
        <w:rPr>
          <w:rFonts w:ascii="Arial" w:hAnsi="Arial" w:cs="Arial"/>
          <w:sz w:val="24"/>
          <w:szCs w:val="24"/>
        </w:rPr>
      </w:pPr>
      <w:r w:rsidRPr="00050FDE">
        <w:rPr>
          <w:rFonts w:ascii="Arial" w:hAnsi="Arial" w:cs="Arial"/>
          <w:sz w:val="24"/>
          <w:szCs w:val="24"/>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 xml:space="preserve">În tabelul următor se prezintă </w:t>
      </w:r>
      <w:r w:rsidRPr="00FA5CE1">
        <w:rPr>
          <w:rFonts w:ascii="Arial" w:hAnsi="Arial" w:cs="Arial"/>
          <w:sz w:val="24"/>
          <w:szCs w:val="24"/>
        </w:rPr>
        <w:t xml:space="preserve">evoluţia </w:t>
      </w:r>
      <w:r>
        <w:rPr>
          <w:rFonts w:ascii="Arial" w:hAnsi="Arial" w:cs="Arial"/>
          <w:sz w:val="24"/>
          <w:szCs w:val="24"/>
        </w:rPr>
        <w:t xml:space="preserve">procentuală a </w:t>
      </w:r>
      <w:r w:rsidRPr="00FA5CE1">
        <w:rPr>
          <w:rFonts w:ascii="Arial" w:hAnsi="Arial" w:cs="Arial"/>
          <w:sz w:val="24"/>
          <w:szCs w:val="24"/>
        </w:rPr>
        <w:t>clasificării corpurilor de apă, la nivel naţional, pentru o perioadă de zece ani</w:t>
      </w:r>
      <w:r>
        <w:rPr>
          <w:rFonts w:ascii="Arial" w:hAnsi="Arial" w:cs="Arial"/>
          <w:sz w:val="24"/>
          <w:szCs w:val="24"/>
        </w:rPr>
        <w:t xml:space="preserve"> (2004-2013), observându-se că predomină corpurile de apă naturale.</w:t>
      </w:r>
    </w:p>
    <w:p w:rsidR="000645BF" w:rsidRDefault="000645BF" w:rsidP="000645BF">
      <w:pPr>
        <w:pStyle w:val="Default"/>
        <w:jc w:val="both"/>
        <w:rPr>
          <w:rFonts w:ascii="Arial" w:hAnsi="Arial" w:cs="Arial"/>
          <w:color w:val="auto"/>
        </w:rPr>
      </w:pPr>
      <w:r w:rsidRPr="00532962">
        <w:rPr>
          <w:rFonts w:ascii="Arial" w:hAnsi="Arial" w:cs="Arial"/>
          <w:color w:val="auto"/>
        </w:rPr>
        <w:t xml:space="preserve">Numărul total al corpurilor de apă s-a modificat având în vedere aplicarea criteriilor din Planurile de management ale bazinelor/spațiilor hidrografice, aprobate prin HG nr. 80 pentru aprobarea Planului naţional de management aferent porţiunii din bazinul hidrografic internaţional al fluviului Dunărea care este cuprinsă în teritoriul României și HG nr. 859/2016 pentru aprobarea Planului naţional de management actualizat aferent porţiunii din bazinul hidrografic internaţional al fluviului Dunărea care este cuprinsă în teritoriul României. </w:t>
      </w:r>
    </w:p>
    <w:p w:rsidR="000645BF" w:rsidRDefault="000645BF" w:rsidP="000645BF">
      <w:pPr>
        <w:pStyle w:val="Default"/>
        <w:jc w:val="both"/>
        <w:rPr>
          <w:rFonts w:ascii="Arial" w:hAnsi="Arial" w:cs="Arial"/>
          <w:color w:val="auto"/>
        </w:rPr>
      </w:pPr>
    </w:p>
    <w:p w:rsidR="000645BF" w:rsidRPr="00AB474C" w:rsidRDefault="000645BF" w:rsidP="000645BF">
      <w:pPr>
        <w:spacing w:after="0" w:line="240" w:lineRule="auto"/>
        <w:jc w:val="both"/>
        <w:rPr>
          <w:rFonts w:ascii="Arial" w:hAnsi="Arial" w:cs="Arial"/>
          <w:b/>
          <w:sz w:val="24"/>
          <w:szCs w:val="24"/>
        </w:rPr>
      </w:pPr>
      <w:r w:rsidRPr="00AB474C">
        <w:rPr>
          <w:rFonts w:ascii="Arial" w:hAnsi="Arial" w:cs="Arial"/>
          <w:b/>
          <w:sz w:val="24"/>
          <w:szCs w:val="24"/>
        </w:rPr>
        <w:t>Tabel II.1.1.4.1- Clasificarea corpurilor de apă la nivel național în perioada 2004-2017</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76"/>
        <w:gridCol w:w="2046"/>
        <w:gridCol w:w="1858"/>
        <w:gridCol w:w="2096"/>
        <w:gridCol w:w="1229"/>
      </w:tblGrid>
      <w:tr w:rsidR="000645BF" w:rsidRPr="00870281" w:rsidTr="004E444C">
        <w:trPr>
          <w:trHeight w:val="433"/>
          <w:jc w:val="center"/>
        </w:trPr>
        <w:tc>
          <w:tcPr>
            <w:tcW w:w="1276" w:type="dxa"/>
            <w:vMerge w:val="restart"/>
            <w:shd w:val="clear" w:color="auto" w:fill="B6DDE8"/>
          </w:tcPr>
          <w:p w:rsidR="000645BF" w:rsidRPr="00870281" w:rsidRDefault="000645BF" w:rsidP="004E444C">
            <w:pPr>
              <w:pStyle w:val="Default"/>
              <w:jc w:val="both"/>
              <w:rPr>
                <w:rFonts w:ascii="Arial" w:hAnsi="Arial" w:cs="Arial"/>
                <w:b/>
                <w:color w:val="auto"/>
              </w:rPr>
            </w:pPr>
            <w:r w:rsidRPr="00870281">
              <w:rPr>
                <w:rFonts w:ascii="Arial" w:hAnsi="Arial" w:cs="Arial"/>
                <w:b/>
                <w:color w:val="auto"/>
              </w:rPr>
              <w:t>Anul</w:t>
            </w:r>
          </w:p>
        </w:tc>
        <w:tc>
          <w:tcPr>
            <w:tcW w:w="7229" w:type="dxa"/>
            <w:gridSpan w:val="4"/>
            <w:shd w:val="clear" w:color="auto" w:fill="B6DDE8"/>
          </w:tcPr>
          <w:p w:rsidR="000645BF" w:rsidRPr="00870281" w:rsidRDefault="000645BF" w:rsidP="004E444C">
            <w:pPr>
              <w:pStyle w:val="Default"/>
              <w:jc w:val="both"/>
              <w:rPr>
                <w:rFonts w:ascii="Arial" w:hAnsi="Arial" w:cs="Arial"/>
                <w:b/>
                <w:color w:val="auto"/>
              </w:rPr>
            </w:pPr>
            <w:r w:rsidRPr="00870281">
              <w:rPr>
                <w:rFonts w:ascii="Arial" w:hAnsi="Arial" w:cs="Arial"/>
                <w:b/>
                <w:color w:val="auto"/>
              </w:rPr>
              <w:t>Categoria corpului de apă</w:t>
            </w:r>
          </w:p>
        </w:tc>
      </w:tr>
      <w:tr w:rsidR="000645BF" w:rsidRPr="00870281" w:rsidTr="004E444C">
        <w:trPr>
          <w:jc w:val="center"/>
        </w:trPr>
        <w:tc>
          <w:tcPr>
            <w:tcW w:w="1276" w:type="dxa"/>
            <w:vMerge/>
            <w:shd w:val="clear" w:color="auto" w:fill="B6DDE8"/>
          </w:tcPr>
          <w:p w:rsidR="000645BF" w:rsidRPr="00870281" w:rsidRDefault="000645BF" w:rsidP="004E444C">
            <w:pPr>
              <w:pStyle w:val="Default"/>
              <w:jc w:val="both"/>
              <w:rPr>
                <w:rFonts w:ascii="Arial" w:hAnsi="Arial" w:cs="Arial"/>
                <w:color w:val="auto"/>
              </w:rPr>
            </w:pPr>
          </w:p>
        </w:tc>
        <w:tc>
          <w:tcPr>
            <w:tcW w:w="2046" w:type="dxa"/>
            <w:shd w:val="clear" w:color="auto" w:fill="B6DDE8"/>
          </w:tcPr>
          <w:p w:rsidR="000645BF" w:rsidRPr="00B829E1" w:rsidRDefault="000645BF" w:rsidP="004E444C">
            <w:pPr>
              <w:pStyle w:val="Default"/>
              <w:jc w:val="both"/>
              <w:rPr>
                <w:rFonts w:ascii="Arial" w:hAnsi="Arial" w:cs="Arial"/>
                <w:b/>
                <w:color w:val="auto"/>
                <w:sz w:val="22"/>
                <w:szCs w:val="22"/>
              </w:rPr>
            </w:pPr>
            <w:r w:rsidRPr="00B829E1">
              <w:rPr>
                <w:rFonts w:ascii="Arial" w:hAnsi="Arial" w:cs="Arial"/>
                <w:b/>
                <w:color w:val="auto"/>
                <w:sz w:val="22"/>
                <w:szCs w:val="22"/>
              </w:rPr>
              <w:t>% nr. corpuri de apă naturale</w:t>
            </w:r>
          </w:p>
        </w:tc>
        <w:tc>
          <w:tcPr>
            <w:tcW w:w="1858" w:type="dxa"/>
            <w:shd w:val="clear" w:color="auto" w:fill="B6DDE8"/>
          </w:tcPr>
          <w:p w:rsidR="000645BF" w:rsidRPr="00B829E1" w:rsidRDefault="000645BF" w:rsidP="004E444C">
            <w:pPr>
              <w:pStyle w:val="Default"/>
              <w:rPr>
                <w:rFonts w:ascii="Arial" w:hAnsi="Arial" w:cs="Arial"/>
                <w:b/>
                <w:color w:val="auto"/>
                <w:sz w:val="22"/>
                <w:szCs w:val="22"/>
              </w:rPr>
            </w:pPr>
            <w:r w:rsidRPr="00B829E1">
              <w:rPr>
                <w:rFonts w:ascii="Arial" w:hAnsi="Arial" w:cs="Arial"/>
                <w:b/>
                <w:color w:val="auto"/>
                <w:sz w:val="22"/>
                <w:szCs w:val="22"/>
              </w:rPr>
              <w:t>% nr. corpuri deapă artificiale</w:t>
            </w:r>
          </w:p>
        </w:tc>
        <w:tc>
          <w:tcPr>
            <w:tcW w:w="2096" w:type="dxa"/>
            <w:shd w:val="clear" w:color="auto" w:fill="B6DDE8"/>
          </w:tcPr>
          <w:p w:rsidR="000645BF" w:rsidRPr="00B829E1" w:rsidRDefault="000645BF" w:rsidP="004E444C">
            <w:pPr>
              <w:pStyle w:val="Default"/>
              <w:rPr>
                <w:rFonts w:ascii="Arial" w:hAnsi="Arial" w:cs="Arial"/>
                <w:b/>
                <w:color w:val="auto"/>
                <w:sz w:val="22"/>
                <w:szCs w:val="22"/>
              </w:rPr>
            </w:pPr>
            <w:r w:rsidRPr="00B829E1">
              <w:rPr>
                <w:rFonts w:ascii="Arial" w:hAnsi="Arial" w:cs="Arial"/>
                <w:b/>
                <w:color w:val="auto"/>
                <w:sz w:val="22"/>
                <w:szCs w:val="22"/>
              </w:rPr>
              <w:t>% nr. corpuri de apă puternic modificate</w:t>
            </w:r>
          </w:p>
        </w:tc>
        <w:tc>
          <w:tcPr>
            <w:tcW w:w="1229" w:type="dxa"/>
            <w:shd w:val="clear" w:color="auto" w:fill="B6DDE8"/>
          </w:tcPr>
          <w:p w:rsidR="000645BF" w:rsidRPr="00B829E1" w:rsidRDefault="000645BF" w:rsidP="004E444C">
            <w:pPr>
              <w:pStyle w:val="Default"/>
              <w:jc w:val="both"/>
              <w:rPr>
                <w:rFonts w:ascii="Arial" w:hAnsi="Arial" w:cs="Arial"/>
                <w:b/>
                <w:color w:val="auto"/>
                <w:sz w:val="22"/>
                <w:szCs w:val="22"/>
              </w:rPr>
            </w:pPr>
            <w:r w:rsidRPr="00B829E1">
              <w:rPr>
                <w:rFonts w:ascii="Arial" w:hAnsi="Arial" w:cs="Arial"/>
                <w:b/>
                <w:color w:val="auto"/>
                <w:sz w:val="22"/>
                <w:szCs w:val="22"/>
              </w:rPr>
              <w:t>Total</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2004</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76,91</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2,07</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 xml:space="preserve"> 21,03*</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2007</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82,11</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2,79</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15,09</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2012</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80,86</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3,01</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16,13</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2013</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81,64</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2,43</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15,93</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2015</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81,60</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2,28</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16,12</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2016</w:t>
            </w:r>
          </w:p>
        </w:tc>
        <w:tc>
          <w:tcPr>
            <w:tcW w:w="204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rPr>
              <w:t>81,60</w:t>
            </w:r>
          </w:p>
        </w:tc>
        <w:tc>
          <w:tcPr>
            <w:tcW w:w="1858"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rPr>
              <w:t>2,28</w:t>
            </w:r>
          </w:p>
        </w:tc>
        <w:tc>
          <w:tcPr>
            <w:tcW w:w="209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rPr>
              <w:t>16,12</w:t>
            </w:r>
          </w:p>
        </w:tc>
        <w:tc>
          <w:tcPr>
            <w:tcW w:w="1229"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rPr>
              <w:t>100</w:t>
            </w:r>
          </w:p>
        </w:tc>
      </w:tr>
      <w:tr w:rsidR="000645BF" w:rsidRPr="00870281" w:rsidTr="004E444C">
        <w:trPr>
          <w:jc w:val="center"/>
        </w:trPr>
        <w:tc>
          <w:tcPr>
            <w:tcW w:w="1276" w:type="dxa"/>
            <w:shd w:val="clear" w:color="auto" w:fill="auto"/>
          </w:tcPr>
          <w:p w:rsidR="000645BF" w:rsidRPr="00870281" w:rsidRDefault="000645BF" w:rsidP="004E444C">
            <w:pPr>
              <w:pStyle w:val="Default"/>
              <w:jc w:val="both"/>
              <w:rPr>
                <w:rFonts w:ascii="Arial" w:hAnsi="Arial" w:cs="Arial"/>
                <w:color w:val="auto"/>
              </w:rPr>
            </w:pPr>
            <w:r w:rsidRPr="00870281">
              <w:rPr>
                <w:rFonts w:ascii="Arial" w:hAnsi="Arial" w:cs="Arial"/>
                <w:color w:val="auto"/>
              </w:rPr>
              <w:t>2017</w:t>
            </w:r>
          </w:p>
        </w:tc>
        <w:tc>
          <w:tcPr>
            <w:tcW w:w="2046" w:type="dxa"/>
            <w:shd w:val="clear" w:color="auto" w:fill="auto"/>
          </w:tcPr>
          <w:p w:rsidR="000645BF" w:rsidRPr="00870281" w:rsidRDefault="000645BF" w:rsidP="004E444C">
            <w:pPr>
              <w:pStyle w:val="Default"/>
              <w:jc w:val="both"/>
              <w:rPr>
                <w:rFonts w:ascii="Arial" w:hAnsi="Arial" w:cs="Arial"/>
              </w:rPr>
            </w:pPr>
            <w:r w:rsidRPr="00870281">
              <w:rPr>
                <w:rFonts w:ascii="Arial" w:hAnsi="Arial" w:cs="Arial"/>
              </w:rPr>
              <w:t>81,60</w:t>
            </w:r>
          </w:p>
        </w:tc>
        <w:tc>
          <w:tcPr>
            <w:tcW w:w="1858" w:type="dxa"/>
            <w:shd w:val="clear" w:color="auto" w:fill="auto"/>
          </w:tcPr>
          <w:p w:rsidR="000645BF" w:rsidRPr="00870281" w:rsidRDefault="000645BF" w:rsidP="004E444C">
            <w:pPr>
              <w:pStyle w:val="Default"/>
              <w:jc w:val="both"/>
              <w:rPr>
                <w:rFonts w:ascii="Arial" w:hAnsi="Arial" w:cs="Arial"/>
              </w:rPr>
            </w:pPr>
            <w:r w:rsidRPr="00870281">
              <w:rPr>
                <w:rFonts w:ascii="Arial" w:hAnsi="Arial" w:cs="Arial"/>
              </w:rPr>
              <w:t>2,28</w:t>
            </w:r>
          </w:p>
        </w:tc>
        <w:tc>
          <w:tcPr>
            <w:tcW w:w="2096" w:type="dxa"/>
            <w:shd w:val="clear" w:color="auto" w:fill="auto"/>
          </w:tcPr>
          <w:p w:rsidR="000645BF" w:rsidRPr="00870281" w:rsidRDefault="000645BF" w:rsidP="004E444C">
            <w:pPr>
              <w:pStyle w:val="Default"/>
              <w:jc w:val="both"/>
              <w:rPr>
                <w:rFonts w:ascii="Arial" w:hAnsi="Arial" w:cs="Arial"/>
              </w:rPr>
            </w:pPr>
            <w:r w:rsidRPr="00870281">
              <w:rPr>
                <w:rFonts w:ascii="Arial" w:hAnsi="Arial" w:cs="Arial"/>
              </w:rPr>
              <w:t>16,12</w:t>
            </w:r>
          </w:p>
        </w:tc>
        <w:tc>
          <w:tcPr>
            <w:tcW w:w="1229" w:type="dxa"/>
            <w:shd w:val="clear" w:color="auto" w:fill="auto"/>
          </w:tcPr>
          <w:p w:rsidR="000645BF" w:rsidRPr="00870281" w:rsidRDefault="000645BF" w:rsidP="004E444C">
            <w:pPr>
              <w:pStyle w:val="Default"/>
              <w:jc w:val="both"/>
              <w:rPr>
                <w:rFonts w:ascii="Arial" w:hAnsi="Arial" w:cs="Arial"/>
              </w:rPr>
            </w:pPr>
            <w:r w:rsidRPr="00870281">
              <w:rPr>
                <w:rFonts w:ascii="Arial" w:hAnsi="Arial" w:cs="Arial"/>
              </w:rPr>
              <w:t>100</w:t>
            </w:r>
          </w:p>
        </w:tc>
      </w:tr>
    </w:tbl>
    <w:p w:rsidR="000645BF" w:rsidRPr="00A772F4" w:rsidRDefault="000645BF" w:rsidP="000645BF">
      <w:pPr>
        <w:spacing w:after="0" w:line="240" w:lineRule="auto"/>
        <w:jc w:val="both"/>
        <w:rPr>
          <w:rFonts w:ascii="Arial" w:hAnsi="Arial" w:cs="Arial"/>
          <w:i/>
          <w:sz w:val="20"/>
          <w:szCs w:val="20"/>
        </w:rPr>
      </w:pPr>
      <w:r w:rsidRPr="00A772F4">
        <w:rPr>
          <w:rFonts w:ascii="Arial" w:hAnsi="Arial" w:cs="Arial"/>
          <w:i/>
          <w:sz w:val="20"/>
          <w:szCs w:val="20"/>
        </w:rPr>
        <w:t xml:space="preserve">* inclusiv corpurile de apă </w:t>
      </w:r>
      <w:r>
        <w:rPr>
          <w:rFonts w:ascii="Arial" w:hAnsi="Arial" w:cs="Arial"/>
          <w:i/>
          <w:sz w:val="20"/>
          <w:szCs w:val="20"/>
        </w:rPr>
        <w:t>considerate posibil a fi puternic modificate, conform nivelului de informații disponibile la acel moment (2004)</w:t>
      </w:r>
    </w:p>
    <w:p w:rsidR="000645BF" w:rsidRPr="000212F7" w:rsidRDefault="000645BF" w:rsidP="000645BF">
      <w:pPr>
        <w:spacing w:after="0" w:line="240" w:lineRule="auto"/>
        <w:jc w:val="both"/>
        <w:rPr>
          <w:rFonts w:ascii="Arial" w:hAnsi="Arial" w:cs="Arial"/>
          <w:i/>
          <w:sz w:val="20"/>
          <w:szCs w:val="20"/>
        </w:rPr>
      </w:pPr>
      <w:r w:rsidRPr="000212F7">
        <w:rPr>
          <w:rFonts w:ascii="Arial" w:hAnsi="Arial" w:cs="Arial"/>
          <w:i/>
          <w:sz w:val="20"/>
          <w:szCs w:val="20"/>
        </w:rPr>
        <w:t>(Sursa datelor: Administrația Națională „Apele Române”, rapoarte conform cerințelor art. 5 și 13 ale Directivei Cadru Apă 2000/60/CE)Reactualizarea clasificării  și numărului corpurilor de apă se va realiza pentru pregătirea celui de-al treilea ciclu de planificare odată  cu aplicarea  cerințelor art. 13 al Directivei cadru Apă 2000/60/CE.</w:t>
      </w:r>
    </w:p>
    <w:p w:rsidR="000645BF" w:rsidRDefault="000645BF" w:rsidP="000645BF">
      <w:pPr>
        <w:spacing w:after="0" w:line="240" w:lineRule="auto"/>
        <w:ind w:firstLine="708"/>
        <w:jc w:val="both"/>
        <w:rPr>
          <w:rFonts w:ascii="Arial" w:hAnsi="Arial" w:cs="Arial"/>
          <w:sz w:val="24"/>
          <w:szCs w:val="24"/>
        </w:rPr>
      </w:pPr>
    </w:p>
    <w:p w:rsidR="000645BF" w:rsidRPr="002864EB" w:rsidRDefault="000645BF" w:rsidP="000645BF">
      <w:pPr>
        <w:spacing w:after="0" w:line="240" w:lineRule="auto"/>
        <w:ind w:firstLine="708"/>
        <w:jc w:val="both"/>
        <w:rPr>
          <w:rFonts w:ascii="Arial" w:hAnsi="Arial" w:cs="Arial"/>
          <w:sz w:val="24"/>
          <w:szCs w:val="24"/>
        </w:rPr>
      </w:pPr>
      <w:r w:rsidRPr="00A10E81">
        <w:rPr>
          <w:rFonts w:ascii="Arial" w:hAnsi="Arial" w:cs="Arial"/>
          <w:sz w:val="24"/>
          <w:szCs w:val="24"/>
        </w:rPr>
        <w:t>Criteriile pentru identificarea presiunilor hidromorfologice utilizate în Planul Național de Management aprobat prin H.G. nr.80/2011 (definite în cadrul Proiectului Regional UNDP-GEF al Dunării), au fost utilizate și în Planul Național de Management actualizat</w:t>
      </w:r>
      <w:r>
        <w:rPr>
          <w:rFonts w:ascii="Arial" w:hAnsi="Arial" w:cs="Arial"/>
          <w:sz w:val="24"/>
          <w:szCs w:val="24"/>
        </w:rPr>
        <w:t xml:space="preserve"> aprobat prin HG nr. 859/2016</w:t>
      </w:r>
      <w:r w:rsidRPr="00A10E81">
        <w:rPr>
          <w:rFonts w:ascii="Arial" w:hAnsi="Arial" w:cs="Arial"/>
          <w:sz w:val="24"/>
          <w:szCs w:val="24"/>
        </w:rPr>
        <w:t>, ținând cont de intensitatea presiunii, stabilită pe baza unor parametri abiotici, precum și efectul acestora asupra biotei.</w:t>
      </w:r>
      <w:r>
        <w:rPr>
          <w:rFonts w:ascii="Arial" w:hAnsi="Arial" w:cs="Arial"/>
          <w:sz w:val="24"/>
          <w:szCs w:val="24"/>
        </w:rPr>
        <w:t xml:space="preserve"> Astfel, î</w:t>
      </w:r>
      <w:r w:rsidRPr="00497FAC">
        <w:rPr>
          <w:rFonts w:ascii="Arial" w:hAnsi="Arial" w:cs="Arial"/>
          <w:sz w:val="24"/>
          <w:szCs w:val="24"/>
        </w:rPr>
        <w:t xml:space="preserve">n cadrul </w:t>
      </w:r>
      <w:r>
        <w:rPr>
          <w:rFonts w:ascii="Arial" w:hAnsi="Arial" w:cs="Arial"/>
          <w:sz w:val="24"/>
          <w:szCs w:val="24"/>
        </w:rPr>
        <w:t>celui de-al doilea</w:t>
      </w:r>
      <w:r w:rsidRPr="00D01BE4">
        <w:rPr>
          <w:rFonts w:ascii="Arial" w:hAnsi="Arial" w:cs="Arial"/>
          <w:sz w:val="24"/>
          <w:szCs w:val="24"/>
        </w:rPr>
        <w:t xml:space="preserve"> Plan Național de Management al bazinelor/spațiilor hidrografice din România </w:t>
      </w:r>
      <w:r w:rsidRPr="00497FAC">
        <w:rPr>
          <w:rFonts w:ascii="Arial" w:hAnsi="Arial" w:cs="Arial"/>
          <w:sz w:val="24"/>
          <w:szCs w:val="24"/>
        </w:rPr>
        <w:t xml:space="preserve">au fost inventariate </w:t>
      </w:r>
      <w:r>
        <w:rPr>
          <w:rFonts w:ascii="Arial" w:hAnsi="Arial" w:cs="Arial"/>
          <w:sz w:val="24"/>
          <w:szCs w:val="24"/>
        </w:rPr>
        <w:t>t</w:t>
      </w:r>
      <w:r w:rsidRPr="002864EB">
        <w:rPr>
          <w:rFonts w:ascii="Arial" w:hAnsi="Arial" w:cs="Arial"/>
          <w:sz w:val="24"/>
          <w:szCs w:val="24"/>
        </w:rPr>
        <w:t>ipurile de presiuni hidromorfologice potențial semnificative identificate la nivel naţional</w:t>
      </w:r>
      <w:r w:rsidRPr="00D01BE4">
        <w:rPr>
          <w:rFonts w:ascii="Arial" w:hAnsi="Arial" w:cs="Arial"/>
          <w:i/>
          <w:sz w:val="24"/>
          <w:szCs w:val="24"/>
        </w:rPr>
        <w:t>(Tabel II.</w:t>
      </w:r>
      <w:r>
        <w:rPr>
          <w:rFonts w:ascii="Arial" w:hAnsi="Arial" w:cs="Arial"/>
          <w:i/>
          <w:sz w:val="24"/>
          <w:szCs w:val="24"/>
        </w:rPr>
        <w:t>1</w:t>
      </w:r>
      <w:r w:rsidRPr="00D01BE4">
        <w:rPr>
          <w:rFonts w:ascii="Arial" w:hAnsi="Arial" w:cs="Arial"/>
          <w:i/>
          <w:sz w:val="24"/>
          <w:szCs w:val="24"/>
        </w:rPr>
        <w:t>.</w:t>
      </w:r>
      <w:r>
        <w:rPr>
          <w:rFonts w:ascii="Arial" w:hAnsi="Arial" w:cs="Arial"/>
          <w:i/>
          <w:sz w:val="24"/>
          <w:szCs w:val="24"/>
        </w:rPr>
        <w:t>1.4.2</w:t>
      </w:r>
      <w:r w:rsidRPr="00D01BE4">
        <w:rPr>
          <w:rFonts w:ascii="Arial" w:hAnsi="Arial" w:cs="Arial"/>
          <w:i/>
          <w:sz w:val="24"/>
          <w:szCs w:val="24"/>
        </w:rPr>
        <w:t>)</w:t>
      </w:r>
      <w:r>
        <w:rPr>
          <w:rFonts w:ascii="Arial" w:hAnsi="Arial" w:cs="Arial"/>
          <w:sz w:val="24"/>
          <w:szCs w:val="24"/>
        </w:rPr>
        <w:t xml:space="preserve">, </w:t>
      </w:r>
      <w:r w:rsidRPr="002864EB">
        <w:rPr>
          <w:rFonts w:ascii="Arial" w:hAnsi="Arial" w:cs="Arial"/>
          <w:sz w:val="24"/>
          <w:szCs w:val="24"/>
        </w:rPr>
        <w:t xml:space="preserve">datorate următoarelor categorii de lucrări: </w:t>
      </w:r>
    </w:p>
    <w:p w:rsidR="000645BF" w:rsidRPr="00AD7F20" w:rsidRDefault="000645BF" w:rsidP="00EF3940">
      <w:pPr>
        <w:pStyle w:val="ListParagraph"/>
        <w:numPr>
          <w:ilvl w:val="0"/>
          <w:numId w:val="10"/>
        </w:numPr>
        <w:jc w:val="both"/>
        <w:rPr>
          <w:rFonts w:ascii="Arial" w:hAnsi="Arial" w:cs="Arial"/>
        </w:rPr>
      </w:pPr>
      <w:r w:rsidRPr="00AD7F20">
        <w:rPr>
          <w:rFonts w:ascii="Arial" w:hAnsi="Arial" w:cs="Arial"/>
        </w:rPr>
        <w:t>Lucrări de barare transversală situate pe corpul de apă – de tip baraje, praguri de fund, lacuri de acumulare cu suprafețe mai mari de 0,5 km</w:t>
      </w:r>
      <w:r w:rsidRPr="00AD7F20">
        <w:rPr>
          <w:rFonts w:ascii="Arial" w:hAnsi="Arial" w:cs="Arial"/>
          <w:vertAlign w:val="superscript"/>
        </w:rPr>
        <w:t>2</w:t>
      </w:r>
      <w:r w:rsidRPr="00AD7F20">
        <w:rPr>
          <w:rFonts w:ascii="Arial" w:hAnsi="Arial" w:cs="Arial"/>
        </w:rPr>
        <w:t>, cu efecte asupra regimului hidrologic, stabilității albiei, transportului sedimentelor și a migrării biotei, care întrerup conectivitatea longitudinală a corpului de apă;</w:t>
      </w:r>
    </w:p>
    <w:p w:rsidR="000645BF" w:rsidRPr="00AD7F20" w:rsidRDefault="000645BF" w:rsidP="00EF3940">
      <w:pPr>
        <w:pStyle w:val="ListParagraph"/>
        <w:numPr>
          <w:ilvl w:val="0"/>
          <w:numId w:val="10"/>
        </w:numPr>
        <w:jc w:val="both"/>
        <w:rPr>
          <w:rFonts w:ascii="Arial" w:hAnsi="Arial" w:cs="Arial"/>
        </w:rPr>
      </w:pPr>
      <w:r w:rsidRPr="00AD7F20">
        <w:rPr>
          <w:rFonts w:ascii="Arial" w:hAnsi="Arial" w:cs="Arial"/>
        </w:rPr>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p>
    <w:p w:rsidR="000645BF" w:rsidRPr="00AD7F20" w:rsidRDefault="000645BF" w:rsidP="00EF3940">
      <w:pPr>
        <w:pStyle w:val="ListParagraph"/>
        <w:numPr>
          <w:ilvl w:val="0"/>
          <w:numId w:val="10"/>
        </w:numPr>
        <w:jc w:val="both"/>
        <w:rPr>
          <w:rFonts w:ascii="Arial" w:hAnsi="Arial" w:cs="Arial"/>
        </w:rPr>
      </w:pPr>
      <w:r w:rsidRPr="00AD7F20">
        <w:rPr>
          <w:rFonts w:ascii="Arial" w:hAnsi="Arial" w:cs="Arial"/>
        </w:rPr>
        <w:t>Prelevări și restituții/derivații - prize de apă, restituții folosințe (evacuări), derivații cu efecte asupra curgerii minime, stabilității albiei și biotei;</w:t>
      </w:r>
    </w:p>
    <w:p w:rsidR="000645BF" w:rsidRPr="00F42388" w:rsidRDefault="000645BF" w:rsidP="00EF3940">
      <w:pPr>
        <w:pStyle w:val="ListParagraph"/>
        <w:numPr>
          <w:ilvl w:val="0"/>
          <w:numId w:val="11"/>
        </w:numPr>
        <w:jc w:val="both"/>
        <w:rPr>
          <w:rFonts w:ascii="Arial" w:hAnsi="Arial" w:cs="Arial"/>
        </w:rPr>
      </w:pPr>
      <w:r w:rsidRPr="00F42388">
        <w:rPr>
          <w:rFonts w:ascii="Arial" w:hAnsi="Arial" w:cs="Arial"/>
        </w:rPr>
        <w:t>Canale navigabile – cu efecte asupra stabilității albiei și biotei.</w:t>
      </w:r>
    </w:p>
    <w:p w:rsidR="000645BF" w:rsidRDefault="000645BF" w:rsidP="000645BF">
      <w:pPr>
        <w:spacing w:after="0" w:line="240" w:lineRule="auto"/>
        <w:jc w:val="both"/>
        <w:rPr>
          <w:rFonts w:ascii="Arial" w:hAnsi="Arial" w:cs="Arial"/>
          <w:i/>
          <w:sz w:val="20"/>
          <w:szCs w:val="20"/>
        </w:rPr>
      </w:pPr>
      <w:r>
        <w:rPr>
          <w:rFonts w:ascii="Arial" w:hAnsi="Arial" w:cs="Arial"/>
          <w:sz w:val="24"/>
          <w:szCs w:val="24"/>
        </w:rPr>
        <w:t xml:space="preserve">Aceste lucrări au fost </w:t>
      </w:r>
      <w:r w:rsidRPr="00497FAC">
        <w:rPr>
          <w:rFonts w:ascii="Arial" w:hAnsi="Arial" w:cs="Arial"/>
          <w:sz w:val="24"/>
          <w:szCs w:val="24"/>
        </w:rPr>
        <w:t>executate pe corpurile de apă în diverse scopuri</w:t>
      </w:r>
      <w:r>
        <w:rPr>
          <w:rFonts w:ascii="Arial" w:hAnsi="Arial" w:cs="Arial"/>
          <w:sz w:val="24"/>
          <w:szCs w:val="24"/>
        </w:rPr>
        <w:t>, și anume:</w:t>
      </w:r>
      <w:r w:rsidRPr="00497FAC">
        <w:rPr>
          <w:rFonts w:ascii="Arial" w:hAnsi="Arial" w:cs="Arial"/>
          <w:sz w:val="24"/>
          <w:szCs w:val="24"/>
        </w:rPr>
        <w:t xml:space="preserve"> asigurarea cerinţei de apă, regularizarea debitelor naturale, apărarea împotriva efectelor distructive ale apelor, producerea energiei electrice, combate</w:t>
      </w:r>
      <w:r>
        <w:rPr>
          <w:rFonts w:ascii="Arial" w:hAnsi="Arial" w:cs="Arial"/>
          <w:sz w:val="24"/>
          <w:szCs w:val="24"/>
        </w:rPr>
        <w:t>rea excesului de umiditate, etc</w:t>
      </w:r>
      <w:r w:rsidRPr="00497FAC">
        <w:rPr>
          <w:rFonts w:ascii="Arial" w:hAnsi="Arial" w:cs="Arial"/>
          <w:sz w:val="24"/>
          <w:szCs w:val="24"/>
        </w:rPr>
        <w:t>, cu efecte funcţionale pentru comunităţile umane</w:t>
      </w:r>
      <w:r>
        <w:rPr>
          <w:rFonts w:ascii="Arial" w:hAnsi="Arial" w:cs="Arial"/>
          <w:sz w:val="24"/>
          <w:szCs w:val="24"/>
        </w:rPr>
        <w:t xml:space="preserve"> (</w:t>
      </w:r>
      <w:r w:rsidRPr="004E2E25">
        <w:rPr>
          <w:rFonts w:ascii="Arial" w:hAnsi="Arial" w:cs="Arial"/>
          <w:sz w:val="24"/>
          <w:szCs w:val="24"/>
        </w:rPr>
        <w:t>alimentare cu apă potabilă şi industrială, irigaţii,</w:t>
      </w:r>
      <w:r>
        <w:rPr>
          <w:rFonts w:ascii="Arial" w:hAnsi="Arial" w:cs="Arial"/>
          <w:sz w:val="24"/>
          <w:szCs w:val="24"/>
        </w:rPr>
        <w:t xml:space="preserve"> etc.)</w:t>
      </w:r>
      <w:r w:rsidRPr="004E2E25">
        <w:rPr>
          <w:rFonts w:ascii="Arial" w:hAnsi="Arial" w:cs="Arial"/>
          <w:sz w:val="24"/>
          <w:szCs w:val="24"/>
        </w:rPr>
        <w:t>.</w:t>
      </w:r>
    </w:p>
    <w:p w:rsidR="000645BF" w:rsidRPr="00497FAC" w:rsidRDefault="000645BF" w:rsidP="000645BF">
      <w:pPr>
        <w:spacing w:after="0" w:line="240" w:lineRule="auto"/>
        <w:ind w:firstLine="708"/>
        <w:jc w:val="both"/>
        <w:rPr>
          <w:rFonts w:ascii="Arial" w:hAnsi="Arial" w:cs="Arial"/>
          <w:sz w:val="24"/>
          <w:szCs w:val="24"/>
        </w:rPr>
      </w:pPr>
      <w:r w:rsidRPr="00497FAC">
        <w:rPr>
          <w:rFonts w:ascii="Arial" w:hAnsi="Arial" w:cs="Arial"/>
          <w:sz w:val="24"/>
          <w:szCs w:val="24"/>
        </w:rPr>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0645BF" w:rsidRDefault="000645BF" w:rsidP="000645BF">
      <w:pPr>
        <w:spacing w:after="0" w:line="240" w:lineRule="auto"/>
        <w:ind w:firstLine="708"/>
        <w:jc w:val="both"/>
        <w:rPr>
          <w:rFonts w:ascii="Arial" w:hAnsi="Arial" w:cs="Arial"/>
          <w:sz w:val="24"/>
          <w:szCs w:val="24"/>
        </w:rPr>
      </w:pPr>
      <w:r w:rsidRPr="00497FAC">
        <w:rPr>
          <w:rFonts w:ascii="Arial" w:hAnsi="Arial" w:cs="Arial"/>
          <w:sz w:val="24"/>
          <w:szCs w:val="24"/>
        </w:rPr>
        <w:t>În cadrul acţiunilor de dezvoltare a Planu</w:t>
      </w:r>
      <w:r>
        <w:rPr>
          <w:rFonts w:ascii="Arial" w:hAnsi="Arial" w:cs="Arial"/>
          <w:sz w:val="24"/>
          <w:szCs w:val="24"/>
        </w:rPr>
        <w:t xml:space="preserve">rilor </w:t>
      </w:r>
      <w:r w:rsidRPr="00497FAC">
        <w:rPr>
          <w:rFonts w:ascii="Arial" w:hAnsi="Arial" w:cs="Arial"/>
          <w:sz w:val="24"/>
          <w:szCs w:val="24"/>
        </w:rPr>
        <w:t xml:space="preserve">de Amenajare </w:t>
      </w:r>
      <w:r>
        <w:rPr>
          <w:rFonts w:ascii="Arial" w:hAnsi="Arial" w:cs="Arial"/>
          <w:sz w:val="24"/>
          <w:szCs w:val="24"/>
        </w:rPr>
        <w:t xml:space="preserve">ale bazinelor hidrografice și Planurilor </w:t>
      </w:r>
      <w:r w:rsidRPr="00497FAC">
        <w:rPr>
          <w:rFonts w:ascii="Arial" w:hAnsi="Arial" w:cs="Arial"/>
          <w:sz w:val="24"/>
          <w:szCs w:val="24"/>
        </w:rPr>
        <w:t>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w:t>
      </w:r>
    </w:p>
    <w:p w:rsidR="000645BF" w:rsidRDefault="000645BF" w:rsidP="000645BF">
      <w:pPr>
        <w:spacing w:after="0" w:line="240" w:lineRule="auto"/>
        <w:ind w:firstLine="708"/>
        <w:jc w:val="both"/>
        <w:rPr>
          <w:rFonts w:ascii="Arial" w:hAnsi="Arial" w:cs="Arial"/>
          <w:sz w:val="24"/>
          <w:szCs w:val="24"/>
        </w:rPr>
      </w:pPr>
    </w:p>
    <w:p w:rsidR="000645BF" w:rsidRPr="00F96AF3" w:rsidRDefault="000645BF" w:rsidP="000645BF">
      <w:pPr>
        <w:spacing w:after="0" w:line="240" w:lineRule="auto"/>
        <w:ind w:firstLine="708"/>
        <w:jc w:val="both"/>
        <w:rPr>
          <w:rFonts w:ascii="Arial" w:hAnsi="Arial" w:cs="Arial"/>
          <w:sz w:val="24"/>
          <w:szCs w:val="24"/>
          <w:lang w:val="en-US"/>
        </w:rPr>
      </w:pPr>
      <w:r w:rsidRPr="00832181">
        <w:rPr>
          <w:rFonts w:ascii="Arial" w:hAnsi="Arial" w:cs="Arial"/>
          <w:sz w:val="24"/>
          <w:szCs w:val="24"/>
        </w:rPr>
        <w:t xml:space="preserve">Directiva Cadru a Apei subliniază rolul esențial al cantităţii şi dinamicii apei ca suport al calităţii ecosistemelor acvatice şi îndeplinirii obiectivelor de mediu. </w:t>
      </w:r>
      <w:r w:rsidRPr="00F96AF3">
        <w:rPr>
          <w:rFonts w:ascii="Arial" w:hAnsi="Arial" w:cs="Arial"/>
          <w:sz w:val="24"/>
          <w:szCs w:val="24"/>
          <w:lang w:val="en-US"/>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0645BF" w:rsidRPr="00832181" w:rsidRDefault="000645BF" w:rsidP="000645BF">
      <w:pPr>
        <w:spacing w:after="0" w:line="240" w:lineRule="auto"/>
        <w:ind w:firstLine="708"/>
        <w:jc w:val="both"/>
        <w:rPr>
          <w:rFonts w:ascii="Arial" w:hAnsi="Arial" w:cs="Arial"/>
          <w:sz w:val="24"/>
          <w:szCs w:val="24"/>
          <w:lang w:val="en-US"/>
        </w:rPr>
      </w:pPr>
      <w:r w:rsidRPr="00F96AF3">
        <w:rPr>
          <w:rFonts w:ascii="Arial" w:hAnsi="Arial" w:cs="Arial"/>
          <w:sz w:val="24"/>
          <w:szCs w:val="24"/>
          <w:lang w:val="en-US"/>
        </w:rPr>
        <w:lastRenderedPageBreak/>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0645BF" w:rsidRDefault="000645BF" w:rsidP="000645BF">
      <w:pPr>
        <w:spacing w:after="0" w:line="240" w:lineRule="auto"/>
        <w:ind w:firstLine="708"/>
        <w:jc w:val="both"/>
        <w:rPr>
          <w:rFonts w:ascii="Arial" w:hAnsi="Arial" w:cs="Arial"/>
          <w:sz w:val="24"/>
          <w:szCs w:val="24"/>
        </w:rPr>
      </w:pPr>
      <w:r w:rsidRPr="00F96AF3">
        <w:rPr>
          <w:rFonts w:ascii="Arial" w:hAnsi="Arial" w:cs="Arial"/>
          <w:sz w:val="24"/>
          <w:szCs w:val="24"/>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0645BF" w:rsidRDefault="000645BF" w:rsidP="000645BF">
      <w:pPr>
        <w:spacing w:after="0" w:line="240" w:lineRule="auto"/>
        <w:ind w:firstLine="708"/>
        <w:jc w:val="both"/>
        <w:rPr>
          <w:rFonts w:ascii="Arial" w:hAnsi="Arial" w:cs="Arial"/>
          <w:sz w:val="24"/>
          <w:szCs w:val="24"/>
        </w:rPr>
      </w:pPr>
      <w:r w:rsidRPr="00F96AF3">
        <w:rPr>
          <w:rFonts w:ascii="Arial" w:hAnsi="Arial" w:cs="Arial"/>
          <w:sz w:val="24"/>
          <w:szCs w:val="24"/>
        </w:rPr>
        <w:t>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anul 2015.</w:t>
      </w:r>
      <w:r>
        <w:rPr>
          <w:rFonts w:ascii="Arial" w:hAnsi="Arial" w:cs="Arial"/>
          <w:sz w:val="24"/>
          <w:szCs w:val="24"/>
        </w:rPr>
        <w:t xml:space="preserve"> Incepând cu anul 2017, se află în pregătire </w:t>
      </w:r>
      <w:r w:rsidRPr="00832181">
        <w:rPr>
          <w:rFonts w:ascii="Arial" w:hAnsi="Arial" w:cs="Arial"/>
          <w:sz w:val="24"/>
          <w:szCs w:val="24"/>
        </w:rPr>
        <w:t>proiect</w:t>
      </w:r>
      <w:r>
        <w:rPr>
          <w:rFonts w:ascii="Arial" w:hAnsi="Arial" w:cs="Arial"/>
          <w:sz w:val="24"/>
          <w:szCs w:val="24"/>
        </w:rPr>
        <w:t>ul</w:t>
      </w:r>
      <w:r w:rsidRPr="00832181">
        <w:rPr>
          <w:rFonts w:ascii="Arial" w:hAnsi="Arial" w:cs="Arial"/>
          <w:sz w:val="24"/>
          <w:szCs w:val="24"/>
        </w:rPr>
        <w:t xml:space="preserve"> de act normativ </w:t>
      </w:r>
      <w:r>
        <w:rPr>
          <w:rFonts w:ascii="Arial" w:hAnsi="Arial" w:cs="Arial"/>
          <w:sz w:val="24"/>
          <w:szCs w:val="24"/>
        </w:rPr>
        <w:t xml:space="preserve">prin care </w:t>
      </w:r>
      <w:r w:rsidRPr="00832181">
        <w:rPr>
          <w:rFonts w:ascii="Arial" w:hAnsi="Arial" w:cs="Arial"/>
          <w:sz w:val="24"/>
          <w:szCs w:val="24"/>
        </w:rPr>
        <w:t>se propune aprobarea prin hotărâre a Guvernului a Metodologiei pentru determinarea debitului ecologic.</w:t>
      </w:r>
    </w:p>
    <w:p w:rsidR="000645BF" w:rsidRDefault="000645BF" w:rsidP="000645BF">
      <w:pPr>
        <w:pStyle w:val="Default"/>
        <w:jc w:val="both"/>
        <w:rPr>
          <w:rFonts w:ascii="Arial" w:hAnsi="Arial" w:cs="Arial"/>
          <w:b/>
          <w:bCs/>
          <w:color w:val="auto"/>
        </w:rPr>
      </w:pPr>
    </w:p>
    <w:p w:rsidR="000645BF" w:rsidRPr="00480678" w:rsidRDefault="000645BF" w:rsidP="000645BF">
      <w:pPr>
        <w:pStyle w:val="Default"/>
        <w:jc w:val="both"/>
        <w:rPr>
          <w:rFonts w:ascii="Arial" w:hAnsi="Arial" w:cs="Arial"/>
          <w:b/>
          <w:color w:val="auto"/>
        </w:rPr>
      </w:pPr>
      <w:r w:rsidRPr="00480678">
        <w:rPr>
          <w:rFonts w:ascii="Arial" w:hAnsi="Arial" w:cs="Arial"/>
          <w:b/>
          <w:color w:val="auto"/>
        </w:rPr>
        <w:t xml:space="preserve">Clasificarea corpurilor de apă la nivelul județului </w:t>
      </w:r>
      <w:r>
        <w:rPr>
          <w:rFonts w:ascii="Arial" w:hAnsi="Arial" w:cs="Arial"/>
          <w:b/>
          <w:color w:val="auto"/>
        </w:rPr>
        <w:t>Brăila</w:t>
      </w:r>
    </w:p>
    <w:p w:rsidR="000645BF" w:rsidRPr="00E92120" w:rsidRDefault="000645BF" w:rsidP="000645BF">
      <w:pPr>
        <w:pStyle w:val="Default"/>
        <w:ind w:firstLine="708"/>
        <w:jc w:val="both"/>
        <w:rPr>
          <w:rFonts w:ascii="Arial" w:hAnsi="Arial" w:cs="Arial"/>
          <w:color w:val="auto"/>
        </w:rPr>
      </w:pPr>
      <w:r w:rsidRPr="00E92120">
        <w:rPr>
          <w:rFonts w:ascii="Arial" w:hAnsi="Arial" w:cs="Arial"/>
        </w:rPr>
        <w:t xml:space="preserve">Apele curgătoare de </w:t>
      </w:r>
      <w:r>
        <w:rPr>
          <w:rFonts w:ascii="Arial" w:hAnsi="Arial" w:cs="Arial"/>
        </w:rPr>
        <w:t xml:space="preserve">pe teritoriul judeţului Brăila sunt reprezentate de </w:t>
      </w:r>
      <w:r w:rsidRPr="00E92120">
        <w:rPr>
          <w:rFonts w:ascii="Arial" w:hAnsi="Arial" w:cs="Arial"/>
        </w:rPr>
        <w:t xml:space="preserve">fluviul Dunărea, râurile Siret, Buzău şi Călmăţui. </w:t>
      </w:r>
      <w:r>
        <w:rPr>
          <w:rFonts w:ascii="Arial" w:hAnsi="Arial" w:cs="Arial"/>
        </w:rPr>
        <w:t xml:space="preserve">Acestea se încadrează în </w:t>
      </w:r>
      <w:r w:rsidRPr="00E92120">
        <w:rPr>
          <w:rFonts w:ascii="Arial" w:hAnsi="Arial" w:cs="Arial"/>
          <w:b/>
          <w:bCs/>
          <w:color w:val="auto"/>
        </w:rPr>
        <w:t>Categori</w:t>
      </w:r>
      <w:r>
        <w:rPr>
          <w:rFonts w:ascii="Arial" w:hAnsi="Arial" w:cs="Arial"/>
          <w:b/>
          <w:bCs/>
          <w:color w:val="auto"/>
        </w:rPr>
        <w:t>a</w:t>
      </w:r>
      <w:r w:rsidRPr="00E92120">
        <w:rPr>
          <w:rFonts w:ascii="Arial" w:hAnsi="Arial" w:cs="Arial"/>
          <w:b/>
          <w:bCs/>
          <w:color w:val="auto"/>
        </w:rPr>
        <w:t xml:space="preserve"> de corpuri de apă</w:t>
      </w:r>
      <w:r>
        <w:rPr>
          <w:rFonts w:ascii="Arial" w:hAnsi="Arial" w:cs="Arial"/>
          <w:b/>
          <w:bCs/>
          <w:color w:val="auto"/>
        </w:rPr>
        <w:t xml:space="preserve"> naturale/cvasinaturale.</w:t>
      </w:r>
    </w:p>
    <w:p w:rsidR="000645BF" w:rsidRPr="00E92120" w:rsidRDefault="000645BF" w:rsidP="000645BF">
      <w:pPr>
        <w:pStyle w:val="Default"/>
        <w:ind w:firstLine="708"/>
        <w:jc w:val="both"/>
        <w:rPr>
          <w:rFonts w:ascii="Arial" w:hAnsi="Arial" w:cs="Arial"/>
          <w:color w:val="auto"/>
        </w:rPr>
      </w:pPr>
      <w:r w:rsidRPr="00E92120">
        <w:rPr>
          <w:rFonts w:ascii="Arial" w:hAnsi="Arial" w:cs="Arial"/>
          <w:color w:val="auto"/>
        </w:rPr>
        <w:t xml:space="preserve">Nu au existat presiuni caresă afecteze în mod semnificativ caracteristicile </w:t>
      </w:r>
      <w:r>
        <w:rPr>
          <w:rFonts w:ascii="Arial" w:hAnsi="Arial" w:cs="Arial"/>
          <w:color w:val="auto"/>
        </w:rPr>
        <w:t>h</w:t>
      </w:r>
      <w:r w:rsidRPr="00E92120">
        <w:rPr>
          <w:rFonts w:ascii="Arial" w:hAnsi="Arial" w:cs="Arial"/>
          <w:color w:val="auto"/>
        </w:rPr>
        <w:t xml:space="preserve">idromorfologice ale cursurilor de apă la nivelul județului </w:t>
      </w:r>
      <w:r>
        <w:rPr>
          <w:rFonts w:ascii="Arial" w:hAnsi="Arial" w:cs="Arial"/>
          <w:color w:val="auto"/>
        </w:rPr>
        <w:t>Brăila</w:t>
      </w:r>
      <w:r w:rsidRPr="00E92120">
        <w:rPr>
          <w:rFonts w:ascii="Arial" w:hAnsi="Arial" w:cs="Arial"/>
          <w:color w:val="auto"/>
        </w:rPr>
        <w:t>, în anul 201</w:t>
      </w:r>
      <w:r>
        <w:rPr>
          <w:rFonts w:ascii="Arial" w:hAnsi="Arial" w:cs="Arial"/>
          <w:color w:val="auto"/>
        </w:rPr>
        <w:t>7</w:t>
      </w:r>
      <w:r w:rsidRPr="00E92120">
        <w:rPr>
          <w:rFonts w:ascii="Arial" w:hAnsi="Arial" w:cs="Arial"/>
          <w:color w:val="auto"/>
        </w:rPr>
        <w:t xml:space="preserve"> și în </w:t>
      </w:r>
      <w:r>
        <w:rPr>
          <w:rFonts w:ascii="Arial" w:hAnsi="Arial" w:cs="Arial"/>
          <w:color w:val="auto"/>
        </w:rPr>
        <w:t>anii anteriori.</w:t>
      </w:r>
    </w:p>
    <w:p w:rsidR="000645BF" w:rsidRDefault="000645BF" w:rsidP="000645BF">
      <w:pPr>
        <w:spacing w:after="0" w:line="240" w:lineRule="auto"/>
        <w:jc w:val="both"/>
        <w:rPr>
          <w:rFonts w:ascii="Arial" w:hAnsi="Arial" w:cs="Arial"/>
          <w:b/>
          <w:bCs/>
          <w:i/>
          <w:iCs/>
          <w:sz w:val="24"/>
          <w:szCs w:val="24"/>
          <w:u w:val="single"/>
        </w:rPr>
      </w:pPr>
    </w:p>
    <w:p w:rsidR="000645BF" w:rsidRDefault="000645BF" w:rsidP="000645BF">
      <w:pPr>
        <w:spacing w:after="0" w:line="240" w:lineRule="auto"/>
        <w:jc w:val="both"/>
        <w:rPr>
          <w:rFonts w:ascii="Arial" w:hAnsi="Arial" w:cs="Arial"/>
          <w:b/>
          <w:bCs/>
          <w:i/>
          <w:iCs/>
          <w:sz w:val="24"/>
          <w:szCs w:val="24"/>
          <w:u w:val="single"/>
        </w:rPr>
      </w:pPr>
      <w:r w:rsidRPr="00E92120">
        <w:rPr>
          <w:rFonts w:ascii="Arial" w:hAnsi="Arial" w:cs="Arial"/>
          <w:b/>
          <w:bCs/>
          <w:i/>
          <w:iCs/>
          <w:sz w:val="24"/>
          <w:szCs w:val="24"/>
          <w:u w:val="single"/>
        </w:rPr>
        <w:t>II.1.2. Prognoze</w:t>
      </w:r>
    </w:p>
    <w:p w:rsidR="000645BF" w:rsidRDefault="000645BF" w:rsidP="000645BF">
      <w:pPr>
        <w:spacing w:after="0" w:line="240" w:lineRule="auto"/>
        <w:jc w:val="both"/>
        <w:rPr>
          <w:rFonts w:ascii="Arial" w:hAnsi="Arial" w:cs="Arial"/>
          <w:b/>
          <w:bCs/>
          <w:i/>
          <w:iCs/>
          <w:sz w:val="24"/>
          <w:szCs w:val="24"/>
          <w:u w:val="single"/>
        </w:rPr>
      </w:pPr>
    </w:p>
    <w:p w:rsidR="000645BF" w:rsidRDefault="000645BF" w:rsidP="000645BF">
      <w:pPr>
        <w:spacing w:after="0" w:line="240" w:lineRule="auto"/>
        <w:jc w:val="both"/>
        <w:rPr>
          <w:rFonts w:ascii="Arial" w:hAnsi="Arial" w:cs="Arial"/>
          <w:b/>
          <w:i/>
          <w:sz w:val="24"/>
          <w:szCs w:val="24"/>
          <w:lang w:val="en-US"/>
        </w:rPr>
      </w:pPr>
      <w:r w:rsidRPr="00C95A7F">
        <w:rPr>
          <w:rFonts w:ascii="Arial" w:hAnsi="Arial" w:cs="Arial"/>
          <w:b/>
          <w:i/>
          <w:sz w:val="26"/>
          <w:szCs w:val="26"/>
          <w:lang w:val="en-US"/>
        </w:rPr>
        <w:t xml:space="preserve">  II.1.2.1 </w:t>
      </w:r>
      <w:r w:rsidRPr="00F43188">
        <w:rPr>
          <w:rFonts w:ascii="Arial" w:hAnsi="Arial" w:cs="Arial"/>
          <w:b/>
          <w:i/>
          <w:sz w:val="24"/>
          <w:szCs w:val="24"/>
          <w:lang w:val="en-US"/>
        </w:rPr>
        <w:t xml:space="preserve">Disponibilitatea,cererea și deficitul resurselor de apă </w:t>
      </w:r>
    </w:p>
    <w:p w:rsidR="000645BF" w:rsidRPr="00C95A7F" w:rsidRDefault="000645BF" w:rsidP="000645BF">
      <w:pPr>
        <w:spacing w:after="0" w:line="240" w:lineRule="auto"/>
        <w:ind w:firstLine="708"/>
        <w:jc w:val="both"/>
        <w:rPr>
          <w:rFonts w:ascii="Arial" w:hAnsi="Arial" w:cs="Arial"/>
          <w:b/>
          <w:i/>
          <w:sz w:val="24"/>
          <w:szCs w:val="24"/>
          <w:lang w:val="en-US"/>
        </w:rPr>
      </w:pPr>
      <w:r w:rsidRPr="00C95A7F">
        <w:rPr>
          <w:rFonts w:ascii="Arial" w:hAnsi="Arial" w:cs="Arial"/>
          <w:b/>
          <w:i/>
          <w:sz w:val="24"/>
          <w:szCs w:val="24"/>
          <w:lang w:val="en-US"/>
        </w:rPr>
        <w:t>Disponibilitatea</w:t>
      </w:r>
      <w:r>
        <w:rPr>
          <w:rFonts w:ascii="Arial" w:hAnsi="Arial" w:cs="Arial"/>
          <w:b/>
          <w:i/>
          <w:sz w:val="24"/>
          <w:szCs w:val="24"/>
          <w:lang w:val="en-US"/>
        </w:rPr>
        <w:t xml:space="preserve"> actuală a </w:t>
      </w:r>
      <w:r w:rsidRPr="00C95A7F">
        <w:rPr>
          <w:rFonts w:ascii="Arial" w:hAnsi="Arial" w:cs="Arial"/>
          <w:b/>
          <w:i/>
          <w:sz w:val="24"/>
          <w:szCs w:val="24"/>
          <w:lang w:val="en-US"/>
        </w:rPr>
        <w:t>resurselor de apă</w:t>
      </w:r>
    </w:p>
    <w:p w:rsidR="000645BF" w:rsidRPr="007105A2" w:rsidRDefault="000645BF" w:rsidP="000645BF">
      <w:pPr>
        <w:pStyle w:val="BodyTextIndent"/>
        <w:spacing w:after="0" w:line="240" w:lineRule="auto"/>
        <w:ind w:left="0" w:firstLine="708"/>
        <w:jc w:val="both"/>
        <w:rPr>
          <w:rFonts w:ascii="Arial" w:hAnsi="Arial" w:cs="Arial"/>
          <w:sz w:val="24"/>
          <w:szCs w:val="24"/>
          <w:lang w:val="ro-RO"/>
        </w:rPr>
      </w:pPr>
      <w:r w:rsidRPr="007105A2">
        <w:rPr>
          <w:rFonts w:ascii="Arial" w:hAnsi="Arial" w:cs="Arial"/>
          <w:sz w:val="24"/>
          <w:szCs w:val="24"/>
          <w:lang w:val="ro-RO"/>
        </w:rPr>
        <w:t>Pentru a determina disponibilitatea resurselor de apă pe bazine hidrografice se face calculul resursei medii de apă (în regim natural și amenajat) pentru perioade caracteristice, în cazul de faţă 1991-201</w:t>
      </w:r>
      <w:r>
        <w:rPr>
          <w:rFonts w:ascii="Arial" w:hAnsi="Arial" w:cs="Arial"/>
          <w:sz w:val="24"/>
          <w:szCs w:val="24"/>
          <w:lang w:val="ro-RO"/>
        </w:rPr>
        <w:t>7</w:t>
      </w:r>
      <w:r w:rsidRPr="007105A2">
        <w:rPr>
          <w:rFonts w:ascii="Arial" w:hAnsi="Arial" w:cs="Arial"/>
          <w:sz w:val="24"/>
          <w:szCs w:val="24"/>
          <w:lang w:val="ro-RO"/>
        </w:rPr>
        <w:t xml:space="preserve">. </w:t>
      </w:r>
    </w:p>
    <w:p w:rsidR="000645BF" w:rsidRPr="007105A2" w:rsidRDefault="000645BF" w:rsidP="000645BF">
      <w:pPr>
        <w:pStyle w:val="BodyTextIndent"/>
        <w:spacing w:after="0" w:line="240" w:lineRule="auto"/>
        <w:ind w:left="0" w:firstLine="708"/>
        <w:jc w:val="both"/>
        <w:rPr>
          <w:rFonts w:ascii="Arial" w:hAnsi="Arial" w:cs="Arial"/>
          <w:sz w:val="24"/>
          <w:szCs w:val="24"/>
          <w:lang w:val="ro-RO"/>
        </w:rPr>
      </w:pPr>
      <w:r w:rsidRPr="007105A2">
        <w:rPr>
          <w:rFonts w:ascii="Arial" w:hAnsi="Arial" w:cs="Arial"/>
          <w:sz w:val="24"/>
          <w:szCs w:val="24"/>
          <w:lang w:val="ro-RO"/>
        </w:rPr>
        <w:t>Scurgerea medie, utilă în gestiunea resurselor de apă, oferă informații asupra potențialului resurselor de apă dintr-un bazin hidrografic, reprezentând cel mai general indicator al acestora.</w:t>
      </w:r>
    </w:p>
    <w:p w:rsidR="000645BF" w:rsidRPr="007105A2" w:rsidRDefault="000645BF" w:rsidP="000645BF">
      <w:pPr>
        <w:pStyle w:val="BodyTextIndent"/>
        <w:spacing w:after="0" w:line="240" w:lineRule="auto"/>
        <w:ind w:left="0" w:firstLine="708"/>
        <w:jc w:val="both"/>
        <w:rPr>
          <w:rFonts w:ascii="Arial" w:hAnsi="Arial" w:cs="Arial"/>
          <w:sz w:val="24"/>
          <w:szCs w:val="24"/>
          <w:lang w:val="ro-RO"/>
        </w:rPr>
      </w:pPr>
      <w:r w:rsidRPr="007105A2">
        <w:rPr>
          <w:rFonts w:ascii="Arial" w:hAnsi="Arial" w:cs="Arial"/>
          <w:sz w:val="24"/>
          <w:szCs w:val="24"/>
          <w:lang w:val="ro-RO"/>
        </w:rPr>
        <w:t xml:space="preserve">În evaluarea resurselor de apă ale râurilor este necesară cunoașterea caracteristicilor scurgerii medii pe o perioadă lungă de timp (peste 20 de ani) care pot fi exprimate sub forma următorilor parametrii: </w:t>
      </w:r>
      <w:r w:rsidRPr="007105A2">
        <w:rPr>
          <w:rFonts w:ascii="Arial" w:hAnsi="Arial" w:cs="Arial"/>
          <w:i/>
          <w:sz w:val="24"/>
          <w:szCs w:val="24"/>
          <w:lang w:val="ro-RO"/>
        </w:rPr>
        <w:t>debitul lichid</w:t>
      </w:r>
      <w:r w:rsidRPr="007105A2">
        <w:rPr>
          <w:rFonts w:ascii="Arial" w:hAnsi="Arial" w:cs="Arial"/>
          <w:sz w:val="24"/>
          <w:szCs w:val="24"/>
          <w:lang w:val="ro-RO"/>
        </w:rPr>
        <w:t xml:space="preserve"> (</w:t>
      </w:r>
      <m:oMath>
        <m:acc>
          <m:accPr>
            <m:chr m:val="̅"/>
            <m:ctrlPr>
              <w:rPr>
                <w:rFonts w:ascii="Cambria Math" w:hAnsi="Arial" w:cs="Arial"/>
                <w:i/>
                <w:sz w:val="24"/>
                <w:szCs w:val="24"/>
                <w:lang w:val="ro-RO"/>
              </w:rPr>
            </m:ctrlPr>
          </m:accPr>
          <m:e>
            <m:r>
              <w:rPr>
                <w:rFonts w:ascii="Cambria Math" w:hAnsi="Cambria Math" w:cs="Arial"/>
                <w:sz w:val="24"/>
                <w:szCs w:val="24"/>
                <w:lang w:val="ro-RO"/>
              </w:rPr>
              <m:t>Q</m:t>
            </m:r>
          </m:e>
        </m:acc>
      </m:oMath>
      <w:r w:rsidRPr="007105A2">
        <w:rPr>
          <w:rFonts w:ascii="Arial" w:hAnsi="Arial" w:cs="Arial"/>
          <w:sz w:val="24"/>
          <w:szCs w:val="24"/>
          <w:lang w:val="ro-RO"/>
        </w:rPr>
        <w:t>, m</w:t>
      </w:r>
      <w:r w:rsidRPr="007105A2">
        <w:rPr>
          <w:rFonts w:ascii="Arial" w:hAnsi="Arial" w:cs="Arial"/>
          <w:sz w:val="24"/>
          <w:szCs w:val="24"/>
          <w:vertAlign w:val="superscript"/>
          <w:lang w:val="ro-RO"/>
        </w:rPr>
        <w:t>3</w:t>
      </w:r>
      <w:r w:rsidRPr="007105A2">
        <w:rPr>
          <w:rFonts w:ascii="Arial" w:hAnsi="Arial" w:cs="Arial"/>
          <w:sz w:val="24"/>
          <w:szCs w:val="24"/>
          <w:lang w:val="ro-RO"/>
        </w:rPr>
        <w:t xml:space="preserve">/s), </w:t>
      </w:r>
      <w:r w:rsidRPr="007105A2">
        <w:rPr>
          <w:rFonts w:ascii="Arial" w:hAnsi="Arial" w:cs="Arial"/>
          <w:i/>
          <w:sz w:val="24"/>
          <w:szCs w:val="24"/>
          <w:lang w:val="ro-RO"/>
        </w:rPr>
        <w:t>debitul de apă mediu specific</w:t>
      </w:r>
      <w:r w:rsidRPr="007105A2">
        <w:rPr>
          <w:rFonts w:ascii="Arial" w:hAnsi="Arial" w:cs="Arial"/>
          <w:sz w:val="24"/>
          <w:szCs w:val="24"/>
          <w:lang w:val="ro-RO"/>
        </w:rPr>
        <w:t xml:space="preserve"> (</w:t>
      </w:r>
      <m:oMath>
        <m:acc>
          <m:accPr>
            <m:chr m:val="̅"/>
            <m:ctrlPr>
              <w:rPr>
                <w:rFonts w:ascii="Cambria Math" w:hAnsi="Arial" w:cs="Arial"/>
                <w:i/>
                <w:sz w:val="24"/>
                <w:szCs w:val="24"/>
                <w:lang w:val="ro-RO"/>
              </w:rPr>
            </m:ctrlPr>
          </m:accPr>
          <m:e>
            <m:r>
              <w:rPr>
                <w:rFonts w:ascii="Cambria Math" w:hAnsi="Cambria Math" w:cs="Arial"/>
                <w:sz w:val="24"/>
                <w:szCs w:val="24"/>
                <w:lang w:val="ro-RO"/>
              </w:rPr>
              <m:t>q</m:t>
            </m:r>
          </m:e>
        </m:acc>
      </m:oMath>
      <w:r w:rsidRPr="007105A2">
        <w:rPr>
          <w:rFonts w:ascii="Arial" w:hAnsi="Arial" w:cs="Arial"/>
          <w:sz w:val="24"/>
          <w:szCs w:val="24"/>
          <w:lang w:val="ro-RO"/>
        </w:rPr>
        <w:t>, l/s/km</w:t>
      </w:r>
      <w:r w:rsidRPr="007105A2">
        <w:rPr>
          <w:rFonts w:ascii="Arial" w:hAnsi="Arial" w:cs="Arial"/>
          <w:sz w:val="24"/>
          <w:szCs w:val="24"/>
          <w:vertAlign w:val="superscript"/>
          <w:lang w:val="ro-RO"/>
        </w:rPr>
        <w:t>2</w:t>
      </w:r>
      <w:r w:rsidRPr="007105A2">
        <w:rPr>
          <w:rFonts w:ascii="Arial" w:hAnsi="Arial" w:cs="Arial"/>
          <w:sz w:val="24"/>
          <w:szCs w:val="24"/>
          <w:lang w:val="ro-RO"/>
        </w:rPr>
        <w:t xml:space="preserve">), </w:t>
      </w:r>
      <w:r w:rsidRPr="007105A2">
        <w:rPr>
          <w:rFonts w:ascii="Arial" w:hAnsi="Arial" w:cs="Arial"/>
          <w:i/>
          <w:sz w:val="24"/>
          <w:szCs w:val="24"/>
          <w:lang w:val="ro-RO"/>
        </w:rPr>
        <w:t xml:space="preserve">volumul scurgerii medii </w:t>
      </w:r>
      <w:r w:rsidRPr="007105A2">
        <w:rPr>
          <w:rFonts w:ascii="Arial" w:hAnsi="Arial" w:cs="Arial"/>
          <w:sz w:val="24"/>
          <w:szCs w:val="24"/>
          <w:lang w:val="ro-RO"/>
        </w:rPr>
        <w:t>(W, mil.m</w:t>
      </w:r>
      <w:r w:rsidRPr="007105A2">
        <w:rPr>
          <w:rFonts w:ascii="Arial" w:hAnsi="Arial" w:cs="Arial"/>
          <w:sz w:val="24"/>
          <w:szCs w:val="24"/>
          <w:vertAlign w:val="superscript"/>
          <w:lang w:val="ro-RO"/>
        </w:rPr>
        <w:t>3</w:t>
      </w:r>
      <w:r w:rsidRPr="007105A2">
        <w:rPr>
          <w:rFonts w:ascii="Arial" w:hAnsi="Arial" w:cs="Arial"/>
          <w:sz w:val="24"/>
          <w:szCs w:val="24"/>
          <w:lang w:val="ro-RO"/>
        </w:rPr>
        <w:t xml:space="preserve">) și </w:t>
      </w:r>
      <w:r w:rsidRPr="007105A2">
        <w:rPr>
          <w:rFonts w:ascii="Arial" w:hAnsi="Arial" w:cs="Arial"/>
          <w:i/>
          <w:sz w:val="24"/>
          <w:szCs w:val="24"/>
          <w:lang w:val="ro-RO"/>
        </w:rPr>
        <w:t>stratul scurs</w:t>
      </w:r>
      <w:r w:rsidRPr="007105A2">
        <w:rPr>
          <w:rFonts w:ascii="Arial" w:hAnsi="Arial" w:cs="Arial"/>
          <w:sz w:val="24"/>
          <w:szCs w:val="24"/>
          <w:lang w:val="ro-RO"/>
        </w:rPr>
        <w:t xml:space="preserve"> (h, mm).</w:t>
      </w:r>
    </w:p>
    <w:p w:rsidR="000645BF" w:rsidRPr="007105A2" w:rsidRDefault="000645BF" w:rsidP="000645BF">
      <w:pPr>
        <w:pStyle w:val="BodyTextIndent"/>
        <w:spacing w:after="0" w:line="240" w:lineRule="auto"/>
        <w:ind w:left="0" w:firstLine="708"/>
        <w:jc w:val="both"/>
        <w:rPr>
          <w:rFonts w:ascii="Arial" w:hAnsi="Arial" w:cs="Arial"/>
          <w:sz w:val="24"/>
          <w:szCs w:val="24"/>
          <w:lang w:val="ro-RO"/>
        </w:rPr>
      </w:pPr>
      <w:r w:rsidRPr="007105A2">
        <w:rPr>
          <w:rFonts w:ascii="Arial" w:hAnsi="Arial" w:cs="Arial"/>
          <w:sz w:val="24"/>
          <w:szCs w:val="24"/>
          <w:lang w:val="ro-RO"/>
        </w:rPr>
        <w:t>Analiza s-a făcut pe baza debitului mediu și a volumului scurgerii medii lunare și anuale.</w:t>
      </w:r>
      <w:r w:rsidRPr="007105A2">
        <w:rPr>
          <w:rFonts w:ascii="Arial" w:hAnsi="Arial" w:cs="Arial"/>
          <w:i/>
          <w:sz w:val="24"/>
          <w:szCs w:val="24"/>
          <w:lang w:val="ro-RO"/>
        </w:rPr>
        <w:t>Volumul de apă mediu</w:t>
      </w:r>
      <w:r w:rsidRPr="007105A2">
        <w:rPr>
          <w:rFonts w:ascii="Arial" w:hAnsi="Arial" w:cs="Arial"/>
          <w:sz w:val="24"/>
          <w:szCs w:val="24"/>
          <w:lang w:val="ro-RO"/>
        </w:rPr>
        <w:t xml:space="preserve"> sau </w:t>
      </w:r>
      <w:r w:rsidRPr="007105A2">
        <w:rPr>
          <w:rFonts w:ascii="Arial" w:hAnsi="Arial" w:cs="Arial"/>
          <w:i/>
          <w:sz w:val="24"/>
          <w:szCs w:val="24"/>
          <w:lang w:val="ro-RO"/>
        </w:rPr>
        <w:t>resursa de apă medie</w:t>
      </w:r>
      <w:r w:rsidRPr="007105A2">
        <w:rPr>
          <w:rFonts w:ascii="Arial" w:hAnsi="Arial" w:cs="Arial"/>
          <w:sz w:val="24"/>
          <w:szCs w:val="24"/>
          <w:lang w:val="ro-RO"/>
        </w:rPr>
        <w:t xml:space="preserve"> sau </w:t>
      </w:r>
      <w:r w:rsidRPr="007105A2">
        <w:rPr>
          <w:rFonts w:ascii="Arial" w:hAnsi="Arial" w:cs="Arial"/>
          <w:i/>
          <w:sz w:val="24"/>
          <w:szCs w:val="24"/>
          <w:lang w:val="ro-RO"/>
        </w:rPr>
        <w:t>stocul mediu</w:t>
      </w:r>
      <w:r w:rsidRPr="007105A2">
        <w:rPr>
          <w:rFonts w:ascii="Arial" w:hAnsi="Arial" w:cs="Arial"/>
          <w:sz w:val="24"/>
          <w:szCs w:val="24"/>
          <w:lang w:val="ro-RO"/>
        </w:rPr>
        <w:t xml:space="preserve"> reprezintă cantitatea de apă transportată de râu într-o anumită perioadă de timp.</w:t>
      </w:r>
    </w:p>
    <w:p w:rsidR="000645BF" w:rsidRPr="007105A2" w:rsidRDefault="000645BF" w:rsidP="000645BF">
      <w:pPr>
        <w:pStyle w:val="BodyTextIndent"/>
        <w:spacing w:after="0" w:line="240" w:lineRule="auto"/>
        <w:ind w:left="0" w:firstLine="708"/>
        <w:jc w:val="both"/>
        <w:rPr>
          <w:rFonts w:ascii="Arial" w:hAnsi="Arial" w:cs="Arial"/>
          <w:sz w:val="24"/>
          <w:szCs w:val="24"/>
          <w:lang w:val="ro-RO"/>
        </w:rPr>
      </w:pPr>
      <w:r w:rsidRPr="007105A2">
        <w:rPr>
          <w:rFonts w:ascii="Arial" w:hAnsi="Arial" w:cs="Arial"/>
          <w:sz w:val="24"/>
          <w:szCs w:val="24"/>
          <w:lang w:val="ro-RO"/>
        </w:rPr>
        <w:t>Datele au fost calculate atât în ipoteza regimului natural cât și influențat (amenajat) de curgere în vederea identificării diferențelor dintre cele două tipuri de regim.</w:t>
      </w:r>
    </w:p>
    <w:p w:rsidR="000645BF" w:rsidRPr="007105A2" w:rsidRDefault="000645BF" w:rsidP="000645BF">
      <w:pPr>
        <w:spacing w:after="0" w:line="240" w:lineRule="auto"/>
        <w:jc w:val="both"/>
        <w:rPr>
          <w:rFonts w:ascii="Arial" w:hAnsi="Arial" w:cs="Arial"/>
          <w:sz w:val="24"/>
          <w:szCs w:val="24"/>
        </w:rPr>
      </w:pPr>
      <w:r w:rsidRPr="007105A2">
        <w:rPr>
          <w:rFonts w:ascii="Arial" w:hAnsi="Arial" w:cs="Arial"/>
          <w:sz w:val="24"/>
          <w:szCs w:val="24"/>
        </w:rPr>
        <w:t>Analiza complexă a datelor scoate în evidență marea variabilitate spațială și temporală a scurgerii medii respectiv a volumul mediu de apă, generată de ansamblul factorilor fizico – geografici.</w:t>
      </w:r>
    </w:p>
    <w:p w:rsidR="000645BF" w:rsidRDefault="000645BF" w:rsidP="000645BF">
      <w:pPr>
        <w:spacing w:after="0" w:line="240" w:lineRule="auto"/>
        <w:ind w:firstLine="708"/>
        <w:jc w:val="both"/>
        <w:rPr>
          <w:rFonts w:ascii="Arial" w:hAnsi="Arial" w:cs="Arial"/>
          <w:sz w:val="24"/>
          <w:szCs w:val="24"/>
        </w:rPr>
      </w:pPr>
      <w:r w:rsidRPr="007105A2">
        <w:rPr>
          <w:rFonts w:ascii="Arial" w:hAnsi="Arial" w:cs="Arial"/>
          <w:sz w:val="24"/>
          <w:szCs w:val="24"/>
        </w:rPr>
        <w:lastRenderedPageBreak/>
        <w:t xml:space="preserve">Evaluarea cât mai corectă a stocului mediu multianual și a distribuției sale pe bazine hidrografice, prezintă o mare importanță pentru activitatea de gospodărire a apelor. O strategie pentru dezvoltarea resurselor de apă, adică acoperirea cerințelor folosințelor de apă în evoluția lor, nu este posibilă fără o cunoaștere cât mai exactă a resurselor de apă. </w:t>
      </w:r>
    </w:p>
    <w:p w:rsidR="000645BF" w:rsidRPr="007105A2" w:rsidRDefault="000645BF" w:rsidP="000645BF">
      <w:pPr>
        <w:spacing w:after="0" w:line="240" w:lineRule="auto"/>
        <w:jc w:val="both"/>
        <w:rPr>
          <w:rFonts w:ascii="Arial" w:hAnsi="Arial" w:cs="Arial"/>
          <w:sz w:val="24"/>
          <w:szCs w:val="24"/>
        </w:rPr>
      </w:pPr>
      <w:r w:rsidRPr="007105A2">
        <w:rPr>
          <w:rFonts w:ascii="Arial" w:hAnsi="Arial" w:cs="Arial"/>
          <w:sz w:val="24"/>
          <w:szCs w:val="24"/>
        </w:rPr>
        <w:t>Dar nici evaluarea potențialului acestor resurse de apă nu este posibilă fără existența unor date hidrologice sigure, determinate pe baza unor valori aduse la zi, pe o perioadă de timp destul de îndelungată pentru a putea include variațiile multianuale ale regimului apelor.</w:t>
      </w:r>
    </w:p>
    <w:p w:rsidR="000645BF" w:rsidRDefault="000645BF" w:rsidP="000645BF">
      <w:pPr>
        <w:spacing w:after="0" w:line="240" w:lineRule="auto"/>
        <w:jc w:val="both"/>
        <w:rPr>
          <w:rFonts w:ascii="Arial" w:hAnsi="Arial" w:cs="Arial"/>
          <w:sz w:val="24"/>
          <w:szCs w:val="24"/>
        </w:rPr>
      </w:pPr>
      <w:r w:rsidRPr="000803A6">
        <w:rPr>
          <w:rFonts w:ascii="Arial" w:hAnsi="Arial" w:cs="Arial"/>
          <w:sz w:val="24"/>
          <w:szCs w:val="24"/>
        </w:rPr>
        <w:t>În tabelul nr. II.1.2.1.1 este prezentată resursa naturală (RN) și în regim amenajat  (actuala-RA) corespunzătoare pentru perioada 1991-2017 pentru principalele bazine hidrografice.</w:t>
      </w:r>
    </w:p>
    <w:p w:rsidR="000645BF" w:rsidRDefault="000645BF" w:rsidP="000645BF">
      <w:pPr>
        <w:spacing w:after="0" w:line="240" w:lineRule="auto"/>
        <w:jc w:val="both"/>
        <w:rPr>
          <w:rFonts w:ascii="Arial" w:hAnsi="Arial" w:cs="Arial"/>
          <w:sz w:val="24"/>
          <w:szCs w:val="24"/>
        </w:rPr>
      </w:pPr>
    </w:p>
    <w:p w:rsidR="000645BF" w:rsidRDefault="000645BF" w:rsidP="000645BF">
      <w:pPr>
        <w:spacing w:after="0" w:line="240" w:lineRule="auto"/>
        <w:jc w:val="both"/>
        <w:rPr>
          <w:rFonts w:ascii="Arial" w:hAnsi="Arial" w:cs="Arial"/>
          <w:sz w:val="24"/>
          <w:szCs w:val="24"/>
        </w:rPr>
      </w:pPr>
      <w:r w:rsidRPr="00607AC2">
        <w:rPr>
          <w:rFonts w:ascii="Arial" w:hAnsi="Arial" w:cs="Arial"/>
          <w:sz w:val="24"/>
          <w:szCs w:val="24"/>
        </w:rPr>
        <w:t>Tabel nr. II.1.2.1.1 Resursa de apă naturală și în regim amenajat la nivel național</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tblPr>
      <w:tblGrid>
        <w:gridCol w:w="3068"/>
        <w:gridCol w:w="1673"/>
        <w:gridCol w:w="1627"/>
      </w:tblGrid>
      <w:tr w:rsidR="000645BF" w:rsidRPr="007027FB" w:rsidTr="004E444C">
        <w:trPr>
          <w:jc w:val="center"/>
        </w:trPr>
        <w:tc>
          <w:tcPr>
            <w:tcW w:w="3068" w:type="dxa"/>
            <w:vMerge w:val="restart"/>
            <w:tcBorders>
              <w:top w:val="single" w:sz="18" w:space="0" w:color="auto"/>
              <w:bottom w:val="single" w:sz="6" w:space="0" w:color="auto"/>
            </w:tcBorders>
            <w:shd w:val="clear" w:color="auto" w:fill="FFFF00"/>
            <w:vAlign w:val="center"/>
          </w:tcPr>
          <w:p w:rsidR="000645BF" w:rsidRPr="007027FB" w:rsidRDefault="000645BF" w:rsidP="004E444C">
            <w:pPr>
              <w:spacing w:after="0" w:line="240" w:lineRule="auto"/>
              <w:jc w:val="both"/>
              <w:rPr>
                <w:rFonts w:ascii="Arial" w:hAnsi="Arial" w:cs="Arial"/>
                <w:sz w:val="24"/>
                <w:szCs w:val="24"/>
              </w:rPr>
            </w:pPr>
            <w:r w:rsidRPr="007027FB">
              <w:rPr>
                <w:rFonts w:ascii="Arial" w:hAnsi="Arial" w:cs="Arial"/>
                <w:sz w:val="24"/>
                <w:szCs w:val="24"/>
              </w:rPr>
              <w:t>Bazinul hidrografic</w:t>
            </w:r>
          </w:p>
        </w:tc>
        <w:tc>
          <w:tcPr>
            <w:tcW w:w="3300" w:type="dxa"/>
            <w:gridSpan w:val="2"/>
            <w:tcBorders>
              <w:top w:val="single" w:sz="18" w:space="0" w:color="auto"/>
              <w:bottom w:val="single" w:sz="6" w:space="0" w:color="auto"/>
            </w:tcBorders>
            <w:shd w:val="clear" w:color="auto" w:fill="FFFF00"/>
            <w:vAlign w:val="center"/>
          </w:tcPr>
          <w:p w:rsidR="000645BF" w:rsidRPr="007027FB" w:rsidRDefault="000645BF" w:rsidP="004E444C">
            <w:pPr>
              <w:spacing w:after="0" w:line="240" w:lineRule="auto"/>
              <w:jc w:val="both"/>
              <w:rPr>
                <w:rFonts w:ascii="Arial" w:hAnsi="Arial" w:cs="Arial"/>
                <w:sz w:val="24"/>
                <w:szCs w:val="24"/>
                <w:lang w:val="fr-BE"/>
              </w:rPr>
            </w:pPr>
            <w:r w:rsidRPr="007027FB">
              <w:rPr>
                <w:rFonts w:ascii="Arial" w:hAnsi="Arial" w:cs="Arial"/>
                <w:sz w:val="24"/>
                <w:szCs w:val="24"/>
                <w:lang w:val="fr-BE"/>
              </w:rPr>
              <w:t>Resursa de apă</w:t>
            </w:r>
          </w:p>
          <w:p w:rsidR="000645BF" w:rsidRPr="007027FB" w:rsidRDefault="000645BF" w:rsidP="004E444C">
            <w:pPr>
              <w:spacing w:after="0" w:line="240" w:lineRule="auto"/>
              <w:jc w:val="both"/>
              <w:rPr>
                <w:rFonts w:ascii="Arial" w:hAnsi="Arial" w:cs="Arial"/>
                <w:sz w:val="24"/>
                <w:szCs w:val="24"/>
                <w:lang w:val="fr-BE"/>
              </w:rPr>
            </w:pPr>
            <w:r w:rsidRPr="007027FB">
              <w:rPr>
                <w:rFonts w:ascii="Arial" w:hAnsi="Arial" w:cs="Arial"/>
                <w:sz w:val="24"/>
                <w:szCs w:val="24"/>
                <w:lang w:val="fr-BE"/>
              </w:rPr>
              <w:t>(mil.mc)</w:t>
            </w:r>
          </w:p>
        </w:tc>
      </w:tr>
      <w:tr w:rsidR="000645BF" w:rsidRPr="007027FB" w:rsidTr="004E444C">
        <w:trPr>
          <w:jc w:val="center"/>
        </w:trPr>
        <w:tc>
          <w:tcPr>
            <w:tcW w:w="3068" w:type="dxa"/>
            <w:vMerge/>
            <w:tcBorders>
              <w:top w:val="single" w:sz="6" w:space="0" w:color="auto"/>
              <w:bottom w:val="single" w:sz="6" w:space="0" w:color="auto"/>
            </w:tcBorders>
            <w:shd w:val="clear" w:color="auto" w:fill="FFFF00"/>
            <w:vAlign w:val="center"/>
          </w:tcPr>
          <w:p w:rsidR="000645BF" w:rsidRPr="007027FB" w:rsidRDefault="000645BF" w:rsidP="004E444C">
            <w:pPr>
              <w:spacing w:after="0" w:line="240" w:lineRule="auto"/>
              <w:jc w:val="both"/>
              <w:rPr>
                <w:rFonts w:ascii="Arial" w:hAnsi="Arial" w:cs="Arial"/>
                <w:sz w:val="24"/>
                <w:szCs w:val="24"/>
                <w:lang w:val="fr-BE"/>
              </w:rPr>
            </w:pPr>
          </w:p>
        </w:tc>
        <w:tc>
          <w:tcPr>
            <w:tcW w:w="1673" w:type="dxa"/>
            <w:tcBorders>
              <w:top w:val="single" w:sz="6" w:space="0" w:color="auto"/>
              <w:bottom w:val="single" w:sz="6" w:space="0" w:color="auto"/>
            </w:tcBorders>
            <w:shd w:val="clear" w:color="auto" w:fill="FFFF00"/>
            <w:vAlign w:val="center"/>
          </w:tcPr>
          <w:p w:rsidR="000645BF" w:rsidRPr="007027FB" w:rsidRDefault="000645BF" w:rsidP="004E444C">
            <w:pPr>
              <w:spacing w:after="0" w:line="240" w:lineRule="auto"/>
              <w:jc w:val="both"/>
              <w:rPr>
                <w:rFonts w:ascii="Arial" w:hAnsi="Arial" w:cs="Arial"/>
                <w:sz w:val="24"/>
                <w:szCs w:val="24"/>
              </w:rPr>
            </w:pPr>
            <w:r w:rsidRPr="007027FB">
              <w:rPr>
                <w:rFonts w:ascii="Arial" w:hAnsi="Arial" w:cs="Arial"/>
                <w:sz w:val="24"/>
                <w:szCs w:val="24"/>
              </w:rPr>
              <w:t>RN</w:t>
            </w:r>
          </w:p>
        </w:tc>
        <w:tc>
          <w:tcPr>
            <w:tcW w:w="1627" w:type="dxa"/>
            <w:tcBorders>
              <w:top w:val="single" w:sz="6" w:space="0" w:color="auto"/>
              <w:bottom w:val="single" w:sz="6" w:space="0" w:color="auto"/>
            </w:tcBorders>
            <w:shd w:val="clear" w:color="auto" w:fill="FFFF00"/>
            <w:vAlign w:val="center"/>
          </w:tcPr>
          <w:p w:rsidR="000645BF" w:rsidRPr="007027FB" w:rsidRDefault="000645BF" w:rsidP="004E444C">
            <w:pPr>
              <w:spacing w:after="0" w:line="240" w:lineRule="auto"/>
              <w:jc w:val="both"/>
              <w:rPr>
                <w:rFonts w:ascii="Arial" w:hAnsi="Arial" w:cs="Arial"/>
                <w:sz w:val="24"/>
                <w:szCs w:val="24"/>
              </w:rPr>
            </w:pPr>
            <w:r w:rsidRPr="007027FB">
              <w:rPr>
                <w:rFonts w:ascii="Arial" w:hAnsi="Arial" w:cs="Arial"/>
                <w:sz w:val="24"/>
                <w:szCs w:val="24"/>
              </w:rPr>
              <w:t>RA</w:t>
            </w:r>
          </w:p>
        </w:tc>
      </w:tr>
      <w:tr w:rsidR="000645BF" w:rsidRPr="007027FB" w:rsidTr="004E444C">
        <w:trPr>
          <w:jc w:val="center"/>
        </w:trPr>
        <w:tc>
          <w:tcPr>
            <w:tcW w:w="3068" w:type="dxa"/>
            <w:tcBorders>
              <w:top w:val="single" w:sz="6" w:space="0" w:color="auto"/>
            </w:tcBorders>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Tisa</w:t>
            </w:r>
          </w:p>
        </w:tc>
        <w:tc>
          <w:tcPr>
            <w:tcW w:w="1673" w:type="dxa"/>
            <w:tcBorders>
              <w:top w:val="single" w:sz="6" w:space="0" w:color="auto"/>
            </w:tcBorders>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2390</w:t>
            </w:r>
          </w:p>
        </w:tc>
        <w:tc>
          <w:tcPr>
            <w:tcW w:w="1627" w:type="dxa"/>
            <w:tcBorders>
              <w:top w:val="single" w:sz="6" w:space="0" w:color="auto"/>
            </w:tcBorders>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2361</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Someş</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4188</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4214</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Crișuri</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2798</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2705</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Mureș</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5762</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5601</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Bega – Timiș - Caraș</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2340</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2311</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Nera – Cerna</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1212</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968</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Jiu</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2925</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2979</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Olt</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4607</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Pr>
                <w:rFonts w:ascii="Arial" w:hAnsi="Arial" w:cs="Arial"/>
                <w:color w:val="000000"/>
                <w:sz w:val="24"/>
                <w:szCs w:val="24"/>
              </w:rPr>
              <w:t>4607</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Vedea</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327</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333</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Argeș</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2386</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2129</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Ialomița</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1319</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1152</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Dunărea</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883</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866</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Siret</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7829</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7350</w:t>
            </w:r>
          </w:p>
        </w:tc>
      </w:tr>
      <w:tr w:rsidR="000645BF" w:rsidRPr="007027FB" w:rsidTr="004E444C">
        <w:trPr>
          <w:jc w:val="center"/>
        </w:trPr>
        <w:tc>
          <w:tcPr>
            <w:tcW w:w="3068" w:type="dxa"/>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Prut</w:t>
            </w:r>
          </w:p>
        </w:tc>
        <w:tc>
          <w:tcPr>
            <w:tcW w:w="1673"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558</w:t>
            </w:r>
          </w:p>
        </w:tc>
        <w:tc>
          <w:tcPr>
            <w:tcW w:w="1627" w:type="dxa"/>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601</w:t>
            </w:r>
          </w:p>
        </w:tc>
      </w:tr>
      <w:tr w:rsidR="000645BF" w:rsidRPr="007027FB" w:rsidTr="004E444C">
        <w:trPr>
          <w:jc w:val="center"/>
        </w:trPr>
        <w:tc>
          <w:tcPr>
            <w:tcW w:w="3068" w:type="dxa"/>
            <w:tcBorders>
              <w:bottom w:val="single" w:sz="18" w:space="0" w:color="auto"/>
            </w:tcBorders>
            <w:vAlign w:val="center"/>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Dobrogea – Litoral</w:t>
            </w:r>
          </w:p>
        </w:tc>
        <w:tc>
          <w:tcPr>
            <w:tcW w:w="1673" w:type="dxa"/>
            <w:tcBorders>
              <w:bottom w:val="single" w:sz="18" w:space="0" w:color="auto"/>
            </w:tcBorders>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103</w:t>
            </w:r>
          </w:p>
        </w:tc>
        <w:tc>
          <w:tcPr>
            <w:tcW w:w="1627" w:type="dxa"/>
            <w:tcBorders>
              <w:bottom w:val="single" w:sz="18" w:space="0" w:color="auto"/>
            </w:tcBorders>
            <w:vAlign w:val="bottom"/>
          </w:tcPr>
          <w:p w:rsidR="000645BF" w:rsidRPr="007027FB" w:rsidRDefault="000645BF" w:rsidP="004E444C">
            <w:pPr>
              <w:spacing w:after="0" w:line="240" w:lineRule="auto"/>
              <w:jc w:val="both"/>
              <w:rPr>
                <w:rFonts w:ascii="Arial" w:hAnsi="Arial" w:cs="Arial"/>
                <w:color w:val="000000"/>
                <w:sz w:val="24"/>
                <w:szCs w:val="24"/>
              </w:rPr>
            </w:pPr>
            <w:r w:rsidRPr="007027FB">
              <w:rPr>
                <w:rFonts w:ascii="Arial" w:hAnsi="Arial" w:cs="Arial"/>
                <w:color w:val="000000"/>
                <w:sz w:val="24"/>
                <w:szCs w:val="24"/>
              </w:rPr>
              <w:t>103</w:t>
            </w:r>
          </w:p>
        </w:tc>
      </w:tr>
      <w:tr w:rsidR="000645BF" w:rsidRPr="007027FB" w:rsidTr="004E444C">
        <w:trPr>
          <w:jc w:val="center"/>
        </w:trPr>
        <w:tc>
          <w:tcPr>
            <w:tcW w:w="3068" w:type="dxa"/>
            <w:tcBorders>
              <w:top w:val="single" w:sz="18" w:space="0" w:color="auto"/>
              <w:bottom w:val="single" w:sz="18" w:space="0" w:color="auto"/>
            </w:tcBorders>
            <w:shd w:val="clear" w:color="auto" w:fill="C0504D" w:themeFill="accent2"/>
            <w:vAlign w:val="center"/>
          </w:tcPr>
          <w:p w:rsidR="000645BF" w:rsidRPr="007027FB" w:rsidRDefault="000645BF" w:rsidP="004E444C">
            <w:pPr>
              <w:spacing w:after="0" w:line="240" w:lineRule="auto"/>
              <w:jc w:val="both"/>
              <w:rPr>
                <w:rFonts w:ascii="Arial" w:hAnsi="Arial" w:cs="Arial"/>
                <w:b/>
                <w:color w:val="000000"/>
                <w:sz w:val="24"/>
                <w:szCs w:val="24"/>
              </w:rPr>
            </w:pPr>
            <w:r w:rsidRPr="007027FB">
              <w:rPr>
                <w:rFonts w:ascii="Arial" w:hAnsi="Arial" w:cs="Arial"/>
                <w:b/>
                <w:color w:val="000000"/>
                <w:sz w:val="24"/>
                <w:szCs w:val="24"/>
              </w:rPr>
              <w:t>Total România</w:t>
            </w:r>
          </w:p>
        </w:tc>
        <w:tc>
          <w:tcPr>
            <w:tcW w:w="1673" w:type="dxa"/>
            <w:tcBorders>
              <w:top w:val="single" w:sz="18" w:space="0" w:color="auto"/>
              <w:bottom w:val="single" w:sz="18" w:space="0" w:color="auto"/>
            </w:tcBorders>
            <w:shd w:val="clear" w:color="auto" w:fill="C0504D" w:themeFill="accent2"/>
            <w:vAlign w:val="bottom"/>
          </w:tcPr>
          <w:p w:rsidR="000645BF" w:rsidRPr="007027FB" w:rsidRDefault="000645BF" w:rsidP="004E444C">
            <w:pPr>
              <w:spacing w:after="0" w:line="240" w:lineRule="auto"/>
              <w:jc w:val="both"/>
              <w:rPr>
                <w:rFonts w:ascii="Arial" w:hAnsi="Arial" w:cs="Arial"/>
                <w:b/>
                <w:color w:val="000000"/>
                <w:sz w:val="24"/>
                <w:szCs w:val="24"/>
              </w:rPr>
            </w:pPr>
            <w:r w:rsidRPr="007027FB">
              <w:rPr>
                <w:rFonts w:ascii="Arial" w:hAnsi="Arial" w:cs="Arial"/>
                <w:b/>
                <w:color w:val="000000"/>
                <w:sz w:val="24"/>
                <w:szCs w:val="24"/>
              </w:rPr>
              <w:t>39627</w:t>
            </w:r>
          </w:p>
        </w:tc>
        <w:tc>
          <w:tcPr>
            <w:tcW w:w="1627" w:type="dxa"/>
            <w:tcBorders>
              <w:top w:val="single" w:sz="18" w:space="0" w:color="auto"/>
              <w:bottom w:val="single" w:sz="18" w:space="0" w:color="auto"/>
            </w:tcBorders>
            <w:shd w:val="clear" w:color="auto" w:fill="C0504D" w:themeFill="accent2"/>
            <w:vAlign w:val="bottom"/>
          </w:tcPr>
          <w:p w:rsidR="000645BF" w:rsidRPr="007027FB" w:rsidRDefault="000645BF" w:rsidP="004E444C">
            <w:pPr>
              <w:spacing w:after="0" w:line="240" w:lineRule="auto"/>
              <w:jc w:val="both"/>
              <w:rPr>
                <w:rFonts w:ascii="Arial" w:hAnsi="Arial" w:cs="Arial"/>
                <w:b/>
                <w:color w:val="000000"/>
                <w:sz w:val="24"/>
                <w:szCs w:val="24"/>
              </w:rPr>
            </w:pPr>
            <w:r w:rsidRPr="007027FB">
              <w:rPr>
                <w:rFonts w:ascii="Arial" w:hAnsi="Arial" w:cs="Arial"/>
                <w:b/>
                <w:color w:val="000000"/>
                <w:sz w:val="24"/>
                <w:szCs w:val="24"/>
              </w:rPr>
              <w:t>38</w:t>
            </w:r>
            <w:r>
              <w:rPr>
                <w:rFonts w:ascii="Arial" w:hAnsi="Arial" w:cs="Arial"/>
                <w:b/>
                <w:color w:val="000000"/>
                <w:sz w:val="24"/>
                <w:szCs w:val="24"/>
              </w:rPr>
              <w:t>279</w:t>
            </w:r>
          </w:p>
        </w:tc>
      </w:tr>
    </w:tbl>
    <w:p w:rsidR="000645BF" w:rsidRPr="0051435E" w:rsidRDefault="000645BF" w:rsidP="000645BF">
      <w:pPr>
        <w:pStyle w:val="BodyTextIndent"/>
        <w:spacing w:after="0" w:line="240" w:lineRule="auto"/>
        <w:ind w:left="0"/>
        <w:jc w:val="both"/>
        <w:rPr>
          <w:rFonts w:ascii="Arial" w:hAnsi="Arial" w:cs="Arial"/>
          <w:sz w:val="24"/>
          <w:szCs w:val="24"/>
          <w:lang w:val="ro-RO"/>
        </w:rPr>
      </w:pPr>
    </w:p>
    <w:p w:rsidR="000645BF" w:rsidRPr="0051435E" w:rsidRDefault="000645BF" w:rsidP="000645BF">
      <w:pPr>
        <w:pStyle w:val="BodyTextIndent"/>
        <w:spacing w:after="0" w:line="240" w:lineRule="auto"/>
        <w:ind w:left="0" w:firstLine="708"/>
        <w:jc w:val="both"/>
        <w:rPr>
          <w:rFonts w:ascii="Arial" w:hAnsi="Arial" w:cs="Arial"/>
          <w:sz w:val="24"/>
          <w:szCs w:val="24"/>
          <w:lang w:val="ro-RO"/>
        </w:rPr>
      </w:pPr>
      <w:r w:rsidRPr="0051435E">
        <w:rPr>
          <w:rFonts w:ascii="Arial" w:hAnsi="Arial" w:cs="Arial"/>
          <w:sz w:val="24"/>
          <w:szCs w:val="24"/>
          <w:lang w:val="ro-RO"/>
        </w:rPr>
        <w:t>Diferența dintre cuantumul resursei naturale (RN) și cea corespunzătoare regimului amenajat (RA) reprezintă debitul efectiv consumat care nu se mai regăsește în rețeaua hidrografică de suprafață.</w:t>
      </w:r>
    </w:p>
    <w:p w:rsidR="000645BF" w:rsidRPr="00C95A7F" w:rsidRDefault="000645BF" w:rsidP="000645BF">
      <w:pPr>
        <w:spacing w:after="0" w:line="240" w:lineRule="auto"/>
        <w:jc w:val="both"/>
        <w:rPr>
          <w:rFonts w:ascii="Arial" w:hAnsi="Arial" w:cs="Arial"/>
          <w:b/>
          <w:i/>
          <w:sz w:val="24"/>
          <w:szCs w:val="24"/>
          <w:lang w:val="en-US"/>
        </w:rPr>
      </w:pPr>
      <w:r w:rsidRPr="00C95A7F">
        <w:rPr>
          <w:rFonts w:ascii="Arial" w:hAnsi="Arial" w:cs="Arial"/>
          <w:b/>
          <w:i/>
          <w:sz w:val="24"/>
          <w:szCs w:val="24"/>
          <w:lang w:val="en-US"/>
        </w:rPr>
        <w:t>Prognoza disponibilului de apă</w:t>
      </w:r>
    </w:p>
    <w:p w:rsidR="000645BF" w:rsidRPr="007105A2" w:rsidRDefault="000645BF" w:rsidP="000645BF">
      <w:pPr>
        <w:spacing w:after="0" w:line="240" w:lineRule="auto"/>
        <w:jc w:val="both"/>
        <w:rPr>
          <w:rFonts w:ascii="Arial" w:hAnsi="Arial" w:cs="Arial"/>
          <w:sz w:val="24"/>
          <w:szCs w:val="24"/>
        </w:rPr>
      </w:pPr>
      <w:r w:rsidRPr="007105A2">
        <w:rPr>
          <w:rFonts w:ascii="Arial" w:hAnsi="Arial" w:cs="Arial"/>
          <w:sz w:val="24"/>
          <w:szCs w:val="24"/>
        </w:rPr>
        <w:t>În prezent, pentru a putea vorbi despre o estimare a resurselor de apă pe bazine hidrografice este necesar a lua în considerare efectul schimbărilor climatice asupra resurselor de apă.</w:t>
      </w:r>
    </w:p>
    <w:p w:rsidR="000645BF" w:rsidRPr="007105A2" w:rsidRDefault="000645BF" w:rsidP="000645BF">
      <w:pPr>
        <w:widowControl w:val="0"/>
        <w:spacing w:after="0" w:line="240" w:lineRule="auto"/>
        <w:ind w:firstLine="708"/>
        <w:jc w:val="both"/>
        <w:rPr>
          <w:rFonts w:ascii="Arial" w:hAnsi="Arial" w:cs="Arial"/>
          <w:sz w:val="24"/>
        </w:rPr>
      </w:pPr>
      <w:r w:rsidRPr="007105A2">
        <w:rPr>
          <w:rFonts w:ascii="Arial" w:hAnsi="Arial" w:cs="Arial"/>
          <w:sz w:val="24"/>
        </w:rPr>
        <w:t>Estimarea impactului schimbărilor şi variabilităţilor climatice asupra regimului hidrologic dintr-un bazin hidrografic se bazează pe simulările de lungă durată realizate cu ajutorul unui model hidrologic, utilizând ca date de intrare seriile de precipitaţii şi temperaturi rezultate din simulările de evoluţie climatică realizate cu ajutorul unui model meteorologic regional.</w:t>
      </w:r>
    </w:p>
    <w:p w:rsidR="000645BF" w:rsidRPr="007105A2" w:rsidRDefault="000645BF" w:rsidP="000645BF">
      <w:pPr>
        <w:widowControl w:val="0"/>
        <w:spacing w:after="0" w:line="240" w:lineRule="auto"/>
        <w:ind w:firstLine="708"/>
        <w:jc w:val="both"/>
        <w:rPr>
          <w:rFonts w:ascii="Arial" w:hAnsi="Arial" w:cs="Arial"/>
          <w:sz w:val="24"/>
          <w:szCs w:val="24"/>
        </w:rPr>
      </w:pPr>
      <w:r w:rsidRPr="007105A2">
        <w:rPr>
          <w:rFonts w:ascii="Arial" w:hAnsi="Arial" w:cs="Arial"/>
          <w:sz w:val="24"/>
          <w:szCs w:val="24"/>
        </w:rPr>
        <w:t>Pentru estimarea impactului schimbărilor climatice asupra regimului scurgerii pe râurile din România, în ceea ce priveşte debitele medii anuale, s-au prelucrat şi s-au completat, acolo unde a fost cazul, rezultatele obţinute în cadrul studiilor complexe elaborate la nivel naţional (teme şi proiecte) sau internaţional (proiecte) în cadrul Institutului Naţional de Hidrologie şi Gospodărire a Apelor. Calculele s-au efectuat pentru 12 râuri din cele 11 bazine/spaţii   hidrografice din România, şi anume: Vişeu, Iza, Tur, Someş, Crasna, Mureş, Jiu, Olt, Vedea, Argeş, Ialomiţa, şi Siret, urmând ca în viitor să se definitiveze calculele şi pentru celelate râuri.</w:t>
      </w:r>
    </w:p>
    <w:p w:rsidR="000645BF" w:rsidRPr="007105A2" w:rsidRDefault="000645BF" w:rsidP="000645BF">
      <w:pPr>
        <w:widowControl w:val="0"/>
        <w:spacing w:after="0" w:line="240" w:lineRule="auto"/>
        <w:ind w:firstLine="708"/>
        <w:jc w:val="both"/>
        <w:rPr>
          <w:rFonts w:ascii="Arial" w:hAnsi="Arial" w:cs="Arial"/>
          <w:sz w:val="24"/>
          <w:lang w:val="en-US"/>
        </w:rPr>
      </w:pPr>
      <w:r w:rsidRPr="007105A2">
        <w:rPr>
          <w:rFonts w:ascii="Arial" w:hAnsi="Arial" w:cs="Arial"/>
          <w:sz w:val="24"/>
        </w:rPr>
        <w:t>Ca urmare a tendinţelor de variaţie a parametrilor meteorologici, în urma analizei simulărilor evoluţiei debitelor pe perioada viitoare (de ex. 2021-2050) faţă de perioada de referinţă (de ex. 1971-2000), se observă următoarele modificări ale regimului debitelor medii multianuale, pentru râurile studiate</w:t>
      </w:r>
      <w:r w:rsidRPr="007105A2">
        <w:rPr>
          <w:rFonts w:ascii="Arial" w:hAnsi="Arial" w:cs="Arial"/>
          <w:sz w:val="24"/>
          <w:lang w:val="en-US"/>
        </w:rPr>
        <w:t>:</w:t>
      </w:r>
    </w:p>
    <w:p w:rsidR="000645BF" w:rsidRPr="009A1619" w:rsidRDefault="000645BF" w:rsidP="00EF3940">
      <w:pPr>
        <w:pStyle w:val="ListParagraph"/>
        <w:widowControl w:val="0"/>
        <w:numPr>
          <w:ilvl w:val="0"/>
          <w:numId w:val="30"/>
        </w:numPr>
        <w:tabs>
          <w:tab w:val="left" w:pos="1021"/>
        </w:tabs>
        <w:jc w:val="both"/>
        <w:rPr>
          <w:rFonts w:ascii="Arial" w:hAnsi="Arial" w:cs="Arial"/>
        </w:rPr>
      </w:pPr>
      <w:r w:rsidRPr="009A1619">
        <w:rPr>
          <w:rFonts w:ascii="Arial" w:hAnsi="Arial" w:cs="Arial"/>
        </w:rPr>
        <w:t xml:space="preserve">Vişeu: scădere de cca. – 0,1 %; Iza: scădere de cca. -1,9 %; Tur: scădere de cca. – 2.5 %; Someş: creştere de cca.6,2 %; Crasna: scădere de cca.-9,4 % ; Mureş: scădere de cca.-9,9 %; Jiu: scădere de cca. -11,0 %; Olt: scădere de cca. -9,5 %; Vedea: scădere de </w:t>
      </w:r>
      <w:r w:rsidRPr="009A1619">
        <w:rPr>
          <w:rFonts w:ascii="Arial" w:hAnsi="Arial" w:cs="Arial"/>
        </w:rPr>
        <w:lastRenderedPageBreak/>
        <w:t>cca.-24,6 %; Argeş: scădere de cca. -8,6 % ; Ialomiţa: scădere de cca.  -5,8 % ; Siret: scădere de cca. -9,6 %.</w:t>
      </w:r>
    </w:p>
    <w:p w:rsidR="000645BF" w:rsidRDefault="000645BF" w:rsidP="000645BF">
      <w:pPr>
        <w:widowControl w:val="0"/>
        <w:spacing w:after="0" w:line="240" w:lineRule="auto"/>
        <w:jc w:val="both"/>
        <w:rPr>
          <w:rFonts w:ascii="Arial" w:hAnsi="Arial" w:cs="Arial"/>
          <w:b/>
          <w:i/>
          <w:sz w:val="24"/>
          <w:szCs w:val="24"/>
          <w:lang w:val="en-US"/>
        </w:rPr>
      </w:pPr>
      <w:r w:rsidRPr="007105A2">
        <w:rPr>
          <w:rFonts w:ascii="Arial" w:hAnsi="Arial" w:cs="Arial"/>
          <w:b/>
          <w:i/>
          <w:sz w:val="24"/>
          <w:szCs w:val="24"/>
        </w:rPr>
        <w:t>Nota:</w:t>
      </w:r>
      <w:r w:rsidRPr="000803A6">
        <w:rPr>
          <w:rFonts w:ascii="Arial" w:hAnsi="Arial" w:cs="Arial"/>
          <w:sz w:val="20"/>
          <w:szCs w:val="20"/>
        </w:rPr>
        <w:t xml:space="preserve">Datele şi informatiile prezentate mai sus sunt extrase din Studiul </w:t>
      </w:r>
      <w:r w:rsidRPr="000803A6">
        <w:rPr>
          <w:rFonts w:ascii="Arial" w:hAnsi="Arial" w:cs="Arial"/>
          <w:i/>
          <w:sz w:val="20"/>
          <w:szCs w:val="20"/>
        </w:rPr>
        <w:t>“</w:t>
      </w:r>
      <w:r w:rsidRPr="000803A6">
        <w:rPr>
          <w:rFonts w:ascii="Arial" w:eastAsia="Calibri" w:hAnsi="Arial" w:cs="Arial"/>
          <w:i/>
          <w:sz w:val="20"/>
          <w:szCs w:val="20"/>
        </w:rPr>
        <w:t>Identificarea principalelor zone potenţial deficitare din punct de vedere al resursei de apă, la nivel naţional, în regim actual şi în perspectiva schimbărilor climatice</w:t>
      </w:r>
      <w:r w:rsidRPr="000803A6">
        <w:rPr>
          <w:rFonts w:ascii="Arial" w:eastAsia="Calibri" w:hAnsi="Arial" w:cs="Arial"/>
          <w:sz w:val="20"/>
          <w:szCs w:val="20"/>
        </w:rPr>
        <w:t xml:space="preserve">”, elaborat de Institutul Naţional de Hidrologie şi Gospodărire a Apelor, la solicitarea  AN </w:t>
      </w:r>
      <w:r w:rsidRPr="000803A6">
        <w:rPr>
          <w:rFonts w:ascii="Arial" w:eastAsia="Calibri" w:hAnsi="Arial" w:cs="Arial"/>
          <w:sz w:val="20"/>
          <w:szCs w:val="20"/>
          <w:lang w:val="en-US"/>
        </w:rPr>
        <w:t>”</w:t>
      </w:r>
      <w:r w:rsidRPr="000803A6">
        <w:rPr>
          <w:rFonts w:ascii="Arial" w:eastAsia="Calibri" w:hAnsi="Arial" w:cs="Arial"/>
          <w:sz w:val="20"/>
          <w:szCs w:val="20"/>
        </w:rPr>
        <w:t>Apele Române” în anul 2015.</w:t>
      </w:r>
    </w:p>
    <w:p w:rsidR="000645BF" w:rsidRDefault="000645BF" w:rsidP="000645BF">
      <w:pPr>
        <w:spacing w:after="0" w:line="240" w:lineRule="auto"/>
        <w:jc w:val="both"/>
        <w:rPr>
          <w:rFonts w:ascii="Arial" w:hAnsi="Arial" w:cs="Arial"/>
          <w:b/>
          <w:i/>
          <w:sz w:val="24"/>
          <w:szCs w:val="24"/>
          <w:lang w:val="en-US"/>
        </w:rPr>
      </w:pPr>
    </w:p>
    <w:p w:rsidR="000645BF" w:rsidRDefault="000645BF" w:rsidP="000645BF">
      <w:pPr>
        <w:spacing w:after="0" w:line="240" w:lineRule="auto"/>
        <w:jc w:val="both"/>
        <w:rPr>
          <w:rFonts w:ascii="Arial" w:hAnsi="Arial" w:cs="Arial"/>
          <w:b/>
          <w:i/>
          <w:sz w:val="24"/>
          <w:szCs w:val="24"/>
          <w:lang w:val="en-US"/>
        </w:rPr>
      </w:pPr>
      <w:r w:rsidRPr="00C95A7F">
        <w:rPr>
          <w:rFonts w:ascii="Arial" w:hAnsi="Arial" w:cs="Arial"/>
          <w:b/>
          <w:i/>
          <w:sz w:val="24"/>
          <w:szCs w:val="24"/>
          <w:lang w:val="en-US"/>
        </w:rPr>
        <w:t xml:space="preserve">Cererea de apa </w:t>
      </w:r>
    </w:p>
    <w:p w:rsidR="000645BF" w:rsidRPr="0081649A" w:rsidRDefault="000645BF" w:rsidP="000645BF">
      <w:pPr>
        <w:spacing w:after="0" w:line="240" w:lineRule="auto"/>
        <w:jc w:val="both"/>
        <w:rPr>
          <w:rFonts w:ascii="Arial" w:hAnsi="Arial" w:cs="Arial"/>
          <w:sz w:val="24"/>
          <w:szCs w:val="24"/>
        </w:rPr>
      </w:pPr>
      <w:r w:rsidRPr="007105A2">
        <w:rPr>
          <w:rFonts w:ascii="Arial" w:hAnsi="Arial" w:cs="Arial"/>
          <w:sz w:val="24"/>
          <w:szCs w:val="24"/>
          <w:lang w:val="en-US"/>
        </w:rPr>
        <w:t xml:space="preserve">Prognoza cerinţei de apă s-a determinat în anul 2014 în cadrul studiului: </w:t>
      </w:r>
      <w:r w:rsidRPr="0081649A">
        <w:rPr>
          <w:rFonts w:ascii="Arial" w:eastAsia="Calibri" w:hAnsi="Arial" w:cs="Arial"/>
          <w:i/>
          <w:sz w:val="24"/>
          <w:szCs w:val="24"/>
        </w:rPr>
        <w:t xml:space="preserve">Actualizarea studiilor de fundamentare a </w:t>
      </w:r>
      <w:r w:rsidRPr="0081649A">
        <w:rPr>
          <w:rFonts w:ascii="Arial" w:hAnsi="Arial" w:cs="Arial"/>
          <w:i/>
          <w:sz w:val="24"/>
          <w:szCs w:val="24"/>
        </w:rPr>
        <w:t>P.A.B.H. - Evaluarea cerinţelor de apă</w:t>
      </w:r>
      <w:r w:rsidRPr="0081649A">
        <w:rPr>
          <w:rFonts w:ascii="Arial" w:eastAsia="Calibri" w:hAnsi="Arial" w:cs="Arial"/>
          <w:i/>
          <w:sz w:val="24"/>
          <w:szCs w:val="24"/>
        </w:rPr>
        <w:t xml:space="preserve"> (an de referin</w:t>
      </w:r>
      <w:r w:rsidRPr="0081649A">
        <w:rPr>
          <w:rFonts w:ascii="Arial" w:hAnsi="Arial" w:cs="Arial"/>
          <w:i/>
          <w:sz w:val="24"/>
          <w:szCs w:val="24"/>
        </w:rPr>
        <w:t>ţă</w:t>
      </w:r>
      <w:r w:rsidRPr="0081649A">
        <w:rPr>
          <w:rFonts w:ascii="Arial" w:eastAsia="Calibri" w:hAnsi="Arial" w:cs="Arial"/>
          <w:i/>
          <w:sz w:val="24"/>
          <w:szCs w:val="24"/>
        </w:rPr>
        <w:t xml:space="preserve"> 2011) la nivelul bazinelor hidrografice</w:t>
      </w:r>
      <w:r w:rsidRPr="0081649A">
        <w:rPr>
          <w:rFonts w:ascii="Arial" w:hAnsi="Arial" w:cs="Arial"/>
          <w:i/>
          <w:sz w:val="24"/>
          <w:szCs w:val="24"/>
        </w:rPr>
        <w:t xml:space="preserve"> pentru orizontul de timp 2020 ş</w:t>
      </w:r>
      <w:r w:rsidRPr="0081649A">
        <w:rPr>
          <w:rFonts w:ascii="Arial" w:eastAsia="Calibri" w:hAnsi="Arial" w:cs="Arial"/>
          <w:i/>
          <w:sz w:val="24"/>
          <w:szCs w:val="24"/>
        </w:rPr>
        <w:t>i 2030</w:t>
      </w:r>
      <w:r w:rsidRPr="0081649A">
        <w:rPr>
          <w:rFonts w:ascii="Arial" w:hAnsi="Arial" w:cs="Arial"/>
          <w:sz w:val="24"/>
          <w:szCs w:val="24"/>
        </w:rPr>
        <w:t>.</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rPr>
      </w:pPr>
      <w:r w:rsidRPr="007105A2">
        <w:rPr>
          <w:rFonts w:ascii="Arial" w:hAnsi="Arial" w:cs="Arial"/>
          <w:sz w:val="24"/>
          <w:szCs w:val="24"/>
        </w:rPr>
        <w:t>Prognoza cerinţei de apă s-a determinat prin metode specifice de prognoză pentru fiecare categorie de folosinţă de apă:</w:t>
      </w:r>
    </w:p>
    <w:p w:rsidR="000645BF" w:rsidRPr="004331B3" w:rsidRDefault="000645BF" w:rsidP="00EF3940">
      <w:pPr>
        <w:pStyle w:val="ListParagraph"/>
        <w:widowControl w:val="0"/>
        <w:numPr>
          <w:ilvl w:val="0"/>
          <w:numId w:val="12"/>
        </w:numPr>
        <w:tabs>
          <w:tab w:val="left" w:pos="1021"/>
        </w:tabs>
        <w:jc w:val="both"/>
        <w:rPr>
          <w:rFonts w:ascii="Arial" w:hAnsi="Arial" w:cs="Arial"/>
        </w:rPr>
      </w:pPr>
      <w:r w:rsidRPr="004331B3">
        <w:rPr>
          <w:rFonts w:ascii="Arial" w:hAnsi="Arial" w:cs="Arial"/>
        </w:rPr>
        <w:t>Populație;</w:t>
      </w:r>
    </w:p>
    <w:p w:rsidR="000645BF" w:rsidRPr="004331B3" w:rsidRDefault="000645BF" w:rsidP="00EF3940">
      <w:pPr>
        <w:pStyle w:val="ListParagraph"/>
        <w:widowControl w:val="0"/>
        <w:numPr>
          <w:ilvl w:val="0"/>
          <w:numId w:val="12"/>
        </w:numPr>
        <w:tabs>
          <w:tab w:val="left" w:pos="1021"/>
        </w:tabs>
        <w:jc w:val="both"/>
        <w:rPr>
          <w:rFonts w:ascii="Arial" w:hAnsi="Arial" w:cs="Arial"/>
        </w:rPr>
      </w:pPr>
      <w:r w:rsidRPr="004331B3">
        <w:rPr>
          <w:rFonts w:ascii="Arial" w:hAnsi="Arial" w:cs="Arial"/>
        </w:rPr>
        <w:t>Industrie;</w:t>
      </w:r>
    </w:p>
    <w:p w:rsidR="000645BF" w:rsidRPr="004331B3" w:rsidRDefault="000645BF" w:rsidP="00EF3940">
      <w:pPr>
        <w:pStyle w:val="ListParagraph"/>
        <w:widowControl w:val="0"/>
        <w:numPr>
          <w:ilvl w:val="0"/>
          <w:numId w:val="12"/>
        </w:numPr>
        <w:tabs>
          <w:tab w:val="left" w:pos="1021"/>
        </w:tabs>
        <w:jc w:val="both"/>
        <w:rPr>
          <w:rFonts w:ascii="Arial" w:hAnsi="Arial" w:cs="Arial"/>
        </w:rPr>
      </w:pPr>
      <w:r w:rsidRPr="004331B3">
        <w:rPr>
          <w:rFonts w:ascii="Arial" w:hAnsi="Arial" w:cs="Arial"/>
        </w:rPr>
        <w:t>Irigații;</w:t>
      </w:r>
    </w:p>
    <w:p w:rsidR="000645BF" w:rsidRPr="004331B3" w:rsidRDefault="000645BF" w:rsidP="00EF3940">
      <w:pPr>
        <w:pStyle w:val="ListParagraph"/>
        <w:widowControl w:val="0"/>
        <w:numPr>
          <w:ilvl w:val="0"/>
          <w:numId w:val="12"/>
        </w:numPr>
        <w:tabs>
          <w:tab w:val="left" w:pos="1021"/>
        </w:tabs>
        <w:jc w:val="both"/>
        <w:rPr>
          <w:rFonts w:ascii="Arial" w:hAnsi="Arial" w:cs="Arial"/>
        </w:rPr>
      </w:pPr>
      <w:r w:rsidRPr="004331B3">
        <w:rPr>
          <w:rFonts w:ascii="Arial" w:hAnsi="Arial" w:cs="Arial"/>
        </w:rPr>
        <w:t>Zootehnie;</w:t>
      </w:r>
    </w:p>
    <w:p w:rsidR="000645BF" w:rsidRPr="004331B3" w:rsidRDefault="000645BF" w:rsidP="00EF3940">
      <w:pPr>
        <w:pStyle w:val="ListParagraph"/>
        <w:widowControl w:val="0"/>
        <w:numPr>
          <w:ilvl w:val="0"/>
          <w:numId w:val="12"/>
        </w:numPr>
        <w:tabs>
          <w:tab w:val="left" w:pos="1021"/>
        </w:tabs>
        <w:jc w:val="both"/>
        <w:rPr>
          <w:rFonts w:ascii="Arial" w:hAnsi="Arial" w:cs="Arial"/>
        </w:rPr>
      </w:pPr>
      <w:r w:rsidRPr="004331B3">
        <w:rPr>
          <w:rFonts w:ascii="Arial" w:hAnsi="Arial" w:cs="Arial"/>
        </w:rPr>
        <w:t>Acvacultură/piscicultură.</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sidRPr="007105A2">
        <w:rPr>
          <w:rFonts w:ascii="Arial" w:hAnsi="Arial" w:cs="Arial"/>
          <w:sz w:val="24"/>
          <w:szCs w:val="24"/>
        </w:rPr>
        <w:t xml:space="preserve">În elaborarea </w:t>
      </w:r>
      <w:r w:rsidRPr="007105A2">
        <w:rPr>
          <w:rFonts w:ascii="Arial" w:hAnsi="Arial" w:cs="Arial"/>
          <w:b/>
          <w:i/>
          <w:sz w:val="24"/>
          <w:szCs w:val="24"/>
        </w:rPr>
        <w:t xml:space="preserve">prognozei </w:t>
      </w:r>
      <w:r w:rsidRPr="007105A2">
        <w:rPr>
          <w:rFonts w:ascii="Arial" w:eastAsia="Calibri" w:hAnsi="Arial" w:cs="Arial"/>
          <w:b/>
          <w:i/>
          <w:sz w:val="24"/>
          <w:szCs w:val="24"/>
        </w:rPr>
        <w:t>cerințelor de apă pentru populație</w:t>
      </w:r>
      <w:r w:rsidRPr="007105A2">
        <w:rPr>
          <w:rFonts w:ascii="Arial" w:hAnsi="Arial" w:cs="Arial"/>
          <w:sz w:val="24"/>
          <w:szCs w:val="24"/>
        </w:rPr>
        <w:t>s-a ţinut cont de:</w:t>
      </w:r>
    </w:p>
    <w:p w:rsidR="000645BF" w:rsidRPr="006A65C4" w:rsidRDefault="000645BF" w:rsidP="00EF3940">
      <w:pPr>
        <w:pStyle w:val="ListParagraph"/>
        <w:widowControl w:val="0"/>
        <w:numPr>
          <w:ilvl w:val="0"/>
          <w:numId w:val="13"/>
        </w:numPr>
        <w:tabs>
          <w:tab w:val="left" w:pos="1021"/>
        </w:tabs>
        <w:jc w:val="both"/>
        <w:rPr>
          <w:rFonts w:ascii="Arial" w:hAnsi="Arial" w:cs="Arial"/>
        </w:rPr>
      </w:pPr>
      <w:r w:rsidRPr="006A65C4">
        <w:rPr>
          <w:rFonts w:ascii="Arial" w:hAnsi="Arial" w:cs="Arial"/>
        </w:rPr>
        <w:t>Datele puse la dispoziţie de Institutul Naţional de Statistică prin Recensământul Populaţiei şi Locuinţelor realizat în anul 2011;</w:t>
      </w:r>
    </w:p>
    <w:p w:rsidR="000645BF" w:rsidRPr="006A65C4" w:rsidRDefault="000645BF" w:rsidP="00EF3940">
      <w:pPr>
        <w:pStyle w:val="ListParagraph"/>
        <w:widowControl w:val="0"/>
        <w:numPr>
          <w:ilvl w:val="0"/>
          <w:numId w:val="13"/>
        </w:numPr>
        <w:tabs>
          <w:tab w:val="left" w:pos="1021"/>
        </w:tabs>
        <w:jc w:val="both"/>
        <w:rPr>
          <w:rFonts w:ascii="Arial" w:hAnsi="Arial" w:cs="Arial"/>
        </w:rPr>
      </w:pPr>
      <w:r w:rsidRPr="006A65C4">
        <w:rPr>
          <w:rFonts w:ascii="Arial" w:hAnsi="Arial" w:cs="Arial"/>
        </w:rPr>
        <w:t>Datele statistice privind evoluţia populaţiei din România repartiţia populaţiei pe medii de locuire;</w:t>
      </w:r>
    </w:p>
    <w:p w:rsidR="000645BF" w:rsidRPr="006A65C4" w:rsidRDefault="000645BF" w:rsidP="00EF3940">
      <w:pPr>
        <w:pStyle w:val="ListParagraph"/>
        <w:widowControl w:val="0"/>
        <w:numPr>
          <w:ilvl w:val="0"/>
          <w:numId w:val="13"/>
        </w:numPr>
        <w:tabs>
          <w:tab w:val="left" w:pos="1021"/>
        </w:tabs>
        <w:jc w:val="both"/>
        <w:rPr>
          <w:rFonts w:ascii="Arial" w:hAnsi="Arial" w:cs="Arial"/>
        </w:rPr>
      </w:pPr>
      <w:r w:rsidRPr="006A65C4">
        <w:rPr>
          <w:rFonts w:ascii="Arial" w:hAnsi="Arial" w:cs="Arial"/>
        </w:rPr>
        <w:t>Coeficientul de creştere a gradului de urbanizare pentru prognoza evoluţiei populaţiei pentru orizontul de timp 2020-2030;</w:t>
      </w:r>
    </w:p>
    <w:p w:rsidR="000645BF" w:rsidRPr="006A65C4" w:rsidRDefault="000645BF" w:rsidP="00EF3940">
      <w:pPr>
        <w:pStyle w:val="ListParagraph"/>
        <w:widowControl w:val="0"/>
        <w:numPr>
          <w:ilvl w:val="0"/>
          <w:numId w:val="13"/>
        </w:numPr>
        <w:tabs>
          <w:tab w:val="left" w:pos="1021"/>
        </w:tabs>
        <w:jc w:val="both"/>
        <w:rPr>
          <w:rFonts w:ascii="Arial" w:hAnsi="Arial" w:cs="Arial"/>
        </w:rPr>
      </w:pPr>
      <w:r w:rsidRPr="006A65C4">
        <w:rPr>
          <w:rFonts w:ascii="Arial" w:hAnsi="Arial" w:cs="Arial"/>
        </w:rPr>
        <w:t>Rata de utilizare a apei pentru populaţie în zonele urbane/rurale, la nivelul României;</w:t>
      </w:r>
    </w:p>
    <w:p w:rsidR="000645BF" w:rsidRPr="006A65C4" w:rsidRDefault="000645BF" w:rsidP="00EF3940">
      <w:pPr>
        <w:pStyle w:val="ListParagraph"/>
        <w:widowControl w:val="0"/>
        <w:numPr>
          <w:ilvl w:val="0"/>
          <w:numId w:val="13"/>
        </w:numPr>
        <w:tabs>
          <w:tab w:val="left" w:pos="1021"/>
        </w:tabs>
        <w:jc w:val="both"/>
        <w:rPr>
          <w:rFonts w:ascii="Arial" w:hAnsi="Arial" w:cs="Arial"/>
        </w:rPr>
      </w:pPr>
      <w:r w:rsidRPr="006A65C4">
        <w:rPr>
          <w:rFonts w:ascii="Arial" w:hAnsi="Arial" w:cs="Arial"/>
        </w:rPr>
        <w:t>Prevederile Programului Operaţional Sectorial de Mediu (POS MEDIU).</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sidRPr="007105A2">
        <w:rPr>
          <w:rFonts w:ascii="Arial" w:eastAsia="Calibri" w:hAnsi="Arial" w:cs="Arial"/>
          <w:sz w:val="24"/>
          <w:szCs w:val="24"/>
        </w:rPr>
        <w:t xml:space="preserve">Prognoza cerinţelor de apă </w:t>
      </w:r>
      <w:r w:rsidRPr="007105A2">
        <w:rPr>
          <w:rFonts w:ascii="Arial" w:hAnsi="Arial" w:cs="Arial"/>
          <w:sz w:val="24"/>
          <w:szCs w:val="24"/>
        </w:rPr>
        <w:t>pentru populaţie s-a realizat</w:t>
      </w:r>
      <w:r w:rsidRPr="007105A2">
        <w:rPr>
          <w:rFonts w:ascii="Arial" w:eastAsia="Calibri" w:hAnsi="Arial" w:cs="Arial"/>
          <w:sz w:val="24"/>
          <w:szCs w:val="24"/>
        </w:rPr>
        <w:t xml:space="preserve"> pentru trei scenarii în funcţie de rata fertilităţii: scenariul minimal (rata scăzută a fertilităţii), scenariul mediu (rata medie a fertilităţii) şi scenariul maximal (rata ridicată a fertilităţii)</w:t>
      </w:r>
      <w:r w:rsidRPr="007105A2">
        <w:rPr>
          <w:rFonts w:ascii="Arial" w:hAnsi="Arial" w:cs="Arial"/>
          <w:sz w:val="24"/>
          <w:szCs w:val="24"/>
        </w:rPr>
        <w:t>.</w:t>
      </w:r>
    </w:p>
    <w:p w:rsidR="000645BF"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b/>
          <w:i/>
          <w:sz w:val="24"/>
          <w:szCs w:val="24"/>
          <w:lang w:val="es-ES_tradnl"/>
        </w:rPr>
      </w:pP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sidRPr="007105A2">
        <w:rPr>
          <w:rFonts w:ascii="Arial" w:eastAsia="Calibri" w:hAnsi="Arial" w:cs="Arial"/>
          <w:b/>
          <w:i/>
          <w:sz w:val="24"/>
          <w:szCs w:val="24"/>
          <w:lang w:val="es-ES_tradnl"/>
        </w:rPr>
        <w:t>Prognoza cerințelor de apă pentru industrie</w:t>
      </w:r>
      <w:r w:rsidRPr="007105A2">
        <w:rPr>
          <w:rFonts w:ascii="Arial" w:hAnsi="Arial" w:cs="Arial"/>
          <w:sz w:val="24"/>
          <w:szCs w:val="24"/>
          <w:lang w:val="es-ES_tradnl"/>
        </w:rPr>
        <w:t xml:space="preserve">s-a determinat prin </w:t>
      </w:r>
      <w:r w:rsidRPr="007105A2">
        <w:rPr>
          <w:rFonts w:ascii="Arial" w:eastAsia="Calibri" w:hAnsi="Arial" w:cs="Arial"/>
          <w:sz w:val="24"/>
          <w:szCs w:val="24"/>
        </w:rPr>
        <w:t>metoda prelevărilor pe locuitor</w:t>
      </w:r>
      <w:r w:rsidRPr="007105A2">
        <w:rPr>
          <w:rFonts w:ascii="Arial" w:hAnsi="Arial" w:cs="Arial"/>
          <w:sz w:val="24"/>
          <w:szCs w:val="24"/>
        </w:rPr>
        <w:t>, având la bază</w:t>
      </w:r>
      <w:r w:rsidRPr="007105A2">
        <w:rPr>
          <w:rFonts w:ascii="Arial" w:eastAsia="Calibri" w:hAnsi="Arial" w:cs="Arial"/>
          <w:sz w:val="24"/>
          <w:szCs w:val="24"/>
        </w:rPr>
        <w:t>:</w:t>
      </w:r>
    </w:p>
    <w:p w:rsidR="000645BF" w:rsidRPr="00C61132" w:rsidRDefault="000645BF" w:rsidP="00EF3940">
      <w:pPr>
        <w:pStyle w:val="ListParagraph"/>
        <w:widowControl w:val="0"/>
        <w:numPr>
          <w:ilvl w:val="0"/>
          <w:numId w:val="14"/>
        </w:numPr>
        <w:tabs>
          <w:tab w:val="left" w:pos="1021"/>
        </w:tabs>
        <w:jc w:val="both"/>
        <w:rPr>
          <w:rFonts w:ascii="Arial" w:hAnsi="Arial" w:cs="Arial"/>
        </w:rPr>
      </w:pPr>
      <w:r w:rsidRPr="00C61132">
        <w:rPr>
          <w:rFonts w:ascii="Arial" w:hAnsi="Arial" w:cs="Arial"/>
        </w:rPr>
        <w:t>V</w:t>
      </w:r>
      <w:r>
        <w:rPr>
          <w:rFonts w:ascii="Arial" w:hAnsi="Arial" w:cs="Arial"/>
        </w:rPr>
        <w:t>olumul de apă</w:t>
      </w:r>
      <w:r w:rsidRPr="00C61132">
        <w:rPr>
          <w:rFonts w:ascii="Arial" w:hAnsi="Arial" w:cs="Arial"/>
        </w:rPr>
        <w:t xml:space="preserve"> industrială prelevat la nivelul anului de referinţă, volum ce a fost preluat din Balanţa Apei elaborată de Administraţia Naţionala „Apele Române” ; </w:t>
      </w:r>
    </w:p>
    <w:p w:rsidR="000645BF" w:rsidRPr="00C61132" w:rsidRDefault="000645BF" w:rsidP="00EF3940">
      <w:pPr>
        <w:pStyle w:val="ListParagraph"/>
        <w:widowControl w:val="0"/>
        <w:numPr>
          <w:ilvl w:val="0"/>
          <w:numId w:val="14"/>
        </w:numPr>
        <w:tabs>
          <w:tab w:val="left" w:pos="1021"/>
        </w:tabs>
        <w:jc w:val="both"/>
        <w:rPr>
          <w:rFonts w:ascii="Arial" w:hAnsi="Arial" w:cs="Arial"/>
        </w:rPr>
      </w:pPr>
      <w:r w:rsidRPr="00C61132">
        <w:rPr>
          <w:rFonts w:ascii="Arial" w:hAnsi="Arial" w:cs="Arial"/>
        </w:rPr>
        <w:t>Populaţia la nivelul anului de referinţă;</w:t>
      </w:r>
    </w:p>
    <w:p w:rsidR="000645BF" w:rsidRPr="00C61132" w:rsidRDefault="000645BF" w:rsidP="00EF3940">
      <w:pPr>
        <w:pStyle w:val="ListParagraph"/>
        <w:widowControl w:val="0"/>
        <w:numPr>
          <w:ilvl w:val="0"/>
          <w:numId w:val="14"/>
        </w:numPr>
        <w:tabs>
          <w:tab w:val="left" w:pos="1021"/>
        </w:tabs>
        <w:jc w:val="both"/>
        <w:rPr>
          <w:rFonts w:ascii="Arial" w:hAnsi="Arial" w:cs="Arial"/>
        </w:rPr>
      </w:pPr>
      <w:r w:rsidRPr="00C61132">
        <w:rPr>
          <w:rFonts w:ascii="Arial" w:hAnsi="Arial" w:cs="Arial"/>
        </w:rPr>
        <w:t>Evoluţia principalilor indicatori economico - sociali furnizată de Comisia Naţională de Prognoză.</w:t>
      </w:r>
    </w:p>
    <w:p w:rsidR="000645BF" w:rsidRDefault="000645BF" w:rsidP="000645BF">
      <w:pPr>
        <w:pStyle w:val="1text2"/>
        <w:spacing w:before="0"/>
        <w:rPr>
          <w:rFonts w:cs="Arial"/>
        </w:rPr>
      </w:pPr>
      <w:r w:rsidRPr="007105A2">
        <w:rPr>
          <w:rFonts w:cs="Arial"/>
        </w:rPr>
        <w:t>Pentru determinarea cerinţei de apă pentru industrie pentru orizontul de timp 2020 - 2030 se prevăd 3 scenarii de prognoză</w:t>
      </w:r>
      <w:r>
        <w:rPr>
          <w:rFonts w:cs="Arial"/>
        </w:rPr>
        <w:t>.</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lang w:val="es-ES_tradnl"/>
        </w:rPr>
      </w:pPr>
      <w:r w:rsidRPr="007105A2">
        <w:rPr>
          <w:rFonts w:ascii="Arial" w:eastAsia="Calibri" w:hAnsi="Arial" w:cs="Arial"/>
          <w:sz w:val="24"/>
          <w:szCs w:val="24"/>
          <w:lang w:val="es-ES_tradnl"/>
        </w:rPr>
        <w:t>Pentru calculul</w:t>
      </w:r>
      <w:r w:rsidRPr="007105A2">
        <w:rPr>
          <w:rFonts w:ascii="Arial" w:eastAsia="Calibri" w:hAnsi="Arial" w:cs="Arial"/>
          <w:b/>
          <w:i/>
          <w:sz w:val="24"/>
          <w:szCs w:val="24"/>
          <w:lang w:val="es-ES_tradnl"/>
        </w:rPr>
        <w:t xml:space="preserve"> prognozei cerințelor de apă pentru irigații</w:t>
      </w:r>
      <w:r w:rsidRPr="007105A2">
        <w:rPr>
          <w:rFonts w:ascii="Arial" w:eastAsia="Calibri" w:hAnsi="Arial" w:cs="Arial"/>
          <w:sz w:val="24"/>
          <w:szCs w:val="24"/>
          <w:lang w:val="es-ES_tradnl"/>
        </w:rPr>
        <w:t xml:space="preserve">s-au luat în considerare: </w:t>
      </w:r>
    </w:p>
    <w:p w:rsidR="000645BF" w:rsidRPr="00D71C89" w:rsidRDefault="000645BF" w:rsidP="00EF3940">
      <w:pPr>
        <w:pStyle w:val="ListParagraph"/>
        <w:widowControl w:val="0"/>
        <w:numPr>
          <w:ilvl w:val="0"/>
          <w:numId w:val="15"/>
        </w:numPr>
        <w:tabs>
          <w:tab w:val="left" w:pos="1021"/>
        </w:tabs>
        <w:jc w:val="both"/>
        <w:rPr>
          <w:rFonts w:ascii="Arial" w:hAnsi="Arial" w:cs="Arial"/>
        </w:rPr>
      </w:pPr>
      <w:r w:rsidRPr="00D71C89">
        <w:rPr>
          <w:rFonts w:ascii="Arial" w:hAnsi="Arial" w:cs="Arial"/>
        </w:rPr>
        <w:t>Volumele de apă prelevate pentru irigații în anii anteriori etapei de calcul;</w:t>
      </w:r>
    </w:p>
    <w:p w:rsidR="000645BF" w:rsidRPr="00D71C89" w:rsidRDefault="000645BF" w:rsidP="00EF3940">
      <w:pPr>
        <w:pStyle w:val="ListParagraph"/>
        <w:widowControl w:val="0"/>
        <w:numPr>
          <w:ilvl w:val="0"/>
          <w:numId w:val="15"/>
        </w:numPr>
        <w:tabs>
          <w:tab w:val="left" w:pos="1021"/>
        </w:tabs>
        <w:jc w:val="both"/>
        <w:rPr>
          <w:rFonts w:ascii="Arial" w:hAnsi="Arial" w:cs="Arial"/>
        </w:rPr>
      </w:pPr>
      <w:r w:rsidRPr="00D71C89">
        <w:rPr>
          <w:rFonts w:ascii="Arial" w:hAnsi="Arial" w:cs="Arial"/>
        </w:rPr>
        <w:t>Suprafețele prognozate a fi irigate in conformitate cu Strategia Investiţiilor în Sectorul Irigaţiilor</w:t>
      </w:r>
    </w:p>
    <w:p w:rsidR="000645BF" w:rsidRPr="00D71C89" w:rsidRDefault="000645BF" w:rsidP="00EF3940">
      <w:pPr>
        <w:pStyle w:val="ListParagraph"/>
        <w:widowControl w:val="0"/>
        <w:numPr>
          <w:ilvl w:val="0"/>
          <w:numId w:val="15"/>
        </w:numPr>
        <w:tabs>
          <w:tab w:val="left" w:pos="1021"/>
        </w:tabs>
        <w:jc w:val="both"/>
        <w:rPr>
          <w:rFonts w:ascii="Arial" w:hAnsi="Arial" w:cs="Arial"/>
        </w:rPr>
      </w:pPr>
      <w:r w:rsidRPr="00D71C89">
        <w:rPr>
          <w:rFonts w:ascii="Arial" w:hAnsi="Arial" w:cs="Arial"/>
        </w:rPr>
        <w:t>Suprafeţele prognozate a fi amenajate pentru irigaţii cu normele de udare aferente la nivel național, conform informaţiilor primite de la ANIF.</w:t>
      </w:r>
    </w:p>
    <w:p w:rsidR="000645BF" w:rsidRPr="007105A2" w:rsidRDefault="000645BF" w:rsidP="000645BF">
      <w:pPr>
        <w:pStyle w:val="ListParagraph"/>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jc w:val="both"/>
        <w:rPr>
          <w:rFonts w:ascii="Arial" w:eastAsia="Calibri" w:hAnsi="Arial" w:cs="Arial"/>
          <w:lang w:val="es-ES_tradnl"/>
        </w:rPr>
      </w:pPr>
      <w:r w:rsidRPr="007105A2">
        <w:rPr>
          <w:rFonts w:ascii="Arial" w:eastAsia="Calibri" w:hAnsi="Arial" w:cs="Arial"/>
          <w:lang w:val="es-ES_tradnl"/>
        </w:rPr>
        <w:t>Calculele de prognoză s-au realizat pe trei scenarii de prognoză.</w:t>
      </w:r>
    </w:p>
    <w:p w:rsidR="000645BF"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b/>
          <w:i/>
          <w:sz w:val="24"/>
          <w:szCs w:val="24"/>
          <w:lang w:val="es-ES_tradnl"/>
        </w:rPr>
      </w:pP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lang w:val="es-ES_tradnl"/>
        </w:rPr>
      </w:pPr>
      <w:r w:rsidRPr="007105A2">
        <w:rPr>
          <w:rFonts w:ascii="Arial" w:eastAsia="Calibri" w:hAnsi="Arial" w:cs="Arial"/>
          <w:b/>
          <w:i/>
          <w:sz w:val="24"/>
          <w:szCs w:val="24"/>
          <w:lang w:val="es-ES_tradnl"/>
        </w:rPr>
        <w:t>Prognoza cerințelor de apă pentru zootehnie</w:t>
      </w:r>
      <w:r w:rsidRPr="007105A2">
        <w:rPr>
          <w:rFonts w:ascii="Arial" w:eastAsia="Calibri" w:hAnsi="Arial" w:cs="Arial"/>
          <w:sz w:val="24"/>
          <w:szCs w:val="24"/>
          <w:lang w:val="es-ES_tradnl"/>
        </w:rPr>
        <w:t xml:space="preserve">se referă în mod exclusiv la cerința de apă necesară creșterii animalelor în regim industrial, pentru animalele crescute în gospodăriile poulației volumele de apă necesare  s-au considerat a fi  înglobate în cerința de apă din mediul rural. </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lang w:val="es-ES_tradnl"/>
        </w:rPr>
      </w:pPr>
      <w:r w:rsidRPr="007105A2">
        <w:rPr>
          <w:rFonts w:ascii="Arial" w:eastAsia="Calibri" w:hAnsi="Arial" w:cs="Arial"/>
          <w:sz w:val="24"/>
          <w:szCs w:val="24"/>
          <w:lang w:val="es-ES_tradnl"/>
        </w:rPr>
        <w:t xml:space="preserve">Pentru calcul prognozei cerințelor de apă pentru zootehnie  s-au luat in considerare: </w:t>
      </w:r>
    </w:p>
    <w:p w:rsidR="000645BF" w:rsidRPr="00D71C89" w:rsidRDefault="000645BF" w:rsidP="00EF3940">
      <w:pPr>
        <w:pStyle w:val="ListParagraph"/>
        <w:widowControl w:val="0"/>
        <w:numPr>
          <w:ilvl w:val="0"/>
          <w:numId w:val="16"/>
        </w:numPr>
        <w:tabs>
          <w:tab w:val="left" w:pos="1021"/>
        </w:tabs>
        <w:jc w:val="both"/>
        <w:rPr>
          <w:rFonts w:ascii="Arial" w:hAnsi="Arial" w:cs="Arial"/>
        </w:rPr>
      </w:pPr>
      <w:r w:rsidRPr="00D71C89">
        <w:rPr>
          <w:rFonts w:ascii="Arial" w:hAnsi="Arial" w:cs="Arial"/>
        </w:rPr>
        <w:t xml:space="preserve">Datele furnizate de Institutul Naţional de Statistică ce cuprind efectivele de animale, pe categorii de animale, forme de proprietate, macroregiuni, regiuni de dezvoltare şi judeţe pentru anul de referinţă (2011) ; </w:t>
      </w:r>
    </w:p>
    <w:p w:rsidR="000645BF" w:rsidRPr="00D71C89" w:rsidRDefault="000645BF" w:rsidP="00EF3940">
      <w:pPr>
        <w:pStyle w:val="ListParagraph"/>
        <w:widowControl w:val="0"/>
        <w:numPr>
          <w:ilvl w:val="0"/>
          <w:numId w:val="16"/>
        </w:numPr>
        <w:tabs>
          <w:tab w:val="left" w:pos="1021"/>
        </w:tabs>
        <w:jc w:val="both"/>
        <w:rPr>
          <w:rFonts w:ascii="Arial" w:hAnsi="Arial" w:cs="Arial"/>
        </w:rPr>
      </w:pPr>
      <w:r w:rsidRPr="00D71C89">
        <w:rPr>
          <w:rFonts w:ascii="Arial" w:hAnsi="Arial" w:cs="Arial"/>
        </w:rPr>
        <w:lastRenderedPageBreak/>
        <w:t>Numărul populaţiei la nivelul anului de referinţă;</w:t>
      </w:r>
    </w:p>
    <w:p w:rsidR="000645BF" w:rsidRPr="00D71C89" w:rsidRDefault="000645BF" w:rsidP="00EF3940">
      <w:pPr>
        <w:pStyle w:val="ListParagraph"/>
        <w:widowControl w:val="0"/>
        <w:numPr>
          <w:ilvl w:val="0"/>
          <w:numId w:val="16"/>
        </w:numPr>
        <w:tabs>
          <w:tab w:val="left" w:pos="1021"/>
        </w:tabs>
        <w:jc w:val="both"/>
        <w:rPr>
          <w:rFonts w:ascii="Arial" w:hAnsi="Arial" w:cs="Arial"/>
        </w:rPr>
      </w:pPr>
      <w:r w:rsidRPr="00D71C89">
        <w:rPr>
          <w:rFonts w:ascii="Arial" w:hAnsi="Arial" w:cs="Arial"/>
        </w:rPr>
        <w:t>Prognoza numărului de locuitori pentru orizontul de timp 2020-2030 determinată anterior;</w:t>
      </w:r>
    </w:p>
    <w:p w:rsidR="000645BF" w:rsidRPr="00D71C89" w:rsidRDefault="000645BF" w:rsidP="00EF3940">
      <w:pPr>
        <w:pStyle w:val="ListParagraph"/>
        <w:widowControl w:val="0"/>
        <w:numPr>
          <w:ilvl w:val="0"/>
          <w:numId w:val="16"/>
        </w:numPr>
        <w:tabs>
          <w:tab w:val="left" w:pos="1021"/>
        </w:tabs>
        <w:jc w:val="both"/>
        <w:rPr>
          <w:rFonts w:ascii="Arial" w:hAnsi="Arial" w:cs="Arial"/>
        </w:rPr>
      </w:pPr>
      <w:r w:rsidRPr="00D71C89">
        <w:rPr>
          <w:rFonts w:ascii="Arial" w:hAnsi="Arial" w:cs="Arial"/>
        </w:rPr>
        <w:t>Cerinţa medie de apă pentru animalele crescute în regim industrial.</w:t>
      </w:r>
    </w:p>
    <w:p w:rsidR="000645BF" w:rsidRDefault="000645BF" w:rsidP="000645BF">
      <w:pPr>
        <w:pStyle w:val="1text2"/>
        <w:spacing w:before="0"/>
        <w:rPr>
          <w:rFonts w:cs="Arial"/>
        </w:rPr>
      </w:pPr>
      <w:r w:rsidRPr="007105A2">
        <w:rPr>
          <w:rFonts w:cs="Arial"/>
        </w:rPr>
        <w:t>Calculele de prognoză s-au realizat pentru trei scenarii de prognoză.</w:t>
      </w:r>
    </w:p>
    <w:p w:rsidR="000645BF" w:rsidRPr="007105A2" w:rsidRDefault="000645BF" w:rsidP="000645BF">
      <w:pPr>
        <w:pStyle w:val="1text2"/>
        <w:spacing w:before="0"/>
        <w:rPr>
          <w:rFonts w:cs="Arial"/>
        </w:rPr>
      </w:pP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lang w:val="es-ES_tradnl"/>
        </w:rPr>
      </w:pPr>
      <w:r w:rsidRPr="007105A2">
        <w:rPr>
          <w:rFonts w:ascii="Arial" w:eastAsia="Calibri" w:hAnsi="Arial" w:cs="Arial"/>
          <w:b/>
          <w:i/>
          <w:sz w:val="24"/>
          <w:szCs w:val="24"/>
          <w:lang w:val="es-ES_tradnl"/>
        </w:rPr>
        <w:t>Prognoza cerințelor de apă pentru acvacultură/piscicultură</w:t>
      </w:r>
      <w:r w:rsidRPr="007105A2">
        <w:rPr>
          <w:rFonts w:ascii="Arial" w:eastAsia="Calibri" w:hAnsi="Arial" w:cs="Arial"/>
          <w:sz w:val="24"/>
          <w:szCs w:val="24"/>
          <w:lang w:val="es-ES_tradnl"/>
        </w:rPr>
        <w:t xml:space="preserve">s-a realizat luând în considerare: </w:t>
      </w:r>
    </w:p>
    <w:p w:rsidR="000645BF" w:rsidRPr="00AD50FC" w:rsidRDefault="000645BF" w:rsidP="00EF3940">
      <w:pPr>
        <w:pStyle w:val="ListParagraph"/>
        <w:widowControl w:val="0"/>
        <w:numPr>
          <w:ilvl w:val="0"/>
          <w:numId w:val="17"/>
        </w:numPr>
        <w:tabs>
          <w:tab w:val="left" w:pos="1021"/>
        </w:tabs>
        <w:jc w:val="both"/>
        <w:rPr>
          <w:rFonts w:ascii="Arial" w:hAnsi="Arial" w:cs="Arial"/>
        </w:rPr>
      </w:pPr>
      <w:r w:rsidRPr="00AD50FC">
        <w:rPr>
          <w:rFonts w:ascii="Arial" w:hAnsi="Arial" w:cs="Arial"/>
        </w:rPr>
        <w:t>Volumule de apă prelevate  în anii anteriori pentru acvacultură/piscicultură, volume ce au fost preluate din Balanţa Apei elaborată de Administraţia Naţionala „Apele Române” ;</w:t>
      </w:r>
    </w:p>
    <w:p w:rsidR="000645BF" w:rsidRPr="00AD50FC" w:rsidRDefault="000645BF" w:rsidP="00EF3940">
      <w:pPr>
        <w:pStyle w:val="ListParagraph"/>
        <w:widowControl w:val="0"/>
        <w:numPr>
          <w:ilvl w:val="0"/>
          <w:numId w:val="17"/>
        </w:numPr>
        <w:tabs>
          <w:tab w:val="left" w:pos="1021"/>
        </w:tabs>
        <w:jc w:val="both"/>
        <w:rPr>
          <w:rFonts w:ascii="Arial" w:hAnsi="Arial" w:cs="Arial"/>
        </w:rPr>
      </w:pPr>
      <w:r w:rsidRPr="00AD50FC">
        <w:rPr>
          <w:rFonts w:ascii="Arial" w:hAnsi="Arial" w:cs="Arial"/>
        </w:rPr>
        <w:t>Suprafeţele amenajărilor piscicole – pepiniere şi crescătorii potrivit Registrului Unităților de Acvacultură a Agenţiei Naţionale pentru Pescuit şi Acvacultură.</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Calibri" w:hAnsi="Arial" w:cs="Arial"/>
          <w:sz w:val="24"/>
          <w:szCs w:val="24"/>
          <w:lang w:val="es-ES_tradnl"/>
        </w:rPr>
      </w:pPr>
      <w:r w:rsidRPr="007105A2">
        <w:rPr>
          <w:rFonts w:ascii="Arial" w:eastAsia="Calibri" w:hAnsi="Arial" w:cs="Arial"/>
          <w:sz w:val="24"/>
          <w:szCs w:val="24"/>
          <w:lang w:val="es-ES_tradnl"/>
        </w:rPr>
        <w:t>Calculele de prognoză s-au realizat pentru un scenariu de prognoză.</w:t>
      </w:r>
    </w:p>
    <w:p w:rsidR="000645BF"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sidRPr="007105A2">
        <w:rPr>
          <w:rFonts w:ascii="Arial" w:hAnsi="Arial" w:cs="Arial"/>
          <w:sz w:val="24"/>
          <w:szCs w:val="24"/>
        </w:rPr>
        <w:t xml:space="preserve">In tabelul nr. </w:t>
      </w:r>
      <w:r w:rsidRPr="007105A2">
        <w:rPr>
          <w:rFonts w:ascii="Arial" w:hAnsi="Arial" w:cs="Arial"/>
          <w:i/>
          <w:sz w:val="24"/>
          <w:szCs w:val="24"/>
        </w:rPr>
        <w:t xml:space="preserve">II.1.2.1.2 </w:t>
      </w:r>
      <w:r w:rsidRPr="007105A2">
        <w:rPr>
          <w:rFonts w:ascii="Arial" w:hAnsi="Arial" w:cs="Arial"/>
          <w:sz w:val="24"/>
          <w:szCs w:val="24"/>
        </w:rPr>
        <w:t>se prezintă cerinţa de apă, la nivelul României, pe folosinţe de apă şi pe orizonturi de timp, pentru scenariul mediu.</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p>
    <w:p w:rsidR="000645BF" w:rsidRPr="00AB4C01" w:rsidRDefault="000645BF" w:rsidP="000645BF">
      <w:pPr>
        <w:pStyle w:val="1tabeltitlu"/>
        <w:spacing w:before="0" w:after="0"/>
        <w:jc w:val="both"/>
        <w:rPr>
          <w:b w:val="0"/>
          <w:sz w:val="24"/>
        </w:rPr>
      </w:pPr>
      <w:r w:rsidRPr="00AB4C01">
        <w:rPr>
          <w:b w:val="0"/>
          <w:sz w:val="24"/>
        </w:rPr>
        <w:t xml:space="preserve">Tabel nr. </w:t>
      </w:r>
      <w:r w:rsidRPr="00AB4C01">
        <w:rPr>
          <w:b w:val="0"/>
          <w:i/>
          <w:sz w:val="24"/>
        </w:rPr>
        <w:t xml:space="preserve">II.1.2.1.2 </w:t>
      </w:r>
      <w:r w:rsidRPr="00AB4C01">
        <w:rPr>
          <w:b w:val="0"/>
          <w:sz w:val="24"/>
        </w:rPr>
        <w:t>Centralizator  privind  cerinţa de apă pentru orizonturile de timp 2020 şi 2030</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441"/>
        <w:gridCol w:w="1919"/>
      </w:tblGrid>
      <w:tr w:rsidR="000645BF" w:rsidRPr="00AB4C01" w:rsidTr="004E444C">
        <w:trPr>
          <w:trHeight w:val="20"/>
          <w:jc w:val="center"/>
        </w:trPr>
        <w:tc>
          <w:tcPr>
            <w:tcW w:w="2693" w:type="dxa"/>
            <w:vMerge w:val="restart"/>
            <w:shd w:val="clear" w:color="auto" w:fill="8DB3E2" w:themeFill="text2" w:themeFillTint="66"/>
            <w:vAlign w:val="center"/>
          </w:tcPr>
          <w:p w:rsidR="000645BF" w:rsidRPr="00AB4C01" w:rsidRDefault="000645BF" w:rsidP="004E444C">
            <w:pPr>
              <w:spacing w:after="0" w:line="240" w:lineRule="auto"/>
              <w:jc w:val="both"/>
              <w:rPr>
                <w:rFonts w:ascii="Arial" w:eastAsia="Calibri" w:hAnsi="Arial" w:cs="Arial"/>
                <w:b/>
                <w:sz w:val="24"/>
                <w:szCs w:val="24"/>
              </w:rPr>
            </w:pPr>
          </w:p>
          <w:p w:rsidR="000645BF" w:rsidRPr="00AB4C01" w:rsidRDefault="000645BF" w:rsidP="004E444C">
            <w:pPr>
              <w:spacing w:after="0" w:line="240" w:lineRule="auto"/>
              <w:jc w:val="both"/>
              <w:rPr>
                <w:rFonts w:ascii="Arial" w:eastAsia="Calibri" w:hAnsi="Arial" w:cs="Arial"/>
                <w:b/>
                <w:sz w:val="24"/>
                <w:szCs w:val="24"/>
              </w:rPr>
            </w:pPr>
            <w:r w:rsidRPr="00AB4C01">
              <w:rPr>
                <w:rFonts w:ascii="Arial" w:eastAsia="Calibri" w:hAnsi="Arial" w:cs="Arial"/>
                <w:b/>
                <w:sz w:val="24"/>
                <w:szCs w:val="24"/>
              </w:rPr>
              <w:t>Folosința de apă</w:t>
            </w:r>
          </w:p>
        </w:tc>
        <w:tc>
          <w:tcPr>
            <w:tcW w:w="3360" w:type="dxa"/>
            <w:gridSpan w:val="2"/>
            <w:shd w:val="clear" w:color="auto" w:fill="8DB3E2" w:themeFill="text2" w:themeFillTint="66"/>
            <w:vAlign w:val="center"/>
          </w:tcPr>
          <w:p w:rsidR="000645BF" w:rsidRPr="00AB4C01" w:rsidRDefault="000645BF" w:rsidP="004E444C">
            <w:pPr>
              <w:spacing w:after="0" w:line="240" w:lineRule="auto"/>
              <w:jc w:val="both"/>
              <w:rPr>
                <w:rFonts w:ascii="Arial" w:eastAsia="Calibri" w:hAnsi="Arial" w:cs="Arial"/>
                <w:b/>
                <w:sz w:val="24"/>
                <w:szCs w:val="24"/>
              </w:rPr>
            </w:pPr>
            <w:r w:rsidRPr="00AB4C01">
              <w:rPr>
                <w:rFonts w:ascii="Arial" w:eastAsia="Calibri" w:hAnsi="Arial" w:cs="Arial"/>
                <w:b/>
                <w:sz w:val="24"/>
                <w:szCs w:val="24"/>
              </w:rPr>
              <w:t>CERINȚA DE APĂ (mil. mc)</w:t>
            </w:r>
          </w:p>
        </w:tc>
      </w:tr>
      <w:tr w:rsidR="000645BF" w:rsidRPr="007105A2" w:rsidTr="004E444C">
        <w:trPr>
          <w:trHeight w:val="20"/>
          <w:jc w:val="center"/>
        </w:trPr>
        <w:tc>
          <w:tcPr>
            <w:tcW w:w="2693" w:type="dxa"/>
            <w:vMerge/>
            <w:shd w:val="clear" w:color="auto" w:fill="8DB3E2" w:themeFill="text2" w:themeFillTint="66"/>
            <w:vAlign w:val="center"/>
          </w:tcPr>
          <w:p w:rsidR="000645BF" w:rsidRPr="007105A2" w:rsidRDefault="000645BF" w:rsidP="004E444C">
            <w:pPr>
              <w:spacing w:after="0" w:line="240" w:lineRule="auto"/>
              <w:jc w:val="both"/>
              <w:rPr>
                <w:rFonts w:ascii="Arial" w:eastAsia="Calibri" w:hAnsi="Arial" w:cs="Arial"/>
                <w:b/>
              </w:rPr>
            </w:pPr>
          </w:p>
        </w:tc>
        <w:tc>
          <w:tcPr>
            <w:tcW w:w="1441" w:type="dxa"/>
            <w:shd w:val="clear" w:color="auto" w:fill="8DB3E2" w:themeFill="text2" w:themeFillTint="66"/>
            <w:vAlign w:val="center"/>
          </w:tcPr>
          <w:p w:rsidR="000645BF" w:rsidRPr="007105A2" w:rsidRDefault="000645BF" w:rsidP="004E444C">
            <w:pPr>
              <w:spacing w:after="0" w:line="240" w:lineRule="auto"/>
              <w:rPr>
                <w:rFonts w:ascii="Arial" w:eastAsia="Calibri" w:hAnsi="Arial" w:cs="Arial"/>
                <w:b/>
              </w:rPr>
            </w:pPr>
            <w:r w:rsidRPr="007105A2">
              <w:rPr>
                <w:rFonts w:ascii="Arial" w:eastAsia="Calibri" w:hAnsi="Arial" w:cs="Arial"/>
                <w:b/>
              </w:rPr>
              <w:t>2020</w:t>
            </w:r>
          </w:p>
        </w:tc>
        <w:tc>
          <w:tcPr>
            <w:tcW w:w="1919" w:type="dxa"/>
            <w:shd w:val="clear" w:color="auto" w:fill="8DB3E2" w:themeFill="text2" w:themeFillTint="66"/>
            <w:vAlign w:val="center"/>
          </w:tcPr>
          <w:p w:rsidR="000645BF" w:rsidRPr="007105A2" w:rsidRDefault="000645BF" w:rsidP="004E444C">
            <w:pPr>
              <w:spacing w:after="0" w:line="240" w:lineRule="auto"/>
              <w:rPr>
                <w:rFonts w:ascii="Arial" w:eastAsia="Calibri" w:hAnsi="Arial" w:cs="Arial"/>
                <w:b/>
              </w:rPr>
            </w:pPr>
            <w:r w:rsidRPr="007105A2">
              <w:rPr>
                <w:rFonts w:ascii="Arial" w:eastAsia="Calibri" w:hAnsi="Arial" w:cs="Arial"/>
                <w:b/>
              </w:rPr>
              <w:t>2030</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rPr>
            </w:pPr>
            <w:r w:rsidRPr="007105A2">
              <w:rPr>
                <w:rFonts w:ascii="Arial" w:eastAsia="Calibri" w:hAnsi="Arial" w:cs="Arial"/>
              </w:rPr>
              <w:t>Populație</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color w:val="FF0000"/>
                <w:highlight w:val="red"/>
              </w:rPr>
            </w:pPr>
            <w:r w:rsidRPr="007105A2">
              <w:rPr>
                <w:rFonts w:ascii="Arial" w:eastAsia="Calibri" w:hAnsi="Arial" w:cs="Arial"/>
              </w:rPr>
              <w:t>2.088</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2.097</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rPr>
            </w:pPr>
            <w:r w:rsidRPr="007105A2">
              <w:rPr>
                <w:rFonts w:ascii="Arial" w:eastAsia="Calibri" w:hAnsi="Arial" w:cs="Arial"/>
              </w:rPr>
              <w:t>Industrie</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6.664</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7.383</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rPr>
            </w:pPr>
            <w:r w:rsidRPr="007105A2">
              <w:rPr>
                <w:rFonts w:ascii="Arial" w:eastAsia="Calibri" w:hAnsi="Arial" w:cs="Arial"/>
              </w:rPr>
              <w:t>Irigații</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562</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1.689</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rPr>
            </w:pPr>
            <w:r w:rsidRPr="007105A2">
              <w:rPr>
                <w:rFonts w:ascii="Arial" w:eastAsia="Calibri" w:hAnsi="Arial" w:cs="Arial"/>
              </w:rPr>
              <w:t>Zootehnie</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color w:val="FF0000"/>
              </w:rPr>
            </w:pPr>
            <w:r w:rsidRPr="007105A2">
              <w:rPr>
                <w:rFonts w:ascii="Arial" w:eastAsia="Calibri" w:hAnsi="Arial" w:cs="Arial"/>
              </w:rPr>
              <w:t>172</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164</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rPr>
            </w:pPr>
            <w:r w:rsidRPr="007105A2">
              <w:rPr>
                <w:rFonts w:ascii="Arial" w:eastAsia="Calibri" w:hAnsi="Arial" w:cs="Arial"/>
              </w:rPr>
              <w:t>Acvacultură</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color w:val="FF0000"/>
              </w:rPr>
            </w:pPr>
            <w:r w:rsidRPr="007105A2">
              <w:rPr>
                <w:rFonts w:ascii="Arial" w:eastAsia="Calibri" w:hAnsi="Arial" w:cs="Arial"/>
              </w:rPr>
              <w:t>818</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rPr>
            </w:pPr>
            <w:r w:rsidRPr="007105A2">
              <w:rPr>
                <w:rFonts w:ascii="Arial" w:eastAsia="Calibri" w:hAnsi="Arial" w:cs="Arial"/>
              </w:rPr>
              <w:t>949</w:t>
            </w:r>
          </w:p>
        </w:tc>
      </w:tr>
      <w:tr w:rsidR="000645BF" w:rsidRPr="007105A2" w:rsidTr="004E444C">
        <w:trPr>
          <w:trHeight w:val="20"/>
          <w:jc w:val="center"/>
        </w:trPr>
        <w:tc>
          <w:tcPr>
            <w:tcW w:w="2693" w:type="dxa"/>
            <w:shd w:val="clear" w:color="auto" w:fill="DBE5F1" w:themeFill="accent1" w:themeFillTint="33"/>
            <w:vAlign w:val="center"/>
          </w:tcPr>
          <w:p w:rsidR="000645BF" w:rsidRPr="007105A2" w:rsidRDefault="000645BF" w:rsidP="004E444C">
            <w:pPr>
              <w:spacing w:after="0" w:line="240" w:lineRule="auto"/>
              <w:jc w:val="both"/>
              <w:rPr>
                <w:rFonts w:ascii="Arial" w:eastAsia="Calibri" w:hAnsi="Arial" w:cs="Arial"/>
                <w:b/>
              </w:rPr>
            </w:pPr>
            <w:r w:rsidRPr="007105A2">
              <w:rPr>
                <w:rFonts w:ascii="Arial" w:eastAsia="Calibri" w:hAnsi="Arial" w:cs="Arial"/>
                <w:b/>
              </w:rPr>
              <w:t>Total</w:t>
            </w:r>
            <w:r w:rsidRPr="007105A2">
              <w:rPr>
                <w:rFonts w:ascii="Arial" w:hAnsi="Arial" w:cs="Arial"/>
                <w:b/>
              </w:rPr>
              <w:t xml:space="preserve"> România</w:t>
            </w:r>
          </w:p>
        </w:tc>
        <w:tc>
          <w:tcPr>
            <w:tcW w:w="1441"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b/>
              </w:rPr>
            </w:pPr>
            <w:r w:rsidRPr="007105A2">
              <w:rPr>
                <w:rFonts w:ascii="Arial" w:eastAsia="Calibri" w:hAnsi="Arial" w:cs="Arial"/>
                <w:b/>
              </w:rPr>
              <w:t>10.304</w:t>
            </w:r>
          </w:p>
        </w:tc>
        <w:tc>
          <w:tcPr>
            <w:tcW w:w="1919" w:type="dxa"/>
            <w:shd w:val="clear" w:color="auto" w:fill="DBE5F1" w:themeFill="accent1" w:themeFillTint="33"/>
            <w:vAlign w:val="center"/>
          </w:tcPr>
          <w:p w:rsidR="000645BF" w:rsidRPr="007105A2" w:rsidRDefault="000645BF" w:rsidP="004E444C">
            <w:pPr>
              <w:spacing w:after="0" w:line="240" w:lineRule="auto"/>
              <w:rPr>
                <w:rFonts w:ascii="Arial" w:eastAsia="Calibri" w:hAnsi="Arial" w:cs="Arial"/>
                <w:b/>
              </w:rPr>
            </w:pPr>
            <w:r w:rsidRPr="007105A2">
              <w:rPr>
                <w:rFonts w:ascii="Arial" w:eastAsia="Calibri" w:hAnsi="Arial" w:cs="Arial"/>
                <w:b/>
              </w:rPr>
              <w:t>12.282</w:t>
            </w:r>
          </w:p>
        </w:tc>
      </w:tr>
    </w:tbl>
    <w:p w:rsidR="000645BF"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Arial" w:hAnsi="Arial" w:cs="Arial"/>
          <w:i/>
          <w:sz w:val="24"/>
          <w:szCs w:val="24"/>
        </w:rPr>
      </w:pPr>
      <w:r w:rsidRPr="007105A2">
        <w:rPr>
          <w:rFonts w:ascii="Arial" w:hAnsi="Arial" w:cs="Arial"/>
          <w:i/>
          <w:noProof/>
          <w:sz w:val="24"/>
          <w:szCs w:val="24"/>
        </w:rPr>
        <w:drawing>
          <wp:inline distT="0" distB="0" distL="0" distR="0">
            <wp:extent cx="3571875" cy="2714625"/>
            <wp:effectExtent l="0" t="0" r="0" b="0"/>
            <wp:docPr id="2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645BF" w:rsidRPr="0058021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i/>
        </w:rPr>
      </w:pPr>
      <w:r w:rsidRPr="00580212">
        <w:rPr>
          <w:rFonts w:ascii="Arial" w:hAnsi="Arial" w:cs="Arial"/>
          <w:i/>
        </w:rPr>
        <w:t>Figura II.1.2.1.2 Prognoza cerinţei de apă totală la nivel naţional pentru orizontul de timp 2015 -2030.</w:t>
      </w:r>
    </w:p>
    <w:p w:rsidR="000645BF" w:rsidRPr="007105A2" w:rsidRDefault="000645BF" w:rsidP="000645BF">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i/>
          <w:sz w:val="24"/>
          <w:szCs w:val="24"/>
        </w:rPr>
      </w:pPr>
    </w:p>
    <w:p w:rsidR="000645BF" w:rsidRDefault="000645BF" w:rsidP="000645BF">
      <w:pPr>
        <w:spacing w:after="0" w:line="240" w:lineRule="auto"/>
        <w:jc w:val="both"/>
        <w:rPr>
          <w:rFonts w:ascii="Arial" w:hAnsi="Arial" w:cs="Arial"/>
          <w:b/>
          <w:i/>
          <w:sz w:val="26"/>
          <w:szCs w:val="26"/>
          <w:lang w:val="en-US"/>
        </w:rPr>
      </w:pPr>
      <w:r w:rsidRPr="00745B7E">
        <w:rPr>
          <w:rFonts w:ascii="Arial" w:hAnsi="Arial" w:cs="Arial"/>
          <w:b/>
          <w:i/>
          <w:sz w:val="26"/>
          <w:szCs w:val="26"/>
          <w:lang w:val="en-US"/>
        </w:rPr>
        <w:t xml:space="preserve">  </w:t>
      </w:r>
    </w:p>
    <w:p w:rsidR="000645BF" w:rsidRDefault="000645BF" w:rsidP="000645BF">
      <w:pPr>
        <w:spacing w:after="0" w:line="240" w:lineRule="auto"/>
        <w:jc w:val="both"/>
        <w:rPr>
          <w:rFonts w:ascii="Arial" w:eastAsia="Calibri" w:hAnsi="Arial" w:cs="Arial"/>
          <w:sz w:val="24"/>
          <w:szCs w:val="24"/>
        </w:rPr>
      </w:pPr>
      <w:r w:rsidRPr="00745B7E">
        <w:rPr>
          <w:rFonts w:ascii="Arial" w:hAnsi="Arial" w:cs="Arial"/>
          <w:b/>
          <w:i/>
          <w:sz w:val="26"/>
          <w:szCs w:val="26"/>
          <w:lang w:val="en-US"/>
        </w:rPr>
        <w:t>II.1.2.2   Riscurile şi presiunile inundaţiilor</w:t>
      </w:r>
    </w:p>
    <w:p w:rsidR="000645BF" w:rsidRPr="004F436C" w:rsidRDefault="000645BF" w:rsidP="000645BF">
      <w:pPr>
        <w:spacing w:after="0" w:line="240" w:lineRule="auto"/>
        <w:ind w:firstLine="708"/>
        <w:jc w:val="both"/>
        <w:rPr>
          <w:rFonts w:ascii="Arial" w:eastAsia="Calibri" w:hAnsi="Arial" w:cs="Arial"/>
          <w:sz w:val="24"/>
          <w:szCs w:val="24"/>
        </w:rPr>
      </w:pPr>
      <w:r w:rsidRPr="004F436C">
        <w:rPr>
          <w:rFonts w:ascii="Arial" w:eastAsia="Calibri" w:hAnsi="Arial" w:cs="Arial"/>
          <w:sz w:val="24"/>
          <w:szCs w:val="24"/>
        </w:rPr>
        <w:t>I</w:t>
      </w:r>
      <w:r w:rsidRPr="004F436C">
        <w:rPr>
          <w:rFonts w:ascii="Arial" w:eastAsia="Calibri" w:hAnsi="Arial" w:cs="Arial"/>
          <w:spacing w:val="-1"/>
          <w:sz w:val="24"/>
          <w:szCs w:val="24"/>
        </w:rPr>
        <w:t>nund</w:t>
      </w:r>
      <w:r w:rsidRPr="004F436C">
        <w:rPr>
          <w:rFonts w:ascii="Arial" w:eastAsia="Calibri" w:hAnsi="Arial" w:cs="Arial"/>
          <w:sz w:val="24"/>
          <w:szCs w:val="24"/>
        </w:rPr>
        <w:t>a</w:t>
      </w:r>
      <w:r w:rsidRPr="004F436C">
        <w:rPr>
          <w:rFonts w:ascii="Arial" w:eastAsia="Calibri" w:hAnsi="Arial" w:cs="Arial"/>
          <w:spacing w:val="1"/>
          <w:sz w:val="24"/>
          <w:szCs w:val="24"/>
        </w:rPr>
        <w:t>ţ</w:t>
      </w:r>
      <w:r w:rsidRPr="004F436C">
        <w:rPr>
          <w:rFonts w:ascii="Arial" w:eastAsia="Calibri" w:hAnsi="Arial" w:cs="Arial"/>
          <w:sz w:val="24"/>
          <w:szCs w:val="24"/>
        </w:rPr>
        <w:t>i</w:t>
      </w:r>
      <w:r w:rsidRPr="004F436C">
        <w:rPr>
          <w:rFonts w:ascii="Arial" w:eastAsia="Calibri" w:hAnsi="Arial" w:cs="Arial"/>
          <w:spacing w:val="-1"/>
          <w:sz w:val="24"/>
          <w:szCs w:val="24"/>
        </w:rPr>
        <w:t>i</w:t>
      </w:r>
      <w:r w:rsidRPr="004F436C">
        <w:rPr>
          <w:rFonts w:ascii="Arial" w:eastAsia="Calibri" w:hAnsi="Arial" w:cs="Arial"/>
          <w:sz w:val="24"/>
          <w:szCs w:val="24"/>
        </w:rPr>
        <w:t>le</w:t>
      </w:r>
      <w:r>
        <w:rPr>
          <w:rFonts w:ascii="Arial" w:eastAsia="Calibri" w:hAnsi="Arial" w:cs="Arial"/>
          <w:sz w:val="24"/>
          <w:szCs w:val="24"/>
        </w:rPr>
        <w:t xml:space="preserve"> </w:t>
      </w:r>
      <w:r w:rsidRPr="004F436C">
        <w:rPr>
          <w:rFonts w:ascii="Arial" w:eastAsia="Calibri" w:hAnsi="Arial" w:cs="Arial"/>
          <w:sz w:val="24"/>
          <w:szCs w:val="24"/>
        </w:rPr>
        <w:t>rep</w:t>
      </w:r>
      <w:r w:rsidRPr="004F436C">
        <w:rPr>
          <w:rFonts w:ascii="Arial" w:eastAsia="Calibri" w:hAnsi="Arial" w:cs="Arial"/>
          <w:spacing w:val="-1"/>
          <w:sz w:val="24"/>
          <w:szCs w:val="24"/>
        </w:rPr>
        <w:t>r</w:t>
      </w:r>
      <w:r w:rsidRPr="004F436C">
        <w:rPr>
          <w:rFonts w:ascii="Arial" w:eastAsia="Calibri" w:hAnsi="Arial" w:cs="Arial"/>
          <w:sz w:val="24"/>
          <w:szCs w:val="24"/>
        </w:rPr>
        <w:t>ez</w:t>
      </w:r>
      <w:r w:rsidRPr="004F436C">
        <w:rPr>
          <w:rFonts w:ascii="Arial" w:eastAsia="Calibri" w:hAnsi="Arial" w:cs="Arial"/>
          <w:spacing w:val="-1"/>
          <w:sz w:val="24"/>
          <w:szCs w:val="24"/>
        </w:rPr>
        <w:t>in</w:t>
      </w:r>
      <w:r w:rsidRPr="004F436C">
        <w:rPr>
          <w:rFonts w:ascii="Arial" w:eastAsia="Calibri" w:hAnsi="Arial" w:cs="Arial"/>
          <w:sz w:val="24"/>
          <w:szCs w:val="24"/>
        </w:rPr>
        <w:t>tă</w:t>
      </w:r>
      <w:r>
        <w:rPr>
          <w:rFonts w:ascii="Arial" w:eastAsia="Calibri" w:hAnsi="Arial" w:cs="Arial"/>
          <w:sz w:val="24"/>
          <w:szCs w:val="24"/>
        </w:rPr>
        <w:t xml:space="preserve"> </w:t>
      </w:r>
      <w:r w:rsidRPr="004F436C">
        <w:rPr>
          <w:rFonts w:ascii="Arial" w:eastAsia="Calibri" w:hAnsi="Arial" w:cs="Arial"/>
          <w:spacing w:val="-1"/>
          <w:sz w:val="24"/>
          <w:szCs w:val="24"/>
        </w:rPr>
        <w:t>unu</w:t>
      </w:r>
      <w:r w:rsidRPr="004F436C">
        <w:rPr>
          <w:rFonts w:ascii="Arial" w:eastAsia="Calibri" w:hAnsi="Arial" w:cs="Arial"/>
          <w:sz w:val="24"/>
          <w:szCs w:val="24"/>
        </w:rPr>
        <w:t>l</w:t>
      </w:r>
      <w:r>
        <w:rPr>
          <w:rFonts w:ascii="Arial" w:eastAsia="Calibri" w:hAnsi="Arial" w:cs="Arial"/>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i</w:t>
      </w:r>
      <w:r w:rsidRPr="004F436C">
        <w:rPr>
          <w:rFonts w:ascii="Arial" w:eastAsia="Calibri" w:hAnsi="Arial" w:cs="Arial"/>
          <w:spacing w:val="-1"/>
          <w:sz w:val="24"/>
          <w:szCs w:val="24"/>
        </w:rPr>
        <w:t>n</w:t>
      </w:r>
      <w:r w:rsidRPr="004F436C">
        <w:rPr>
          <w:rFonts w:ascii="Arial" w:eastAsia="Calibri" w:hAnsi="Arial" w:cs="Arial"/>
          <w:sz w:val="24"/>
          <w:szCs w:val="24"/>
        </w:rPr>
        <w:t>tre</w:t>
      </w:r>
      <w:r>
        <w:rPr>
          <w:rFonts w:ascii="Arial" w:eastAsia="Calibri" w:hAnsi="Arial" w:cs="Arial"/>
          <w:sz w:val="24"/>
          <w:szCs w:val="24"/>
        </w:rPr>
        <w:t xml:space="preserve"> </w:t>
      </w:r>
      <w:r w:rsidRPr="004F436C">
        <w:rPr>
          <w:rFonts w:ascii="Arial" w:eastAsia="Calibri" w:hAnsi="Arial" w:cs="Arial"/>
          <w:spacing w:val="-1"/>
          <w:sz w:val="24"/>
          <w:szCs w:val="24"/>
        </w:rPr>
        <w:t>h</w:t>
      </w:r>
      <w:r w:rsidRPr="004F436C">
        <w:rPr>
          <w:rFonts w:ascii="Arial" w:eastAsia="Calibri" w:hAnsi="Arial" w:cs="Arial"/>
          <w:sz w:val="24"/>
          <w:szCs w:val="24"/>
        </w:rPr>
        <w:t>a</w:t>
      </w:r>
      <w:r w:rsidRPr="004F436C">
        <w:rPr>
          <w:rFonts w:ascii="Arial" w:eastAsia="Calibri" w:hAnsi="Arial" w:cs="Arial"/>
          <w:spacing w:val="-1"/>
          <w:sz w:val="24"/>
          <w:szCs w:val="24"/>
        </w:rPr>
        <w:t>z</w:t>
      </w:r>
      <w:r w:rsidRPr="004F436C">
        <w:rPr>
          <w:rFonts w:ascii="Arial" w:eastAsia="Calibri" w:hAnsi="Arial" w:cs="Arial"/>
          <w:sz w:val="24"/>
          <w:szCs w:val="24"/>
        </w:rPr>
        <w:t>ar</w:t>
      </w:r>
      <w:r w:rsidRPr="004F436C">
        <w:rPr>
          <w:rFonts w:ascii="Arial" w:eastAsia="Calibri" w:hAnsi="Arial" w:cs="Arial"/>
          <w:spacing w:val="-1"/>
          <w:sz w:val="24"/>
          <w:szCs w:val="24"/>
        </w:rPr>
        <w:t>d</w:t>
      </w:r>
      <w:r w:rsidRPr="004F436C">
        <w:rPr>
          <w:rFonts w:ascii="Arial" w:eastAsia="Calibri" w:hAnsi="Arial" w:cs="Arial"/>
          <w:sz w:val="24"/>
          <w:szCs w:val="24"/>
        </w:rPr>
        <w:t>ele</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ri</w:t>
      </w:r>
      <w:r w:rsidRPr="004F436C">
        <w:rPr>
          <w:rFonts w:ascii="Arial" w:eastAsia="Calibri" w:hAnsi="Arial" w:cs="Arial"/>
          <w:spacing w:val="-1"/>
          <w:sz w:val="24"/>
          <w:szCs w:val="24"/>
        </w:rPr>
        <w:t>n</w:t>
      </w:r>
      <w:r w:rsidRPr="004F436C">
        <w:rPr>
          <w:rFonts w:ascii="Arial" w:eastAsia="Calibri" w:hAnsi="Arial" w:cs="Arial"/>
          <w:sz w:val="24"/>
          <w:szCs w:val="24"/>
        </w:rPr>
        <w:t>ci</w:t>
      </w:r>
      <w:r w:rsidRPr="004F436C">
        <w:rPr>
          <w:rFonts w:ascii="Arial" w:eastAsia="Calibri" w:hAnsi="Arial" w:cs="Arial"/>
          <w:spacing w:val="-1"/>
          <w:sz w:val="24"/>
          <w:szCs w:val="24"/>
        </w:rPr>
        <w:t>p</w:t>
      </w:r>
      <w:r w:rsidRPr="004F436C">
        <w:rPr>
          <w:rFonts w:ascii="Arial" w:eastAsia="Calibri" w:hAnsi="Arial" w:cs="Arial"/>
          <w:sz w:val="24"/>
          <w:szCs w:val="24"/>
        </w:rPr>
        <w:t>ale</w:t>
      </w:r>
      <w:r>
        <w:rPr>
          <w:rFonts w:ascii="Arial" w:eastAsia="Calibri" w:hAnsi="Arial" w:cs="Arial"/>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in</w:t>
      </w:r>
      <w:r>
        <w:rPr>
          <w:rFonts w:ascii="Arial" w:eastAsia="Calibri" w:hAnsi="Arial" w:cs="Arial"/>
          <w:sz w:val="24"/>
          <w:szCs w:val="24"/>
        </w:rPr>
        <w:t xml:space="preserve"> </w:t>
      </w:r>
      <w:r w:rsidRPr="004F436C">
        <w:rPr>
          <w:rFonts w:ascii="Arial" w:eastAsia="Calibri" w:hAnsi="Arial" w:cs="Arial"/>
          <w:sz w:val="24"/>
          <w:szCs w:val="24"/>
        </w:rPr>
        <w:t xml:space="preserve">ţara  </w:t>
      </w:r>
      <w:r w:rsidRPr="004F436C">
        <w:rPr>
          <w:rFonts w:ascii="Arial" w:eastAsia="Calibri" w:hAnsi="Arial" w:cs="Arial"/>
          <w:spacing w:val="-1"/>
          <w:sz w:val="24"/>
          <w:szCs w:val="24"/>
        </w:rPr>
        <w:t>n</w:t>
      </w:r>
      <w:r w:rsidRPr="004F436C">
        <w:rPr>
          <w:rFonts w:ascii="Arial" w:eastAsia="Calibri" w:hAnsi="Arial" w:cs="Arial"/>
          <w:spacing w:val="1"/>
          <w:sz w:val="24"/>
          <w:szCs w:val="24"/>
        </w:rPr>
        <w:t>o</w:t>
      </w:r>
      <w:r w:rsidRPr="004F436C">
        <w:rPr>
          <w:rFonts w:ascii="Arial" w:eastAsia="Calibri" w:hAnsi="Arial" w:cs="Arial"/>
          <w:sz w:val="24"/>
          <w:szCs w:val="24"/>
        </w:rPr>
        <w:t>astră, care</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rin</w:t>
      </w:r>
      <w:r>
        <w:rPr>
          <w:rFonts w:ascii="Arial" w:eastAsia="Calibri" w:hAnsi="Arial" w:cs="Arial"/>
          <w:sz w:val="24"/>
          <w:szCs w:val="24"/>
        </w:rPr>
        <w:t xml:space="preserve"> </w:t>
      </w:r>
      <w:r w:rsidRPr="004F436C">
        <w:rPr>
          <w:rFonts w:ascii="Arial" w:eastAsia="Calibri" w:hAnsi="Arial" w:cs="Arial"/>
          <w:sz w:val="24"/>
          <w:szCs w:val="24"/>
        </w:rPr>
        <w:t>i</w:t>
      </w:r>
      <w:r w:rsidRPr="004F436C">
        <w:rPr>
          <w:rFonts w:ascii="Arial" w:eastAsia="Calibri" w:hAnsi="Arial" w:cs="Arial"/>
          <w:spacing w:val="-1"/>
          <w:sz w:val="24"/>
          <w:szCs w:val="24"/>
        </w:rPr>
        <w:t>n</w:t>
      </w:r>
      <w:r w:rsidRPr="004F436C">
        <w:rPr>
          <w:rFonts w:ascii="Arial" w:eastAsia="Calibri" w:hAnsi="Arial" w:cs="Arial"/>
          <w:sz w:val="24"/>
          <w:szCs w:val="24"/>
        </w:rPr>
        <w:t>t</w:t>
      </w:r>
      <w:r w:rsidRPr="004F436C">
        <w:rPr>
          <w:rFonts w:ascii="Arial" w:eastAsia="Calibri" w:hAnsi="Arial" w:cs="Arial"/>
          <w:spacing w:val="1"/>
          <w:sz w:val="24"/>
          <w:szCs w:val="24"/>
        </w:rPr>
        <w:t>e</w:t>
      </w:r>
      <w:r w:rsidRPr="004F436C">
        <w:rPr>
          <w:rFonts w:ascii="Arial" w:eastAsia="Calibri" w:hAnsi="Arial" w:cs="Arial"/>
          <w:spacing w:val="-1"/>
          <w:sz w:val="24"/>
          <w:szCs w:val="24"/>
        </w:rPr>
        <w:t>n</w:t>
      </w:r>
      <w:r w:rsidRPr="004F436C">
        <w:rPr>
          <w:rFonts w:ascii="Arial" w:eastAsia="Calibri" w:hAnsi="Arial" w:cs="Arial"/>
          <w:sz w:val="24"/>
          <w:szCs w:val="24"/>
        </w:rPr>
        <w:t>s</w:t>
      </w:r>
      <w:r w:rsidRPr="004F436C">
        <w:rPr>
          <w:rFonts w:ascii="Arial" w:eastAsia="Calibri" w:hAnsi="Arial" w:cs="Arial"/>
          <w:spacing w:val="-3"/>
          <w:sz w:val="24"/>
          <w:szCs w:val="24"/>
        </w:rPr>
        <w:t>i</w:t>
      </w:r>
      <w:r w:rsidRPr="004F436C">
        <w:rPr>
          <w:rFonts w:ascii="Arial" w:eastAsia="Calibri" w:hAnsi="Arial" w:cs="Arial"/>
          <w:sz w:val="24"/>
          <w:szCs w:val="24"/>
        </w:rPr>
        <w:t>tate</w:t>
      </w:r>
      <w:r>
        <w:rPr>
          <w:rFonts w:ascii="Arial" w:eastAsia="Calibri" w:hAnsi="Arial" w:cs="Arial"/>
          <w:sz w:val="24"/>
          <w:szCs w:val="24"/>
        </w:rPr>
        <w:t xml:space="preserve"> </w:t>
      </w:r>
      <w:r w:rsidRPr="004F436C">
        <w:rPr>
          <w:rFonts w:ascii="Arial" w:eastAsia="Calibri" w:hAnsi="Arial" w:cs="Arial"/>
          <w:sz w:val="24"/>
          <w:szCs w:val="24"/>
        </w:rPr>
        <w:t>şi</w:t>
      </w:r>
      <w:r>
        <w:rPr>
          <w:rFonts w:ascii="Arial" w:eastAsia="Calibri" w:hAnsi="Arial" w:cs="Arial"/>
          <w:sz w:val="24"/>
          <w:szCs w:val="24"/>
        </w:rPr>
        <w:t xml:space="preserve"> </w:t>
      </w:r>
      <w:r w:rsidRPr="004F436C">
        <w:rPr>
          <w:rFonts w:ascii="Arial" w:eastAsia="Calibri" w:hAnsi="Arial" w:cs="Arial"/>
          <w:spacing w:val="-3"/>
          <w:sz w:val="24"/>
          <w:szCs w:val="24"/>
        </w:rPr>
        <w:t>a</w:t>
      </w:r>
      <w:r w:rsidRPr="004F436C">
        <w:rPr>
          <w:rFonts w:ascii="Arial" w:eastAsia="Calibri" w:hAnsi="Arial" w:cs="Arial"/>
          <w:spacing w:val="1"/>
          <w:sz w:val="24"/>
          <w:szCs w:val="24"/>
        </w:rPr>
        <w:t>m</w:t>
      </w:r>
      <w:r w:rsidRPr="004F436C">
        <w:rPr>
          <w:rFonts w:ascii="Arial" w:eastAsia="Calibri" w:hAnsi="Arial" w:cs="Arial"/>
          <w:spacing w:val="-1"/>
          <w:sz w:val="24"/>
          <w:szCs w:val="24"/>
        </w:rPr>
        <w:t>p</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are</w:t>
      </w:r>
      <w:r>
        <w:rPr>
          <w:rFonts w:ascii="Arial" w:eastAsia="Calibri" w:hAnsi="Arial" w:cs="Arial"/>
          <w:sz w:val="24"/>
          <w:szCs w:val="24"/>
        </w:rPr>
        <w:t xml:space="preserve"> </w:t>
      </w:r>
      <w:r w:rsidRPr="004F436C">
        <w:rPr>
          <w:rFonts w:ascii="Arial" w:eastAsia="Calibri" w:hAnsi="Arial" w:cs="Arial"/>
          <w:spacing w:val="-3"/>
          <w:sz w:val="24"/>
          <w:szCs w:val="24"/>
        </w:rPr>
        <w:t>a</w:t>
      </w:r>
      <w:r w:rsidRPr="004F436C">
        <w:rPr>
          <w:rFonts w:ascii="Arial" w:eastAsia="Calibri" w:hAnsi="Arial" w:cs="Arial"/>
          <w:spacing w:val="-1"/>
          <w:sz w:val="24"/>
          <w:szCs w:val="24"/>
        </w:rPr>
        <w:t>m</w:t>
      </w:r>
      <w:r w:rsidRPr="004F436C">
        <w:rPr>
          <w:rFonts w:ascii="Arial" w:eastAsia="Calibri" w:hAnsi="Arial" w:cs="Arial"/>
          <w:sz w:val="24"/>
          <w:szCs w:val="24"/>
        </w:rPr>
        <w:t>en</w:t>
      </w:r>
      <w:r w:rsidRPr="004F436C">
        <w:rPr>
          <w:rFonts w:ascii="Arial" w:eastAsia="Calibri" w:hAnsi="Arial" w:cs="Arial"/>
          <w:spacing w:val="-1"/>
          <w:sz w:val="24"/>
          <w:szCs w:val="24"/>
        </w:rPr>
        <w:t>in</w:t>
      </w:r>
      <w:r w:rsidRPr="004F436C">
        <w:rPr>
          <w:rFonts w:ascii="Arial" w:eastAsia="Calibri" w:hAnsi="Arial" w:cs="Arial"/>
          <w:sz w:val="24"/>
          <w:szCs w:val="24"/>
        </w:rPr>
        <w:t>ţă</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pacing w:val="1"/>
          <w:sz w:val="24"/>
          <w:szCs w:val="24"/>
        </w:rPr>
        <w:t>o</w:t>
      </w:r>
      <w:r w:rsidRPr="004F436C">
        <w:rPr>
          <w:rFonts w:ascii="Arial" w:eastAsia="Calibri" w:hAnsi="Arial" w:cs="Arial"/>
          <w:spacing w:val="-1"/>
          <w:sz w:val="24"/>
          <w:szCs w:val="24"/>
        </w:rPr>
        <w:t>pu</w:t>
      </w:r>
      <w:r w:rsidRPr="004F436C">
        <w:rPr>
          <w:rFonts w:ascii="Arial" w:eastAsia="Calibri" w:hAnsi="Arial" w:cs="Arial"/>
          <w:sz w:val="24"/>
          <w:szCs w:val="24"/>
        </w:rPr>
        <w:t>laţi</w:t>
      </w:r>
      <w:r w:rsidRPr="004F436C">
        <w:rPr>
          <w:rFonts w:ascii="Arial" w:eastAsia="Calibri" w:hAnsi="Arial" w:cs="Arial"/>
          <w:spacing w:val="-3"/>
          <w:sz w:val="24"/>
          <w:szCs w:val="24"/>
        </w:rPr>
        <w:t>a</w:t>
      </w:r>
      <w:r w:rsidRPr="004F436C">
        <w:rPr>
          <w:rFonts w:ascii="Arial" w:eastAsia="Calibri" w:hAnsi="Arial" w:cs="Arial"/>
          <w:sz w:val="24"/>
          <w:szCs w:val="24"/>
        </w:rPr>
        <w:t>,</w:t>
      </w:r>
      <w:r w:rsidRPr="004F436C">
        <w:rPr>
          <w:rFonts w:ascii="Arial" w:eastAsia="Calibri" w:hAnsi="Arial" w:cs="Arial"/>
          <w:spacing w:val="-3"/>
          <w:sz w:val="24"/>
          <w:szCs w:val="24"/>
        </w:rPr>
        <w:t>a</w:t>
      </w:r>
      <w:r w:rsidRPr="004F436C">
        <w:rPr>
          <w:rFonts w:ascii="Arial" w:eastAsia="Calibri" w:hAnsi="Arial" w:cs="Arial"/>
          <w:sz w:val="24"/>
          <w:szCs w:val="24"/>
        </w:rPr>
        <w:t>cti</w:t>
      </w:r>
      <w:r w:rsidRPr="004F436C">
        <w:rPr>
          <w:rFonts w:ascii="Arial" w:eastAsia="Calibri" w:hAnsi="Arial" w:cs="Arial"/>
          <w:spacing w:val="1"/>
          <w:sz w:val="24"/>
          <w:szCs w:val="24"/>
        </w:rPr>
        <w:t>v</w:t>
      </w:r>
      <w:r w:rsidRPr="004F436C">
        <w:rPr>
          <w:rFonts w:ascii="Arial" w:eastAsia="Calibri" w:hAnsi="Arial" w:cs="Arial"/>
          <w:sz w:val="24"/>
          <w:szCs w:val="24"/>
        </w:rPr>
        <w:t>it</w:t>
      </w:r>
      <w:r w:rsidRPr="004F436C">
        <w:rPr>
          <w:rFonts w:ascii="Arial" w:eastAsia="Calibri" w:hAnsi="Arial" w:cs="Arial"/>
          <w:spacing w:val="-2"/>
          <w:sz w:val="24"/>
          <w:szCs w:val="24"/>
        </w:rPr>
        <w:t>a</w:t>
      </w:r>
      <w:r w:rsidRPr="004F436C">
        <w:rPr>
          <w:rFonts w:ascii="Arial" w:eastAsia="Calibri" w:hAnsi="Arial" w:cs="Arial"/>
          <w:sz w:val="24"/>
          <w:szCs w:val="24"/>
        </w:rPr>
        <w:t>t</w:t>
      </w:r>
      <w:r w:rsidRPr="004F436C">
        <w:rPr>
          <w:rFonts w:ascii="Arial" w:eastAsia="Calibri" w:hAnsi="Arial" w:cs="Arial"/>
          <w:spacing w:val="1"/>
          <w:sz w:val="24"/>
          <w:szCs w:val="24"/>
        </w:rPr>
        <w:t>e</w:t>
      </w:r>
      <w:r w:rsidRPr="004F436C">
        <w:rPr>
          <w:rFonts w:ascii="Arial" w:eastAsia="Calibri" w:hAnsi="Arial" w:cs="Arial"/>
          <w:sz w:val="24"/>
          <w:szCs w:val="24"/>
        </w:rPr>
        <w:t>a</w:t>
      </w:r>
      <w:r>
        <w:rPr>
          <w:rFonts w:ascii="Arial" w:eastAsia="Calibri" w:hAnsi="Arial" w:cs="Arial"/>
          <w:sz w:val="24"/>
          <w:szCs w:val="24"/>
        </w:rPr>
        <w:t xml:space="preserve"> </w:t>
      </w:r>
      <w:r w:rsidRPr="004F436C">
        <w:rPr>
          <w:rFonts w:ascii="Arial" w:eastAsia="Calibri" w:hAnsi="Arial" w:cs="Arial"/>
          <w:sz w:val="24"/>
          <w:szCs w:val="24"/>
        </w:rPr>
        <w:t>e</w:t>
      </w:r>
      <w:r w:rsidRPr="004F436C">
        <w:rPr>
          <w:rFonts w:ascii="Arial" w:eastAsia="Calibri" w:hAnsi="Arial" w:cs="Arial"/>
          <w:spacing w:val="-2"/>
          <w:sz w:val="24"/>
          <w:szCs w:val="24"/>
        </w:rPr>
        <w:t>c</w:t>
      </w:r>
      <w:r w:rsidRPr="004F436C">
        <w:rPr>
          <w:rFonts w:ascii="Arial" w:eastAsia="Calibri" w:hAnsi="Arial" w:cs="Arial"/>
          <w:spacing w:val="1"/>
          <w:sz w:val="24"/>
          <w:szCs w:val="24"/>
        </w:rPr>
        <w:t>o</w:t>
      </w:r>
      <w:r w:rsidRPr="004F436C">
        <w:rPr>
          <w:rFonts w:ascii="Arial" w:eastAsia="Calibri" w:hAnsi="Arial" w:cs="Arial"/>
          <w:spacing w:val="-1"/>
          <w:sz w:val="24"/>
          <w:szCs w:val="24"/>
        </w:rPr>
        <w:t>no</w:t>
      </w:r>
      <w:r w:rsidRPr="004F436C">
        <w:rPr>
          <w:rFonts w:ascii="Arial" w:eastAsia="Calibri" w:hAnsi="Arial" w:cs="Arial"/>
          <w:spacing w:val="1"/>
          <w:sz w:val="24"/>
          <w:szCs w:val="24"/>
        </w:rPr>
        <w:t>m</w:t>
      </w:r>
      <w:r w:rsidRPr="004F436C">
        <w:rPr>
          <w:rFonts w:ascii="Arial" w:eastAsia="Calibri" w:hAnsi="Arial" w:cs="Arial"/>
          <w:sz w:val="24"/>
          <w:szCs w:val="24"/>
        </w:rPr>
        <w:t>ic</w:t>
      </w:r>
      <w:r w:rsidRPr="004F436C">
        <w:rPr>
          <w:rFonts w:ascii="Arial" w:eastAsia="Calibri" w:hAnsi="Arial" w:cs="Arial"/>
          <w:spacing w:val="-3"/>
          <w:sz w:val="24"/>
          <w:szCs w:val="24"/>
        </w:rPr>
        <w:t>ă</w:t>
      </w:r>
      <w:r w:rsidRPr="004F436C">
        <w:rPr>
          <w:rFonts w:ascii="Arial" w:eastAsia="Calibri" w:hAnsi="Arial" w:cs="Arial"/>
          <w:sz w:val="24"/>
          <w:szCs w:val="24"/>
        </w:rPr>
        <w:t xml:space="preserve">, </w:t>
      </w:r>
      <w:r w:rsidRPr="004F436C">
        <w:rPr>
          <w:rFonts w:ascii="Arial" w:eastAsia="Calibri" w:hAnsi="Arial" w:cs="Arial"/>
          <w:spacing w:val="1"/>
          <w:sz w:val="24"/>
          <w:szCs w:val="24"/>
        </w:rPr>
        <w:t>m</w:t>
      </w:r>
      <w:r w:rsidRPr="004F436C">
        <w:rPr>
          <w:rFonts w:ascii="Arial" w:eastAsia="Calibri" w:hAnsi="Arial" w:cs="Arial"/>
          <w:sz w:val="24"/>
          <w:szCs w:val="24"/>
        </w:rPr>
        <w:t>ed</w:t>
      </w:r>
      <w:r w:rsidRPr="004F436C">
        <w:rPr>
          <w:rFonts w:ascii="Arial" w:eastAsia="Calibri" w:hAnsi="Arial" w:cs="Arial"/>
          <w:spacing w:val="-1"/>
          <w:sz w:val="24"/>
          <w:szCs w:val="24"/>
        </w:rPr>
        <w:t>iu</w:t>
      </w:r>
      <w:r w:rsidRPr="004F436C">
        <w:rPr>
          <w:rFonts w:ascii="Arial" w:eastAsia="Calibri" w:hAnsi="Arial" w:cs="Arial"/>
          <w:sz w:val="24"/>
          <w:szCs w:val="24"/>
        </w:rPr>
        <w:t>l,</w:t>
      </w:r>
      <w:r w:rsidRPr="004F436C">
        <w:rPr>
          <w:rFonts w:ascii="Arial" w:eastAsia="Calibri" w:hAnsi="Arial" w:cs="Arial"/>
          <w:spacing w:val="1"/>
          <w:sz w:val="24"/>
          <w:szCs w:val="24"/>
        </w:rPr>
        <w:t>v</w:t>
      </w:r>
      <w:r w:rsidRPr="004F436C">
        <w:rPr>
          <w:rFonts w:ascii="Arial" w:eastAsia="Calibri" w:hAnsi="Arial" w:cs="Arial"/>
          <w:sz w:val="24"/>
          <w:szCs w:val="24"/>
        </w:rPr>
        <w:t>alori</w:t>
      </w:r>
      <w:r w:rsidRPr="004F436C">
        <w:rPr>
          <w:rFonts w:ascii="Arial" w:eastAsia="Calibri" w:hAnsi="Arial" w:cs="Arial"/>
          <w:spacing w:val="-4"/>
          <w:sz w:val="24"/>
          <w:szCs w:val="24"/>
        </w:rPr>
        <w:t>l</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z w:val="24"/>
          <w:szCs w:val="24"/>
        </w:rPr>
        <w:t>cu</w:t>
      </w:r>
      <w:r w:rsidRPr="004F436C">
        <w:rPr>
          <w:rFonts w:ascii="Arial" w:eastAsia="Calibri" w:hAnsi="Arial" w:cs="Arial"/>
          <w:spacing w:val="-1"/>
          <w:sz w:val="24"/>
          <w:szCs w:val="24"/>
        </w:rPr>
        <w:t>l</w:t>
      </w:r>
      <w:r w:rsidRPr="004F436C">
        <w:rPr>
          <w:rFonts w:ascii="Arial" w:eastAsia="Calibri" w:hAnsi="Arial" w:cs="Arial"/>
          <w:sz w:val="24"/>
          <w:szCs w:val="24"/>
        </w:rPr>
        <w:t>tur</w:t>
      </w:r>
      <w:r w:rsidRPr="004F436C">
        <w:rPr>
          <w:rFonts w:ascii="Arial" w:eastAsia="Calibri" w:hAnsi="Arial" w:cs="Arial"/>
          <w:spacing w:val="-1"/>
          <w:sz w:val="24"/>
          <w:szCs w:val="24"/>
        </w:rPr>
        <w:t>a</w:t>
      </w:r>
      <w:r w:rsidRPr="004F436C">
        <w:rPr>
          <w:rFonts w:ascii="Arial" w:eastAsia="Calibri" w:hAnsi="Arial" w:cs="Arial"/>
          <w:spacing w:val="-3"/>
          <w:sz w:val="24"/>
          <w:szCs w:val="24"/>
        </w:rPr>
        <w:t>l</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z w:val="24"/>
          <w:szCs w:val="24"/>
        </w:rPr>
        <w:t>şi</w:t>
      </w:r>
      <w:r>
        <w:rPr>
          <w:rFonts w:ascii="Arial" w:eastAsia="Calibri" w:hAnsi="Arial" w:cs="Arial"/>
          <w:sz w:val="24"/>
          <w:szCs w:val="24"/>
        </w:rPr>
        <w:t xml:space="preserve"> </w:t>
      </w:r>
      <w:r w:rsidRPr="004F436C">
        <w:rPr>
          <w:rFonts w:ascii="Arial" w:eastAsia="Calibri" w:hAnsi="Arial" w:cs="Arial"/>
          <w:sz w:val="24"/>
          <w:szCs w:val="24"/>
        </w:rPr>
        <w:t>de</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atr</w:t>
      </w:r>
      <w:r w:rsidRPr="004F436C">
        <w:rPr>
          <w:rFonts w:ascii="Arial" w:eastAsia="Calibri" w:hAnsi="Arial" w:cs="Arial"/>
          <w:spacing w:val="-3"/>
          <w:sz w:val="24"/>
          <w:szCs w:val="24"/>
        </w:rPr>
        <w:t>i</w:t>
      </w:r>
      <w:r w:rsidRPr="004F436C">
        <w:rPr>
          <w:rFonts w:ascii="Arial" w:eastAsia="Calibri" w:hAnsi="Arial" w:cs="Arial"/>
          <w:spacing w:val="1"/>
          <w:sz w:val="24"/>
          <w:szCs w:val="24"/>
        </w:rPr>
        <w:t>mo</w:t>
      </w:r>
      <w:r w:rsidRPr="004F436C">
        <w:rPr>
          <w:rFonts w:ascii="Arial" w:eastAsia="Calibri" w:hAnsi="Arial" w:cs="Arial"/>
          <w:spacing w:val="-1"/>
          <w:sz w:val="24"/>
          <w:szCs w:val="24"/>
        </w:rPr>
        <w:t>n</w:t>
      </w:r>
      <w:r w:rsidRPr="004F436C">
        <w:rPr>
          <w:rFonts w:ascii="Arial" w:eastAsia="Calibri" w:hAnsi="Arial" w:cs="Arial"/>
          <w:sz w:val="24"/>
          <w:szCs w:val="24"/>
        </w:rPr>
        <w:t>i</w:t>
      </w:r>
      <w:r w:rsidRPr="004F436C">
        <w:rPr>
          <w:rFonts w:ascii="Arial" w:eastAsia="Calibri" w:hAnsi="Arial" w:cs="Arial"/>
          <w:spacing w:val="-1"/>
          <w:sz w:val="24"/>
          <w:szCs w:val="24"/>
        </w:rPr>
        <w:t>u</w:t>
      </w:r>
      <w:r w:rsidRPr="004F436C">
        <w:rPr>
          <w:rFonts w:ascii="Arial" w:eastAsia="Calibri" w:hAnsi="Arial" w:cs="Arial"/>
          <w:sz w:val="24"/>
          <w:szCs w:val="24"/>
        </w:rPr>
        <w:t>.</w:t>
      </w:r>
    </w:p>
    <w:p w:rsidR="000645BF" w:rsidRDefault="000645BF" w:rsidP="000645BF">
      <w:pPr>
        <w:spacing w:after="0" w:line="240" w:lineRule="auto"/>
        <w:ind w:firstLine="708"/>
        <w:jc w:val="both"/>
        <w:rPr>
          <w:rFonts w:ascii="Calibri" w:eastAsia="Calibri" w:hAnsi="Calibri" w:cs="Calibri"/>
        </w:rPr>
      </w:pPr>
      <w:r w:rsidRPr="004F436C">
        <w:rPr>
          <w:rFonts w:ascii="Arial" w:eastAsia="Calibri" w:hAnsi="Arial" w:cs="Arial"/>
          <w:sz w:val="24"/>
          <w:szCs w:val="24"/>
        </w:rPr>
        <w:t>În</w:t>
      </w:r>
      <w:r>
        <w:rPr>
          <w:rFonts w:ascii="Arial" w:eastAsia="Calibri" w:hAnsi="Arial" w:cs="Arial"/>
          <w:sz w:val="24"/>
          <w:szCs w:val="24"/>
        </w:rPr>
        <w:t xml:space="preserve"> </w:t>
      </w:r>
      <w:r w:rsidRPr="004F436C">
        <w:rPr>
          <w:rFonts w:ascii="Arial" w:eastAsia="Calibri" w:hAnsi="Arial" w:cs="Arial"/>
          <w:sz w:val="24"/>
          <w:szCs w:val="24"/>
        </w:rPr>
        <w:t>R</w:t>
      </w:r>
      <w:r w:rsidRPr="004F436C">
        <w:rPr>
          <w:rFonts w:ascii="Arial" w:eastAsia="Calibri" w:hAnsi="Arial" w:cs="Arial"/>
          <w:spacing w:val="-1"/>
          <w:sz w:val="24"/>
          <w:szCs w:val="24"/>
        </w:rPr>
        <w:t>o</w:t>
      </w:r>
      <w:r w:rsidRPr="004F436C">
        <w:rPr>
          <w:rFonts w:ascii="Arial" w:eastAsia="Calibri" w:hAnsi="Arial" w:cs="Arial"/>
          <w:spacing w:val="1"/>
          <w:sz w:val="24"/>
          <w:szCs w:val="24"/>
        </w:rPr>
        <w:t>m</w:t>
      </w:r>
      <w:r w:rsidRPr="004F436C">
        <w:rPr>
          <w:rFonts w:ascii="Arial" w:eastAsia="Calibri" w:hAnsi="Arial" w:cs="Arial"/>
          <w:sz w:val="24"/>
          <w:szCs w:val="24"/>
        </w:rPr>
        <w:t>â</w:t>
      </w:r>
      <w:r w:rsidRPr="004F436C">
        <w:rPr>
          <w:rFonts w:ascii="Arial" w:eastAsia="Calibri" w:hAnsi="Arial" w:cs="Arial"/>
          <w:spacing w:val="-1"/>
          <w:sz w:val="24"/>
          <w:szCs w:val="24"/>
        </w:rPr>
        <w:t>n</w:t>
      </w:r>
      <w:r w:rsidRPr="004F436C">
        <w:rPr>
          <w:rFonts w:ascii="Arial" w:eastAsia="Calibri" w:hAnsi="Arial" w:cs="Arial"/>
          <w:sz w:val="24"/>
          <w:szCs w:val="24"/>
        </w:rPr>
        <w:t>ia</w:t>
      </w:r>
      <w:r>
        <w:rPr>
          <w:rFonts w:ascii="Arial" w:eastAsia="Calibri" w:hAnsi="Arial" w:cs="Arial"/>
          <w:sz w:val="24"/>
          <w:szCs w:val="24"/>
        </w:rPr>
        <w:t xml:space="preserve"> </w:t>
      </w:r>
      <w:r w:rsidRPr="004F436C">
        <w:rPr>
          <w:rFonts w:ascii="Arial" w:eastAsia="Calibri" w:hAnsi="Arial" w:cs="Arial"/>
          <w:sz w:val="24"/>
          <w:szCs w:val="24"/>
        </w:rPr>
        <w:t>i</w:t>
      </w:r>
      <w:r w:rsidRPr="004F436C">
        <w:rPr>
          <w:rFonts w:ascii="Arial" w:eastAsia="Calibri" w:hAnsi="Arial" w:cs="Arial"/>
          <w:spacing w:val="-1"/>
          <w:sz w:val="24"/>
          <w:szCs w:val="24"/>
        </w:rPr>
        <w:t>nund</w:t>
      </w:r>
      <w:r w:rsidRPr="004F436C">
        <w:rPr>
          <w:rFonts w:ascii="Arial" w:eastAsia="Calibri" w:hAnsi="Arial" w:cs="Arial"/>
          <w:sz w:val="24"/>
          <w:szCs w:val="24"/>
        </w:rPr>
        <w:t>aţii</w:t>
      </w:r>
      <w:r w:rsidRPr="004F436C">
        <w:rPr>
          <w:rFonts w:ascii="Arial" w:eastAsia="Calibri" w:hAnsi="Arial" w:cs="Arial"/>
          <w:spacing w:val="-1"/>
          <w:sz w:val="24"/>
          <w:szCs w:val="24"/>
        </w:rPr>
        <w:t>l</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z w:val="24"/>
          <w:szCs w:val="24"/>
        </w:rPr>
        <w:t>su</w:t>
      </w:r>
      <w:r w:rsidRPr="004F436C">
        <w:rPr>
          <w:rFonts w:ascii="Arial" w:eastAsia="Calibri" w:hAnsi="Arial" w:cs="Arial"/>
          <w:spacing w:val="-4"/>
          <w:sz w:val="24"/>
          <w:szCs w:val="24"/>
        </w:rPr>
        <w:t>n</w:t>
      </w:r>
      <w:r w:rsidRPr="004F436C">
        <w:rPr>
          <w:rFonts w:ascii="Arial" w:eastAsia="Calibri" w:hAnsi="Arial" w:cs="Arial"/>
          <w:sz w:val="24"/>
          <w:szCs w:val="24"/>
        </w:rPr>
        <w:t>t</w:t>
      </w:r>
      <w:r>
        <w:rPr>
          <w:rFonts w:ascii="Arial" w:eastAsia="Calibri" w:hAnsi="Arial" w:cs="Arial"/>
          <w:sz w:val="24"/>
          <w:szCs w:val="24"/>
        </w:rPr>
        <w:t xml:space="preserve"> </w:t>
      </w:r>
      <w:r w:rsidRPr="004F436C">
        <w:rPr>
          <w:rFonts w:ascii="Arial" w:eastAsia="Calibri" w:hAnsi="Arial" w:cs="Arial"/>
          <w:spacing w:val="-1"/>
          <w:sz w:val="24"/>
          <w:szCs w:val="24"/>
        </w:rPr>
        <w:t>po</w:t>
      </w:r>
      <w:r w:rsidRPr="004F436C">
        <w:rPr>
          <w:rFonts w:ascii="Arial" w:eastAsia="Calibri" w:hAnsi="Arial" w:cs="Arial"/>
          <w:sz w:val="24"/>
          <w:szCs w:val="24"/>
        </w:rPr>
        <w:t>si</w:t>
      </w:r>
      <w:r w:rsidRPr="004F436C">
        <w:rPr>
          <w:rFonts w:ascii="Arial" w:eastAsia="Calibri" w:hAnsi="Arial" w:cs="Arial"/>
          <w:spacing w:val="-1"/>
          <w:sz w:val="24"/>
          <w:szCs w:val="24"/>
        </w:rPr>
        <w:t>b</w:t>
      </w:r>
      <w:r w:rsidRPr="004F436C">
        <w:rPr>
          <w:rFonts w:ascii="Arial" w:eastAsia="Calibri" w:hAnsi="Arial" w:cs="Arial"/>
          <w:sz w:val="24"/>
          <w:szCs w:val="24"/>
        </w:rPr>
        <w:t>i</w:t>
      </w:r>
      <w:r w:rsidRPr="004F436C">
        <w:rPr>
          <w:rFonts w:ascii="Arial" w:eastAsia="Calibri" w:hAnsi="Arial" w:cs="Arial"/>
          <w:spacing w:val="-1"/>
          <w:sz w:val="24"/>
          <w:szCs w:val="24"/>
        </w:rPr>
        <w:t>l</w:t>
      </w:r>
      <w:r w:rsidRPr="004F436C">
        <w:rPr>
          <w:rFonts w:ascii="Arial" w:eastAsia="Calibri" w:hAnsi="Arial" w:cs="Arial"/>
          <w:sz w:val="24"/>
          <w:szCs w:val="24"/>
        </w:rPr>
        <w:t>e</w:t>
      </w:r>
      <w:r w:rsidRPr="004F436C">
        <w:rPr>
          <w:rFonts w:ascii="Arial" w:eastAsia="Calibri" w:hAnsi="Arial" w:cs="Arial"/>
          <w:spacing w:val="-3"/>
          <w:sz w:val="24"/>
          <w:szCs w:val="24"/>
        </w:rPr>
        <w:t>p</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pacing w:val="-2"/>
          <w:sz w:val="24"/>
          <w:szCs w:val="24"/>
        </w:rPr>
        <w:t>t</w:t>
      </w:r>
      <w:r w:rsidRPr="004F436C">
        <w:rPr>
          <w:rFonts w:ascii="Arial" w:eastAsia="Calibri" w:hAnsi="Arial" w:cs="Arial"/>
          <w:spacing w:val="1"/>
          <w:sz w:val="24"/>
          <w:szCs w:val="24"/>
        </w:rPr>
        <w:t>o</w:t>
      </w:r>
      <w:r w:rsidRPr="004F436C">
        <w:rPr>
          <w:rFonts w:ascii="Arial" w:eastAsia="Calibri" w:hAnsi="Arial" w:cs="Arial"/>
          <w:sz w:val="24"/>
          <w:szCs w:val="24"/>
        </w:rPr>
        <w:t>t</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arc</w:t>
      </w:r>
      <w:r w:rsidRPr="004F436C">
        <w:rPr>
          <w:rFonts w:ascii="Arial" w:eastAsia="Calibri" w:hAnsi="Arial" w:cs="Arial"/>
          <w:spacing w:val="-1"/>
          <w:sz w:val="24"/>
          <w:szCs w:val="24"/>
        </w:rPr>
        <w:t>u</w:t>
      </w:r>
      <w:r w:rsidRPr="004F436C">
        <w:rPr>
          <w:rFonts w:ascii="Arial" w:eastAsia="Calibri" w:hAnsi="Arial" w:cs="Arial"/>
          <w:sz w:val="24"/>
          <w:szCs w:val="24"/>
        </w:rPr>
        <w:t>rs</w:t>
      </w:r>
      <w:r w:rsidRPr="004F436C">
        <w:rPr>
          <w:rFonts w:ascii="Arial" w:eastAsia="Calibri" w:hAnsi="Arial" w:cs="Arial"/>
          <w:spacing w:val="-1"/>
          <w:sz w:val="24"/>
          <w:szCs w:val="24"/>
        </w:rPr>
        <w:t>u</w:t>
      </w:r>
      <w:r w:rsidRPr="004F436C">
        <w:rPr>
          <w:rFonts w:ascii="Arial" w:eastAsia="Calibri" w:hAnsi="Arial" w:cs="Arial"/>
          <w:sz w:val="24"/>
          <w:szCs w:val="24"/>
        </w:rPr>
        <w:t>l a</w:t>
      </w:r>
      <w:r w:rsidRPr="004F436C">
        <w:rPr>
          <w:rFonts w:ascii="Arial" w:eastAsia="Calibri" w:hAnsi="Arial" w:cs="Arial"/>
          <w:spacing w:val="-1"/>
          <w:sz w:val="24"/>
          <w:szCs w:val="24"/>
        </w:rPr>
        <w:t>nu</w:t>
      </w:r>
      <w:r w:rsidRPr="004F436C">
        <w:rPr>
          <w:rFonts w:ascii="Arial" w:eastAsia="Calibri" w:hAnsi="Arial" w:cs="Arial"/>
          <w:sz w:val="24"/>
          <w:szCs w:val="24"/>
        </w:rPr>
        <w:t>l</w:t>
      </w:r>
      <w:r w:rsidRPr="004F436C">
        <w:rPr>
          <w:rFonts w:ascii="Arial" w:eastAsia="Calibri" w:hAnsi="Arial" w:cs="Arial"/>
          <w:spacing w:val="-1"/>
          <w:sz w:val="24"/>
          <w:szCs w:val="24"/>
        </w:rPr>
        <w:t>u</w:t>
      </w:r>
      <w:r w:rsidRPr="004F436C">
        <w:rPr>
          <w:rFonts w:ascii="Arial" w:eastAsia="Calibri" w:hAnsi="Arial" w:cs="Arial"/>
          <w:sz w:val="24"/>
          <w:szCs w:val="24"/>
        </w:rPr>
        <w:t>i,ac</w:t>
      </w:r>
      <w:r w:rsidRPr="004F436C">
        <w:rPr>
          <w:rFonts w:ascii="Arial" w:eastAsia="Calibri" w:hAnsi="Arial" w:cs="Arial"/>
          <w:spacing w:val="9"/>
          <w:sz w:val="24"/>
          <w:szCs w:val="24"/>
        </w:rPr>
        <w:t>e</w:t>
      </w:r>
      <w:r w:rsidRPr="004F436C">
        <w:rPr>
          <w:rFonts w:ascii="Arial" w:eastAsia="Calibri" w:hAnsi="Arial" w:cs="Arial"/>
          <w:sz w:val="24"/>
          <w:szCs w:val="24"/>
        </w:rPr>
        <w:t>s</w:t>
      </w:r>
      <w:r w:rsidRPr="004F436C">
        <w:rPr>
          <w:rFonts w:ascii="Arial" w:eastAsia="Calibri" w:hAnsi="Arial" w:cs="Arial"/>
          <w:spacing w:val="-2"/>
          <w:sz w:val="24"/>
          <w:szCs w:val="24"/>
        </w:rPr>
        <w:t>t</w:t>
      </w:r>
      <w:r w:rsidRPr="004F436C">
        <w:rPr>
          <w:rFonts w:ascii="Arial" w:eastAsia="Calibri" w:hAnsi="Arial" w:cs="Arial"/>
          <w:sz w:val="24"/>
          <w:szCs w:val="24"/>
        </w:rPr>
        <w:t>ea</w:t>
      </w:r>
      <w:r>
        <w:rPr>
          <w:rFonts w:ascii="Arial" w:eastAsia="Calibri" w:hAnsi="Arial" w:cs="Arial"/>
          <w:sz w:val="24"/>
          <w:szCs w:val="24"/>
        </w:rPr>
        <w:t xml:space="preserve"> </w:t>
      </w:r>
      <w:r w:rsidRPr="004F436C">
        <w:rPr>
          <w:rFonts w:ascii="Arial" w:eastAsia="Calibri" w:hAnsi="Arial" w:cs="Arial"/>
          <w:sz w:val="24"/>
          <w:szCs w:val="24"/>
        </w:rPr>
        <w:t>a</w:t>
      </w:r>
      <w:r w:rsidRPr="004F436C">
        <w:rPr>
          <w:rFonts w:ascii="Arial" w:eastAsia="Calibri" w:hAnsi="Arial" w:cs="Arial"/>
          <w:spacing w:val="1"/>
          <w:sz w:val="24"/>
          <w:szCs w:val="24"/>
        </w:rPr>
        <w:t>v</w:t>
      </w:r>
      <w:r w:rsidRPr="004F436C">
        <w:rPr>
          <w:rFonts w:ascii="Arial" w:eastAsia="Calibri" w:hAnsi="Arial" w:cs="Arial"/>
          <w:sz w:val="24"/>
          <w:szCs w:val="24"/>
        </w:rPr>
        <w:t>â</w:t>
      </w:r>
      <w:r w:rsidRPr="004F436C">
        <w:rPr>
          <w:rFonts w:ascii="Arial" w:eastAsia="Calibri" w:hAnsi="Arial" w:cs="Arial"/>
          <w:spacing w:val="-1"/>
          <w:sz w:val="24"/>
          <w:szCs w:val="24"/>
        </w:rPr>
        <w:t>n</w:t>
      </w:r>
      <w:r w:rsidRPr="004F436C">
        <w:rPr>
          <w:rFonts w:ascii="Arial" w:eastAsia="Calibri" w:hAnsi="Arial" w:cs="Arial"/>
          <w:sz w:val="24"/>
          <w:szCs w:val="24"/>
        </w:rPr>
        <w:t>d ca</w:t>
      </w:r>
      <w:r>
        <w:rPr>
          <w:rFonts w:ascii="Arial" w:eastAsia="Calibri" w:hAnsi="Arial" w:cs="Arial"/>
          <w:sz w:val="24"/>
          <w:szCs w:val="24"/>
        </w:rPr>
        <w:t xml:space="preserve"> </w:t>
      </w:r>
      <w:r w:rsidRPr="004F436C">
        <w:rPr>
          <w:rFonts w:ascii="Arial" w:eastAsia="Calibri" w:hAnsi="Arial" w:cs="Arial"/>
          <w:sz w:val="24"/>
          <w:szCs w:val="24"/>
        </w:rPr>
        <w:t>su</w:t>
      </w:r>
      <w:r w:rsidRPr="004F436C">
        <w:rPr>
          <w:rFonts w:ascii="Arial" w:eastAsia="Calibri" w:hAnsi="Arial" w:cs="Arial"/>
          <w:spacing w:val="-1"/>
          <w:sz w:val="24"/>
          <w:szCs w:val="24"/>
        </w:rPr>
        <w:t>r</w:t>
      </w:r>
      <w:r w:rsidRPr="004F436C">
        <w:rPr>
          <w:rFonts w:ascii="Arial" w:eastAsia="Calibri" w:hAnsi="Arial" w:cs="Arial"/>
          <w:sz w:val="24"/>
          <w:szCs w:val="24"/>
        </w:rPr>
        <w:t>să</w:t>
      </w:r>
      <w:r>
        <w:rPr>
          <w:rFonts w:ascii="Arial" w:eastAsia="Calibri" w:hAnsi="Arial" w:cs="Arial"/>
          <w:sz w:val="24"/>
          <w:szCs w:val="24"/>
        </w:rPr>
        <w:t xml:space="preserve"> </w:t>
      </w:r>
      <w:r w:rsidRPr="004F436C">
        <w:rPr>
          <w:rFonts w:ascii="Arial" w:eastAsia="Calibri" w:hAnsi="Arial" w:cs="Arial"/>
          <w:spacing w:val="-3"/>
          <w:sz w:val="24"/>
          <w:szCs w:val="24"/>
        </w:rPr>
        <w:t>r</w:t>
      </w:r>
      <w:r w:rsidRPr="004F436C">
        <w:rPr>
          <w:rFonts w:ascii="Arial" w:eastAsia="Calibri" w:hAnsi="Arial" w:cs="Arial"/>
          <w:sz w:val="24"/>
          <w:szCs w:val="24"/>
        </w:rPr>
        <w:t>e</w:t>
      </w:r>
      <w:r w:rsidRPr="004F436C">
        <w:rPr>
          <w:rFonts w:ascii="Arial" w:eastAsia="Calibri" w:hAnsi="Arial" w:cs="Arial"/>
          <w:spacing w:val="1"/>
          <w:sz w:val="24"/>
          <w:szCs w:val="24"/>
        </w:rPr>
        <w:t>v</w:t>
      </w:r>
      <w:r w:rsidRPr="004F436C">
        <w:rPr>
          <w:rFonts w:ascii="Arial" w:eastAsia="Calibri" w:hAnsi="Arial" w:cs="Arial"/>
          <w:sz w:val="24"/>
          <w:szCs w:val="24"/>
        </w:rPr>
        <w:t>ă</w:t>
      </w:r>
      <w:r w:rsidRPr="004F436C">
        <w:rPr>
          <w:rFonts w:ascii="Arial" w:eastAsia="Calibri" w:hAnsi="Arial" w:cs="Arial"/>
          <w:spacing w:val="-3"/>
          <w:sz w:val="24"/>
          <w:szCs w:val="24"/>
        </w:rPr>
        <w:t>r</w:t>
      </w:r>
      <w:r w:rsidRPr="004F436C">
        <w:rPr>
          <w:rFonts w:ascii="Arial" w:eastAsia="Calibri" w:hAnsi="Arial" w:cs="Arial"/>
          <w:sz w:val="24"/>
          <w:szCs w:val="24"/>
        </w:rPr>
        <w:t>sări</w:t>
      </w:r>
      <w:r>
        <w:rPr>
          <w:rFonts w:ascii="Arial" w:eastAsia="Calibri" w:hAnsi="Arial" w:cs="Arial"/>
          <w:sz w:val="24"/>
          <w:szCs w:val="24"/>
        </w:rPr>
        <w:t xml:space="preserve"> </w:t>
      </w:r>
      <w:r w:rsidRPr="004F436C">
        <w:rPr>
          <w:rFonts w:ascii="Arial" w:eastAsia="Calibri" w:hAnsi="Arial" w:cs="Arial"/>
          <w:spacing w:val="-1"/>
          <w:sz w:val="24"/>
          <w:szCs w:val="24"/>
        </w:rPr>
        <w:t>n</w:t>
      </w:r>
      <w:r w:rsidRPr="004F436C">
        <w:rPr>
          <w:rFonts w:ascii="Arial" w:eastAsia="Calibri" w:hAnsi="Arial" w:cs="Arial"/>
          <w:sz w:val="24"/>
          <w:szCs w:val="24"/>
        </w:rPr>
        <w:t>atu</w:t>
      </w:r>
      <w:r w:rsidRPr="004F436C">
        <w:rPr>
          <w:rFonts w:ascii="Arial" w:eastAsia="Calibri" w:hAnsi="Arial" w:cs="Arial"/>
          <w:spacing w:val="-1"/>
          <w:sz w:val="24"/>
          <w:szCs w:val="24"/>
        </w:rPr>
        <w:t>r</w:t>
      </w:r>
      <w:r w:rsidRPr="004F436C">
        <w:rPr>
          <w:rFonts w:ascii="Arial" w:eastAsia="Calibri" w:hAnsi="Arial" w:cs="Arial"/>
          <w:sz w:val="24"/>
          <w:szCs w:val="24"/>
        </w:rPr>
        <w:t>a</w:t>
      </w:r>
      <w:r w:rsidRPr="004F436C">
        <w:rPr>
          <w:rFonts w:ascii="Arial" w:eastAsia="Calibri" w:hAnsi="Arial" w:cs="Arial"/>
          <w:spacing w:val="2"/>
          <w:sz w:val="24"/>
          <w:szCs w:val="24"/>
        </w:rPr>
        <w:t>l</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z w:val="24"/>
          <w:szCs w:val="24"/>
        </w:rPr>
        <w:t>ale</w:t>
      </w:r>
      <w:r>
        <w:rPr>
          <w:rFonts w:ascii="Arial" w:eastAsia="Calibri" w:hAnsi="Arial" w:cs="Arial"/>
          <w:sz w:val="24"/>
          <w:szCs w:val="24"/>
        </w:rPr>
        <w:t xml:space="preserve"> </w:t>
      </w:r>
      <w:r w:rsidRPr="004F436C">
        <w:rPr>
          <w:rFonts w:ascii="Arial" w:eastAsia="Calibri" w:hAnsi="Arial" w:cs="Arial"/>
          <w:sz w:val="24"/>
          <w:szCs w:val="24"/>
        </w:rPr>
        <w:t>cu</w:t>
      </w:r>
      <w:r w:rsidRPr="004F436C">
        <w:rPr>
          <w:rFonts w:ascii="Arial" w:eastAsia="Calibri" w:hAnsi="Arial" w:cs="Arial"/>
          <w:spacing w:val="-1"/>
          <w:sz w:val="24"/>
          <w:szCs w:val="24"/>
        </w:rPr>
        <w:t>r</w:t>
      </w:r>
      <w:r w:rsidRPr="004F436C">
        <w:rPr>
          <w:rFonts w:ascii="Arial" w:eastAsia="Calibri" w:hAnsi="Arial" w:cs="Arial"/>
          <w:sz w:val="24"/>
          <w:szCs w:val="24"/>
        </w:rPr>
        <w:t>su</w:t>
      </w:r>
      <w:r w:rsidRPr="004F436C">
        <w:rPr>
          <w:rFonts w:ascii="Arial" w:eastAsia="Calibri" w:hAnsi="Arial" w:cs="Arial"/>
          <w:spacing w:val="-1"/>
          <w:sz w:val="24"/>
          <w:szCs w:val="24"/>
        </w:rPr>
        <w:t>r</w:t>
      </w:r>
      <w:r w:rsidRPr="004F436C">
        <w:rPr>
          <w:rFonts w:ascii="Arial" w:eastAsia="Calibri" w:hAnsi="Arial" w:cs="Arial"/>
          <w:sz w:val="24"/>
          <w:szCs w:val="24"/>
        </w:rPr>
        <w:t>i</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Pr>
          <w:rFonts w:ascii="Arial" w:eastAsia="Calibri" w:hAnsi="Arial" w:cs="Arial"/>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e a</w:t>
      </w:r>
      <w:r w:rsidRPr="004F436C">
        <w:rPr>
          <w:rFonts w:ascii="Arial" w:eastAsia="Calibri" w:hAnsi="Arial" w:cs="Arial"/>
          <w:spacing w:val="-1"/>
          <w:sz w:val="24"/>
          <w:szCs w:val="24"/>
        </w:rPr>
        <w:t>p</w:t>
      </w:r>
      <w:r w:rsidRPr="004F436C">
        <w:rPr>
          <w:rFonts w:ascii="Arial" w:eastAsia="Calibri" w:hAnsi="Arial" w:cs="Arial"/>
          <w:sz w:val="24"/>
          <w:szCs w:val="24"/>
        </w:rPr>
        <w:t>ă,</w:t>
      </w:r>
      <w:r w:rsidRPr="004F436C">
        <w:rPr>
          <w:rFonts w:ascii="Arial" w:eastAsia="Calibri" w:hAnsi="Arial" w:cs="Arial"/>
          <w:spacing w:val="-1"/>
          <w:sz w:val="24"/>
          <w:szCs w:val="24"/>
        </w:rPr>
        <w:t>p</w:t>
      </w:r>
      <w:r w:rsidRPr="004F436C">
        <w:rPr>
          <w:rFonts w:ascii="Arial" w:eastAsia="Calibri" w:hAnsi="Arial" w:cs="Arial"/>
          <w:sz w:val="24"/>
          <w:szCs w:val="24"/>
        </w:rPr>
        <w:t>r</w:t>
      </w:r>
      <w:r w:rsidRPr="004F436C">
        <w:rPr>
          <w:rFonts w:ascii="Arial" w:eastAsia="Calibri" w:hAnsi="Arial" w:cs="Arial"/>
          <w:spacing w:val="-2"/>
          <w:sz w:val="24"/>
          <w:szCs w:val="24"/>
        </w:rPr>
        <w:t>ec</w:t>
      </w:r>
      <w:r w:rsidRPr="004F436C">
        <w:rPr>
          <w:rFonts w:ascii="Arial" w:eastAsia="Calibri" w:hAnsi="Arial" w:cs="Arial"/>
          <w:sz w:val="24"/>
          <w:szCs w:val="24"/>
        </w:rPr>
        <w:t>i</w:t>
      </w:r>
      <w:r w:rsidRPr="004F436C">
        <w:rPr>
          <w:rFonts w:ascii="Arial" w:eastAsia="Calibri" w:hAnsi="Arial" w:cs="Arial"/>
          <w:spacing w:val="-1"/>
          <w:sz w:val="24"/>
          <w:szCs w:val="24"/>
        </w:rPr>
        <w:t>p</w:t>
      </w:r>
      <w:r w:rsidRPr="004F436C">
        <w:rPr>
          <w:rFonts w:ascii="Arial" w:eastAsia="Calibri" w:hAnsi="Arial" w:cs="Arial"/>
          <w:sz w:val="24"/>
          <w:szCs w:val="24"/>
        </w:rPr>
        <w:t>itaţii</w:t>
      </w:r>
      <w:r w:rsidRPr="004F436C">
        <w:rPr>
          <w:rFonts w:ascii="Arial" w:eastAsia="Calibri" w:hAnsi="Arial" w:cs="Arial"/>
          <w:spacing w:val="-1"/>
          <w:sz w:val="24"/>
          <w:szCs w:val="24"/>
        </w:rPr>
        <w:t>l</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z w:val="24"/>
          <w:szCs w:val="24"/>
        </w:rPr>
        <w:t>a</w:t>
      </w:r>
      <w:r w:rsidRPr="004F436C">
        <w:rPr>
          <w:rFonts w:ascii="Arial" w:eastAsia="Calibri" w:hAnsi="Arial" w:cs="Arial"/>
          <w:spacing w:val="-1"/>
          <w:sz w:val="24"/>
          <w:szCs w:val="24"/>
        </w:rPr>
        <w:t>bund</w:t>
      </w:r>
      <w:r w:rsidRPr="004F436C">
        <w:rPr>
          <w:rFonts w:ascii="Arial" w:eastAsia="Calibri" w:hAnsi="Arial" w:cs="Arial"/>
          <w:sz w:val="24"/>
          <w:szCs w:val="24"/>
        </w:rPr>
        <w:t>ent</w:t>
      </w:r>
      <w:r w:rsidRPr="004F436C">
        <w:rPr>
          <w:rFonts w:ascii="Arial" w:eastAsia="Calibri" w:hAnsi="Arial" w:cs="Arial"/>
          <w:spacing w:val="-2"/>
          <w:sz w:val="24"/>
          <w:szCs w:val="24"/>
        </w:rPr>
        <w:t>e</w:t>
      </w:r>
      <w:r w:rsidRPr="004F436C">
        <w:rPr>
          <w:rFonts w:ascii="Arial" w:eastAsia="Calibri" w:hAnsi="Arial" w:cs="Arial"/>
          <w:sz w:val="24"/>
          <w:szCs w:val="24"/>
        </w:rPr>
        <w:t>, t</w:t>
      </w:r>
      <w:r w:rsidRPr="004F436C">
        <w:rPr>
          <w:rFonts w:ascii="Arial" w:eastAsia="Calibri" w:hAnsi="Arial" w:cs="Arial"/>
          <w:spacing w:val="1"/>
          <w:sz w:val="24"/>
          <w:szCs w:val="24"/>
        </w:rPr>
        <w:t>o</w:t>
      </w:r>
      <w:r w:rsidRPr="004F436C">
        <w:rPr>
          <w:rFonts w:ascii="Arial" w:eastAsia="Calibri" w:hAnsi="Arial" w:cs="Arial"/>
          <w:spacing w:val="-1"/>
          <w:sz w:val="24"/>
          <w:szCs w:val="24"/>
        </w:rPr>
        <w:t>p</w:t>
      </w:r>
      <w:r w:rsidRPr="004F436C">
        <w:rPr>
          <w:rFonts w:ascii="Arial" w:eastAsia="Calibri" w:hAnsi="Arial" w:cs="Arial"/>
          <w:sz w:val="24"/>
          <w:szCs w:val="24"/>
        </w:rPr>
        <w:t>ir</w:t>
      </w:r>
      <w:r w:rsidRPr="004F436C">
        <w:rPr>
          <w:rFonts w:ascii="Arial" w:eastAsia="Calibri" w:hAnsi="Arial" w:cs="Arial"/>
          <w:spacing w:val="1"/>
          <w:sz w:val="24"/>
          <w:szCs w:val="24"/>
        </w:rPr>
        <w:t>e</w:t>
      </w:r>
      <w:r w:rsidRPr="004F436C">
        <w:rPr>
          <w:rFonts w:ascii="Arial" w:eastAsia="Calibri" w:hAnsi="Arial" w:cs="Arial"/>
          <w:sz w:val="24"/>
          <w:szCs w:val="24"/>
        </w:rPr>
        <w:t>a</w:t>
      </w:r>
      <w:r>
        <w:rPr>
          <w:rFonts w:ascii="Arial" w:eastAsia="Calibri" w:hAnsi="Arial" w:cs="Arial"/>
          <w:sz w:val="24"/>
          <w:szCs w:val="24"/>
        </w:rPr>
        <w:t xml:space="preserve"> </w:t>
      </w:r>
      <w:r w:rsidRPr="004F436C">
        <w:rPr>
          <w:rFonts w:ascii="Arial" w:eastAsia="Calibri" w:hAnsi="Arial" w:cs="Arial"/>
          <w:spacing w:val="-1"/>
          <w:sz w:val="24"/>
          <w:szCs w:val="24"/>
        </w:rPr>
        <w:t>z</w:t>
      </w:r>
      <w:r w:rsidRPr="004F436C">
        <w:rPr>
          <w:rFonts w:ascii="Arial" w:eastAsia="Calibri" w:hAnsi="Arial" w:cs="Arial"/>
          <w:sz w:val="24"/>
          <w:szCs w:val="24"/>
        </w:rPr>
        <w:t>ă</w:t>
      </w:r>
      <w:r w:rsidRPr="004F436C">
        <w:rPr>
          <w:rFonts w:ascii="Arial" w:eastAsia="Calibri" w:hAnsi="Arial" w:cs="Arial"/>
          <w:spacing w:val="-3"/>
          <w:sz w:val="24"/>
          <w:szCs w:val="24"/>
        </w:rPr>
        <w:t>p</w:t>
      </w:r>
      <w:r w:rsidRPr="004F436C">
        <w:rPr>
          <w:rFonts w:ascii="Arial" w:eastAsia="Calibri" w:hAnsi="Arial" w:cs="Arial"/>
          <w:sz w:val="24"/>
          <w:szCs w:val="24"/>
        </w:rPr>
        <w:t>ez</w:t>
      </w:r>
      <w:r w:rsidRPr="004F436C">
        <w:rPr>
          <w:rFonts w:ascii="Arial" w:eastAsia="Calibri" w:hAnsi="Arial" w:cs="Arial"/>
          <w:spacing w:val="-1"/>
          <w:sz w:val="24"/>
          <w:szCs w:val="24"/>
        </w:rPr>
        <w:t>i</w:t>
      </w:r>
      <w:r w:rsidRPr="004F436C">
        <w:rPr>
          <w:rFonts w:ascii="Arial" w:eastAsia="Calibri" w:hAnsi="Arial" w:cs="Arial"/>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1"/>
          <w:sz w:val="24"/>
          <w:szCs w:val="24"/>
        </w:rPr>
        <w:t>b</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caje</w:t>
      </w:r>
      <w:r w:rsidRPr="004F436C">
        <w:rPr>
          <w:rFonts w:ascii="Arial" w:eastAsia="Calibri" w:hAnsi="Arial" w:cs="Arial"/>
          <w:spacing w:val="-2"/>
          <w:sz w:val="24"/>
          <w:szCs w:val="24"/>
        </w:rPr>
        <w:t>l</w:t>
      </w:r>
      <w:r w:rsidRPr="004F436C">
        <w:rPr>
          <w:rFonts w:ascii="Arial" w:eastAsia="Calibri" w:hAnsi="Arial" w:cs="Arial"/>
          <w:sz w:val="24"/>
          <w:szCs w:val="24"/>
        </w:rPr>
        <w:t xml:space="preserve">e </w:t>
      </w:r>
      <w:r w:rsidRPr="004F436C">
        <w:rPr>
          <w:rFonts w:ascii="Arial" w:eastAsia="Calibri" w:hAnsi="Arial" w:cs="Arial"/>
          <w:spacing w:val="-1"/>
          <w:sz w:val="24"/>
          <w:szCs w:val="24"/>
        </w:rPr>
        <w:t>d</w:t>
      </w:r>
      <w:r w:rsidRPr="004F436C">
        <w:rPr>
          <w:rFonts w:ascii="Arial" w:eastAsia="Calibri" w:hAnsi="Arial" w:cs="Arial"/>
          <w:sz w:val="24"/>
          <w:szCs w:val="24"/>
        </w:rPr>
        <w:t>at</w:t>
      </w:r>
      <w:r w:rsidRPr="004F436C">
        <w:rPr>
          <w:rFonts w:ascii="Arial" w:eastAsia="Calibri" w:hAnsi="Arial" w:cs="Arial"/>
          <w:spacing w:val="1"/>
          <w:sz w:val="24"/>
          <w:szCs w:val="24"/>
        </w:rPr>
        <w:t>o</w:t>
      </w:r>
      <w:r w:rsidRPr="004F436C">
        <w:rPr>
          <w:rFonts w:ascii="Arial" w:eastAsia="Calibri" w:hAnsi="Arial" w:cs="Arial"/>
          <w:sz w:val="24"/>
          <w:szCs w:val="24"/>
        </w:rPr>
        <w:t>ra</w:t>
      </w:r>
      <w:r w:rsidRPr="004F436C">
        <w:rPr>
          <w:rFonts w:ascii="Arial" w:eastAsia="Calibri" w:hAnsi="Arial" w:cs="Arial"/>
          <w:spacing w:val="-2"/>
          <w:sz w:val="24"/>
          <w:szCs w:val="24"/>
        </w:rPr>
        <w:t>t</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pacing w:val="1"/>
          <w:sz w:val="24"/>
          <w:szCs w:val="24"/>
        </w:rPr>
        <w:t>o</w:t>
      </w:r>
      <w:r w:rsidRPr="004F436C">
        <w:rPr>
          <w:rFonts w:ascii="Arial" w:eastAsia="Calibri" w:hAnsi="Arial" w:cs="Arial"/>
          <w:spacing w:val="-1"/>
          <w:sz w:val="24"/>
          <w:szCs w:val="24"/>
        </w:rPr>
        <w:t>du</w:t>
      </w:r>
      <w:r w:rsidRPr="004F436C">
        <w:rPr>
          <w:rFonts w:ascii="Arial" w:eastAsia="Calibri" w:hAnsi="Arial" w:cs="Arial"/>
          <w:sz w:val="24"/>
          <w:szCs w:val="24"/>
        </w:rPr>
        <w:t>ri</w:t>
      </w:r>
      <w:r w:rsidRPr="004F436C">
        <w:rPr>
          <w:rFonts w:ascii="Arial" w:eastAsia="Calibri" w:hAnsi="Arial" w:cs="Arial"/>
          <w:spacing w:val="-4"/>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Pr>
          <w:rFonts w:ascii="Arial" w:eastAsia="Calibri" w:hAnsi="Arial" w:cs="Arial"/>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e</w:t>
      </w:r>
      <w:r>
        <w:rPr>
          <w:rFonts w:ascii="Arial" w:eastAsia="Calibri" w:hAnsi="Arial" w:cs="Arial"/>
          <w:sz w:val="24"/>
          <w:szCs w:val="24"/>
        </w:rPr>
        <w:t xml:space="preserve"> </w:t>
      </w:r>
      <w:r w:rsidRPr="004F436C">
        <w:rPr>
          <w:rFonts w:ascii="Arial" w:eastAsia="Calibri" w:hAnsi="Arial" w:cs="Arial"/>
          <w:spacing w:val="-1"/>
          <w:sz w:val="24"/>
          <w:szCs w:val="24"/>
        </w:rPr>
        <w:t>g</w:t>
      </w:r>
      <w:r w:rsidRPr="004F436C">
        <w:rPr>
          <w:rFonts w:ascii="Arial" w:eastAsia="Calibri" w:hAnsi="Arial" w:cs="Arial"/>
          <w:spacing w:val="-3"/>
          <w:sz w:val="24"/>
          <w:szCs w:val="24"/>
        </w:rPr>
        <w:t>h</w:t>
      </w:r>
      <w:r w:rsidRPr="004F436C">
        <w:rPr>
          <w:rFonts w:ascii="Arial" w:eastAsia="Calibri" w:hAnsi="Arial" w:cs="Arial"/>
          <w:sz w:val="24"/>
          <w:szCs w:val="24"/>
        </w:rPr>
        <w:t>eaţă</w:t>
      </w:r>
      <w:r>
        <w:rPr>
          <w:rFonts w:ascii="Arial" w:eastAsia="Calibri" w:hAnsi="Arial" w:cs="Arial"/>
          <w:sz w:val="24"/>
          <w:szCs w:val="24"/>
        </w:rPr>
        <w:t xml:space="preserve"> </w:t>
      </w:r>
      <w:r w:rsidRPr="004F436C">
        <w:rPr>
          <w:rFonts w:ascii="Arial" w:eastAsia="Calibri" w:hAnsi="Arial" w:cs="Arial"/>
          <w:sz w:val="24"/>
          <w:szCs w:val="24"/>
        </w:rPr>
        <w:t>sau</w:t>
      </w:r>
      <w:r>
        <w:rPr>
          <w:rFonts w:ascii="Arial" w:eastAsia="Calibri" w:hAnsi="Arial" w:cs="Arial"/>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l</w:t>
      </w:r>
      <w:r w:rsidRPr="004F436C">
        <w:rPr>
          <w:rFonts w:ascii="Arial" w:eastAsia="Calibri" w:hAnsi="Arial" w:cs="Arial"/>
          <w:spacing w:val="-1"/>
          <w:sz w:val="24"/>
          <w:szCs w:val="24"/>
        </w:rPr>
        <w:t>u</w:t>
      </w:r>
      <w:r w:rsidRPr="004F436C">
        <w:rPr>
          <w:rFonts w:ascii="Arial" w:eastAsia="Calibri" w:hAnsi="Arial" w:cs="Arial"/>
          <w:sz w:val="24"/>
          <w:szCs w:val="24"/>
        </w:rPr>
        <w:t>ti</w:t>
      </w:r>
      <w:r w:rsidRPr="004F436C">
        <w:rPr>
          <w:rFonts w:ascii="Arial" w:eastAsia="Calibri" w:hAnsi="Arial" w:cs="Arial"/>
          <w:spacing w:val="-2"/>
          <w:sz w:val="24"/>
          <w:szCs w:val="24"/>
        </w:rPr>
        <w:t>t</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1"/>
          <w:sz w:val="24"/>
          <w:szCs w:val="24"/>
        </w:rPr>
        <w:t>i</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 et</w:t>
      </w:r>
      <w:r>
        <w:rPr>
          <w:rFonts w:ascii="Arial" w:eastAsia="Calibri" w:hAnsi="Arial" w:cs="Arial"/>
          <w:sz w:val="24"/>
          <w:szCs w:val="24"/>
        </w:rPr>
        <w:t>c</w:t>
      </w:r>
      <w:r>
        <w:rPr>
          <w:rFonts w:ascii="Calibri" w:eastAsia="Calibri" w:hAnsi="Calibri" w:cs="Calibri"/>
        </w:rPr>
        <w:t>.</w:t>
      </w:r>
    </w:p>
    <w:p w:rsidR="000645BF" w:rsidRDefault="000645BF" w:rsidP="000645BF">
      <w:pPr>
        <w:spacing w:after="0" w:line="240" w:lineRule="auto"/>
        <w:ind w:firstLine="708"/>
        <w:jc w:val="both"/>
        <w:rPr>
          <w:rFonts w:ascii="Arial" w:eastAsia="Calibri" w:hAnsi="Arial" w:cs="Arial"/>
          <w:sz w:val="24"/>
          <w:szCs w:val="24"/>
        </w:rPr>
      </w:pPr>
      <w:r>
        <w:rPr>
          <w:rFonts w:ascii="Arial" w:eastAsia="Calibri" w:hAnsi="Arial" w:cs="Arial"/>
          <w:sz w:val="24"/>
          <w:szCs w:val="24"/>
        </w:rPr>
        <w:t>Î</w:t>
      </w:r>
      <w:r w:rsidRPr="00723BFF">
        <w:rPr>
          <w:rFonts w:ascii="Arial" w:eastAsia="Calibri" w:hAnsi="Arial" w:cs="Arial"/>
          <w:sz w:val="24"/>
          <w:szCs w:val="24"/>
        </w:rPr>
        <w:t>n urma anal</w:t>
      </w:r>
      <w:r w:rsidRPr="00723BFF">
        <w:rPr>
          <w:rFonts w:ascii="Arial" w:eastAsia="Calibri" w:hAnsi="Arial" w:cs="Arial"/>
          <w:spacing w:val="-1"/>
          <w:sz w:val="24"/>
          <w:szCs w:val="24"/>
        </w:rPr>
        <w:t>iz</w:t>
      </w:r>
      <w:r w:rsidRPr="00723BFF">
        <w:rPr>
          <w:rFonts w:ascii="Arial" w:eastAsia="Calibri" w:hAnsi="Arial" w:cs="Arial"/>
          <w:sz w:val="24"/>
          <w:szCs w:val="24"/>
        </w:rPr>
        <w:t>ăr</w:t>
      </w:r>
      <w:r w:rsidRPr="00723BFF">
        <w:rPr>
          <w:rFonts w:ascii="Arial" w:eastAsia="Calibri" w:hAnsi="Arial" w:cs="Arial"/>
          <w:spacing w:val="-1"/>
          <w:sz w:val="24"/>
          <w:szCs w:val="24"/>
        </w:rPr>
        <w:t>i</w:t>
      </w:r>
      <w:r w:rsidRPr="00723BFF">
        <w:rPr>
          <w:rFonts w:ascii="Arial" w:eastAsia="Calibri" w:hAnsi="Arial" w:cs="Arial"/>
          <w:sz w:val="24"/>
          <w:szCs w:val="24"/>
        </w:rPr>
        <w:t>i</w:t>
      </w:r>
      <w:r>
        <w:rPr>
          <w:rFonts w:ascii="Arial" w:eastAsia="Calibri" w:hAnsi="Arial" w:cs="Arial"/>
          <w:sz w:val="24"/>
          <w:szCs w:val="24"/>
        </w:rPr>
        <w:t xml:space="preserve"> </w:t>
      </w:r>
      <w:r w:rsidRPr="00723BFF">
        <w:rPr>
          <w:rFonts w:ascii="Arial" w:eastAsia="Calibri" w:hAnsi="Arial" w:cs="Arial"/>
          <w:sz w:val="24"/>
          <w:szCs w:val="24"/>
        </w:rPr>
        <w:t>și</w:t>
      </w:r>
      <w:r>
        <w:rPr>
          <w:rFonts w:ascii="Arial" w:eastAsia="Calibri" w:hAnsi="Arial" w:cs="Arial"/>
          <w:sz w:val="24"/>
          <w:szCs w:val="24"/>
        </w:rPr>
        <w:t xml:space="preserve"> </w:t>
      </w:r>
      <w:r w:rsidRPr="00723BFF">
        <w:rPr>
          <w:rFonts w:ascii="Arial" w:eastAsia="Calibri" w:hAnsi="Arial" w:cs="Arial"/>
          <w:spacing w:val="-1"/>
          <w:sz w:val="24"/>
          <w:szCs w:val="24"/>
        </w:rPr>
        <w:t>p</w:t>
      </w:r>
      <w:r w:rsidRPr="00723BFF">
        <w:rPr>
          <w:rFonts w:ascii="Arial" w:eastAsia="Calibri" w:hAnsi="Arial" w:cs="Arial"/>
          <w:sz w:val="24"/>
          <w:szCs w:val="24"/>
        </w:rPr>
        <w:t>rel</w:t>
      </w:r>
      <w:r w:rsidRPr="00723BFF">
        <w:rPr>
          <w:rFonts w:ascii="Arial" w:eastAsia="Calibri" w:hAnsi="Arial" w:cs="Arial"/>
          <w:spacing w:val="-1"/>
          <w:sz w:val="24"/>
          <w:szCs w:val="24"/>
        </w:rPr>
        <w:t>u</w:t>
      </w:r>
      <w:r w:rsidRPr="00723BFF">
        <w:rPr>
          <w:rFonts w:ascii="Arial" w:eastAsia="Calibri" w:hAnsi="Arial" w:cs="Arial"/>
          <w:sz w:val="24"/>
          <w:szCs w:val="24"/>
        </w:rPr>
        <w:t>crăr</w:t>
      </w:r>
      <w:r w:rsidRPr="00723BFF">
        <w:rPr>
          <w:rFonts w:ascii="Arial" w:eastAsia="Calibri" w:hAnsi="Arial" w:cs="Arial"/>
          <w:spacing w:val="-1"/>
          <w:sz w:val="24"/>
          <w:szCs w:val="24"/>
        </w:rPr>
        <w:t>i</w:t>
      </w:r>
      <w:r w:rsidRPr="00723BFF">
        <w:rPr>
          <w:rFonts w:ascii="Arial" w:eastAsia="Calibri" w:hAnsi="Arial" w:cs="Arial"/>
          <w:sz w:val="24"/>
          <w:szCs w:val="24"/>
        </w:rPr>
        <w:t>i</w:t>
      </w:r>
      <w:r>
        <w:rPr>
          <w:rFonts w:ascii="Arial" w:eastAsia="Calibri" w:hAnsi="Arial" w:cs="Arial"/>
          <w:sz w:val="24"/>
          <w:szCs w:val="24"/>
        </w:rPr>
        <w:t xml:space="preserve"> </w:t>
      </w:r>
      <w:r w:rsidRPr="00723BFF">
        <w:rPr>
          <w:rFonts w:ascii="Arial" w:eastAsia="Calibri" w:hAnsi="Arial" w:cs="Arial"/>
          <w:spacing w:val="-1"/>
          <w:sz w:val="24"/>
          <w:szCs w:val="24"/>
        </w:rPr>
        <w:t>h</w:t>
      </w:r>
      <w:r w:rsidRPr="00723BFF">
        <w:rPr>
          <w:rFonts w:ascii="Arial" w:eastAsia="Calibri" w:hAnsi="Arial" w:cs="Arial"/>
          <w:sz w:val="24"/>
          <w:szCs w:val="24"/>
        </w:rPr>
        <w:t>ărți</w:t>
      </w:r>
      <w:r w:rsidRPr="00723BFF">
        <w:rPr>
          <w:rFonts w:ascii="Arial" w:eastAsia="Calibri" w:hAnsi="Arial" w:cs="Arial"/>
          <w:spacing w:val="-1"/>
          <w:sz w:val="24"/>
          <w:szCs w:val="24"/>
        </w:rPr>
        <w:t>l</w:t>
      </w:r>
      <w:r w:rsidRPr="00723BFF">
        <w:rPr>
          <w:rFonts w:ascii="Arial" w:eastAsia="Calibri" w:hAnsi="Arial" w:cs="Arial"/>
          <w:spacing w:val="1"/>
          <w:sz w:val="24"/>
          <w:szCs w:val="24"/>
        </w:rPr>
        <w:t>o</w:t>
      </w:r>
      <w:r w:rsidRPr="00723BFF">
        <w:rPr>
          <w:rFonts w:ascii="Arial" w:eastAsia="Calibri" w:hAnsi="Arial" w:cs="Arial"/>
          <w:sz w:val="24"/>
          <w:szCs w:val="24"/>
        </w:rPr>
        <w:t>r</w:t>
      </w:r>
      <w:r>
        <w:rPr>
          <w:rFonts w:ascii="Arial" w:eastAsia="Calibri" w:hAnsi="Arial" w:cs="Arial"/>
          <w:sz w:val="24"/>
          <w:szCs w:val="24"/>
        </w:rPr>
        <w:t xml:space="preserve"> </w:t>
      </w:r>
      <w:r w:rsidRPr="00723BFF">
        <w:rPr>
          <w:rFonts w:ascii="Arial" w:eastAsia="Calibri" w:hAnsi="Arial" w:cs="Arial"/>
          <w:spacing w:val="-1"/>
          <w:sz w:val="24"/>
          <w:szCs w:val="24"/>
        </w:rPr>
        <w:t>d</w:t>
      </w:r>
      <w:r w:rsidRPr="00723BFF">
        <w:rPr>
          <w:rFonts w:ascii="Arial" w:eastAsia="Calibri" w:hAnsi="Arial" w:cs="Arial"/>
          <w:sz w:val="24"/>
          <w:szCs w:val="24"/>
        </w:rPr>
        <w:t>e</w:t>
      </w:r>
      <w:r>
        <w:rPr>
          <w:rFonts w:ascii="Arial" w:eastAsia="Calibri" w:hAnsi="Arial" w:cs="Arial"/>
          <w:sz w:val="24"/>
          <w:szCs w:val="24"/>
        </w:rPr>
        <w:t xml:space="preserve"> </w:t>
      </w:r>
      <w:r w:rsidRPr="00723BFF">
        <w:rPr>
          <w:rFonts w:ascii="Arial" w:eastAsia="Calibri" w:hAnsi="Arial" w:cs="Arial"/>
          <w:spacing w:val="-1"/>
          <w:sz w:val="24"/>
          <w:szCs w:val="24"/>
        </w:rPr>
        <w:t>h</w:t>
      </w:r>
      <w:r w:rsidRPr="00723BFF">
        <w:rPr>
          <w:rFonts w:ascii="Arial" w:eastAsia="Calibri" w:hAnsi="Arial" w:cs="Arial"/>
          <w:sz w:val="24"/>
          <w:szCs w:val="24"/>
        </w:rPr>
        <w:t>a</w:t>
      </w:r>
      <w:r w:rsidRPr="00723BFF">
        <w:rPr>
          <w:rFonts w:ascii="Arial" w:eastAsia="Calibri" w:hAnsi="Arial" w:cs="Arial"/>
          <w:spacing w:val="-1"/>
          <w:sz w:val="24"/>
          <w:szCs w:val="24"/>
        </w:rPr>
        <w:t>z</w:t>
      </w:r>
      <w:r w:rsidRPr="00723BFF">
        <w:rPr>
          <w:rFonts w:ascii="Arial" w:eastAsia="Calibri" w:hAnsi="Arial" w:cs="Arial"/>
          <w:sz w:val="24"/>
          <w:szCs w:val="24"/>
        </w:rPr>
        <w:t>ard și</w:t>
      </w:r>
      <w:r>
        <w:rPr>
          <w:rFonts w:ascii="Arial" w:eastAsia="Calibri" w:hAnsi="Arial" w:cs="Arial"/>
          <w:sz w:val="24"/>
          <w:szCs w:val="24"/>
        </w:rPr>
        <w:t xml:space="preserve"> </w:t>
      </w:r>
      <w:r w:rsidRPr="00723BFF">
        <w:rPr>
          <w:rFonts w:ascii="Arial" w:eastAsia="Calibri" w:hAnsi="Arial" w:cs="Arial"/>
          <w:spacing w:val="-1"/>
          <w:sz w:val="24"/>
          <w:szCs w:val="24"/>
        </w:rPr>
        <w:t>d</w:t>
      </w:r>
      <w:r w:rsidRPr="00723BFF">
        <w:rPr>
          <w:rFonts w:ascii="Arial" w:eastAsia="Calibri" w:hAnsi="Arial" w:cs="Arial"/>
          <w:sz w:val="24"/>
          <w:szCs w:val="24"/>
        </w:rPr>
        <w:t>e</w:t>
      </w:r>
      <w:r>
        <w:rPr>
          <w:rFonts w:ascii="Arial" w:eastAsia="Calibri" w:hAnsi="Arial" w:cs="Arial"/>
          <w:sz w:val="24"/>
          <w:szCs w:val="24"/>
        </w:rPr>
        <w:t xml:space="preserve"> </w:t>
      </w:r>
      <w:r w:rsidRPr="00723BFF">
        <w:rPr>
          <w:rFonts w:ascii="Arial" w:eastAsia="Calibri" w:hAnsi="Arial" w:cs="Arial"/>
          <w:sz w:val="24"/>
          <w:szCs w:val="24"/>
        </w:rPr>
        <w:t>risc</w:t>
      </w:r>
      <w:r>
        <w:rPr>
          <w:rFonts w:ascii="Arial" w:eastAsia="Calibri" w:hAnsi="Arial" w:cs="Arial"/>
          <w:sz w:val="24"/>
          <w:szCs w:val="24"/>
        </w:rPr>
        <w:t xml:space="preserve"> </w:t>
      </w:r>
      <w:r w:rsidRPr="00723BFF">
        <w:rPr>
          <w:rFonts w:ascii="Arial" w:eastAsia="Calibri" w:hAnsi="Arial" w:cs="Arial"/>
          <w:sz w:val="24"/>
          <w:szCs w:val="24"/>
        </w:rPr>
        <w:t>la</w:t>
      </w:r>
      <w:r>
        <w:rPr>
          <w:rFonts w:ascii="Arial" w:eastAsia="Calibri" w:hAnsi="Arial" w:cs="Arial"/>
          <w:sz w:val="24"/>
          <w:szCs w:val="24"/>
        </w:rPr>
        <w:t xml:space="preserve"> </w:t>
      </w:r>
      <w:r w:rsidRPr="00723BFF">
        <w:rPr>
          <w:rFonts w:ascii="Arial" w:eastAsia="Calibri" w:hAnsi="Arial" w:cs="Arial"/>
          <w:sz w:val="24"/>
          <w:szCs w:val="24"/>
        </w:rPr>
        <w:t>i</w:t>
      </w:r>
      <w:r w:rsidRPr="00723BFF">
        <w:rPr>
          <w:rFonts w:ascii="Arial" w:eastAsia="Calibri" w:hAnsi="Arial" w:cs="Arial"/>
          <w:spacing w:val="-1"/>
          <w:sz w:val="24"/>
          <w:szCs w:val="24"/>
        </w:rPr>
        <w:t>nund</w:t>
      </w:r>
      <w:r w:rsidRPr="00723BFF">
        <w:rPr>
          <w:rFonts w:ascii="Arial" w:eastAsia="Calibri" w:hAnsi="Arial" w:cs="Arial"/>
          <w:sz w:val="24"/>
          <w:szCs w:val="24"/>
        </w:rPr>
        <w:t>ații</w:t>
      </w:r>
      <w:r w:rsidRPr="00723BFF">
        <w:rPr>
          <w:rFonts w:ascii="Arial" w:eastAsia="Calibri" w:hAnsi="Arial" w:cs="Arial"/>
          <w:spacing w:val="1"/>
          <w:sz w:val="24"/>
          <w:szCs w:val="24"/>
        </w:rPr>
        <w:t xml:space="preserve"> elaborate la</w:t>
      </w:r>
      <w:r>
        <w:rPr>
          <w:rFonts w:ascii="Arial" w:eastAsia="Calibri" w:hAnsi="Arial" w:cs="Arial"/>
          <w:spacing w:val="1"/>
          <w:sz w:val="24"/>
          <w:szCs w:val="24"/>
        </w:rPr>
        <w:t xml:space="preserve"> </w:t>
      </w:r>
      <w:r w:rsidRPr="00723BFF">
        <w:rPr>
          <w:rFonts w:ascii="Arial" w:eastAsia="Calibri" w:hAnsi="Arial" w:cs="Arial"/>
          <w:spacing w:val="1"/>
          <w:sz w:val="24"/>
          <w:szCs w:val="24"/>
        </w:rPr>
        <w:t>nivelul fiec</w:t>
      </w:r>
      <w:r>
        <w:rPr>
          <w:rFonts w:ascii="Arial" w:eastAsia="Calibri" w:hAnsi="Arial" w:cs="Arial"/>
          <w:spacing w:val="1"/>
          <w:sz w:val="24"/>
          <w:szCs w:val="24"/>
        </w:rPr>
        <w:t>ă</w:t>
      </w:r>
      <w:r w:rsidRPr="00723BFF">
        <w:rPr>
          <w:rFonts w:ascii="Arial" w:eastAsia="Calibri" w:hAnsi="Arial" w:cs="Arial"/>
          <w:spacing w:val="1"/>
          <w:sz w:val="24"/>
          <w:szCs w:val="24"/>
        </w:rPr>
        <w:t>rui bazin/spa</w:t>
      </w:r>
      <w:r>
        <w:rPr>
          <w:rFonts w:ascii="Arial" w:eastAsia="Calibri" w:hAnsi="Arial" w:cs="Arial"/>
          <w:spacing w:val="1"/>
          <w:sz w:val="24"/>
          <w:szCs w:val="24"/>
        </w:rPr>
        <w:t>ţ</w:t>
      </w:r>
      <w:r w:rsidRPr="00723BFF">
        <w:rPr>
          <w:rFonts w:ascii="Arial" w:eastAsia="Calibri" w:hAnsi="Arial" w:cs="Arial"/>
          <w:spacing w:val="1"/>
          <w:sz w:val="24"/>
          <w:szCs w:val="24"/>
        </w:rPr>
        <w:t>iu hidrorafic din Ro</w:t>
      </w:r>
      <w:r>
        <w:rPr>
          <w:rFonts w:ascii="Arial" w:eastAsia="Calibri" w:hAnsi="Arial" w:cs="Arial"/>
          <w:spacing w:val="1"/>
          <w:sz w:val="24"/>
          <w:szCs w:val="24"/>
        </w:rPr>
        <w:t>mâni</w:t>
      </w:r>
      <w:r w:rsidRPr="00723BFF">
        <w:rPr>
          <w:rFonts w:ascii="Arial" w:eastAsia="Calibri" w:hAnsi="Arial" w:cs="Arial"/>
          <w:sz w:val="24"/>
          <w:szCs w:val="24"/>
        </w:rPr>
        <w:t>a</w:t>
      </w:r>
      <w:r>
        <w:rPr>
          <w:rFonts w:ascii="Arial" w:eastAsia="Calibri" w:hAnsi="Arial" w:cs="Arial"/>
          <w:sz w:val="24"/>
          <w:szCs w:val="24"/>
        </w:rPr>
        <w:t xml:space="preserve">, aferente </w:t>
      </w:r>
      <w:r w:rsidRPr="00723BFF">
        <w:rPr>
          <w:rFonts w:ascii="Arial" w:eastAsia="Calibri" w:hAnsi="Arial" w:cs="Arial"/>
          <w:sz w:val="24"/>
          <w:szCs w:val="24"/>
        </w:rPr>
        <w:t xml:space="preserve"> sc</w:t>
      </w:r>
      <w:r w:rsidRPr="00723BFF">
        <w:rPr>
          <w:rFonts w:ascii="Arial" w:eastAsia="Calibri" w:hAnsi="Arial" w:cs="Arial"/>
          <w:spacing w:val="1"/>
          <w:sz w:val="24"/>
          <w:szCs w:val="24"/>
        </w:rPr>
        <w:t>e</w:t>
      </w:r>
      <w:r w:rsidRPr="00723BFF">
        <w:rPr>
          <w:rFonts w:ascii="Arial" w:eastAsia="Calibri" w:hAnsi="Arial" w:cs="Arial"/>
          <w:spacing w:val="-1"/>
          <w:sz w:val="24"/>
          <w:szCs w:val="24"/>
        </w:rPr>
        <w:t>n</w:t>
      </w:r>
      <w:r w:rsidRPr="00723BFF">
        <w:rPr>
          <w:rFonts w:ascii="Arial" w:eastAsia="Calibri" w:hAnsi="Arial" w:cs="Arial"/>
          <w:sz w:val="24"/>
          <w:szCs w:val="24"/>
        </w:rPr>
        <w:t>ar</w:t>
      </w:r>
      <w:r w:rsidRPr="00723BFF">
        <w:rPr>
          <w:rFonts w:ascii="Arial" w:eastAsia="Calibri" w:hAnsi="Arial" w:cs="Arial"/>
          <w:spacing w:val="-1"/>
          <w:sz w:val="24"/>
          <w:szCs w:val="24"/>
        </w:rPr>
        <w:t>iu</w:t>
      </w:r>
      <w:r w:rsidRPr="00723BFF">
        <w:rPr>
          <w:rFonts w:ascii="Arial" w:eastAsia="Calibri" w:hAnsi="Arial" w:cs="Arial"/>
          <w:sz w:val="24"/>
          <w:szCs w:val="24"/>
        </w:rPr>
        <w:t>l</w:t>
      </w:r>
      <w:r w:rsidRPr="00723BFF">
        <w:rPr>
          <w:rFonts w:ascii="Arial" w:eastAsia="Calibri" w:hAnsi="Arial" w:cs="Arial"/>
          <w:spacing w:val="-1"/>
          <w:sz w:val="24"/>
          <w:szCs w:val="24"/>
        </w:rPr>
        <w:t>u</w:t>
      </w:r>
      <w:r w:rsidRPr="00723BFF">
        <w:rPr>
          <w:rFonts w:ascii="Arial" w:eastAsia="Calibri" w:hAnsi="Arial" w:cs="Arial"/>
          <w:sz w:val="24"/>
          <w:szCs w:val="24"/>
        </w:rPr>
        <w:t>i</w:t>
      </w:r>
      <w:r w:rsidRPr="00723BFF">
        <w:rPr>
          <w:rFonts w:ascii="Arial" w:eastAsia="Calibri" w:hAnsi="Arial" w:cs="Arial"/>
          <w:spacing w:val="1"/>
          <w:sz w:val="24"/>
          <w:szCs w:val="24"/>
        </w:rPr>
        <w:t xml:space="preserve"> m</w:t>
      </w:r>
      <w:r w:rsidRPr="00723BFF">
        <w:rPr>
          <w:rFonts w:ascii="Arial" w:eastAsia="Calibri" w:hAnsi="Arial" w:cs="Arial"/>
          <w:sz w:val="24"/>
          <w:szCs w:val="24"/>
        </w:rPr>
        <w:t>ed</w:t>
      </w:r>
      <w:r w:rsidRPr="00723BFF">
        <w:rPr>
          <w:rFonts w:ascii="Arial" w:eastAsia="Calibri" w:hAnsi="Arial" w:cs="Arial"/>
          <w:spacing w:val="-1"/>
          <w:sz w:val="24"/>
          <w:szCs w:val="24"/>
        </w:rPr>
        <w:t>i</w:t>
      </w:r>
      <w:r w:rsidRPr="00723BFF">
        <w:rPr>
          <w:rFonts w:ascii="Arial" w:eastAsia="Calibri" w:hAnsi="Arial" w:cs="Arial"/>
          <w:spacing w:val="1"/>
          <w:sz w:val="24"/>
          <w:szCs w:val="24"/>
        </w:rPr>
        <w:t>u</w:t>
      </w:r>
      <w:r w:rsidRPr="00723BFF">
        <w:rPr>
          <w:rFonts w:ascii="Arial" w:eastAsia="Calibri" w:hAnsi="Arial" w:cs="Arial"/>
          <w:sz w:val="24"/>
          <w:szCs w:val="24"/>
        </w:rPr>
        <w:t>,</w:t>
      </w:r>
      <w:r w:rsidRPr="00723BFF">
        <w:rPr>
          <w:rFonts w:ascii="Arial" w:eastAsia="Calibri" w:hAnsi="Arial" w:cs="Arial"/>
          <w:spacing w:val="-2"/>
          <w:sz w:val="24"/>
          <w:szCs w:val="24"/>
        </w:rPr>
        <w:t>c</w:t>
      </w:r>
      <w:r w:rsidRPr="00723BFF">
        <w:rPr>
          <w:rFonts w:ascii="Arial" w:eastAsia="Calibri" w:hAnsi="Arial" w:cs="Arial"/>
          <w:spacing w:val="1"/>
          <w:sz w:val="24"/>
          <w:szCs w:val="24"/>
        </w:rPr>
        <w:t>o</w:t>
      </w:r>
      <w:r w:rsidRPr="00723BFF">
        <w:rPr>
          <w:rFonts w:ascii="Arial" w:eastAsia="Calibri" w:hAnsi="Arial" w:cs="Arial"/>
          <w:sz w:val="24"/>
          <w:szCs w:val="24"/>
        </w:rPr>
        <w:t>r</w:t>
      </w:r>
      <w:r w:rsidRPr="00723BFF">
        <w:rPr>
          <w:rFonts w:ascii="Arial" w:eastAsia="Calibri" w:hAnsi="Arial" w:cs="Arial"/>
          <w:spacing w:val="-2"/>
          <w:sz w:val="24"/>
          <w:szCs w:val="24"/>
        </w:rPr>
        <w:t>e</w:t>
      </w:r>
      <w:r w:rsidRPr="00723BFF">
        <w:rPr>
          <w:rFonts w:ascii="Arial" w:eastAsia="Calibri" w:hAnsi="Arial" w:cs="Arial"/>
          <w:sz w:val="24"/>
          <w:szCs w:val="24"/>
        </w:rPr>
        <w:t>sp</w:t>
      </w:r>
      <w:r w:rsidRPr="00723BFF">
        <w:rPr>
          <w:rFonts w:ascii="Arial" w:eastAsia="Calibri" w:hAnsi="Arial" w:cs="Arial"/>
          <w:spacing w:val="-1"/>
          <w:sz w:val="24"/>
          <w:szCs w:val="24"/>
        </w:rPr>
        <w:t>unz</w:t>
      </w:r>
      <w:r w:rsidRPr="00723BFF">
        <w:rPr>
          <w:rFonts w:ascii="Arial" w:eastAsia="Calibri" w:hAnsi="Arial" w:cs="Arial"/>
          <w:sz w:val="24"/>
          <w:szCs w:val="24"/>
        </w:rPr>
        <w:t>ăt</w:t>
      </w:r>
      <w:r w:rsidRPr="00723BFF">
        <w:rPr>
          <w:rFonts w:ascii="Arial" w:eastAsia="Calibri" w:hAnsi="Arial" w:cs="Arial"/>
          <w:spacing w:val="1"/>
          <w:sz w:val="24"/>
          <w:szCs w:val="24"/>
        </w:rPr>
        <w:t>o</w:t>
      </w:r>
      <w:r>
        <w:rPr>
          <w:rFonts w:ascii="Arial" w:eastAsia="Calibri" w:hAnsi="Arial" w:cs="Arial"/>
          <w:spacing w:val="1"/>
          <w:sz w:val="24"/>
          <w:szCs w:val="24"/>
        </w:rPr>
        <w:t xml:space="preserve"> </w:t>
      </w:r>
      <w:r w:rsidRPr="00723BFF">
        <w:rPr>
          <w:rFonts w:ascii="Arial" w:eastAsia="Calibri" w:hAnsi="Arial" w:cs="Arial"/>
          <w:sz w:val="24"/>
          <w:szCs w:val="24"/>
        </w:rPr>
        <w:t>r</w:t>
      </w:r>
      <w:r w:rsidRPr="00723BFF">
        <w:rPr>
          <w:rFonts w:ascii="Arial" w:eastAsia="Calibri" w:hAnsi="Arial" w:cs="Arial"/>
          <w:spacing w:val="-1"/>
          <w:sz w:val="24"/>
          <w:szCs w:val="24"/>
        </w:rPr>
        <w:t>d</w:t>
      </w:r>
      <w:r w:rsidRPr="00723BFF">
        <w:rPr>
          <w:rFonts w:ascii="Arial" w:eastAsia="Calibri" w:hAnsi="Arial" w:cs="Arial"/>
          <w:sz w:val="24"/>
          <w:szCs w:val="24"/>
        </w:rPr>
        <w:t>eb</w:t>
      </w:r>
      <w:r w:rsidRPr="00723BFF">
        <w:rPr>
          <w:rFonts w:ascii="Arial" w:eastAsia="Calibri" w:hAnsi="Arial" w:cs="Arial"/>
          <w:spacing w:val="-1"/>
          <w:sz w:val="24"/>
          <w:szCs w:val="24"/>
        </w:rPr>
        <w:t>i</w:t>
      </w:r>
      <w:r w:rsidRPr="00723BFF">
        <w:rPr>
          <w:rFonts w:ascii="Arial" w:eastAsia="Calibri" w:hAnsi="Arial" w:cs="Arial"/>
          <w:spacing w:val="1"/>
          <w:sz w:val="24"/>
          <w:szCs w:val="24"/>
        </w:rPr>
        <w:t>t</w:t>
      </w:r>
      <w:r w:rsidRPr="00723BFF">
        <w:rPr>
          <w:rFonts w:ascii="Arial" w:eastAsia="Calibri" w:hAnsi="Arial" w:cs="Arial"/>
          <w:spacing w:val="-1"/>
          <w:sz w:val="24"/>
          <w:szCs w:val="24"/>
        </w:rPr>
        <w:t>u</w:t>
      </w:r>
      <w:r w:rsidRPr="00723BFF">
        <w:rPr>
          <w:rFonts w:ascii="Arial" w:eastAsia="Calibri" w:hAnsi="Arial" w:cs="Arial"/>
          <w:sz w:val="24"/>
          <w:szCs w:val="24"/>
        </w:rPr>
        <w:t>l</w:t>
      </w:r>
      <w:r w:rsidRPr="00723BFF">
        <w:rPr>
          <w:rFonts w:ascii="Arial" w:eastAsia="Calibri" w:hAnsi="Arial" w:cs="Arial"/>
          <w:spacing w:val="-1"/>
          <w:sz w:val="24"/>
          <w:szCs w:val="24"/>
        </w:rPr>
        <w:t>u</w:t>
      </w:r>
      <w:r w:rsidRPr="00723BFF">
        <w:rPr>
          <w:rFonts w:ascii="Arial" w:eastAsia="Calibri" w:hAnsi="Arial" w:cs="Arial"/>
          <w:sz w:val="24"/>
          <w:szCs w:val="24"/>
        </w:rPr>
        <w:t xml:space="preserve">i </w:t>
      </w:r>
      <w:r w:rsidRPr="00723BFF">
        <w:rPr>
          <w:rFonts w:ascii="Arial" w:eastAsia="Calibri" w:hAnsi="Arial" w:cs="Arial"/>
          <w:spacing w:val="1"/>
          <w:sz w:val="24"/>
          <w:szCs w:val="24"/>
        </w:rPr>
        <w:t>m</w:t>
      </w:r>
      <w:r w:rsidRPr="00723BFF">
        <w:rPr>
          <w:rFonts w:ascii="Arial" w:eastAsia="Calibri" w:hAnsi="Arial" w:cs="Arial"/>
          <w:spacing w:val="-3"/>
          <w:sz w:val="24"/>
          <w:szCs w:val="24"/>
        </w:rPr>
        <w:t>a</w:t>
      </w:r>
      <w:r w:rsidRPr="00723BFF">
        <w:rPr>
          <w:rFonts w:ascii="Arial" w:eastAsia="Calibri" w:hAnsi="Arial" w:cs="Arial"/>
          <w:sz w:val="24"/>
          <w:szCs w:val="24"/>
        </w:rPr>
        <w:t>xim</w:t>
      </w:r>
      <w:r>
        <w:rPr>
          <w:rFonts w:ascii="Arial" w:eastAsia="Calibri" w:hAnsi="Arial" w:cs="Arial"/>
          <w:sz w:val="24"/>
          <w:szCs w:val="24"/>
        </w:rPr>
        <w:t xml:space="preserve"> </w:t>
      </w:r>
      <w:r w:rsidRPr="00723BFF">
        <w:rPr>
          <w:rFonts w:ascii="Arial" w:eastAsia="Calibri" w:hAnsi="Arial" w:cs="Arial"/>
          <w:sz w:val="24"/>
          <w:szCs w:val="24"/>
        </w:rPr>
        <w:t>cu</w:t>
      </w:r>
      <w:r>
        <w:rPr>
          <w:rFonts w:ascii="Arial" w:eastAsia="Calibri" w:hAnsi="Arial" w:cs="Arial"/>
          <w:sz w:val="24"/>
          <w:szCs w:val="24"/>
        </w:rPr>
        <w:t xml:space="preserve"> </w:t>
      </w:r>
      <w:r w:rsidRPr="00723BFF">
        <w:rPr>
          <w:rFonts w:ascii="Arial" w:eastAsia="Calibri" w:hAnsi="Arial" w:cs="Arial"/>
          <w:spacing w:val="-1"/>
          <w:sz w:val="24"/>
          <w:szCs w:val="24"/>
        </w:rPr>
        <w:t>p</w:t>
      </w:r>
      <w:r w:rsidRPr="00723BFF">
        <w:rPr>
          <w:rFonts w:ascii="Arial" w:eastAsia="Calibri" w:hAnsi="Arial" w:cs="Arial"/>
          <w:sz w:val="24"/>
          <w:szCs w:val="24"/>
        </w:rPr>
        <w:t>r</w:t>
      </w:r>
      <w:r w:rsidRPr="00723BFF">
        <w:rPr>
          <w:rFonts w:ascii="Arial" w:eastAsia="Calibri" w:hAnsi="Arial" w:cs="Arial"/>
          <w:spacing w:val="1"/>
          <w:sz w:val="24"/>
          <w:szCs w:val="24"/>
        </w:rPr>
        <w:t>o</w:t>
      </w:r>
      <w:r w:rsidRPr="00723BFF">
        <w:rPr>
          <w:rFonts w:ascii="Arial" w:eastAsia="Calibri" w:hAnsi="Arial" w:cs="Arial"/>
          <w:spacing w:val="-1"/>
          <w:sz w:val="24"/>
          <w:szCs w:val="24"/>
        </w:rPr>
        <w:t>b</w:t>
      </w:r>
      <w:r w:rsidRPr="00723BFF">
        <w:rPr>
          <w:rFonts w:ascii="Arial" w:eastAsia="Calibri" w:hAnsi="Arial" w:cs="Arial"/>
          <w:sz w:val="24"/>
          <w:szCs w:val="24"/>
        </w:rPr>
        <w:t>a</w:t>
      </w:r>
      <w:r w:rsidRPr="00723BFF">
        <w:rPr>
          <w:rFonts w:ascii="Arial" w:eastAsia="Calibri" w:hAnsi="Arial" w:cs="Arial"/>
          <w:spacing w:val="-1"/>
          <w:sz w:val="24"/>
          <w:szCs w:val="24"/>
        </w:rPr>
        <w:t>b</w:t>
      </w:r>
      <w:r w:rsidRPr="00723BFF">
        <w:rPr>
          <w:rFonts w:ascii="Arial" w:eastAsia="Calibri" w:hAnsi="Arial" w:cs="Arial"/>
          <w:sz w:val="24"/>
          <w:szCs w:val="24"/>
        </w:rPr>
        <w:t>ilita</w:t>
      </w:r>
      <w:r w:rsidRPr="00723BFF">
        <w:rPr>
          <w:rFonts w:ascii="Arial" w:eastAsia="Calibri" w:hAnsi="Arial" w:cs="Arial"/>
          <w:spacing w:val="-2"/>
          <w:sz w:val="24"/>
          <w:szCs w:val="24"/>
        </w:rPr>
        <w:t>t</w:t>
      </w:r>
      <w:r w:rsidRPr="00723BFF">
        <w:rPr>
          <w:rFonts w:ascii="Arial" w:eastAsia="Calibri" w:hAnsi="Arial" w:cs="Arial"/>
          <w:sz w:val="24"/>
          <w:szCs w:val="24"/>
        </w:rPr>
        <w:t>ea</w:t>
      </w:r>
      <w:r>
        <w:rPr>
          <w:rFonts w:ascii="Arial" w:eastAsia="Calibri" w:hAnsi="Arial" w:cs="Arial"/>
          <w:sz w:val="24"/>
          <w:szCs w:val="24"/>
        </w:rPr>
        <w:t xml:space="preserve"> </w:t>
      </w:r>
      <w:r w:rsidRPr="00723BFF">
        <w:rPr>
          <w:rFonts w:ascii="Arial" w:eastAsia="Calibri" w:hAnsi="Arial" w:cs="Arial"/>
          <w:spacing w:val="-3"/>
          <w:sz w:val="24"/>
          <w:szCs w:val="24"/>
        </w:rPr>
        <w:t>d</w:t>
      </w:r>
      <w:r w:rsidRPr="00723BFF">
        <w:rPr>
          <w:rFonts w:ascii="Arial" w:eastAsia="Calibri" w:hAnsi="Arial" w:cs="Arial"/>
          <w:sz w:val="24"/>
          <w:szCs w:val="24"/>
        </w:rPr>
        <w:t xml:space="preserve">e </w:t>
      </w:r>
      <w:r w:rsidRPr="00723BFF">
        <w:rPr>
          <w:rFonts w:ascii="Arial" w:eastAsia="Calibri" w:hAnsi="Arial" w:cs="Arial"/>
          <w:spacing w:val="-1"/>
          <w:sz w:val="24"/>
          <w:szCs w:val="24"/>
        </w:rPr>
        <w:t>d</w:t>
      </w:r>
      <w:r w:rsidRPr="00723BFF">
        <w:rPr>
          <w:rFonts w:ascii="Arial" w:eastAsia="Calibri" w:hAnsi="Arial" w:cs="Arial"/>
          <w:sz w:val="24"/>
          <w:szCs w:val="24"/>
        </w:rPr>
        <w:t>epăș</w:t>
      </w:r>
      <w:r w:rsidRPr="00723BFF">
        <w:rPr>
          <w:rFonts w:ascii="Arial" w:eastAsia="Calibri" w:hAnsi="Arial" w:cs="Arial"/>
          <w:spacing w:val="-1"/>
          <w:sz w:val="24"/>
          <w:szCs w:val="24"/>
        </w:rPr>
        <w:t>i</w:t>
      </w:r>
      <w:r w:rsidRPr="00723BFF">
        <w:rPr>
          <w:rFonts w:ascii="Arial" w:eastAsia="Calibri" w:hAnsi="Arial" w:cs="Arial"/>
          <w:sz w:val="24"/>
          <w:szCs w:val="24"/>
        </w:rPr>
        <w:t>re</w:t>
      </w:r>
      <w:r w:rsidRPr="00723BFF">
        <w:rPr>
          <w:rFonts w:ascii="Arial" w:eastAsia="Calibri" w:hAnsi="Arial" w:cs="Arial"/>
          <w:spacing w:val="1"/>
          <w:sz w:val="24"/>
          <w:szCs w:val="24"/>
        </w:rPr>
        <w:t>1</w:t>
      </w:r>
      <w:r w:rsidRPr="00723BFF">
        <w:rPr>
          <w:rFonts w:ascii="Arial" w:eastAsia="Calibri" w:hAnsi="Arial" w:cs="Arial"/>
          <w:sz w:val="24"/>
          <w:szCs w:val="24"/>
        </w:rPr>
        <w:t>%,res</w:t>
      </w:r>
      <w:r w:rsidRPr="00723BFF">
        <w:rPr>
          <w:rFonts w:ascii="Arial" w:eastAsia="Calibri" w:hAnsi="Arial" w:cs="Arial"/>
          <w:spacing w:val="-3"/>
          <w:sz w:val="24"/>
          <w:szCs w:val="24"/>
        </w:rPr>
        <w:t>p</w:t>
      </w:r>
      <w:r w:rsidRPr="00723BFF">
        <w:rPr>
          <w:rFonts w:ascii="Arial" w:eastAsia="Calibri" w:hAnsi="Arial" w:cs="Arial"/>
          <w:sz w:val="24"/>
          <w:szCs w:val="24"/>
        </w:rPr>
        <w:t>ec</w:t>
      </w:r>
      <w:r w:rsidRPr="00723BFF">
        <w:rPr>
          <w:rFonts w:ascii="Arial" w:eastAsia="Calibri" w:hAnsi="Arial" w:cs="Arial"/>
          <w:spacing w:val="1"/>
          <w:sz w:val="24"/>
          <w:szCs w:val="24"/>
        </w:rPr>
        <w:t>t</w:t>
      </w:r>
      <w:r w:rsidRPr="00723BFF">
        <w:rPr>
          <w:rFonts w:ascii="Arial" w:eastAsia="Calibri" w:hAnsi="Arial" w:cs="Arial"/>
          <w:spacing w:val="-3"/>
          <w:sz w:val="24"/>
          <w:szCs w:val="24"/>
        </w:rPr>
        <w:t>i</w:t>
      </w:r>
      <w:r w:rsidRPr="00723BFF">
        <w:rPr>
          <w:rFonts w:ascii="Arial" w:eastAsia="Calibri" w:hAnsi="Arial" w:cs="Arial"/>
          <w:sz w:val="24"/>
          <w:szCs w:val="24"/>
        </w:rPr>
        <w:t>v</w:t>
      </w:r>
      <w:r>
        <w:rPr>
          <w:rFonts w:ascii="Arial" w:eastAsia="Calibri" w:hAnsi="Arial" w:cs="Arial"/>
          <w:sz w:val="24"/>
          <w:szCs w:val="24"/>
        </w:rPr>
        <w:t xml:space="preserve"> </w:t>
      </w:r>
      <w:r w:rsidRPr="00723BFF">
        <w:rPr>
          <w:rFonts w:ascii="Arial" w:eastAsia="Calibri" w:hAnsi="Arial" w:cs="Arial"/>
          <w:sz w:val="24"/>
          <w:szCs w:val="24"/>
        </w:rPr>
        <w:t>i</w:t>
      </w:r>
      <w:r w:rsidRPr="00723BFF">
        <w:rPr>
          <w:rFonts w:ascii="Arial" w:eastAsia="Calibri" w:hAnsi="Arial" w:cs="Arial"/>
          <w:spacing w:val="-1"/>
          <w:sz w:val="24"/>
          <w:szCs w:val="24"/>
        </w:rPr>
        <w:t>nu</w:t>
      </w:r>
      <w:r w:rsidRPr="00723BFF">
        <w:rPr>
          <w:rFonts w:ascii="Arial" w:eastAsia="Calibri" w:hAnsi="Arial" w:cs="Arial"/>
          <w:spacing w:val="-3"/>
          <w:sz w:val="24"/>
          <w:szCs w:val="24"/>
        </w:rPr>
        <w:t>n</w:t>
      </w:r>
      <w:r w:rsidRPr="00723BFF">
        <w:rPr>
          <w:rFonts w:ascii="Arial" w:eastAsia="Calibri" w:hAnsi="Arial" w:cs="Arial"/>
          <w:spacing w:val="-1"/>
          <w:sz w:val="24"/>
          <w:szCs w:val="24"/>
        </w:rPr>
        <w:t>d</w:t>
      </w:r>
      <w:r w:rsidRPr="00723BFF">
        <w:rPr>
          <w:rFonts w:ascii="Arial" w:eastAsia="Calibri" w:hAnsi="Arial" w:cs="Arial"/>
          <w:sz w:val="24"/>
          <w:szCs w:val="24"/>
        </w:rPr>
        <w:t>ații</w:t>
      </w:r>
      <w:r>
        <w:rPr>
          <w:rFonts w:ascii="Arial" w:eastAsia="Calibri" w:hAnsi="Arial" w:cs="Arial"/>
          <w:sz w:val="24"/>
          <w:szCs w:val="24"/>
        </w:rPr>
        <w:t xml:space="preserve"> </w:t>
      </w:r>
      <w:r w:rsidRPr="00723BFF">
        <w:rPr>
          <w:rFonts w:ascii="Arial" w:eastAsia="Calibri" w:hAnsi="Arial" w:cs="Arial"/>
          <w:sz w:val="24"/>
          <w:szCs w:val="24"/>
        </w:rPr>
        <w:t>care</w:t>
      </w:r>
      <w:r>
        <w:rPr>
          <w:rFonts w:ascii="Arial" w:eastAsia="Calibri" w:hAnsi="Arial" w:cs="Arial"/>
          <w:sz w:val="24"/>
          <w:szCs w:val="24"/>
        </w:rPr>
        <w:t xml:space="preserve"> </w:t>
      </w:r>
      <w:r w:rsidRPr="00723BFF">
        <w:rPr>
          <w:rFonts w:ascii="Arial" w:eastAsia="Calibri" w:hAnsi="Arial" w:cs="Arial"/>
          <w:sz w:val="24"/>
          <w:szCs w:val="24"/>
        </w:rPr>
        <w:t>se</w:t>
      </w:r>
      <w:r>
        <w:rPr>
          <w:rFonts w:ascii="Arial" w:eastAsia="Calibri" w:hAnsi="Arial" w:cs="Arial"/>
          <w:sz w:val="24"/>
          <w:szCs w:val="24"/>
        </w:rPr>
        <w:t xml:space="preserve"> </w:t>
      </w:r>
      <w:r w:rsidRPr="00723BFF">
        <w:rPr>
          <w:rFonts w:ascii="Arial" w:eastAsia="Calibri" w:hAnsi="Arial" w:cs="Arial"/>
          <w:spacing w:val="-1"/>
          <w:sz w:val="24"/>
          <w:szCs w:val="24"/>
        </w:rPr>
        <w:t>po</w:t>
      </w:r>
      <w:r w:rsidRPr="00723BFF">
        <w:rPr>
          <w:rFonts w:ascii="Arial" w:eastAsia="Calibri" w:hAnsi="Arial" w:cs="Arial"/>
          <w:sz w:val="24"/>
          <w:szCs w:val="24"/>
        </w:rPr>
        <w:t>t</w:t>
      </w:r>
      <w:r w:rsidRPr="00723BFF">
        <w:rPr>
          <w:rFonts w:ascii="Arial" w:eastAsia="Calibri" w:hAnsi="Arial" w:cs="Arial"/>
          <w:spacing w:val="-1"/>
          <w:sz w:val="24"/>
          <w:szCs w:val="24"/>
        </w:rPr>
        <w:t xml:space="preserve"> p</w:t>
      </w:r>
      <w:r w:rsidRPr="00723BFF">
        <w:rPr>
          <w:rFonts w:ascii="Arial" w:eastAsia="Calibri" w:hAnsi="Arial" w:cs="Arial"/>
          <w:spacing w:val="-3"/>
          <w:sz w:val="24"/>
          <w:szCs w:val="24"/>
        </w:rPr>
        <w:t>r</w:t>
      </w:r>
      <w:r w:rsidRPr="00723BFF">
        <w:rPr>
          <w:rFonts w:ascii="Arial" w:eastAsia="Calibri" w:hAnsi="Arial" w:cs="Arial"/>
          <w:spacing w:val="1"/>
          <w:sz w:val="24"/>
          <w:szCs w:val="24"/>
        </w:rPr>
        <w:t>o</w:t>
      </w:r>
      <w:r w:rsidRPr="00723BFF">
        <w:rPr>
          <w:rFonts w:ascii="Arial" w:eastAsia="Calibri" w:hAnsi="Arial" w:cs="Arial"/>
          <w:spacing w:val="-1"/>
          <w:sz w:val="24"/>
          <w:szCs w:val="24"/>
        </w:rPr>
        <w:t>du</w:t>
      </w:r>
      <w:r w:rsidRPr="00723BFF">
        <w:rPr>
          <w:rFonts w:ascii="Arial" w:eastAsia="Calibri" w:hAnsi="Arial" w:cs="Arial"/>
          <w:sz w:val="24"/>
          <w:szCs w:val="24"/>
        </w:rPr>
        <w:t>ce</w:t>
      </w:r>
      <w:r>
        <w:rPr>
          <w:rFonts w:ascii="Arial" w:eastAsia="Calibri" w:hAnsi="Arial" w:cs="Arial"/>
          <w:sz w:val="24"/>
          <w:szCs w:val="24"/>
        </w:rPr>
        <w:t xml:space="preserve"> </w:t>
      </w:r>
      <w:r w:rsidRPr="00723BFF">
        <w:rPr>
          <w:rFonts w:ascii="Arial" w:eastAsia="Calibri" w:hAnsi="Arial" w:cs="Arial"/>
          <w:sz w:val="24"/>
          <w:szCs w:val="24"/>
        </w:rPr>
        <w:t>în</w:t>
      </w:r>
      <w:r>
        <w:rPr>
          <w:rFonts w:ascii="Arial" w:eastAsia="Calibri" w:hAnsi="Arial" w:cs="Arial"/>
          <w:sz w:val="24"/>
          <w:szCs w:val="24"/>
        </w:rPr>
        <w:t xml:space="preserve"> </w:t>
      </w:r>
      <w:r w:rsidRPr="00723BFF">
        <w:rPr>
          <w:rFonts w:ascii="Arial" w:eastAsia="Calibri" w:hAnsi="Arial" w:cs="Arial"/>
          <w:spacing w:val="-1"/>
          <w:sz w:val="24"/>
          <w:szCs w:val="24"/>
        </w:rPr>
        <w:t>m</w:t>
      </w:r>
      <w:r w:rsidRPr="00723BFF">
        <w:rPr>
          <w:rFonts w:ascii="Arial" w:eastAsia="Calibri" w:hAnsi="Arial" w:cs="Arial"/>
          <w:sz w:val="24"/>
          <w:szCs w:val="24"/>
        </w:rPr>
        <w:t>ed</w:t>
      </w:r>
      <w:r w:rsidRPr="00723BFF">
        <w:rPr>
          <w:rFonts w:ascii="Arial" w:eastAsia="Calibri" w:hAnsi="Arial" w:cs="Arial"/>
          <w:spacing w:val="-1"/>
          <w:sz w:val="24"/>
          <w:szCs w:val="24"/>
        </w:rPr>
        <w:t>i</w:t>
      </w:r>
      <w:r w:rsidRPr="00723BFF">
        <w:rPr>
          <w:rFonts w:ascii="Arial" w:eastAsia="Calibri" w:hAnsi="Arial" w:cs="Arial"/>
          <w:sz w:val="24"/>
          <w:szCs w:val="24"/>
        </w:rPr>
        <w:t xml:space="preserve">e </w:t>
      </w:r>
      <w:r w:rsidRPr="00723BFF">
        <w:rPr>
          <w:rFonts w:ascii="Arial" w:eastAsia="Calibri" w:hAnsi="Arial" w:cs="Arial"/>
          <w:b/>
          <w:sz w:val="24"/>
          <w:szCs w:val="24"/>
        </w:rPr>
        <w:t>o</w:t>
      </w:r>
      <w:r w:rsidRPr="00723BFF">
        <w:rPr>
          <w:rFonts w:ascii="Arial" w:eastAsia="Calibri" w:hAnsi="Arial" w:cs="Arial"/>
          <w:b/>
          <w:spacing w:val="-1"/>
          <w:sz w:val="24"/>
          <w:szCs w:val="24"/>
        </w:rPr>
        <w:t>da</w:t>
      </w:r>
      <w:r w:rsidRPr="00723BFF">
        <w:rPr>
          <w:rFonts w:ascii="Arial" w:eastAsia="Calibri" w:hAnsi="Arial" w:cs="Arial"/>
          <w:b/>
          <w:sz w:val="24"/>
          <w:szCs w:val="24"/>
        </w:rPr>
        <w:t>t</w:t>
      </w:r>
      <w:r>
        <w:rPr>
          <w:rFonts w:ascii="Arial" w:eastAsia="Calibri" w:hAnsi="Arial" w:cs="Arial"/>
          <w:b/>
          <w:sz w:val="24"/>
          <w:szCs w:val="24"/>
        </w:rPr>
        <w:t xml:space="preserve">ă </w:t>
      </w:r>
      <w:r w:rsidRPr="00723BFF">
        <w:rPr>
          <w:rFonts w:ascii="Arial" w:eastAsia="Calibri" w:hAnsi="Arial" w:cs="Arial"/>
          <w:b/>
          <w:spacing w:val="1"/>
          <w:sz w:val="24"/>
          <w:szCs w:val="24"/>
        </w:rPr>
        <w:t>l</w:t>
      </w:r>
      <w:r w:rsidRPr="00723BFF">
        <w:rPr>
          <w:rFonts w:ascii="Arial" w:eastAsia="Calibri" w:hAnsi="Arial" w:cs="Arial"/>
          <w:b/>
          <w:sz w:val="24"/>
          <w:szCs w:val="24"/>
        </w:rPr>
        <w:t>a</w:t>
      </w:r>
      <w:r w:rsidRPr="00723BFF">
        <w:rPr>
          <w:rFonts w:ascii="Arial" w:eastAsia="Calibri" w:hAnsi="Arial" w:cs="Arial"/>
          <w:b/>
          <w:spacing w:val="1"/>
          <w:sz w:val="24"/>
          <w:szCs w:val="24"/>
        </w:rPr>
        <w:t>1</w:t>
      </w:r>
      <w:r w:rsidRPr="00723BFF">
        <w:rPr>
          <w:rFonts w:ascii="Arial" w:eastAsia="Calibri" w:hAnsi="Arial" w:cs="Arial"/>
          <w:b/>
          <w:spacing w:val="-2"/>
          <w:sz w:val="24"/>
          <w:szCs w:val="24"/>
        </w:rPr>
        <w:t>0</w:t>
      </w:r>
      <w:r w:rsidRPr="00723BFF">
        <w:rPr>
          <w:rFonts w:ascii="Arial" w:eastAsia="Calibri" w:hAnsi="Arial" w:cs="Arial"/>
          <w:b/>
          <w:sz w:val="24"/>
          <w:szCs w:val="24"/>
        </w:rPr>
        <w:t xml:space="preserve">0 </w:t>
      </w:r>
      <w:r w:rsidRPr="00723BFF">
        <w:rPr>
          <w:rFonts w:ascii="Arial" w:eastAsia="Calibri" w:hAnsi="Arial" w:cs="Arial"/>
          <w:b/>
          <w:spacing w:val="-1"/>
          <w:sz w:val="24"/>
          <w:szCs w:val="24"/>
        </w:rPr>
        <w:t>d</w:t>
      </w:r>
      <w:r w:rsidRPr="00723BFF">
        <w:rPr>
          <w:rFonts w:ascii="Arial" w:eastAsia="Calibri" w:hAnsi="Arial" w:cs="Arial"/>
          <w:b/>
          <w:sz w:val="24"/>
          <w:szCs w:val="24"/>
        </w:rPr>
        <w:t>e</w:t>
      </w:r>
      <w:r>
        <w:rPr>
          <w:rFonts w:ascii="Arial" w:eastAsia="Calibri" w:hAnsi="Arial" w:cs="Arial"/>
          <w:b/>
          <w:sz w:val="24"/>
          <w:szCs w:val="24"/>
        </w:rPr>
        <w:t xml:space="preserve"> </w:t>
      </w:r>
      <w:r w:rsidRPr="00723BFF">
        <w:rPr>
          <w:rFonts w:ascii="Arial" w:eastAsia="Calibri" w:hAnsi="Arial" w:cs="Arial"/>
          <w:b/>
          <w:sz w:val="24"/>
          <w:szCs w:val="24"/>
        </w:rPr>
        <w:t>a</w:t>
      </w:r>
      <w:r w:rsidRPr="00723BFF">
        <w:rPr>
          <w:rFonts w:ascii="Arial" w:eastAsia="Calibri" w:hAnsi="Arial" w:cs="Arial"/>
          <w:b/>
          <w:spacing w:val="-1"/>
          <w:sz w:val="24"/>
          <w:szCs w:val="24"/>
        </w:rPr>
        <w:t>n</w:t>
      </w:r>
      <w:r w:rsidRPr="00723BFF">
        <w:rPr>
          <w:rFonts w:ascii="Arial" w:eastAsia="Calibri" w:hAnsi="Arial" w:cs="Arial"/>
          <w:b/>
          <w:spacing w:val="1"/>
          <w:sz w:val="24"/>
          <w:szCs w:val="24"/>
        </w:rPr>
        <w:t>i</w:t>
      </w:r>
      <w:r>
        <w:rPr>
          <w:rFonts w:ascii="Arial" w:eastAsia="Calibri" w:hAnsi="Arial" w:cs="Arial"/>
          <w:sz w:val="24"/>
          <w:szCs w:val="24"/>
        </w:rPr>
        <w:t xml:space="preserve"> a rezultat, pentru teritoriul ţării, o serie de date şi informaţii care constituie o serie  indicatori care descriu consecinţele pe care inundaţiile le pot avea asupra populaţiei şi mediului înconjurător:</w:t>
      </w:r>
    </w:p>
    <w:p w:rsidR="000645BF" w:rsidRPr="00E47DF1" w:rsidRDefault="000645BF" w:rsidP="00EF3940">
      <w:pPr>
        <w:pStyle w:val="ListParagraph"/>
        <w:numPr>
          <w:ilvl w:val="0"/>
          <w:numId w:val="18"/>
        </w:numPr>
        <w:jc w:val="both"/>
        <w:rPr>
          <w:rFonts w:ascii="Arial" w:eastAsia="Calibri" w:hAnsi="Arial" w:cs="Arial"/>
        </w:rPr>
      </w:pPr>
      <w:r w:rsidRPr="00E47DF1">
        <w:rPr>
          <w:rFonts w:ascii="Arial" w:hAnsi="Arial" w:cs="Arial"/>
        </w:rPr>
        <w:lastRenderedPageBreak/>
        <w:t>Populaţia potențial afectată în acest scenariu se regăsește repartizată în aproximativ 3.547 de localități răspândite pe întreg teritoriul țării noastre si reprezintă cca. 4% (aproximativ 830.000 loc. din totalul populaţiei României); cele  mai  afectate  județe  din  punct  de  vedere  al  populației  situate  în interiorul zonelor inundabile sunt: Bihor, Mureș, Brașov și Cluj;</w:t>
      </w:r>
    </w:p>
    <w:p w:rsidR="000645BF" w:rsidRPr="00E47DF1" w:rsidRDefault="000645BF" w:rsidP="00EF3940">
      <w:pPr>
        <w:pStyle w:val="ListParagraph"/>
        <w:widowControl w:val="0"/>
        <w:numPr>
          <w:ilvl w:val="0"/>
          <w:numId w:val="18"/>
        </w:numPr>
        <w:tabs>
          <w:tab w:val="left" w:pos="1021"/>
        </w:tabs>
        <w:jc w:val="both"/>
        <w:rPr>
          <w:rFonts w:ascii="Arial" w:hAnsi="Arial" w:cs="Arial"/>
        </w:rPr>
      </w:pPr>
      <w:r w:rsidRPr="00E47DF1">
        <w:rPr>
          <w:rFonts w:ascii="Arial" w:hAnsi="Arial" w:cs="Arial"/>
        </w:rPr>
        <w:t>32 de instalaţii I.E.D (instalaţii privind emisiile industriale – desemnate prin Directiva „Industrial Emissions Directive”) sunt supuse riscului de a fi inundate pe teritoriul României;</w:t>
      </w:r>
    </w:p>
    <w:p w:rsidR="000645BF" w:rsidRPr="00E47DF1" w:rsidRDefault="000645BF" w:rsidP="00EF3940">
      <w:pPr>
        <w:pStyle w:val="ListParagraph"/>
        <w:widowControl w:val="0"/>
        <w:numPr>
          <w:ilvl w:val="0"/>
          <w:numId w:val="18"/>
        </w:numPr>
        <w:tabs>
          <w:tab w:val="left" w:pos="1021"/>
        </w:tabs>
        <w:jc w:val="both"/>
        <w:rPr>
          <w:rFonts w:ascii="Arial" w:hAnsi="Arial" w:cs="Arial"/>
        </w:rPr>
      </w:pPr>
      <w:r w:rsidRPr="00E47DF1">
        <w:rPr>
          <w:rFonts w:ascii="Arial" w:hAnsi="Arial" w:cs="Arial"/>
        </w:rPr>
        <w:t>Siturile de importanţă comunitară SCI, ariile de protecţie specială avifaunistică SPA, habitate, zone vulnerabile; la nivelul ţării  469  de zone protejate se regăsesc în zone inundabile, detaliate astfel: 204 zone protejate pentru captarea apei  în scopul consumului uman; 79 de arii de protecţie specială avifaunistică (SPA), 86 de situri de importanta comunitară (SCI), şi 100 de arii naturale protejate  de interes national;</w:t>
      </w:r>
    </w:p>
    <w:p w:rsidR="000645BF" w:rsidRPr="00E47DF1" w:rsidRDefault="000645BF" w:rsidP="00EF3940">
      <w:pPr>
        <w:pStyle w:val="ListParagraph"/>
        <w:widowControl w:val="0"/>
        <w:numPr>
          <w:ilvl w:val="0"/>
          <w:numId w:val="18"/>
        </w:numPr>
        <w:tabs>
          <w:tab w:val="left" w:pos="1021"/>
        </w:tabs>
        <w:jc w:val="both"/>
        <w:rPr>
          <w:rFonts w:ascii="Arial" w:hAnsi="Arial" w:cs="Arial"/>
        </w:rPr>
      </w:pPr>
      <w:r w:rsidRPr="00E47DF1">
        <w:rPr>
          <w:rFonts w:ascii="Arial" w:hAnsi="Arial" w:cs="Arial"/>
        </w:rPr>
        <w:t>Infrastructura afectată: aproximativ 700 km de cale ferată ar putea fi  afectată de inundaţii, 700 km de drum national/european; 1300 km de drum judeţean şi 1000 km de drum comunal;</w:t>
      </w:r>
    </w:p>
    <w:p w:rsidR="000645BF" w:rsidRPr="00B20EF7" w:rsidRDefault="000645BF" w:rsidP="00EF3940">
      <w:pPr>
        <w:pStyle w:val="ListParagraph"/>
        <w:widowControl w:val="0"/>
        <w:numPr>
          <w:ilvl w:val="0"/>
          <w:numId w:val="18"/>
        </w:numPr>
        <w:tabs>
          <w:tab w:val="left" w:pos="1021"/>
        </w:tabs>
        <w:jc w:val="both"/>
        <w:rPr>
          <w:rFonts w:ascii="Arial" w:hAnsi="Arial" w:cs="Arial"/>
          <w:highlight w:val="yellow"/>
        </w:rPr>
      </w:pPr>
      <w:r w:rsidRPr="00B20EF7">
        <w:rPr>
          <w:rFonts w:ascii="Arial" w:hAnsi="Arial" w:cs="Arial"/>
        </w:rPr>
        <w:t>Patrimoniului cultural poate fi afectat de efectele negative ale inundaţiilor. În acest sens pentru România au fost luate în considerare bisericile, monumentele şi muzeele aflate în interiorul zonelor inundabile, rezultând astfel cca. 293 de biserici, 13 muzee şi 15 monumente culturale.</w:t>
      </w:r>
    </w:p>
    <w:p w:rsidR="000645BF" w:rsidRPr="00B20EF7" w:rsidRDefault="000645BF" w:rsidP="000645BF">
      <w:pPr>
        <w:pStyle w:val="ListParagraph"/>
        <w:widowControl w:val="0"/>
        <w:tabs>
          <w:tab w:val="left" w:pos="1021"/>
        </w:tabs>
        <w:jc w:val="both"/>
        <w:rPr>
          <w:rFonts w:ascii="Arial" w:hAnsi="Arial" w:cs="Arial"/>
          <w:highlight w:val="yellow"/>
        </w:rPr>
      </w:pPr>
    </w:p>
    <w:p w:rsidR="000645BF" w:rsidRPr="000364C2" w:rsidRDefault="000645BF" w:rsidP="000645BF">
      <w:pPr>
        <w:pStyle w:val="Footer"/>
        <w:jc w:val="both"/>
        <w:rPr>
          <w:rFonts w:ascii="Arial" w:hAnsi="Arial" w:cs="Arial"/>
          <w:sz w:val="24"/>
          <w:szCs w:val="24"/>
          <w:highlight w:val="yellow"/>
        </w:rPr>
      </w:pPr>
    </w:p>
    <w:p w:rsidR="000645BF" w:rsidRPr="00BD550C" w:rsidRDefault="000645BF" w:rsidP="000645BF">
      <w:pPr>
        <w:pStyle w:val="Footer"/>
        <w:jc w:val="both"/>
        <w:rPr>
          <w:rFonts w:ascii="Arial" w:hAnsi="Arial" w:cs="Arial"/>
          <w:b/>
          <w:sz w:val="24"/>
          <w:szCs w:val="24"/>
        </w:rPr>
      </w:pPr>
      <w:r w:rsidRPr="00BD550C">
        <w:rPr>
          <w:rFonts w:ascii="Arial" w:hAnsi="Arial" w:cs="Arial"/>
          <w:b/>
          <w:sz w:val="24"/>
          <w:szCs w:val="24"/>
        </w:rPr>
        <w:t>Managementul integrat al riscului de expunere  la inundaţii</w:t>
      </w:r>
    </w:p>
    <w:p w:rsidR="000645BF" w:rsidRDefault="000645BF" w:rsidP="000645BF">
      <w:pPr>
        <w:spacing w:after="0" w:line="240" w:lineRule="auto"/>
        <w:ind w:firstLine="708"/>
        <w:jc w:val="both"/>
        <w:rPr>
          <w:rFonts w:ascii="Arial" w:hAnsi="Arial" w:cs="Arial"/>
          <w:spacing w:val="-4"/>
          <w:sz w:val="24"/>
          <w:szCs w:val="24"/>
        </w:rPr>
      </w:pPr>
      <w:r w:rsidRPr="00BD550C">
        <w:rPr>
          <w:rFonts w:ascii="Arial" w:hAnsi="Arial" w:cs="Arial"/>
          <w:sz w:val="24"/>
          <w:szCs w:val="24"/>
        </w:rPr>
        <w:t xml:space="preserve">Managementul situaţiilor de urgenţă generate de inundaţii, fenomene meteorologice periculoase, accidente la construcţii hidrotehnice şi poluări accidentale s-a realizat prin măsuri preventive, operative de intervenţie şi de reabilitare, care au constat în identificarea, înregistrarea şi evaluarea tipurilor de risc şi a factorilor determinanţi ai acestora, înştiinţarea factorilor interesaţi, avertizarea, alarmarea, evacuarea şi adăpostirea populaţiei şi animalelor, limitarea, înlăturarea sau contracararea efectelor negative produse ca urmare a manifestării factorilor de risc. </w:t>
      </w:r>
      <w:r w:rsidRPr="00BD550C">
        <w:rPr>
          <w:rFonts w:ascii="Arial" w:hAnsi="Arial" w:cs="Arial"/>
          <w:spacing w:val="-4"/>
          <w:sz w:val="24"/>
          <w:szCs w:val="24"/>
        </w:rPr>
        <w:t>Măsurile întreprinse la nivel local, precum şi coordonarea eficientă a intervenţiilor au făcut posibilă reducerea consecinţelor situaţiilor de urgenţă înregistrate, iar acolo unde situaţia a permis, reluarea parţială sau totală a activităţii sociale în zonele afectate.</w:t>
      </w:r>
    </w:p>
    <w:p w:rsidR="000645BF" w:rsidRPr="00EA6509" w:rsidRDefault="000645BF" w:rsidP="000645BF">
      <w:pPr>
        <w:spacing w:after="0" w:line="240" w:lineRule="auto"/>
        <w:ind w:firstLine="708"/>
        <w:jc w:val="both"/>
        <w:rPr>
          <w:rFonts w:ascii="Arial" w:hAnsi="Arial" w:cs="Arial"/>
          <w:b/>
          <w:sz w:val="24"/>
          <w:szCs w:val="24"/>
        </w:rPr>
      </w:pPr>
    </w:p>
    <w:p w:rsidR="000645BF" w:rsidRPr="001C6D6F" w:rsidRDefault="000645BF" w:rsidP="000645BF">
      <w:pPr>
        <w:pStyle w:val="Default"/>
        <w:jc w:val="both"/>
        <w:rPr>
          <w:rFonts w:ascii="Arial" w:hAnsi="Arial" w:cs="Arial"/>
          <w:b/>
          <w:bCs/>
          <w:i/>
          <w:iCs/>
          <w:color w:val="auto"/>
        </w:rPr>
      </w:pPr>
      <w:r w:rsidRPr="001C6D6F">
        <w:rPr>
          <w:rFonts w:ascii="Arial" w:hAnsi="Arial" w:cs="Arial"/>
          <w:b/>
          <w:bCs/>
          <w:i/>
          <w:iCs/>
          <w:color w:val="auto"/>
        </w:rPr>
        <w:t xml:space="preserve">II.1.3. Utilizarea şi gestionarea eficientă a resurselor de apă </w:t>
      </w:r>
    </w:p>
    <w:p w:rsidR="000645BF" w:rsidRPr="005E63A6" w:rsidRDefault="000645BF" w:rsidP="000645BF">
      <w:pPr>
        <w:pStyle w:val="Default"/>
        <w:jc w:val="both"/>
        <w:rPr>
          <w:rFonts w:ascii="Arial" w:hAnsi="Arial" w:cs="Arial"/>
          <w:color w:val="FF0000"/>
        </w:rPr>
      </w:pPr>
    </w:p>
    <w:p w:rsidR="000645BF" w:rsidRPr="00E92120" w:rsidRDefault="000645BF" w:rsidP="000645BF">
      <w:pPr>
        <w:pStyle w:val="NormalWeb"/>
        <w:spacing w:before="0" w:beforeAutospacing="0"/>
        <w:rPr>
          <w:rFonts w:ascii="Arial" w:hAnsi="Arial" w:cs="Arial"/>
          <w:b/>
        </w:rPr>
      </w:pPr>
      <w:r>
        <w:rPr>
          <w:rFonts w:ascii="Arial" w:hAnsi="Arial" w:cs="Arial"/>
          <w:bCs/>
          <w:iCs/>
        </w:rPr>
        <w:tab/>
      </w:r>
      <w:r w:rsidRPr="00E92120">
        <w:rPr>
          <w:rFonts w:ascii="Arial" w:hAnsi="Arial" w:cs="Arial"/>
          <w:bCs/>
          <w:iCs/>
        </w:rPr>
        <w:t xml:space="preserve">În vederea utilizării şi gestionării eficiente și durabile a resurselor de apă în județul </w:t>
      </w:r>
      <w:r>
        <w:rPr>
          <w:rFonts w:ascii="Arial" w:hAnsi="Arial" w:cs="Arial"/>
          <w:bCs/>
          <w:iCs/>
        </w:rPr>
        <w:t xml:space="preserve">Brăilaa fost </w:t>
      </w:r>
      <w:r w:rsidRPr="00E92120">
        <w:rPr>
          <w:rFonts w:ascii="Arial" w:hAnsi="Arial" w:cs="Arial"/>
          <w:bCs/>
          <w:iCs/>
        </w:rPr>
        <w:t xml:space="preserve"> implementa</w:t>
      </w:r>
      <w:r>
        <w:rPr>
          <w:rFonts w:ascii="Arial" w:hAnsi="Arial" w:cs="Arial"/>
          <w:bCs/>
          <w:iCs/>
        </w:rPr>
        <w:t>t</w:t>
      </w:r>
      <w:r w:rsidRPr="00E92120">
        <w:rPr>
          <w:rFonts w:ascii="Arial" w:hAnsi="Arial" w:cs="Arial"/>
        </w:rPr>
        <w:t xml:space="preserve">Proiectul: </w:t>
      </w:r>
      <w:r w:rsidRPr="00E92120">
        <w:rPr>
          <w:rFonts w:ascii="Arial" w:hAnsi="Arial" w:cs="Arial"/>
          <w:b/>
        </w:rPr>
        <w:t xml:space="preserve">"Reabilitarea și modernizarea sistemelor de apă și apă uzată în judetul </w:t>
      </w:r>
      <w:r>
        <w:rPr>
          <w:rFonts w:ascii="Arial" w:hAnsi="Arial" w:cs="Arial"/>
          <w:b/>
        </w:rPr>
        <w:t>Bră</w:t>
      </w:r>
      <w:r w:rsidRPr="00E92120">
        <w:rPr>
          <w:rFonts w:ascii="Arial" w:hAnsi="Arial" w:cs="Arial"/>
          <w:b/>
        </w:rPr>
        <w:t>ila".</w:t>
      </w:r>
    </w:p>
    <w:p w:rsidR="000645BF" w:rsidRPr="00E92120" w:rsidRDefault="000645BF" w:rsidP="000645BF">
      <w:pPr>
        <w:pStyle w:val="NormalWeb"/>
        <w:spacing w:before="0" w:beforeAutospacing="0"/>
        <w:rPr>
          <w:rFonts w:ascii="Arial" w:hAnsi="Arial" w:cs="Arial"/>
        </w:rPr>
      </w:pPr>
      <w:r w:rsidRPr="00E92120">
        <w:rPr>
          <w:rFonts w:ascii="Arial" w:hAnsi="Arial" w:cs="Arial"/>
        </w:rPr>
        <w:t xml:space="preserve">       Beneficiarul Proiectului: S.C.Compania de Utilitați Publice Dunarea </w:t>
      </w:r>
      <w:r>
        <w:rPr>
          <w:rFonts w:ascii="Arial" w:hAnsi="Arial" w:cs="Arial"/>
        </w:rPr>
        <w:t>Brăila</w:t>
      </w:r>
      <w:r w:rsidRPr="00E92120">
        <w:rPr>
          <w:rFonts w:ascii="Arial" w:hAnsi="Arial" w:cs="Arial"/>
        </w:rPr>
        <w:t xml:space="preserve"> S.A.</w:t>
      </w:r>
    </w:p>
    <w:p w:rsidR="000645BF" w:rsidRPr="00E92120" w:rsidRDefault="000645BF" w:rsidP="000645BF">
      <w:pPr>
        <w:pStyle w:val="NormalWeb"/>
        <w:spacing w:before="0" w:beforeAutospacing="0"/>
        <w:rPr>
          <w:rFonts w:ascii="Arial" w:hAnsi="Arial" w:cs="Arial"/>
        </w:rPr>
      </w:pPr>
      <w:r w:rsidRPr="00E92120">
        <w:rPr>
          <w:rFonts w:ascii="Arial" w:hAnsi="Arial" w:cs="Arial"/>
        </w:rPr>
        <w:t>       Valoarea totală a Proiectului (fără TVA): 408.828.226 lei</w:t>
      </w:r>
    </w:p>
    <w:p w:rsidR="000645BF" w:rsidRPr="00E92120" w:rsidRDefault="000645BF" w:rsidP="000645BF">
      <w:pPr>
        <w:pStyle w:val="NormalWeb"/>
        <w:spacing w:before="0" w:beforeAutospacing="0"/>
        <w:rPr>
          <w:rFonts w:ascii="Arial" w:hAnsi="Arial" w:cs="Arial"/>
        </w:rPr>
      </w:pPr>
      <w:r w:rsidRPr="00E92120">
        <w:rPr>
          <w:rFonts w:ascii="Arial" w:hAnsi="Arial" w:cs="Arial"/>
        </w:rPr>
        <w:t xml:space="preserve">       Aria deservită de Proiect: Județul </w:t>
      </w:r>
      <w:r>
        <w:rPr>
          <w:rFonts w:ascii="Arial" w:hAnsi="Arial" w:cs="Arial"/>
        </w:rPr>
        <w:t>Bră</w:t>
      </w:r>
      <w:r w:rsidRPr="00E92120">
        <w:rPr>
          <w:rFonts w:ascii="Arial" w:hAnsi="Arial" w:cs="Arial"/>
        </w:rPr>
        <w:t>ila</w:t>
      </w:r>
    </w:p>
    <w:p w:rsidR="000645BF" w:rsidRPr="00E92120" w:rsidRDefault="000645BF" w:rsidP="000645BF">
      <w:pPr>
        <w:pStyle w:val="NormalWeb"/>
        <w:spacing w:before="0" w:beforeAutospacing="0"/>
        <w:rPr>
          <w:rFonts w:ascii="Arial" w:hAnsi="Arial" w:cs="Arial"/>
        </w:rPr>
      </w:pPr>
      <w:r w:rsidRPr="00E92120">
        <w:rPr>
          <w:rFonts w:ascii="Arial" w:hAnsi="Arial" w:cs="Arial"/>
          <w:b/>
        </w:rPr>
        <w:t>Obiectivul general al Proiectului</w:t>
      </w:r>
      <w:r w:rsidRPr="00E92120">
        <w:rPr>
          <w:rFonts w:ascii="Arial" w:hAnsi="Arial" w:cs="Arial"/>
        </w:rPr>
        <w:t xml:space="preserve"> este acela de a contribui la îndeplinirea obiectivelor Axei Prioritare nr.1 din POS Mediu, prin derularea unor investiții specifice domeniului apei potabile și apei uzate în județul </w:t>
      </w:r>
      <w:r>
        <w:rPr>
          <w:rFonts w:ascii="Arial" w:hAnsi="Arial" w:cs="Arial"/>
        </w:rPr>
        <w:t>Brăila</w:t>
      </w:r>
      <w:r w:rsidRPr="00E92120">
        <w:rPr>
          <w:rFonts w:ascii="Arial" w:hAnsi="Arial" w:cs="Arial"/>
        </w:rPr>
        <w:t>, în vederea îndeplinirii obligațiilor de conformitate din POS Mediu, Tratatul de Aderare și mai ales din Directiva  Europeană 98/83/CE referitoare la calitatea apei potabile, transpusă în legislatia nationala prin Legea 311/2004 și Directiva 91/271/CE transpusă în legislația națională prin Hotărârea 352/2005, referitoare la tratarea apei uzate urbane.</w:t>
      </w:r>
    </w:p>
    <w:p w:rsidR="000645BF" w:rsidRPr="00E92120" w:rsidRDefault="000645BF" w:rsidP="000645BF">
      <w:pPr>
        <w:pStyle w:val="NormalWeb"/>
        <w:spacing w:before="0" w:beforeAutospacing="0"/>
        <w:rPr>
          <w:rFonts w:ascii="Arial" w:hAnsi="Arial" w:cs="Arial"/>
        </w:rPr>
      </w:pPr>
      <w:r w:rsidRPr="00E92120">
        <w:rPr>
          <w:rStyle w:val="Strong"/>
          <w:rFonts w:ascii="Arial" w:eastAsia="SimSun" w:hAnsi="Arial" w:cs="Arial"/>
        </w:rPr>
        <w:t>Obiectivele specifice ale acestui Proiect</w:t>
      </w:r>
      <w:r w:rsidRPr="00E92120">
        <w:rPr>
          <w:rFonts w:ascii="Arial" w:hAnsi="Arial" w:cs="Arial"/>
        </w:rPr>
        <w:t xml:space="preserve"> sunt:</w:t>
      </w:r>
    </w:p>
    <w:p w:rsidR="000645BF" w:rsidRPr="00E92120" w:rsidRDefault="000645BF" w:rsidP="00EF3940">
      <w:pPr>
        <w:pStyle w:val="NormalWeb"/>
        <w:numPr>
          <w:ilvl w:val="0"/>
          <w:numId w:val="26"/>
        </w:numPr>
        <w:spacing w:before="0" w:beforeAutospacing="0"/>
        <w:rPr>
          <w:rFonts w:ascii="Arial" w:hAnsi="Arial" w:cs="Arial"/>
        </w:rPr>
      </w:pPr>
      <w:r w:rsidRPr="00E92120">
        <w:rPr>
          <w:rFonts w:ascii="Arial" w:hAnsi="Arial" w:cs="Arial"/>
        </w:rPr>
        <w:t xml:space="preserve">Asigurarea serviciilor de alimentare cu apă </w:t>
      </w:r>
      <w:r>
        <w:rPr>
          <w:rFonts w:ascii="Arial" w:hAnsi="Arial" w:cs="Arial"/>
        </w:rPr>
        <w:t>ș</w:t>
      </w:r>
      <w:r w:rsidRPr="00E92120">
        <w:rPr>
          <w:rFonts w:ascii="Arial" w:hAnsi="Arial" w:cs="Arial"/>
        </w:rPr>
        <w:t xml:space="preserve">i canalizare adecvate, la </w:t>
      </w:r>
      <w:r>
        <w:rPr>
          <w:rFonts w:ascii="Arial" w:hAnsi="Arial" w:cs="Arial"/>
        </w:rPr>
        <w:t>tarife accesibile pentru populaț</w:t>
      </w:r>
      <w:r w:rsidRPr="00E92120">
        <w:rPr>
          <w:rFonts w:ascii="Arial" w:hAnsi="Arial" w:cs="Arial"/>
        </w:rPr>
        <w:t>ie</w:t>
      </w:r>
    </w:p>
    <w:p w:rsidR="000645BF" w:rsidRPr="00E92120" w:rsidRDefault="000645BF" w:rsidP="00EF3940">
      <w:pPr>
        <w:pStyle w:val="NormalWeb"/>
        <w:numPr>
          <w:ilvl w:val="0"/>
          <w:numId w:val="26"/>
        </w:numPr>
        <w:spacing w:before="0" w:beforeAutospacing="0"/>
        <w:rPr>
          <w:rFonts w:ascii="Arial" w:hAnsi="Arial" w:cs="Arial"/>
        </w:rPr>
      </w:pPr>
      <w:r w:rsidRPr="00E92120">
        <w:rPr>
          <w:rFonts w:ascii="Arial" w:hAnsi="Arial" w:cs="Arial"/>
        </w:rPr>
        <w:t>Asigurarea calității apei potabile în toate aglomerările urbane</w:t>
      </w:r>
    </w:p>
    <w:p w:rsidR="000645BF" w:rsidRPr="00E92120" w:rsidRDefault="000645BF" w:rsidP="00EF3940">
      <w:pPr>
        <w:pStyle w:val="NormalWeb"/>
        <w:numPr>
          <w:ilvl w:val="0"/>
          <w:numId w:val="26"/>
        </w:numPr>
        <w:spacing w:before="0" w:beforeAutospacing="0"/>
        <w:rPr>
          <w:rFonts w:ascii="Arial" w:hAnsi="Arial" w:cs="Arial"/>
        </w:rPr>
      </w:pPr>
      <w:r w:rsidRPr="00E92120">
        <w:rPr>
          <w:rFonts w:ascii="Arial" w:hAnsi="Arial" w:cs="Arial"/>
        </w:rPr>
        <w:t>Îmbunătățirea calității apei râurilor în care sunt deversate apele uzate provenite din aglomerările umane</w:t>
      </w:r>
    </w:p>
    <w:p w:rsidR="000645BF" w:rsidRPr="00E92120" w:rsidRDefault="000645BF" w:rsidP="00EF3940">
      <w:pPr>
        <w:pStyle w:val="NormalWeb"/>
        <w:numPr>
          <w:ilvl w:val="0"/>
          <w:numId w:val="26"/>
        </w:numPr>
        <w:spacing w:before="0" w:beforeAutospacing="0"/>
        <w:rPr>
          <w:rFonts w:ascii="Arial" w:hAnsi="Arial" w:cs="Arial"/>
        </w:rPr>
      </w:pPr>
      <w:r w:rsidRPr="00E92120">
        <w:rPr>
          <w:rFonts w:ascii="Arial" w:hAnsi="Arial" w:cs="Arial"/>
        </w:rPr>
        <w:t>Îmbunătățirea gestionării nămolului provenit din stațiile de epurare a apelor uzate</w:t>
      </w:r>
    </w:p>
    <w:p w:rsidR="000645BF" w:rsidRPr="00E92120" w:rsidRDefault="000645BF" w:rsidP="00EF3940">
      <w:pPr>
        <w:pStyle w:val="NormalWeb"/>
        <w:numPr>
          <w:ilvl w:val="0"/>
          <w:numId w:val="26"/>
        </w:numPr>
        <w:spacing w:before="0" w:beforeAutospacing="0"/>
        <w:rPr>
          <w:rFonts w:ascii="Arial" w:hAnsi="Arial" w:cs="Arial"/>
        </w:rPr>
      </w:pPr>
      <w:r w:rsidRPr="00E92120">
        <w:rPr>
          <w:rFonts w:ascii="Arial" w:hAnsi="Arial" w:cs="Arial"/>
        </w:rPr>
        <w:t>Crearea unor structuri eficiente de management al serviciilor de apă - apă uzată.</w:t>
      </w:r>
    </w:p>
    <w:p w:rsidR="000645BF" w:rsidRPr="00E92120" w:rsidRDefault="000645BF" w:rsidP="000645BF">
      <w:pPr>
        <w:pStyle w:val="NormalWeb"/>
        <w:spacing w:before="0" w:beforeAutospacing="0"/>
        <w:rPr>
          <w:rFonts w:ascii="Arial" w:hAnsi="Arial" w:cs="Arial"/>
        </w:rPr>
      </w:pPr>
      <w:r w:rsidRPr="00E92120">
        <w:rPr>
          <w:rFonts w:ascii="Arial" w:hAnsi="Arial" w:cs="Arial"/>
          <w:b/>
        </w:rPr>
        <w:lastRenderedPageBreak/>
        <w:t xml:space="preserve">Proiectul </w:t>
      </w:r>
      <w:r w:rsidRPr="007C7C70">
        <w:rPr>
          <w:rFonts w:ascii="Arial" w:hAnsi="Arial" w:cs="Arial"/>
        </w:rPr>
        <w:t>constă în</w:t>
      </w:r>
      <w:r w:rsidRPr="00E92120">
        <w:rPr>
          <w:rFonts w:ascii="Arial" w:hAnsi="Arial" w:cs="Arial"/>
        </w:rPr>
        <w:t xml:space="preserve"> măsuri de extindere și reabilitare a surselor de apă, a conductelor de transport și stațiilor de tratare a apei, extinderea și reabilitarea rezervoarelor de </w:t>
      </w:r>
      <w:r>
        <w:rPr>
          <w:rFonts w:ascii="Arial" w:hAnsi="Arial" w:cs="Arial"/>
        </w:rPr>
        <w:t>apă, a stațiilor de pompare, reț</w:t>
      </w:r>
      <w:r w:rsidRPr="00E92120">
        <w:rPr>
          <w:rFonts w:ascii="Arial" w:hAnsi="Arial" w:cs="Arial"/>
        </w:rPr>
        <w:t>elelor de distribuție și contoare de apă, precum și extinderea și reabilitarea sistemelor de colectare a apei uzate și reabilitarea a doua stații de epurare pentru 22.500 și respectiv 20.000 locuitori populație echivalentă.</w:t>
      </w:r>
    </w:p>
    <w:p w:rsidR="000645BF" w:rsidRPr="00E92120" w:rsidRDefault="000645BF" w:rsidP="000645BF">
      <w:pPr>
        <w:pStyle w:val="NormalWeb"/>
        <w:spacing w:before="0" w:beforeAutospacing="0"/>
        <w:rPr>
          <w:rFonts w:ascii="Arial" w:hAnsi="Arial" w:cs="Arial"/>
        </w:rPr>
      </w:pPr>
      <w:r w:rsidRPr="00E92120">
        <w:rPr>
          <w:rFonts w:ascii="Arial" w:hAnsi="Arial" w:cs="Arial"/>
        </w:rPr>
        <w:t xml:space="preserve">Prin Proiect 17.138 locuitori din judetul </w:t>
      </w:r>
      <w:r>
        <w:rPr>
          <w:rFonts w:ascii="Arial" w:hAnsi="Arial" w:cs="Arial"/>
        </w:rPr>
        <w:t>Brăila</w:t>
      </w:r>
      <w:r w:rsidRPr="00E92120">
        <w:rPr>
          <w:rFonts w:ascii="Arial" w:hAnsi="Arial" w:cs="Arial"/>
        </w:rPr>
        <w:t xml:space="preserve"> vor fi conectatați suplimentar la rețeaua de apă potabilă in cele 5 sisteme zonale de apă, astfel 99% din populația din aria Proiectului având acces la surse de apă în condiții de siguranță.</w:t>
      </w:r>
    </w:p>
    <w:p w:rsidR="000645BF" w:rsidRDefault="000645BF" w:rsidP="000645BF">
      <w:pPr>
        <w:pStyle w:val="NormalWeb"/>
        <w:spacing w:before="0" w:beforeAutospacing="0"/>
        <w:rPr>
          <w:rFonts w:ascii="Arial" w:hAnsi="Arial" w:cs="Arial"/>
        </w:rPr>
      </w:pPr>
      <w:r w:rsidRPr="00E92120">
        <w:rPr>
          <w:rFonts w:ascii="Arial" w:hAnsi="Arial" w:cs="Arial"/>
        </w:rPr>
        <w:t>Rata de conectare la sistemul de canalizare va atinge o medie de 99%, un număr de 55.651 locuitori conectându-se suplimentar la sistemul de apă uzată, în cele 6 aglomerări.</w:t>
      </w:r>
    </w:p>
    <w:p w:rsidR="000645BF" w:rsidRPr="00E92120" w:rsidRDefault="000645BF" w:rsidP="000645BF">
      <w:pPr>
        <w:pStyle w:val="NormalWeb"/>
        <w:spacing w:before="0" w:beforeAutospacing="0"/>
        <w:rPr>
          <w:rFonts w:ascii="Arial" w:hAnsi="Arial" w:cs="Arial"/>
          <w:b/>
          <w:bCs/>
        </w:rPr>
      </w:pPr>
    </w:p>
    <w:p w:rsidR="000645BF" w:rsidRDefault="000645BF" w:rsidP="000645BF">
      <w:pPr>
        <w:spacing w:after="0" w:line="240" w:lineRule="auto"/>
        <w:jc w:val="both"/>
        <w:rPr>
          <w:rFonts w:ascii="Arial" w:hAnsi="Arial" w:cs="Arial"/>
          <w:b/>
          <w:bCs/>
          <w:sz w:val="24"/>
          <w:szCs w:val="24"/>
        </w:rPr>
      </w:pPr>
      <w:r w:rsidRPr="00AC5ECD">
        <w:rPr>
          <w:rFonts w:ascii="Arial" w:hAnsi="Arial" w:cs="Arial"/>
          <w:b/>
          <w:bCs/>
          <w:sz w:val="24"/>
          <w:szCs w:val="24"/>
        </w:rPr>
        <w:t>II.2. Calitatea apei</w:t>
      </w:r>
    </w:p>
    <w:p w:rsidR="002A3AAE" w:rsidRPr="00AC5ECD" w:rsidRDefault="002A3AAE" w:rsidP="000645BF">
      <w:pPr>
        <w:spacing w:after="0" w:line="240" w:lineRule="auto"/>
        <w:jc w:val="both"/>
        <w:rPr>
          <w:rFonts w:ascii="Arial" w:hAnsi="Arial" w:cs="Arial"/>
          <w:b/>
          <w:bCs/>
          <w:sz w:val="24"/>
          <w:szCs w:val="24"/>
        </w:rPr>
      </w:pPr>
    </w:p>
    <w:p w:rsidR="000645BF" w:rsidRPr="00E92120" w:rsidRDefault="000645BF" w:rsidP="000645BF">
      <w:pPr>
        <w:pStyle w:val="Default"/>
        <w:jc w:val="both"/>
        <w:rPr>
          <w:rFonts w:ascii="Arial" w:hAnsi="Arial" w:cs="Arial"/>
          <w:color w:val="auto"/>
        </w:rPr>
      </w:pPr>
      <w:r w:rsidRPr="00E92120">
        <w:rPr>
          <w:rFonts w:ascii="Arial" w:hAnsi="Arial" w:cs="Arial"/>
          <w:b/>
          <w:bCs/>
          <w:color w:val="auto"/>
        </w:rPr>
        <w:t xml:space="preserve">    II.2.1. </w:t>
      </w:r>
      <w:r w:rsidRPr="00E92120">
        <w:rPr>
          <w:rFonts w:ascii="Arial" w:hAnsi="Arial" w:cs="Arial"/>
          <w:b/>
          <w:bCs/>
          <w:i/>
          <w:iCs/>
          <w:color w:val="auto"/>
        </w:rPr>
        <w:t xml:space="preserve">Calitatea apei: stare şi consecinţe </w:t>
      </w:r>
    </w:p>
    <w:p w:rsidR="000645BF" w:rsidRPr="00E92120" w:rsidRDefault="000645BF" w:rsidP="000645BF">
      <w:pPr>
        <w:pStyle w:val="Default"/>
        <w:jc w:val="both"/>
        <w:rPr>
          <w:rFonts w:ascii="Arial" w:hAnsi="Arial" w:cs="Arial"/>
          <w:color w:val="auto"/>
        </w:rPr>
      </w:pPr>
      <w:r w:rsidRPr="00E92120">
        <w:rPr>
          <w:rFonts w:ascii="Arial" w:hAnsi="Arial" w:cs="Arial"/>
          <w:color w:val="auto"/>
        </w:rPr>
        <w:t xml:space="preserve">Stabilirea stării ecologice a corpurilor de apă (apă de suprafaţă, apă subterană şi apă de îmbăiere) se realizează pe baza următorilor </w:t>
      </w:r>
      <w:r w:rsidRPr="00E92120">
        <w:rPr>
          <w:rFonts w:ascii="Arial" w:hAnsi="Arial" w:cs="Arial"/>
          <w:i/>
          <w:iCs/>
          <w:color w:val="auto"/>
        </w:rPr>
        <w:t xml:space="preserve">indicatori specifici </w:t>
      </w:r>
      <w:r w:rsidRPr="00E92120">
        <w:rPr>
          <w:rFonts w:ascii="Arial" w:hAnsi="Arial" w:cs="Arial"/>
          <w:color w:val="auto"/>
        </w:rPr>
        <w:t xml:space="preserve">ai Agenţiei Europene de Mediu: </w:t>
      </w:r>
    </w:p>
    <w:p w:rsidR="000645BF" w:rsidRPr="00E92120" w:rsidRDefault="000645BF" w:rsidP="000645BF">
      <w:pPr>
        <w:pStyle w:val="Default"/>
        <w:jc w:val="both"/>
        <w:rPr>
          <w:rFonts w:ascii="Arial" w:hAnsi="Arial" w:cs="Arial"/>
          <w:color w:val="auto"/>
        </w:rPr>
      </w:pPr>
    </w:p>
    <w:tbl>
      <w:tblPr>
        <w:tblW w:w="0" w:type="auto"/>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4678"/>
        <w:gridCol w:w="1510"/>
        <w:gridCol w:w="1444"/>
      </w:tblGrid>
      <w:tr w:rsidR="000645BF" w:rsidRPr="00E92120" w:rsidTr="004E444C">
        <w:trPr>
          <w:trHeight w:val="361"/>
          <w:jc w:val="center"/>
        </w:trPr>
        <w:tc>
          <w:tcPr>
            <w:tcW w:w="1141" w:type="dxa"/>
            <w:shd w:val="clear" w:color="auto" w:fill="FBD4B4" w:themeFill="accent6" w:themeFillTint="66"/>
          </w:tcPr>
          <w:p w:rsidR="000645BF" w:rsidRPr="00E92120" w:rsidRDefault="000645BF" w:rsidP="004E444C">
            <w:pPr>
              <w:pStyle w:val="Default"/>
              <w:jc w:val="both"/>
              <w:rPr>
                <w:rFonts w:ascii="Arial" w:hAnsi="Arial" w:cs="Arial"/>
                <w:color w:val="auto"/>
              </w:rPr>
            </w:pPr>
            <w:r w:rsidRPr="00E92120">
              <w:rPr>
                <w:rFonts w:ascii="Arial" w:hAnsi="Arial" w:cs="Arial"/>
                <w:b/>
                <w:bCs/>
                <w:i/>
                <w:iCs/>
                <w:color w:val="auto"/>
              </w:rPr>
              <w:t xml:space="preserve">Cod </w:t>
            </w:r>
          </w:p>
        </w:tc>
        <w:tc>
          <w:tcPr>
            <w:tcW w:w="4678" w:type="dxa"/>
            <w:shd w:val="clear" w:color="auto" w:fill="FBD4B4" w:themeFill="accent6" w:themeFillTint="66"/>
          </w:tcPr>
          <w:p w:rsidR="000645BF" w:rsidRPr="00E92120" w:rsidRDefault="000645BF" w:rsidP="004E444C">
            <w:pPr>
              <w:pStyle w:val="Default"/>
              <w:jc w:val="both"/>
              <w:rPr>
                <w:rFonts w:ascii="Arial" w:hAnsi="Arial" w:cs="Arial"/>
                <w:color w:val="auto"/>
              </w:rPr>
            </w:pPr>
            <w:r w:rsidRPr="00E92120">
              <w:rPr>
                <w:rFonts w:ascii="Arial" w:hAnsi="Arial" w:cs="Arial"/>
                <w:b/>
                <w:bCs/>
                <w:i/>
                <w:iCs/>
                <w:color w:val="auto"/>
              </w:rPr>
              <w:t xml:space="preserve">Denumire </w:t>
            </w:r>
          </w:p>
        </w:tc>
        <w:tc>
          <w:tcPr>
            <w:tcW w:w="1397" w:type="dxa"/>
            <w:shd w:val="clear" w:color="auto" w:fill="FBD4B4" w:themeFill="accent6" w:themeFillTint="66"/>
          </w:tcPr>
          <w:p w:rsidR="000645BF" w:rsidRPr="00E92120" w:rsidRDefault="000645BF" w:rsidP="004E444C">
            <w:pPr>
              <w:pStyle w:val="Default"/>
              <w:jc w:val="both"/>
              <w:rPr>
                <w:rFonts w:ascii="Arial" w:hAnsi="Arial" w:cs="Arial"/>
                <w:color w:val="auto"/>
              </w:rPr>
            </w:pPr>
            <w:r w:rsidRPr="00E92120">
              <w:rPr>
                <w:rFonts w:ascii="Arial" w:hAnsi="Arial" w:cs="Arial"/>
                <w:b/>
                <w:bCs/>
                <w:color w:val="auto"/>
              </w:rPr>
              <w:t xml:space="preserve">Tip </w:t>
            </w:r>
          </w:p>
        </w:tc>
        <w:tc>
          <w:tcPr>
            <w:tcW w:w="1444" w:type="dxa"/>
            <w:shd w:val="clear" w:color="auto" w:fill="FBD4B4" w:themeFill="accent6" w:themeFillTint="66"/>
          </w:tcPr>
          <w:p w:rsidR="000645BF" w:rsidRPr="00E92120" w:rsidRDefault="000645BF" w:rsidP="004E444C">
            <w:pPr>
              <w:pStyle w:val="Default"/>
              <w:jc w:val="both"/>
              <w:rPr>
                <w:rFonts w:ascii="Arial" w:hAnsi="Arial" w:cs="Arial"/>
                <w:color w:val="auto"/>
              </w:rPr>
            </w:pPr>
            <w:r w:rsidRPr="00E92120">
              <w:rPr>
                <w:rFonts w:ascii="Arial" w:hAnsi="Arial" w:cs="Arial"/>
                <w:b/>
                <w:bCs/>
                <w:color w:val="auto"/>
              </w:rPr>
              <w:t xml:space="preserve">Categorie </w:t>
            </w:r>
          </w:p>
        </w:tc>
      </w:tr>
      <w:tr w:rsidR="000645BF" w:rsidRPr="00E92120" w:rsidTr="004E444C">
        <w:trPr>
          <w:trHeight w:val="361"/>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WEC 04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Scheme de clasificare a cursurilor de apă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impact </w:t>
            </w:r>
          </w:p>
        </w:tc>
      </w:tr>
      <w:tr w:rsidR="000645BF" w:rsidRPr="00E92120" w:rsidTr="004E444C">
        <w:trPr>
          <w:trHeight w:val="478"/>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p>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CSI 19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Substanţele consumatoare de oxigen din cursurile de apă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r w:rsidR="000645BF" w:rsidRPr="00E92120" w:rsidTr="004E444C">
        <w:trPr>
          <w:trHeight w:val="361"/>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CSI 20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Nutrienţii din apa dulce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r w:rsidR="000645BF" w:rsidRPr="00E92120" w:rsidTr="004E444C">
        <w:trPr>
          <w:trHeight w:val="361"/>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WHS 02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Substanţele periculoase din cursurile de apă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r w:rsidR="000645BF" w:rsidRPr="00E92120" w:rsidTr="004E444C">
        <w:trPr>
          <w:trHeight w:val="361"/>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WHS 03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Substanţele periculoase din lacuri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r w:rsidR="000645BF" w:rsidRPr="00E92120" w:rsidTr="004E444C">
        <w:trPr>
          <w:trHeight w:val="361"/>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WHS 01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Pesticidele din apele subterane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r w:rsidR="000645BF" w:rsidRPr="00E92120" w:rsidTr="004E444C">
        <w:trPr>
          <w:trHeight w:val="370"/>
          <w:jc w:val="center"/>
        </w:trPr>
        <w:tc>
          <w:tcPr>
            <w:tcW w:w="1141"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CSI 22 </w:t>
            </w:r>
          </w:p>
        </w:tc>
        <w:tc>
          <w:tcPr>
            <w:tcW w:w="4678"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Calitatea apelor de îmbăiere </w:t>
            </w:r>
          </w:p>
        </w:tc>
        <w:tc>
          <w:tcPr>
            <w:tcW w:w="1397"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performanţă </w:t>
            </w:r>
          </w:p>
        </w:tc>
        <w:tc>
          <w:tcPr>
            <w:tcW w:w="1444" w:type="dxa"/>
            <w:shd w:val="clear" w:color="auto" w:fill="FDE9D9" w:themeFill="accent6" w:themeFillTint="33"/>
          </w:tcPr>
          <w:p w:rsidR="000645BF" w:rsidRPr="00E92120" w:rsidRDefault="000645BF" w:rsidP="004E444C">
            <w:pPr>
              <w:pStyle w:val="Default"/>
              <w:jc w:val="both"/>
              <w:rPr>
                <w:rFonts w:ascii="Arial" w:hAnsi="Arial" w:cs="Arial"/>
                <w:color w:val="auto"/>
              </w:rPr>
            </w:pPr>
            <w:r w:rsidRPr="00E92120">
              <w:rPr>
                <w:rFonts w:ascii="Arial" w:hAnsi="Arial" w:cs="Arial"/>
                <w:color w:val="auto"/>
              </w:rPr>
              <w:t xml:space="preserve">Indicator de stare </w:t>
            </w:r>
          </w:p>
        </w:tc>
      </w:tr>
    </w:tbl>
    <w:p w:rsidR="000645BF" w:rsidRPr="00E92120" w:rsidRDefault="000645BF" w:rsidP="000645BF">
      <w:pPr>
        <w:pStyle w:val="Default"/>
        <w:jc w:val="both"/>
        <w:rPr>
          <w:rFonts w:ascii="Arial" w:hAnsi="Arial" w:cs="Arial"/>
          <w:b/>
          <w:bCs/>
          <w:color w:val="auto"/>
        </w:rPr>
      </w:pPr>
    </w:p>
    <w:p w:rsidR="000645BF" w:rsidRPr="00E92120" w:rsidRDefault="000645BF" w:rsidP="000645BF">
      <w:pPr>
        <w:pStyle w:val="Default"/>
        <w:jc w:val="both"/>
        <w:rPr>
          <w:rFonts w:ascii="Arial" w:hAnsi="Arial" w:cs="Arial"/>
          <w:b/>
          <w:bCs/>
          <w:color w:val="auto"/>
        </w:rPr>
      </w:pPr>
    </w:p>
    <w:p w:rsidR="000645BF" w:rsidRDefault="000645BF" w:rsidP="000645BF">
      <w:pPr>
        <w:pStyle w:val="Default"/>
        <w:jc w:val="both"/>
        <w:rPr>
          <w:rFonts w:ascii="Arial" w:hAnsi="Arial" w:cs="Arial"/>
          <w:b/>
          <w:bCs/>
          <w:color w:val="auto"/>
        </w:rPr>
      </w:pPr>
      <w:r w:rsidRPr="00E92120">
        <w:rPr>
          <w:rFonts w:ascii="Arial" w:hAnsi="Arial" w:cs="Arial"/>
          <w:b/>
          <w:bCs/>
          <w:color w:val="auto"/>
        </w:rPr>
        <w:t xml:space="preserve">    II.2.1.1. Calitatea apei cursurilor de apă </w:t>
      </w:r>
    </w:p>
    <w:p w:rsidR="002A3AAE" w:rsidRDefault="002A3AAE" w:rsidP="000645BF">
      <w:pPr>
        <w:pStyle w:val="Default"/>
        <w:jc w:val="both"/>
        <w:rPr>
          <w:rFonts w:ascii="Arial" w:hAnsi="Arial" w:cs="Arial"/>
          <w:b/>
          <w:bCs/>
          <w:color w:val="auto"/>
        </w:rPr>
      </w:pPr>
    </w:p>
    <w:p w:rsidR="000645BF" w:rsidRPr="00E92120" w:rsidRDefault="000645BF" w:rsidP="000645BF">
      <w:pPr>
        <w:ind w:right="-285"/>
        <w:jc w:val="center"/>
        <w:rPr>
          <w:rFonts w:ascii="Arial" w:hAnsi="Arial" w:cs="Arial"/>
        </w:rPr>
      </w:pPr>
      <w:r>
        <w:rPr>
          <w:rFonts w:ascii="Arial" w:hAnsi="Arial" w:cs="Arial"/>
          <w:b/>
          <w:sz w:val="24"/>
          <w:szCs w:val="24"/>
          <w:highlight w:val="green"/>
        </w:rPr>
        <w:t xml:space="preserve">Indicator WEC 04. </w:t>
      </w:r>
      <w:r w:rsidRPr="00CC4DBD">
        <w:rPr>
          <w:rFonts w:ascii="Arial" w:hAnsi="Arial" w:cs="Arial"/>
          <w:b/>
          <w:sz w:val="24"/>
          <w:szCs w:val="24"/>
          <w:highlight w:val="green"/>
        </w:rPr>
        <w:t>Scheme de clasi</w:t>
      </w:r>
      <w:r>
        <w:rPr>
          <w:rFonts w:ascii="Arial" w:hAnsi="Arial" w:cs="Arial"/>
          <w:b/>
          <w:sz w:val="24"/>
          <w:szCs w:val="24"/>
          <w:highlight w:val="green"/>
        </w:rPr>
        <w:t>ficare a cursurilor de apă RO67</w:t>
      </w:r>
    </w:p>
    <w:p w:rsidR="000645BF" w:rsidRDefault="000645BF" w:rsidP="000645BF">
      <w:pPr>
        <w:spacing w:after="0" w:line="240" w:lineRule="auto"/>
        <w:ind w:left="705"/>
        <w:jc w:val="both"/>
        <w:rPr>
          <w:rFonts w:ascii="Arial" w:hAnsi="Arial" w:cs="Arial"/>
          <w:b/>
          <w:sz w:val="24"/>
          <w:szCs w:val="24"/>
        </w:rPr>
      </w:pPr>
      <w:r>
        <w:rPr>
          <w:rFonts w:ascii="Arial" w:hAnsi="Arial" w:cs="Arial"/>
          <w:b/>
          <w:sz w:val="24"/>
          <w:szCs w:val="24"/>
        </w:rPr>
        <w:t xml:space="preserve">II.2.1.1.1 </w:t>
      </w:r>
      <w:r w:rsidRPr="006E297D">
        <w:rPr>
          <w:rFonts w:ascii="Arial" w:hAnsi="Arial" w:cs="Arial"/>
          <w:b/>
          <w:sz w:val="24"/>
          <w:szCs w:val="24"/>
        </w:rPr>
        <w:t>Starea ecologică / potențialul ecologic al  cursurilor de apă monitorizate(corpuri de apă naturale, puternic modificate, artificiale - râuri) pe spații/bazine hidrografice și la nivel național</w:t>
      </w:r>
    </w:p>
    <w:p w:rsidR="000645BF" w:rsidRDefault="000645BF" w:rsidP="000645BF">
      <w:pPr>
        <w:spacing w:after="0" w:line="240" w:lineRule="auto"/>
        <w:ind w:left="705"/>
        <w:jc w:val="both"/>
        <w:rPr>
          <w:rFonts w:ascii="Arial" w:hAnsi="Arial" w:cs="Arial"/>
          <w:b/>
          <w:sz w:val="24"/>
          <w:szCs w:val="24"/>
        </w:rPr>
      </w:pPr>
    </w:p>
    <w:p w:rsidR="000645BF" w:rsidRDefault="000645BF" w:rsidP="000645BF">
      <w:pPr>
        <w:spacing w:after="0" w:line="240" w:lineRule="auto"/>
        <w:rPr>
          <w:rFonts w:ascii="Arial" w:hAnsi="Arial" w:cs="Arial"/>
          <w:b/>
          <w:i/>
          <w:sz w:val="24"/>
          <w:szCs w:val="24"/>
        </w:rPr>
      </w:pPr>
      <w:r w:rsidRPr="006E297D">
        <w:rPr>
          <w:rFonts w:ascii="Arial" w:hAnsi="Arial" w:cs="Arial"/>
          <w:sz w:val="24"/>
          <w:szCs w:val="24"/>
        </w:rPr>
        <w:t xml:space="preserve">Județul Brăila aparține din punct de vedere hidrografic de </w:t>
      </w:r>
      <w:r w:rsidRPr="006E297D">
        <w:rPr>
          <w:rFonts w:ascii="Arial" w:hAnsi="Arial" w:cs="Arial"/>
          <w:i/>
          <w:sz w:val="24"/>
          <w:szCs w:val="24"/>
        </w:rPr>
        <w:t>Bazinul hidrografic Buzău – Ialomița</w:t>
      </w:r>
      <w:r w:rsidRPr="00FA1980">
        <w:rPr>
          <w:rFonts w:ascii="Arial" w:hAnsi="Arial" w:cs="Arial"/>
          <w:b/>
          <w:i/>
          <w:sz w:val="24"/>
          <w:szCs w:val="24"/>
        </w:rPr>
        <w:t>.</w:t>
      </w:r>
    </w:p>
    <w:p w:rsidR="000645BF" w:rsidRPr="00FA1980" w:rsidRDefault="000645BF" w:rsidP="000645BF">
      <w:pPr>
        <w:spacing w:after="0" w:line="240" w:lineRule="auto"/>
        <w:rPr>
          <w:rFonts w:ascii="Arial" w:hAnsi="Arial" w:cs="Arial"/>
          <w:b/>
          <w:i/>
          <w:sz w:val="24"/>
          <w:szCs w:val="24"/>
        </w:rPr>
      </w:pPr>
    </w:p>
    <w:p w:rsidR="000645BF" w:rsidRDefault="000645BF" w:rsidP="000645BF">
      <w:pPr>
        <w:spacing w:after="0" w:line="240" w:lineRule="auto"/>
        <w:jc w:val="both"/>
        <w:rPr>
          <w:rFonts w:ascii="Arial" w:hAnsi="Arial" w:cs="Arial"/>
          <w:b/>
          <w:sz w:val="24"/>
          <w:szCs w:val="24"/>
        </w:rPr>
      </w:pPr>
      <w:r w:rsidRPr="00845367">
        <w:rPr>
          <w:rFonts w:ascii="Arial" w:hAnsi="Arial" w:cs="Arial"/>
          <w:i/>
          <w:sz w:val="24"/>
          <w:szCs w:val="24"/>
        </w:rPr>
        <w:t xml:space="preserve">Evaluarea stării ecologice/potențialul ecologic al cursurilor de apă monitorizate </w:t>
      </w:r>
      <w:r w:rsidRPr="00845367">
        <w:rPr>
          <w:rFonts w:ascii="Arial" w:hAnsi="Arial" w:cs="Arial"/>
          <w:sz w:val="24"/>
          <w:szCs w:val="24"/>
        </w:rPr>
        <w:t>(corpuri de apă naturale</w:t>
      </w:r>
      <w:r w:rsidRPr="00921973">
        <w:rPr>
          <w:rFonts w:ascii="Arial" w:hAnsi="Arial" w:cs="Arial"/>
          <w:sz w:val="24"/>
          <w:szCs w:val="24"/>
        </w:rPr>
        <w:t>, puternic modificate, artificiale - râuri) pe spații/bazine hidrografice în anul 201</w:t>
      </w:r>
      <w:r>
        <w:rPr>
          <w:rFonts w:ascii="Arial" w:hAnsi="Arial" w:cs="Arial"/>
          <w:sz w:val="24"/>
          <w:szCs w:val="24"/>
        </w:rPr>
        <w:t>7în</w:t>
      </w:r>
      <w:r w:rsidRPr="00F27A4E">
        <w:rPr>
          <w:rFonts w:ascii="Arial" w:hAnsi="Arial" w:cs="Arial"/>
          <w:b/>
          <w:sz w:val="24"/>
          <w:szCs w:val="24"/>
        </w:rPr>
        <w:t>(km)</w:t>
      </w:r>
      <w:r>
        <w:rPr>
          <w:rFonts w:ascii="Arial" w:hAnsi="Arial" w:cs="Arial"/>
          <w:sz w:val="24"/>
          <w:szCs w:val="24"/>
        </w:rPr>
        <w:t xml:space="preserve"> și </w:t>
      </w:r>
      <w:r w:rsidRPr="00A57FA5">
        <w:rPr>
          <w:rFonts w:ascii="Arial" w:hAnsi="Arial" w:cs="Arial"/>
          <w:b/>
          <w:i/>
          <w:sz w:val="24"/>
          <w:szCs w:val="24"/>
        </w:rPr>
        <w:t>(%</w:t>
      </w:r>
      <w:r>
        <w:rPr>
          <w:rFonts w:ascii="Arial" w:hAnsi="Arial" w:cs="Arial"/>
          <w:b/>
          <w:i/>
          <w:sz w:val="24"/>
          <w:szCs w:val="24"/>
        </w:rPr>
        <w:t>)</w:t>
      </w:r>
      <w:r>
        <w:rPr>
          <w:rFonts w:ascii="Arial" w:hAnsi="Arial" w:cs="Arial"/>
          <w:sz w:val="24"/>
          <w:szCs w:val="24"/>
        </w:rPr>
        <w:t>este prezentă în figurile de mai jos:</w:t>
      </w:r>
    </w:p>
    <w:p w:rsidR="000645BF" w:rsidRDefault="000645BF" w:rsidP="000645BF">
      <w:pPr>
        <w:spacing w:after="0" w:line="240" w:lineRule="auto"/>
        <w:jc w:val="center"/>
        <w:rPr>
          <w:rFonts w:ascii="Arial" w:hAnsi="Arial" w:cs="Arial"/>
          <w:b/>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0645BF">
      <w:pPr>
        <w:spacing w:after="0" w:line="240" w:lineRule="auto"/>
        <w:jc w:val="center"/>
        <w:rPr>
          <w:rFonts w:ascii="Arial" w:hAnsi="Arial" w:cs="Arial"/>
          <w:sz w:val="24"/>
          <w:szCs w:val="24"/>
        </w:rPr>
      </w:pPr>
    </w:p>
    <w:p w:rsidR="009E449D" w:rsidRDefault="009E449D" w:rsidP="009E449D">
      <w:pPr>
        <w:spacing w:after="0" w:line="240" w:lineRule="auto"/>
        <w:jc w:val="center"/>
        <w:rPr>
          <w:rFonts w:ascii="Arial" w:hAnsi="Arial" w:cs="Arial"/>
          <w:sz w:val="24"/>
          <w:szCs w:val="24"/>
        </w:rPr>
      </w:pPr>
    </w:p>
    <w:p w:rsidR="009E449D" w:rsidRDefault="009E449D" w:rsidP="009E449D">
      <w:pPr>
        <w:spacing w:after="0" w:line="240" w:lineRule="auto"/>
        <w:jc w:val="center"/>
        <w:rPr>
          <w:rFonts w:ascii="Arial" w:hAnsi="Arial" w:cs="Arial"/>
          <w:sz w:val="24"/>
          <w:szCs w:val="24"/>
        </w:rPr>
      </w:pPr>
    </w:p>
    <w:p w:rsidR="009E449D" w:rsidRDefault="009E449D" w:rsidP="009E449D">
      <w:pPr>
        <w:spacing w:after="0" w:line="240" w:lineRule="auto"/>
        <w:jc w:val="center"/>
        <w:rPr>
          <w:rFonts w:ascii="Arial" w:hAnsi="Arial" w:cs="Arial"/>
          <w:sz w:val="24"/>
          <w:szCs w:val="24"/>
        </w:rPr>
      </w:pPr>
      <w:r w:rsidRPr="00921973">
        <w:rPr>
          <w:rFonts w:ascii="Arial" w:hAnsi="Arial" w:cs="Arial"/>
          <w:sz w:val="24"/>
          <w:szCs w:val="24"/>
        </w:rPr>
        <w:t>(km)</w:t>
      </w:r>
    </w:p>
    <w:p w:rsidR="000645BF" w:rsidRPr="00A57FA5" w:rsidRDefault="000645BF" w:rsidP="000645BF">
      <w:pPr>
        <w:spacing w:line="240" w:lineRule="auto"/>
        <w:jc w:val="center"/>
        <w:rPr>
          <w:rFonts w:ascii="Arial" w:hAnsi="Arial" w:cs="Arial"/>
          <w:b/>
          <w:i/>
          <w:sz w:val="36"/>
          <w:szCs w:val="24"/>
        </w:rPr>
      </w:pPr>
      <w:r>
        <w:rPr>
          <w:noProof/>
        </w:rPr>
        <w:drawing>
          <wp:inline distT="0" distB="0" distL="0" distR="0">
            <wp:extent cx="6099243" cy="3527425"/>
            <wp:effectExtent l="19050" t="0" r="15807" b="0"/>
            <wp:docPr id="228"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645BF" w:rsidRPr="00A57FA5" w:rsidRDefault="000645BF" w:rsidP="000645BF">
      <w:pPr>
        <w:spacing w:after="0" w:line="240" w:lineRule="auto"/>
        <w:jc w:val="both"/>
        <w:rPr>
          <w:rFonts w:ascii="Arial" w:hAnsi="Arial" w:cs="Arial"/>
          <w:b/>
          <w:i/>
          <w:sz w:val="20"/>
          <w:szCs w:val="16"/>
        </w:rPr>
      </w:pPr>
      <w:r w:rsidRPr="00A57FA5">
        <w:rPr>
          <w:rFonts w:ascii="Arial" w:hAnsi="Arial" w:cs="Arial"/>
          <w:b/>
          <w:i/>
          <w:sz w:val="20"/>
          <w:szCs w:val="16"/>
        </w:rPr>
        <w:t>Figura II.2.1.1.</w:t>
      </w:r>
      <w:r>
        <w:rPr>
          <w:rFonts w:ascii="Arial" w:hAnsi="Arial" w:cs="Arial"/>
          <w:b/>
          <w:i/>
          <w:sz w:val="20"/>
          <w:szCs w:val="16"/>
        </w:rPr>
        <w:t>1</w:t>
      </w:r>
      <w:r w:rsidRPr="00A57FA5">
        <w:rPr>
          <w:rFonts w:ascii="Arial" w:hAnsi="Arial" w:cs="Arial"/>
          <w:b/>
          <w:i/>
          <w:sz w:val="20"/>
          <w:szCs w:val="16"/>
        </w:rPr>
        <w:t xml:space="preserve"> Starea ecologică/potențialul ecologic al cursurilor de apă monitorizate (corpuri de apă naturale, puternic modificate, artificiale - râuri) pe spații/bazine hidrografice în anul 2017 (km)</w:t>
      </w:r>
    </w:p>
    <w:p w:rsidR="000645BF" w:rsidRPr="00A57FA5" w:rsidRDefault="000645BF" w:rsidP="000645BF">
      <w:pPr>
        <w:spacing w:after="0" w:line="240" w:lineRule="auto"/>
        <w:jc w:val="both"/>
        <w:rPr>
          <w:rFonts w:ascii="Arial" w:hAnsi="Arial" w:cs="Arial"/>
          <w:b/>
          <w:i/>
          <w:sz w:val="24"/>
          <w:szCs w:val="24"/>
        </w:rPr>
      </w:pPr>
    </w:p>
    <w:p w:rsidR="000645BF" w:rsidRPr="00A57FA5" w:rsidRDefault="000645BF" w:rsidP="000645BF">
      <w:pPr>
        <w:spacing w:line="240" w:lineRule="auto"/>
        <w:jc w:val="center"/>
        <w:rPr>
          <w:rFonts w:ascii="Arial" w:hAnsi="Arial" w:cs="Arial"/>
          <w:b/>
          <w:i/>
          <w:sz w:val="24"/>
          <w:szCs w:val="24"/>
        </w:rPr>
      </w:pPr>
      <w:r>
        <w:rPr>
          <w:noProof/>
        </w:rPr>
        <w:drawing>
          <wp:inline distT="0" distB="0" distL="0" distR="0">
            <wp:extent cx="6177064" cy="3215640"/>
            <wp:effectExtent l="0" t="0" r="14605" b="3810"/>
            <wp:docPr id="229"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645BF" w:rsidRPr="00921973" w:rsidRDefault="000645BF" w:rsidP="000645BF">
      <w:pPr>
        <w:spacing w:after="0" w:line="240" w:lineRule="auto"/>
        <w:jc w:val="both"/>
        <w:rPr>
          <w:rFonts w:ascii="Arial" w:hAnsi="Arial" w:cs="Arial"/>
          <w:sz w:val="24"/>
          <w:szCs w:val="24"/>
        </w:rPr>
      </w:pPr>
      <w:r w:rsidRPr="00A57FA5">
        <w:rPr>
          <w:rFonts w:ascii="Arial" w:hAnsi="Arial" w:cs="Arial"/>
          <w:b/>
          <w:i/>
          <w:sz w:val="20"/>
          <w:szCs w:val="16"/>
        </w:rPr>
        <w:t>Figura II.2.1.</w:t>
      </w:r>
      <w:r>
        <w:rPr>
          <w:rFonts w:ascii="Arial" w:hAnsi="Arial" w:cs="Arial"/>
          <w:b/>
          <w:i/>
          <w:sz w:val="20"/>
          <w:szCs w:val="16"/>
        </w:rPr>
        <w:t>1.</w:t>
      </w:r>
      <w:r w:rsidRPr="00A57FA5">
        <w:rPr>
          <w:rFonts w:ascii="Arial" w:hAnsi="Arial" w:cs="Arial"/>
          <w:b/>
          <w:i/>
          <w:sz w:val="20"/>
          <w:szCs w:val="16"/>
        </w:rPr>
        <w:t>2 Starea ecologică/potențialul ecologic al cursurilor de apă monitorizate (corpuri de apă naturale, puternic modificate, artificiale - râuri) pe spații/bazine hidrografice în anul 2017</w:t>
      </w:r>
    </w:p>
    <w:p w:rsidR="000645BF" w:rsidRDefault="000645BF" w:rsidP="000645BF">
      <w:pPr>
        <w:spacing w:after="0" w:line="240" w:lineRule="auto"/>
        <w:jc w:val="both"/>
        <w:rPr>
          <w:rFonts w:ascii="Arial" w:hAnsi="Arial" w:cs="Arial"/>
          <w:b/>
          <w:bCs/>
          <w:sz w:val="24"/>
          <w:szCs w:val="24"/>
        </w:rPr>
      </w:pPr>
    </w:p>
    <w:p w:rsidR="000645BF" w:rsidRDefault="000645BF" w:rsidP="000645BF">
      <w:pPr>
        <w:ind w:firstLine="708"/>
        <w:rPr>
          <w:rFonts w:ascii="Arial" w:hAnsi="Arial" w:cs="Arial"/>
          <w:b/>
          <w:sz w:val="24"/>
          <w:szCs w:val="24"/>
        </w:rPr>
      </w:pPr>
      <w:r>
        <w:rPr>
          <w:rFonts w:ascii="Arial" w:hAnsi="Arial" w:cs="Arial"/>
          <w:b/>
          <w:sz w:val="24"/>
          <w:szCs w:val="24"/>
        </w:rPr>
        <w:t xml:space="preserve">II.2.1.1.2 </w:t>
      </w:r>
      <w:r w:rsidRPr="0096440F">
        <w:rPr>
          <w:rFonts w:ascii="Arial" w:hAnsi="Arial" w:cs="Arial"/>
          <w:b/>
          <w:sz w:val="24"/>
          <w:szCs w:val="24"/>
        </w:rPr>
        <w:t xml:space="preserve">SUBSTANȚELE PRIORITARE DIN CURSURILE DE APĂ </w:t>
      </w:r>
    </w:p>
    <w:p w:rsidR="000645BF" w:rsidRPr="00CC4DBD" w:rsidRDefault="000645BF" w:rsidP="000645BF">
      <w:pPr>
        <w:shd w:val="clear" w:color="auto" w:fill="FFFFFF" w:themeFill="background1"/>
        <w:ind w:right="-285"/>
        <w:jc w:val="center"/>
        <w:rPr>
          <w:rFonts w:ascii="Arial" w:hAnsi="Arial" w:cs="Arial"/>
          <w:b/>
          <w:sz w:val="24"/>
          <w:szCs w:val="24"/>
        </w:rPr>
      </w:pPr>
      <w:r w:rsidRPr="00BE131C">
        <w:rPr>
          <w:rFonts w:ascii="Arial" w:hAnsi="Arial" w:cs="Arial"/>
          <w:b/>
          <w:sz w:val="24"/>
          <w:szCs w:val="24"/>
        </w:rPr>
        <w:t>Indicator VHS 02.</w:t>
      </w:r>
      <w:r w:rsidRPr="00F04597">
        <w:rPr>
          <w:rFonts w:ascii="Arial" w:hAnsi="Arial" w:cs="Arial"/>
          <w:b/>
          <w:sz w:val="24"/>
          <w:szCs w:val="24"/>
          <w:shd w:val="clear" w:color="auto" w:fill="A9EB3D"/>
        </w:rPr>
        <w:t>Substanțele periculoase din cursurile de apă RO65</w:t>
      </w:r>
    </w:p>
    <w:p w:rsidR="000645BF" w:rsidRPr="007068FD" w:rsidRDefault="000645BF" w:rsidP="000645BF">
      <w:pPr>
        <w:spacing w:after="0" w:line="240" w:lineRule="auto"/>
        <w:ind w:firstLine="708"/>
        <w:jc w:val="both"/>
        <w:rPr>
          <w:rFonts w:ascii="Arial" w:hAnsi="Arial" w:cs="Arial"/>
          <w:i/>
          <w:sz w:val="24"/>
          <w:szCs w:val="24"/>
        </w:rPr>
      </w:pPr>
      <w:r w:rsidRPr="006E297D">
        <w:rPr>
          <w:rFonts w:ascii="Arial" w:hAnsi="Arial" w:cs="Arial"/>
          <w:i/>
          <w:sz w:val="24"/>
          <w:szCs w:val="24"/>
        </w:rPr>
        <w:t xml:space="preserve">Pentru acest indicator s-au avut în vedere raportarea </w:t>
      </w:r>
      <w:r w:rsidRPr="006E297D">
        <w:rPr>
          <w:rFonts w:ascii="Arial" w:hAnsi="Arial" w:cs="Arial"/>
          <w:i/>
          <w:sz w:val="24"/>
          <w:szCs w:val="24"/>
          <w:u w:val="single"/>
        </w:rPr>
        <w:t>substanțelor prioritare</w:t>
      </w:r>
      <w:r w:rsidRPr="006E297D">
        <w:rPr>
          <w:rFonts w:ascii="Arial" w:hAnsi="Arial" w:cs="Arial"/>
          <w:i/>
          <w:sz w:val="24"/>
          <w:szCs w:val="24"/>
        </w:rPr>
        <w:t xml:space="preserve"> din HG 570/2016 care stau la baza evaluării stării chimice a apelor de suprafață (mediul de investigare APĂ). De asemenea, </w:t>
      </w:r>
      <w:r w:rsidRPr="007068FD">
        <w:rPr>
          <w:rFonts w:ascii="Arial" w:hAnsi="Arial" w:cs="Arial"/>
          <w:i/>
          <w:sz w:val="24"/>
          <w:szCs w:val="24"/>
        </w:rPr>
        <w:t>prin depășiri față de SCM se înțelege atât depășirile față de SCM-MA cât și față de SCM-MAC (conform H.G. 570/2016).</w:t>
      </w:r>
    </w:p>
    <w:p w:rsidR="000645BF" w:rsidRDefault="000645BF" w:rsidP="000645BF">
      <w:pPr>
        <w:spacing w:after="0" w:line="240" w:lineRule="auto"/>
        <w:jc w:val="both"/>
        <w:rPr>
          <w:rFonts w:ascii="Arial" w:hAnsi="Arial" w:cs="Arial"/>
          <w:b/>
          <w:i/>
          <w:sz w:val="24"/>
          <w:szCs w:val="24"/>
        </w:rPr>
      </w:pPr>
      <w:r w:rsidRPr="000254EF">
        <w:rPr>
          <w:rFonts w:ascii="Arial" w:hAnsi="Arial" w:cs="Arial"/>
          <w:b/>
          <w:i/>
          <w:sz w:val="24"/>
          <w:szCs w:val="24"/>
        </w:rPr>
        <w:lastRenderedPageBreak/>
        <w:t xml:space="preserve">Distribuția numărului de substanțe prioritare monitorizate în cursurile de apă pe spații/bazine hidrografice în anul 2017 </w:t>
      </w:r>
    </w:p>
    <w:p w:rsidR="000645BF" w:rsidRDefault="000645BF" w:rsidP="000645BF">
      <w:pPr>
        <w:spacing w:after="0" w:line="240" w:lineRule="auto"/>
        <w:jc w:val="both"/>
        <w:rPr>
          <w:rFonts w:ascii="Arial" w:hAnsi="Arial" w:cs="Arial"/>
          <w:b/>
          <w:i/>
          <w:sz w:val="24"/>
          <w:szCs w:val="24"/>
        </w:rPr>
      </w:pPr>
    </w:p>
    <w:p w:rsidR="000645BF" w:rsidRPr="00071D2D" w:rsidRDefault="000645BF" w:rsidP="000645BF">
      <w:pPr>
        <w:spacing w:after="0" w:line="240" w:lineRule="auto"/>
        <w:jc w:val="both"/>
        <w:rPr>
          <w:rFonts w:ascii="Arial" w:hAnsi="Arial" w:cs="Arial"/>
          <w:b/>
          <w:i/>
          <w:sz w:val="20"/>
          <w:szCs w:val="16"/>
          <w:u w:val="single"/>
        </w:rPr>
      </w:pPr>
      <w:r w:rsidRPr="00D74354">
        <w:rPr>
          <w:rFonts w:ascii="Arial" w:hAnsi="Arial" w:cs="Arial"/>
          <w:b/>
          <w:i/>
          <w:sz w:val="20"/>
          <w:szCs w:val="16"/>
        </w:rPr>
        <w:t>Tabel II.2.1.</w:t>
      </w:r>
      <w:r>
        <w:rPr>
          <w:rFonts w:ascii="Arial" w:hAnsi="Arial" w:cs="Arial"/>
          <w:b/>
          <w:i/>
          <w:sz w:val="20"/>
          <w:szCs w:val="16"/>
        </w:rPr>
        <w:t>1.</w:t>
      </w:r>
      <w:r w:rsidRPr="00D74354">
        <w:rPr>
          <w:rFonts w:ascii="Arial" w:hAnsi="Arial" w:cs="Arial"/>
          <w:b/>
          <w:i/>
          <w:sz w:val="20"/>
          <w:szCs w:val="16"/>
        </w:rPr>
        <w:t>2 Substanțe prioritare monitorizate în cursurile de apă pe spații /bazine hidrografice în anul 2017 (nr.)</w:t>
      </w:r>
      <w:r w:rsidRPr="00071D2D">
        <w:rPr>
          <w:rFonts w:ascii="Arial" w:hAnsi="Arial" w:cs="Arial"/>
          <w:b/>
          <w:i/>
          <w:sz w:val="20"/>
          <w:szCs w:val="16"/>
        </w:rPr>
        <w:t xml:space="preserve">– </w:t>
      </w:r>
      <w:r w:rsidRPr="00071D2D">
        <w:rPr>
          <w:rFonts w:ascii="Arial" w:hAnsi="Arial" w:cs="Arial"/>
          <w:b/>
          <w:i/>
          <w:sz w:val="20"/>
          <w:szCs w:val="16"/>
          <w:u w:val="single"/>
        </w:rPr>
        <w:t>mediul de investigare APĂ</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740"/>
        <w:gridCol w:w="1720"/>
        <w:gridCol w:w="1780"/>
        <w:gridCol w:w="1860"/>
      </w:tblGrid>
      <w:tr w:rsidR="000645BF" w:rsidRPr="00F418F4" w:rsidTr="004E444C">
        <w:trPr>
          <w:trHeight w:val="315"/>
          <w:jc w:val="center"/>
        </w:trPr>
        <w:tc>
          <w:tcPr>
            <w:tcW w:w="2240" w:type="dxa"/>
            <w:vMerge w:val="restart"/>
            <w:shd w:val="clear" w:color="auto" w:fill="B8CCE4" w:themeFill="accent1" w:themeFillTint="66"/>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Spaţiu / Bazin hidrografic</w:t>
            </w:r>
          </w:p>
        </w:tc>
        <w:tc>
          <w:tcPr>
            <w:tcW w:w="1740" w:type="dxa"/>
            <w:vMerge w:val="restart"/>
            <w:shd w:val="clear" w:color="auto" w:fill="B8CCE4" w:themeFill="accent1" w:themeFillTint="66"/>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Lungime monitorizată (Km)</w:t>
            </w:r>
          </w:p>
        </w:tc>
        <w:tc>
          <w:tcPr>
            <w:tcW w:w="1720" w:type="dxa"/>
            <w:vMerge w:val="restart"/>
            <w:shd w:val="clear" w:color="auto" w:fill="B8CCE4" w:themeFill="accent1" w:themeFillTint="66"/>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Secțiuni monitorizate (nr.)</w:t>
            </w:r>
          </w:p>
        </w:tc>
        <w:tc>
          <w:tcPr>
            <w:tcW w:w="3640" w:type="dxa"/>
            <w:gridSpan w:val="2"/>
            <w:shd w:val="clear" w:color="auto" w:fill="B8CCE4" w:themeFill="accent1" w:themeFillTint="66"/>
            <w:noWrap/>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Substanțe prioritare</w:t>
            </w:r>
            <w:r>
              <w:rPr>
                <w:rFonts w:ascii="Arial" w:eastAsia="Times New Roman" w:hAnsi="Arial" w:cs="Arial"/>
                <w:b/>
                <w:color w:val="000000"/>
              </w:rPr>
              <w:t xml:space="preserve"> monitorizate</w:t>
            </w:r>
          </w:p>
        </w:tc>
      </w:tr>
      <w:tr w:rsidR="000645BF" w:rsidRPr="00F418F4" w:rsidTr="004E444C">
        <w:trPr>
          <w:trHeight w:val="900"/>
          <w:jc w:val="center"/>
        </w:trPr>
        <w:tc>
          <w:tcPr>
            <w:tcW w:w="2240" w:type="dxa"/>
            <w:vMerge/>
            <w:shd w:val="clear" w:color="auto" w:fill="B8CCE4" w:themeFill="accent1" w:themeFillTint="66"/>
            <w:vAlign w:val="center"/>
            <w:hideMark/>
          </w:tcPr>
          <w:p w:rsidR="000645BF" w:rsidRPr="00F418F4" w:rsidRDefault="000645BF" w:rsidP="004E444C">
            <w:pPr>
              <w:spacing w:after="0" w:line="240" w:lineRule="auto"/>
              <w:rPr>
                <w:rFonts w:ascii="Arial" w:eastAsia="Times New Roman" w:hAnsi="Arial" w:cs="Arial"/>
                <w:b/>
                <w:color w:val="000000"/>
              </w:rPr>
            </w:pPr>
          </w:p>
        </w:tc>
        <w:tc>
          <w:tcPr>
            <w:tcW w:w="1740" w:type="dxa"/>
            <w:vMerge/>
            <w:shd w:val="clear" w:color="auto" w:fill="B8CCE4" w:themeFill="accent1" w:themeFillTint="66"/>
            <w:vAlign w:val="center"/>
            <w:hideMark/>
          </w:tcPr>
          <w:p w:rsidR="000645BF" w:rsidRPr="00F418F4" w:rsidRDefault="000645BF" w:rsidP="004E444C">
            <w:pPr>
              <w:spacing w:after="0" w:line="240" w:lineRule="auto"/>
              <w:rPr>
                <w:rFonts w:ascii="Arial" w:eastAsia="Times New Roman" w:hAnsi="Arial" w:cs="Arial"/>
                <w:b/>
                <w:color w:val="000000"/>
              </w:rPr>
            </w:pPr>
          </w:p>
        </w:tc>
        <w:tc>
          <w:tcPr>
            <w:tcW w:w="1720" w:type="dxa"/>
            <w:vMerge/>
            <w:shd w:val="clear" w:color="auto" w:fill="B8CCE4" w:themeFill="accent1" w:themeFillTint="66"/>
            <w:vAlign w:val="center"/>
            <w:hideMark/>
          </w:tcPr>
          <w:p w:rsidR="000645BF" w:rsidRPr="00F418F4" w:rsidRDefault="000645BF" w:rsidP="004E444C">
            <w:pPr>
              <w:spacing w:after="0" w:line="240" w:lineRule="auto"/>
              <w:rPr>
                <w:rFonts w:ascii="Arial" w:eastAsia="Times New Roman" w:hAnsi="Arial" w:cs="Arial"/>
                <w:b/>
                <w:color w:val="000000"/>
              </w:rPr>
            </w:pPr>
          </w:p>
        </w:tc>
        <w:tc>
          <w:tcPr>
            <w:tcW w:w="1780" w:type="dxa"/>
            <w:shd w:val="clear" w:color="auto" w:fill="B8CCE4" w:themeFill="accent1" w:themeFillTint="66"/>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Metale prioritare (nr.)</w:t>
            </w:r>
          </w:p>
        </w:tc>
        <w:tc>
          <w:tcPr>
            <w:tcW w:w="1860" w:type="dxa"/>
            <w:shd w:val="clear" w:color="auto" w:fill="B8CCE4" w:themeFill="accent1" w:themeFillTint="66"/>
            <w:vAlign w:val="center"/>
            <w:hideMark/>
          </w:tcPr>
          <w:p w:rsidR="000645BF" w:rsidRPr="00F418F4" w:rsidRDefault="000645BF" w:rsidP="004E444C">
            <w:pPr>
              <w:spacing w:after="0" w:line="240" w:lineRule="auto"/>
              <w:jc w:val="center"/>
              <w:rPr>
                <w:rFonts w:ascii="Arial" w:eastAsia="Times New Roman" w:hAnsi="Arial" w:cs="Arial"/>
                <w:b/>
                <w:color w:val="000000"/>
              </w:rPr>
            </w:pPr>
            <w:r w:rsidRPr="00F418F4">
              <w:rPr>
                <w:rFonts w:ascii="Arial" w:eastAsia="Times New Roman" w:hAnsi="Arial" w:cs="Arial"/>
                <w:b/>
                <w:color w:val="000000"/>
              </w:rPr>
              <w:t>Micropoluanţi organici (nr.)</w:t>
            </w:r>
          </w:p>
        </w:tc>
      </w:tr>
      <w:tr w:rsidR="000645BF" w:rsidRPr="00D74354" w:rsidTr="004E444C">
        <w:trPr>
          <w:trHeight w:val="315"/>
          <w:jc w:val="center"/>
        </w:trPr>
        <w:tc>
          <w:tcPr>
            <w:tcW w:w="2240" w:type="dxa"/>
            <w:shd w:val="clear" w:color="auto" w:fill="DAEEF3" w:themeFill="accent5" w:themeFillTint="33"/>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Someș-Tisa</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3525,</w:t>
            </w:r>
            <w:r w:rsidRPr="00D74354">
              <w:rPr>
                <w:rFonts w:ascii="Arial" w:eastAsia="Times New Roman" w:hAnsi="Arial" w:cs="Arial"/>
                <w:szCs w:val="24"/>
              </w:rPr>
              <w:t>8</w:t>
            </w:r>
            <w:r>
              <w:rPr>
                <w:rFonts w:ascii="Arial" w:eastAsia="Times New Roman" w:hAnsi="Arial" w:cs="Arial"/>
                <w:szCs w:val="24"/>
              </w:rPr>
              <w:t>7</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61</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21</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Crișuri</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1088,</w:t>
            </w:r>
            <w:r w:rsidRPr="00D74354">
              <w:rPr>
                <w:rFonts w:ascii="Arial" w:eastAsia="Times New Roman" w:hAnsi="Arial" w:cs="Arial"/>
                <w:szCs w:val="24"/>
              </w:rPr>
              <w:t>02</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40</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28</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Mureș</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3066,</w:t>
            </w:r>
            <w:r w:rsidRPr="00D74354">
              <w:rPr>
                <w:rFonts w:ascii="Arial" w:eastAsia="Times New Roman" w:hAnsi="Arial" w:cs="Arial"/>
                <w:szCs w:val="24"/>
              </w:rPr>
              <w:t>6</w:t>
            </w:r>
            <w:r>
              <w:rPr>
                <w:rFonts w:ascii="Arial" w:eastAsia="Times New Roman" w:hAnsi="Arial" w:cs="Arial"/>
                <w:szCs w:val="24"/>
              </w:rPr>
              <w:t>8</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61</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17</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Banat</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1888,</w:t>
            </w:r>
            <w:r w:rsidRPr="00D74354">
              <w:rPr>
                <w:rFonts w:ascii="Arial" w:eastAsia="Times New Roman" w:hAnsi="Arial" w:cs="Arial"/>
                <w:szCs w:val="24"/>
              </w:rPr>
              <w:t>39</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35</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10</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Jiu</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1994</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32</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17</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Olt</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1496</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51</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25</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Argeș-Vedea</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502</w:t>
            </w:r>
            <w:r>
              <w:rPr>
                <w:rFonts w:ascii="Arial" w:eastAsia="Times New Roman" w:hAnsi="Arial" w:cs="Arial"/>
                <w:szCs w:val="24"/>
              </w:rPr>
              <w:t>,</w:t>
            </w:r>
            <w:r w:rsidRPr="00D74354">
              <w:rPr>
                <w:rFonts w:ascii="Arial" w:eastAsia="Times New Roman" w:hAnsi="Arial" w:cs="Arial"/>
                <w:szCs w:val="24"/>
              </w:rPr>
              <w:t>46</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15</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29</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Buzău-Ialomița</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798</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18</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21</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Siret</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1861,</w:t>
            </w:r>
            <w:r w:rsidRPr="00D74354">
              <w:rPr>
                <w:rFonts w:ascii="Arial" w:eastAsia="Times New Roman" w:hAnsi="Arial" w:cs="Arial"/>
                <w:szCs w:val="24"/>
              </w:rPr>
              <w:t>22</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23</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23</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Prut- Bârlad</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2462,</w:t>
            </w:r>
            <w:r w:rsidRPr="00D74354">
              <w:rPr>
                <w:rFonts w:ascii="Arial" w:eastAsia="Times New Roman" w:hAnsi="Arial" w:cs="Arial"/>
                <w:szCs w:val="24"/>
              </w:rPr>
              <w:t>59</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38</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25</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Dobrogea-Litoral</w:t>
            </w:r>
          </w:p>
        </w:tc>
        <w:tc>
          <w:tcPr>
            <w:tcW w:w="174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Pr>
                <w:rFonts w:ascii="Arial" w:eastAsia="Times New Roman" w:hAnsi="Arial" w:cs="Arial"/>
                <w:szCs w:val="24"/>
              </w:rPr>
              <w:t>742,</w:t>
            </w:r>
            <w:r w:rsidRPr="00D74354">
              <w:rPr>
                <w:rFonts w:ascii="Arial" w:eastAsia="Times New Roman" w:hAnsi="Arial" w:cs="Arial"/>
                <w:szCs w:val="24"/>
              </w:rPr>
              <w:t>31</w:t>
            </w:r>
          </w:p>
        </w:tc>
        <w:tc>
          <w:tcPr>
            <w:tcW w:w="172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11</w:t>
            </w:r>
          </w:p>
        </w:tc>
        <w:tc>
          <w:tcPr>
            <w:tcW w:w="178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4</w:t>
            </w:r>
          </w:p>
        </w:tc>
        <w:tc>
          <w:tcPr>
            <w:tcW w:w="1860" w:type="dxa"/>
            <w:shd w:val="clear" w:color="auto" w:fill="DAEEF3" w:themeFill="accent5" w:themeFillTint="33"/>
            <w:noWrap/>
            <w:vAlign w:val="center"/>
            <w:hideMark/>
          </w:tcPr>
          <w:p w:rsidR="000645BF" w:rsidRPr="00D74354" w:rsidRDefault="000645BF" w:rsidP="004E444C">
            <w:pPr>
              <w:spacing w:after="0" w:line="240" w:lineRule="auto"/>
              <w:jc w:val="center"/>
              <w:rPr>
                <w:rFonts w:ascii="Arial" w:eastAsia="Times New Roman" w:hAnsi="Arial" w:cs="Arial"/>
                <w:szCs w:val="24"/>
              </w:rPr>
            </w:pPr>
            <w:r w:rsidRPr="00D74354">
              <w:rPr>
                <w:rFonts w:ascii="Arial" w:eastAsia="Times New Roman" w:hAnsi="Arial" w:cs="Arial"/>
                <w:szCs w:val="24"/>
              </w:rPr>
              <w:t>23</w:t>
            </w:r>
          </w:p>
        </w:tc>
      </w:tr>
      <w:tr w:rsidR="000645BF" w:rsidRPr="00D74354" w:rsidTr="004E444C">
        <w:trPr>
          <w:trHeight w:val="315"/>
          <w:jc w:val="center"/>
        </w:trPr>
        <w:tc>
          <w:tcPr>
            <w:tcW w:w="2240" w:type="dxa"/>
            <w:shd w:val="clear" w:color="auto" w:fill="DAEEF3" w:themeFill="accent5" w:themeFillTint="33"/>
            <w:noWrap/>
            <w:vAlign w:val="bottom"/>
            <w:hideMark/>
          </w:tcPr>
          <w:p w:rsidR="000645BF" w:rsidRPr="00D74354" w:rsidRDefault="000645BF" w:rsidP="004E444C">
            <w:pPr>
              <w:spacing w:after="0" w:line="240" w:lineRule="auto"/>
              <w:jc w:val="center"/>
              <w:rPr>
                <w:rFonts w:ascii="Arial" w:eastAsia="Times New Roman" w:hAnsi="Arial" w:cs="Arial"/>
                <w:b/>
                <w:color w:val="000000"/>
                <w:szCs w:val="24"/>
              </w:rPr>
            </w:pPr>
            <w:r w:rsidRPr="00D74354">
              <w:rPr>
                <w:rFonts w:ascii="Arial" w:eastAsia="Times New Roman" w:hAnsi="Arial" w:cs="Arial"/>
                <w:b/>
                <w:color w:val="000000"/>
                <w:szCs w:val="24"/>
              </w:rPr>
              <w:t>Total</w:t>
            </w:r>
          </w:p>
        </w:tc>
        <w:tc>
          <w:tcPr>
            <w:tcW w:w="1740" w:type="dxa"/>
            <w:shd w:val="clear" w:color="auto" w:fill="DAEEF3" w:themeFill="accent5" w:themeFillTint="33"/>
            <w:noWrap/>
            <w:vAlign w:val="bottom"/>
            <w:hideMark/>
          </w:tcPr>
          <w:p w:rsidR="000645BF" w:rsidRPr="008C292C" w:rsidRDefault="000645BF" w:rsidP="004E444C">
            <w:pPr>
              <w:spacing w:after="0" w:line="240" w:lineRule="auto"/>
              <w:jc w:val="center"/>
              <w:rPr>
                <w:rFonts w:ascii="Arial" w:eastAsia="Times New Roman" w:hAnsi="Arial" w:cs="Arial"/>
                <w:b/>
                <w:szCs w:val="24"/>
              </w:rPr>
            </w:pPr>
            <w:r>
              <w:rPr>
                <w:rFonts w:ascii="Arial" w:eastAsia="Times New Roman" w:hAnsi="Arial" w:cs="Arial"/>
                <w:b/>
                <w:szCs w:val="24"/>
              </w:rPr>
              <w:t>19425,</w:t>
            </w:r>
            <w:r w:rsidRPr="008C292C">
              <w:rPr>
                <w:rFonts w:ascii="Arial" w:eastAsia="Times New Roman" w:hAnsi="Arial" w:cs="Arial"/>
                <w:b/>
                <w:szCs w:val="24"/>
              </w:rPr>
              <w:t>5</w:t>
            </w:r>
            <w:r>
              <w:rPr>
                <w:rFonts w:ascii="Arial" w:eastAsia="Times New Roman" w:hAnsi="Arial" w:cs="Arial"/>
                <w:b/>
                <w:szCs w:val="24"/>
              </w:rPr>
              <w:t>4</w:t>
            </w:r>
          </w:p>
        </w:tc>
        <w:tc>
          <w:tcPr>
            <w:tcW w:w="1720" w:type="dxa"/>
            <w:shd w:val="clear" w:color="auto" w:fill="DAEEF3" w:themeFill="accent5" w:themeFillTint="33"/>
            <w:noWrap/>
            <w:vAlign w:val="center"/>
            <w:hideMark/>
          </w:tcPr>
          <w:p w:rsidR="000645BF" w:rsidRPr="008C292C" w:rsidRDefault="000645BF" w:rsidP="004E444C">
            <w:pPr>
              <w:spacing w:after="0" w:line="240" w:lineRule="auto"/>
              <w:jc w:val="center"/>
              <w:rPr>
                <w:rFonts w:ascii="Arial" w:eastAsia="Times New Roman" w:hAnsi="Arial" w:cs="Arial"/>
                <w:b/>
                <w:szCs w:val="24"/>
              </w:rPr>
            </w:pPr>
            <w:r w:rsidRPr="008C292C">
              <w:rPr>
                <w:rFonts w:ascii="Arial" w:eastAsia="Times New Roman" w:hAnsi="Arial" w:cs="Arial"/>
                <w:b/>
                <w:szCs w:val="24"/>
              </w:rPr>
              <w:t>385</w:t>
            </w:r>
          </w:p>
        </w:tc>
        <w:tc>
          <w:tcPr>
            <w:tcW w:w="1780" w:type="dxa"/>
            <w:shd w:val="clear" w:color="auto" w:fill="DAEEF3" w:themeFill="accent5" w:themeFillTint="33"/>
            <w:noWrap/>
            <w:vAlign w:val="center"/>
            <w:hideMark/>
          </w:tcPr>
          <w:p w:rsidR="000645BF" w:rsidRPr="008C292C" w:rsidRDefault="000645BF" w:rsidP="004E444C">
            <w:pPr>
              <w:spacing w:after="0" w:line="240" w:lineRule="auto"/>
              <w:jc w:val="center"/>
              <w:rPr>
                <w:rFonts w:ascii="Arial" w:eastAsia="Times New Roman" w:hAnsi="Arial" w:cs="Arial"/>
                <w:b/>
                <w:szCs w:val="24"/>
              </w:rPr>
            </w:pPr>
            <w:r w:rsidRPr="008C292C">
              <w:rPr>
                <w:rFonts w:ascii="Arial" w:eastAsia="Times New Roman" w:hAnsi="Arial" w:cs="Arial"/>
                <w:b/>
                <w:szCs w:val="24"/>
              </w:rPr>
              <w:t>4</w:t>
            </w:r>
          </w:p>
        </w:tc>
        <w:tc>
          <w:tcPr>
            <w:tcW w:w="1860" w:type="dxa"/>
            <w:shd w:val="clear" w:color="auto" w:fill="DAEEF3" w:themeFill="accent5" w:themeFillTint="33"/>
            <w:noWrap/>
            <w:vAlign w:val="center"/>
            <w:hideMark/>
          </w:tcPr>
          <w:p w:rsidR="000645BF" w:rsidRPr="008C292C" w:rsidRDefault="000645BF" w:rsidP="004E444C">
            <w:pPr>
              <w:spacing w:after="0" w:line="240" w:lineRule="auto"/>
              <w:jc w:val="center"/>
              <w:rPr>
                <w:rFonts w:ascii="Arial" w:eastAsia="Times New Roman" w:hAnsi="Arial" w:cs="Arial"/>
                <w:b/>
                <w:szCs w:val="24"/>
              </w:rPr>
            </w:pPr>
            <w:r w:rsidRPr="008C292C">
              <w:rPr>
                <w:rFonts w:ascii="Arial" w:eastAsia="Times New Roman" w:hAnsi="Arial" w:cs="Arial"/>
                <w:b/>
                <w:szCs w:val="24"/>
              </w:rPr>
              <w:t>29</w:t>
            </w:r>
          </w:p>
        </w:tc>
      </w:tr>
    </w:tbl>
    <w:p w:rsidR="000645BF" w:rsidRPr="000254EF" w:rsidRDefault="000645BF" w:rsidP="000645BF">
      <w:pPr>
        <w:spacing w:after="0" w:line="240" w:lineRule="auto"/>
        <w:jc w:val="both"/>
        <w:rPr>
          <w:rFonts w:ascii="Arial" w:hAnsi="Arial" w:cs="Arial"/>
          <w:b/>
          <w:i/>
          <w:sz w:val="24"/>
          <w:szCs w:val="24"/>
        </w:rPr>
      </w:pPr>
    </w:p>
    <w:p w:rsidR="000645BF" w:rsidRPr="00CB7541" w:rsidRDefault="000645BF" w:rsidP="000645BF">
      <w:pPr>
        <w:spacing w:line="240" w:lineRule="auto"/>
        <w:jc w:val="center"/>
        <w:rPr>
          <w:rFonts w:ascii="Arial" w:hAnsi="Arial" w:cs="Arial"/>
          <w:b/>
          <w:i/>
          <w:color w:val="FF0000"/>
          <w:sz w:val="20"/>
          <w:szCs w:val="20"/>
        </w:rPr>
      </w:pPr>
      <w:r w:rsidRPr="00CB7541">
        <w:rPr>
          <w:rFonts w:ascii="Arial" w:hAnsi="Arial" w:cs="Arial"/>
          <w:b/>
          <w:i/>
          <w:color w:val="FF0000"/>
          <w:sz w:val="20"/>
          <w:szCs w:val="20"/>
        </w:rPr>
        <w:br w:type="textWrapping" w:clear="all"/>
      </w:r>
      <w:r w:rsidRPr="001E1585">
        <w:rPr>
          <w:rFonts w:ascii="Arial" w:hAnsi="Arial" w:cs="Arial"/>
          <w:noProof/>
          <w:sz w:val="24"/>
        </w:rPr>
        <w:drawing>
          <wp:inline distT="0" distB="0" distL="0" distR="0">
            <wp:extent cx="6106602" cy="2926080"/>
            <wp:effectExtent l="0" t="0" r="8890" b="7620"/>
            <wp:docPr id="230"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645BF" w:rsidRPr="00071D2D" w:rsidRDefault="000645BF" w:rsidP="000645BF">
      <w:pPr>
        <w:spacing w:after="0" w:line="240" w:lineRule="auto"/>
        <w:jc w:val="both"/>
        <w:rPr>
          <w:rFonts w:ascii="Arial" w:hAnsi="Arial" w:cs="Arial"/>
          <w:b/>
          <w:i/>
          <w:sz w:val="20"/>
          <w:szCs w:val="16"/>
          <w:u w:val="single"/>
        </w:rPr>
      </w:pPr>
      <w:r w:rsidRPr="00C5094E">
        <w:rPr>
          <w:rFonts w:ascii="Arial" w:hAnsi="Arial" w:cs="Arial"/>
          <w:b/>
          <w:i/>
          <w:sz w:val="20"/>
          <w:szCs w:val="16"/>
        </w:rPr>
        <w:t>Figura II.2.1.</w:t>
      </w:r>
      <w:r>
        <w:rPr>
          <w:rFonts w:ascii="Arial" w:hAnsi="Arial" w:cs="Arial"/>
          <w:b/>
          <w:i/>
          <w:sz w:val="20"/>
          <w:szCs w:val="16"/>
        </w:rPr>
        <w:t>1.3</w:t>
      </w:r>
      <w:r w:rsidRPr="00C5094E">
        <w:rPr>
          <w:rFonts w:ascii="Arial" w:hAnsi="Arial" w:cs="Arial"/>
          <w:b/>
          <w:i/>
          <w:sz w:val="20"/>
          <w:szCs w:val="16"/>
        </w:rPr>
        <w:t xml:space="preserve"> Substanțe prioritare monitorizate în cursurile de apă pe spații/bazine hidrografice în anul 2017 (nr.)</w:t>
      </w:r>
      <w:r w:rsidRPr="00071D2D">
        <w:rPr>
          <w:rFonts w:ascii="Arial" w:hAnsi="Arial" w:cs="Arial"/>
          <w:b/>
          <w:i/>
          <w:sz w:val="20"/>
          <w:szCs w:val="16"/>
        </w:rPr>
        <w:t xml:space="preserve">– </w:t>
      </w:r>
      <w:r w:rsidRPr="00071D2D">
        <w:rPr>
          <w:rFonts w:ascii="Arial" w:hAnsi="Arial" w:cs="Arial"/>
          <w:b/>
          <w:i/>
          <w:sz w:val="20"/>
          <w:szCs w:val="16"/>
          <w:u w:val="single"/>
        </w:rPr>
        <w:t>mediul de investigare APĂ</w:t>
      </w:r>
    </w:p>
    <w:p w:rsidR="000645BF" w:rsidRDefault="000645BF" w:rsidP="000645BF">
      <w:pPr>
        <w:spacing w:line="240" w:lineRule="auto"/>
        <w:jc w:val="both"/>
        <w:rPr>
          <w:rFonts w:ascii="Arial" w:hAnsi="Arial" w:cs="Arial"/>
          <w:b/>
          <w:color w:val="FF0000"/>
          <w:sz w:val="20"/>
          <w:szCs w:val="20"/>
        </w:rPr>
      </w:pPr>
    </w:p>
    <w:p w:rsidR="000645BF" w:rsidRPr="00F85C0B" w:rsidRDefault="000645BF" w:rsidP="000645BF">
      <w:pPr>
        <w:spacing w:after="0" w:line="240" w:lineRule="auto"/>
        <w:rPr>
          <w:rFonts w:ascii="Arial" w:hAnsi="Arial" w:cs="Arial"/>
          <w:b/>
          <w:i/>
          <w:sz w:val="20"/>
          <w:szCs w:val="16"/>
        </w:rPr>
      </w:pPr>
      <w:r w:rsidRPr="00F85C0B">
        <w:rPr>
          <w:rFonts w:ascii="Arial" w:hAnsi="Arial" w:cs="Arial"/>
          <w:b/>
          <w:i/>
          <w:sz w:val="20"/>
          <w:szCs w:val="16"/>
        </w:rPr>
        <w:t>Tabel II.2.1.</w:t>
      </w:r>
      <w:r>
        <w:rPr>
          <w:rFonts w:ascii="Arial" w:hAnsi="Arial" w:cs="Arial"/>
          <w:b/>
          <w:i/>
          <w:sz w:val="20"/>
          <w:szCs w:val="16"/>
        </w:rPr>
        <w:t>1.</w:t>
      </w:r>
      <w:r w:rsidRPr="00F85C0B">
        <w:rPr>
          <w:rFonts w:ascii="Arial" w:hAnsi="Arial" w:cs="Arial"/>
          <w:b/>
          <w:i/>
          <w:sz w:val="20"/>
          <w:szCs w:val="16"/>
        </w:rPr>
        <w:t>3 Ponderea secțiunilor de monitorizare cu  concentrație mai mare decât SCM (%) în perioada 2011 - 2017</w:t>
      </w:r>
    </w:p>
    <w:tbl>
      <w:tblPr>
        <w:tblW w:w="9990" w:type="dxa"/>
        <w:jc w:val="center"/>
        <w:tblInd w:w="-280" w:type="dxa"/>
        <w:tblLook w:val="04A0"/>
      </w:tblPr>
      <w:tblGrid>
        <w:gridCol w:w="2520"/>
        <w:gridCol w:w="1170"/>
        <w:gridCol w:w="1080"/>
        <w:gridCol w:w="1080"/>
        <w:gridCol w:w="990"/>
        <w:gridCol w:w="990"/>
        <w:gridCol w:w="1097"/>
        <w:gridCol w:w="1063"/>
      </w:tblGrid>
      <w:tr w:rsidR="000645BF" w:rsidRPr="00F85C0B" w:rsidTr="004E444C">
        <w:trPr>
          <w:trHeight w:val="315"/>
          <w:jc w:val="center"/>
        </w:trPr>
        <w:tc>
          <w:tcPr>
            <w:tcW w:w="252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Anul</w:t>
            </w:r>
          </w:p>
        </w:tc>
        <w:tc>
          <w:tcPr>
            <w:tcW w:w="117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2011</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2012</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2013</w:t>
            </w:r>
          </w:p>
        </w:tc>
        <w:tc>
          <w:tcPr>
            <w:tcW w:w="9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2014</w:t>
            </w:r>
          </w:p>
        </w:tc>
        <w:tc>
          <w:tcPr>
            <w:tcW w:w="990"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2015</w:t>
            </w:r>
          </w:p>
        </w:tc>
        <w:tc>
          <w:tcPr>
            <w:tcW w:w="1097"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2016</w:t>
            </w:r>
          </w:p>
        </w:tc>
        <w:tc>
          <w:tcPr>
            <w:tcW w:w="1063" w:type="dxa"/>
            <w:tcBorders>
              <w:top w:val="single" w:sz="8" w:space="0" w:color="auto"/>
              <w:left w:val="nil"/>
              <w:bottom w:val="nil"/>
              <w:right w:val="single" w:sz="8" w:space="0" w:color="auto"/>
            </w:tcBorders>
            <w:shd w:val="clear" w:color="auto" w:fill="DBE5F1" w:themeFill="accent1" w:themeFillTint="33"/>
            <w:noWrap/>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2017</w:t>
            </w:r>
          </w:p>
        </w:tc>
      </w:tr>
      <w:tr w:rsidR="000645BF" w:rsidRPr="00F85C0B" w:rsidTr="004E444C">
        <w:trPr>
          <w:trHeight w:val="780"/>
          <w:jc w:val="center"/>
        </w:trPr>
        <w:tc>
          <w:tcPr>
            <w:tcW w:w="2520"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Substanțe prioritare monitorizate (nr.)</w:t>
            </w:r>
          </w:p>
        </w:tc>
        <w:tc>
          <w:tcPr>
            <w:tcW w:w="117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34</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37</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37</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37</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36</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42</w:t>
            </w:r>
          </w:p>
        </w:tc>
        <w:tc>
          <w:tcPr>
            <w:tcW w:w="106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33</w:t>
            </w:r>
          </w:p>
        </w:tc>
      </w:tr>
      <w:tr w:rsidR="000645BF" w:rsidRPr="00F85C0B" w:rsidTr="004E444C">
        <w:trPr>
          <w:trHeight w:val="525"/>
          <w:jc w:val="center"/>
        </w:trPr>
        <w:tc>
          <w:tcPr>
            <w:tcW w:w="2520" w:type="dxa"/>
            <w:tcBorders>
              <w:top w:val="nil"/>
              <w:left w:val="single" w:sz="8" w:space="0" w:color="auto"/>
              <w:bottom w:val="single" w:sz="8" w:space="0" w:color="auto"/>
              <w:right w:val="nil"/>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t>Secțiuni  de monitorizare (nr.)</w:t>
            </w:r>
          </w:p>
        </w:tc>
        <w:tc>
          <w:tcPr>
            <w:tcW w:w="11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430</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510</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498</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418</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435</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392</w:t>
            </w:r>
          </w:p>
        </w:tc>
        <w:tc>
          <w:tcPr>
            <w:tcW w:w="1063" w:type="dxa"/>
            <w:tcBorders>
              <w:top w:val="nil"/>
              <w:left w:val="nil"/>
              <w:bottom w:val="nil"/>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385</w:t>
            </w:r>
          </w:p>
        </w:tc>
      </w:tr>
      <w:tr w:rsidR="000645BF" w:rsidRPr="00F85C0B" w:rsidTr="004E444C">
        <w:trPr>
          <w:trHeight w:val="974"/>
          <w:jc w:val="center"/>
        </w:trPr>
        <w:tc>
          <w:tcPr>
            <w:tcW w:w="2520" w:type="dxa"/>
            <w:tcBorders>
              <w:top w:val="nil"/>
              <w:left w:val="single" w:sz="8" w:space="0" w:color="auto"/>
              <w:bottom w:val="single" w:sz="8" w:space="0" w:color="auto"/>
              <w:right w:val="nil"/>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b/>
                <w:bCs/>
                <w:sz w:val="20"/>
              </w:rPr>
            </w:pPr>
            <w:r w:rsidRPr="00F85C0B">
              <w:rPr>
                <w:rFonts w:ascii="Arial" w:eastAsia="Times New Roman" w:hAnsi="Arial" w:cs="Arial"/>
                <w:b/>
                <w:bCs/>
                <w:sz w:val="20"/>
              </w:rPr>
              <w:lastRenderedPageBreak/>
              <w:t>Ponderea secțiunilor  cu  concentrație mai mare dec</w:t>
            </w:r>
            <w:r>
              <w:rPr>
                <w:rFonts w:ascii="Arial" w:eastAsia="Times New Roman" w:hAnsi="Arial" w:cs="Arial"/>
                <w:b/>
                <w:bCs/>
                <w:sz w:val="20"/>
              </w:rPr>
              <w:t>ât</w:t>
            </w:r>
            <w:r w:rsidRPr="00F85C0B">
              <w:rPr>
                <w:rFonts w:ascii="Arial" w:eastAsia="Times New Roman" w:hAnsi="Arial" w:cs="Arial"/>
                <w:b/>
                <w:bCs/>
                <w:sz w:val="20"/>
              </w:rPr>
              <w:t xml:space="preserve"> SCM (%)</w:t>
            </w:r>
          </w:p>
        </w:tc>
        <w:tc>
          <w:tcPr>
            <w:tcW w:w="11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11,</w:t>
            </w:r>
            <w:r w:rsidRPr="00F85C0B">
              <w:rPr>
                <w:rFonts w:ascii="Arial" w:eastAsia="Times New Roman" w:hAnsi="Arial" w:cs="Arial"/>
                <w:sz w:val="20"/>
              </w:rPr>
              <w:t>39</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20</w:t>
            </w:r>
            <w:r>
              <w:rPr>
                <w:rFonts w:ascii="Arial" w:eastAsia="Times New Roman" w:hAnsi="Arial" w:cs="Arial"/>
                <w:sz w:val="20"/>
              </w:rPr>
              <w:t>,</w:t>
            </w:r>
            <w:r w:rsidRPr="00F85C0B">
              <w:rPr>
                <w:rFonts w:ascii="Arial" w:eastAsia="Times New Roman" w:hAnsi="Arial" w:cs="Arial"/>
                <w:sz w:val="20"/>
              </w:rPr>
              <w:t>19</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37,</w:t>
            </w:r>
            <w:r w:rsidRPr="00F85C0B">
              <w:rPr>
                <w:rFonts w:ascii="Arial" w:eastAsia="Times New Roman" w:hAnsi="Arial" w:cs="Arial"/>
                <w:sz w:val="20"/>
              </w:rPr>
              <w:t>95</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5,</w:t>
            </w:r>
            <w:r w:rsidRPr="00F85C0B">
              <w:rPr>
                <w:rFonts w:ascii="Arial" w:eastAsia="Times New Roman" w:hAnsi="Arial" w:cs="Arial"/>
                <w:sz w:val="20"/>
              </w:rPr>
              <w:t>49</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3,</w:t>
            </w:r>
            <w:r w:rsidRPr="00F85C0B">
              <w:rPr>
                <w:rFonts w:ascii="Arial" w:eastAsia="Times New Roman" w:hAnsi="Arial" w:cs="Arial"/>
                <w:sz w:val="20"/>
              </w:rPr>
              <w:t>44</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F85C0B" w:rsidRDefault="000645BF" w:rsidP="004E444C">
            <w:pPr>
              <w:spacing w:after="0" w:line="240" w:lineRule="auto"/>
              <w:jc w:val="center"/>
              <w:rPr>
                <w:rFonts w:ascii="Arial" w:eastAsia="Times New Roman" w:hAnsi="Arial" w:cs="Arial"/>
                <w:sz w:val="20"/>
              </w:rPr>
            </w:pPr>
            <w:r w:rsidRPr="00F85C0B">
              <w:rPr>
                <w:rFonts w:ascii="Arial" w:eastAsia="Times New Roman" w:hAnsi="Arial" w:cs="Arial"/>
                <w:sz w:val="20"/>
              </w:rPr>
              <w:t>3</w:t>
            </w:r>
            <w:r>
              <w:rPr>
                <w:rFonts w:ascii="Arial" w:eastAsia="Times New Roman" w:hAnsi="Arial" w:cs="Arial"/>
                <w:sz w:val="20"/>
              </w:rPr>
              <w:t>,</w:t>
            </w:r>
            <w:r w:rsidRPr="00F85C0B">
              <w:rPr>
                <w:rFonts w:ascii="Arial" w:eastAsia="Times New Roman" w:hAnsi="Arial" w:cs="Arial"/>
                <w:sz w:val="20"/>
              </w:rPr>
              <w:t>82</w:t>
            </w:r>
          </w:p>
        </w:tc>
        <w:tc>
          <w:tcPr>
            <w:tcW w:w="106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0645BF" w:rsidRPr="00F85C0B" w:rsidRDefault="000645BF" w:rsidP="004E444C">
            <w:pPr>
              <w:spacing w:after="0" w:line="240" w:lineRule="auto"/>
              <w:jc w:val="center"/>
              <w:rPr>
                <w:rFonts w:ascii="Arial" w:eastAsia="Times New Roman" w:hAnsi="Arial" w:cs="Arial"/>
                <w:sz w:val="20"/>
              </w:rPr>
            </w:pPr>
            <w:r>
              <w:rPr>
                <w:rFonts w:ascii="Arial" w:eastAsia="Times New Roman" w:hAnsi="Arial" w:cs="Arial"/>
                <w:sz w:val="20"/>
              </w:rPr>
              <w:t>5,</w:t>
            </w:r>
            <w:r w:rsidRPr="00F85C0B">
              <w:rPr>
                <w:rFonts w:ascii="Arial" w:eastAsia="Times New Roman" w:hAnsi="Arial" w:cs="Arial"/>
                <w:sz w:val="20"/>
              </w:rPr>
              <w:t>71</w:t>
            </w:r>
          </w:p>
        </w:tc>
      </w:tr>
    </w:tbl>
    <w:p w:rsidR="000645BF" w:rsidRDefault="000645BF" w:rsidP="000645BF">
      <w:pPr>
        <w:spacing w:after="0" w:line="240" w:lineRule="auto"/>
        <w:rPr>
          <w:rFonts w:ascii="Arial" w:hAnsi="Arial" w:cs="Arial"/>
          <w:b/>
          <w:i/>
          <w:sz w:val="20"/>
          <w:szCs w:val="16"/>
        </w:rPr>
      </w:pPr>
    </w:p>
    <w:p w:rsidR="000645BF" w:rsidRDefault="000645BF" w:rsidP="000645BF">
      <w:pPr>
        <w:spacing w:after="0" w:line="240" w:lineRule="auto"/>
        <w:jc w:val="both"/>
        <w:rPr>
          <w:rFonts w:ascii="Arial" w:hAnsi="Arial" w:cs="Arial"/>
          <w:b/>
          <w:bCs/>
          <w:sz w:val="24"/>
          <w:szCs w:val="24"/>
        </w:rPr>
      </w:pPr>
    </w:p>
    <w:p w:rsidR="000645BF" w:rsidRPr="00BA0B99" w:rsidRDefault="000645BF" w:rsidP="000645BF">
      <w:pPr>
        <w:spacing w:after="0" w:line="240" w:lineRule="auto"/>
        <w:jc w:val="both"/>
        <w:rPr>
          <w:rFonts w:ascii="Arial" w:hAnsi="Arial" w:cs="Arial"/>
          <w:b/>
          <w:bCs/>
          <w:sz w:val="24"/>
          <w:szCs w:val="24"/>
        </w:rPr>
      </w:pPr>
      <w:r w:rsidRPr="00BA0B99">
        <w:rPr>
          <w:rFonts w:ascii="Arial" w:hAnsi="Arial" w:cs="Arial"/>
          <w:b/>
          <w:bCs/>
          <w:sz w:val="24"/>
          <w:szCs w:val="24"/>
        </w:rPr>
        <w:t xml:space="preserve">II.2.1.2. Calitatea apei lacurilor </w:t>
      </w:r>
    </w:p>
    <w:p w:rsidR="000645BF" w:rsidRDefault="000645BF" w:rsidP="000645BF">
      <w:pPr>
        <w:pStyle w:val="Default"/>
        <w:ind w:firstLine="708"/>
        <w:jc w:val="both"/>
        <w:rPr>
          <w:rFonts w:ascii="Arial" w:hAnsi="Arial" w:cs="Arial"/>
          <w:iCs/>
          <w:color w:val="auto"/>
        </w:rPr>
      </w:pPr>
      <w:r>
        <w:rPr>
          <w:rFonts w:ascii="Arial" w:hAnsi="Arial" w:cs="Arial"/>
          <w:iCs/>
          <w:color w:val="auto"/>
        </w:rPr>
        <w:t>Lacuri de pe raza  județului  Brăila</w:t>
      </w:r>
    </w:p>
    <w:p w:rsidR="000645BF" w:rsidRPr="00E92120" w:rsidRDefault="000645BF" w:rsidP="000645BF">
      <w:pPr>
        <w:pStyle w:val="Default"/>
        <w:jc w:val="both"/>
        <w:rPr>
          <w:rFonts w:ascii="Arial" w:hAnsi="Arial" w:cs="Arial"/>
          <w:i/>
          <w:iCs/>
          <w:color w:val="auto"/>
        </w:rPr>
      </w:pPr>
      <w:r w:rsidRPr="00E92120">
        <w:rPr>
          <w:rFonts w:ascii="Arial" w:hAnsi="Arial" w:cs="Arial"/>
          <w:i/>
          <w:i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0"/>
        <w:gridCol w:w="3637"/>
      </w:tblGrid>
      <w:tr w:rsidR="000645BF" w:rsidRPr="00E92120" w:rsidTr="004E444C">
        <w:trPr>
          <w:trHeight w:val="572"/>
          <w:jc w:val="center"/>
        </w:trPr>
        <w:tc>
          <w:tcPr>
            <w:tcW w:w="1630" w:type="dxa"/>
            <w:shd w:val="clear" w:color="auto" w:fill="FBD4B4" w:themeFill="accent6" w:themeFillTint="66"/>
            <w:vAlign w:val="center"/>
          </w:tcPr>
          <w:p w:rsidR="000645BF" w:rsidRPr="00E92120" w:rsidRDefault="000645BF" w:rsidP="004E444C">
            <w:pPr>
              <w:pStyle w:val="Default"/>
              <w:jc w:val="both"/>
              <w:rPr>
                <w:rFonts w:ascii="Arial" w:hAnsi="Arial" w:cs="Arial"/>
                <w:color w:val="auto"/>
              </w:rPr>
            </w:pPr>
            <w:r w:rsidRPr="00E92120">
              <w:rPr>
                <w:rFonts w:ascii="Arial" w:hAnsi="Arial" w:cs="Arial"/>
                <w:b/>
                <w:bCs/>
                <w:color w:val="auto"/>
              </w:rPr>
              <w:t>Bazin/spațiu hidrografic</w:t>
            </w:r>
          </w:p>
        </w:tc>
        <w:tc>
          <w:tcPr>
            <w:tcW w:w="3637" w:type="dxa"/>
            <w:shd w:val="clear" w:color="auto" w:fill="FBD4B4" w:themeFill="accent6" w:themeFillTint="66"/>
            <w:vAlign w:val="center"/>
          </w:tcPr>
          <w:p w:rsidR="000645BF" w:rsidRPr="00E92120" w:rsidRDefault="000645BF" w:rsidP="004E444C">
            <w:pPr>
              <w:pStyle w:val="Default"/>
              <w:jc w:val="both"/>
              <w:rPr>
                <w:rFonts w:ascii="Arial" w:hAnsi="Arial" w:cs="Arial"/>
                <w:color w:val="auto"/>
              </w:rPr>
            </w:pPr>
            <w:r w:rsidRPr="00E92120">
              <w:rPr>
                <w:rFonts w:ascii="Arial" w:hAnsi="Arial" w:cs="Arial"/>
                <w:b/>
                <w:bCs/>
                <w:color w:val="auto"/>
              </w:rPr>
              <w:t>Secţiuni de control</w:t>
            </w:r>
          </w:p>
        </w:tc>
      </w:tr>
      <w:tr w:rsidR="000645BF" w:rsidRPr="00E92120" w:rsidTr="004E444C">
        <w:trPr>
          <w:trHeight w:val="305"/>
          <w:jc w:val="center"/>
        </w:trPr>
        <w:tc>
          <w:tcPr>
            <w:tcW w:w="1630" w:type="dxa"/>
            <w:shd w:val="clear" w:color="auto" w:fill="FDE9D9" w:themeFill="accent6" w:themeFillTint="33"/>
            <w:vAlign w:val="center"/>
          </w:tcPr>
          <w:p w:rsidR="000645BF" w:rsidRPr="00E92120" w:rsidRDefault="000645BF" w:rsidP="004E444C">
            <w:pPr>
              <w:pStyle w:val="Default"/>
              <w:jc w:val="both"/>
              <w:rPr>
                <w:rFonts w:ascii="Arial" w:hAnsi="Arial" w:cs="Arial"/>
                <w:color w:val="auto"/>
              </w:rPr>
            </w:pPr>
            <w:r w:rsidRPr="00E92120">
              <w:rPr>
                <w:rFonts w:ascii="Arial" w:hAnsi="Arial" w:cs="Arial"/>
                <w:color w:val="auto"/>
              </w:rPr>
              <w:t>BUZĂU</w:t>
            </w:r>
          </w:p>
        </w:tc>
        <w:tc>
          <w:tcPr>
            <w:tcW w:w="3637" w:type="dxa"/>
            <w:shd w:val="clear" w:color="auto" w:fill="FDE9D9" w:themeFill="accent6" w:themeFillTint="33"/>
            <w:vAlign w:val="center"/>
          </w:tcPr>
          <w:p w:rsidR="000645BF" w:rsidRPr="00E92120" w:rsidRDefault="000645BF" w:rsidP="004E44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E92120">
              <w:rPr>
                <w:rFonts w:ascii="Arial" w:hAnsi="Arial" w:cs="Arial"/>
                <w:sz w:val="24"/>
                <w:szCs w:val="24"/>
              </w:rPr>
              <w:t>LAC JIRLĂU</w:t>
            </w:r>
          </w:p>
        </w:tc>
      </w:tr>
      <w:tr w:rsidR="000645BF" w:rsidRPr="00E92120" w:rsidTr="004E444C">
        <w:trPr>
          <w:trHeight w:val="303"/>
          <w:jc w:val="center"/>
        </w:trPr>
        <w:tc>
          <w:tcPr>
            <w:tcW w:w="1630" w:type="dxa"/>
            <w:shd w:val="clear" w:color="auto" w:fill="FDE9D9" w:themeFill="accent6" w:themeFillTint="33"/>
            <w:vAlign w:val="center"/>
          </w:tcPr>
          <w:p w:rsidR="000645BF" w:rsidRPr="00E92120" w:rsidRDefault="000645BF" w:rsidP="004E444C">
            <w:pPr>
              <w:pStyle w:val="Default"/>
              <w:jc w:val="both"/>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0645BF" w:rsidRPr="00E92120" w:rsidRDefault="000645BF" w:rsidP="004E44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E92120">
              <w:rPr>
                <w:rFonts w:ascii="Arial" w:hAnsi="Arial" w:cs="Arial"/>
                <w:sz w:val="24"/>
                <w:szCs w:val="24"/>
              </w:rPr>
              <w:t>LAC SĂRAT MOVILA MIRESII</w:t>
            </w:r>
          </w:p>
        </w:tc>
      </w:tr>
      <w:tr w:rsidR="000645BF" w:rsidRPr="00E92120" w:rsidTr="004E444C">
        <w:trPr>
          <w:trHeight w:val="305"/>
          <w:jc w:val="center"/>
        </w:trPr>
        <w:tc>
          <w:tcPr>
            <w:tcW w:w="1630" w:type="dxa"/>
            <w:shd w:val="clear" w:color="auto" w:fill="FDE9D9" w:themeFill="accent6" w:themeFillTint="33"/>
            <w:vAlign w:val="center"/>
          </w:tcPr>
          <w:p w:rsidR="000645BF" w:rsidRPr="00E92120" w:rsidRDefault="000645BF" w:rsidP="004E444C">
            <w:pPr>
              <w:pStyle w:val="Default"/>
              <w:jc w:val="both"/>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0645BF" w:rsidRPr="00E92120" w:rsidRDefault="000645BF" w:rsidP="004E44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E92120">
              <w:rPr>
                <w:rFonts w:ascii="Arial" w:hAnsi="Arial" w:cs="Arial"/>
                <w:sz w:val="24"/>
                <w:szCs w:val="24"/>
              </w:rPr>
              <w:t xml:space="preserve">LAC SĂRAT </w:t>
            </w:r>
            <w:r>
              <w:rPr>
                <w:rFonts w:ascii="Arial" w:hAnsi="Arial" w:cs="Arial"/>
                <w:sz w:val="24"/>
                <w:szCs w:val="24"/>
              </w:rPr>
              <w:t>BRĂILA</w:t>
            </w:r>
          </w:p>
        </w:tc>
      </w:tr>
      <w:tr w:rsidR="000645BF" w:rsidRPr="00E92120" w:rsidTr="004E444C">
        <w:trPr>
          <w:trHeight w:val="315"/>
          <w:jc w:val="center"/>
        </w:trPr>
        <w:tc>
          <w:tcPr>
            <w:tcW w:w="1630" w:type="dxa"/>
            <w:shd w:val="clear" w:color="auto" w:fill="FDE9D9" w:themeFill="accent6" w:themeFillTint="33"/>
            <w:vAlign w:val="center"/>
          </w:tcPr>
          <w:p w:rsidR="000645BF" w:rsidRPr="00E92120" w:rsidRDefault="000645BF" w:rsidP="004E444C">
            <w:pPr>
              <w:pStyle w:val="Default"/>
              <w:jc w:val="both"/>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0645BF" w:rsidRPr="00E92120" w:rsidRDefault="000645BF" w:rsidP="004E44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E92120">
              <w:rPr>
                <w:rFonts w:ascii="Arial" w:hAnsi="Arial" w:cs="Arial"/>
                <w:sz w:val="24"/>
                <w:szCs w:val="24"/>
              </w:rPr>
              <w:t>LAC SEACA MOVILA MIRESII</w:t>
            </w:r>
          </w:p>
        </w:tc>
      </w:tr>
    </w:tbl>
    <w:p w:rsidR="000645BF" w:rsidRDefault="000645BF" w:rsidP="000645BF">
      <w:pPr>
        <w:spacing w:after="0" w:line="240" w:lineRule="auto"/>
        <w:jc w:val="both"/>
        <w:rPr>
          <w:rFonts w:ascii="Arial" w:hAnsi="Arial" w:cs="Arial"/>
          <w:b/>
          <w:bCs/>
          <w:sz w:val="24"/>
          <w:szCs w:val="24"/>
        </w:rPr>
      </w:pPr>
    </w:p>
    <w:p w:rsidR="000645BF" w:rsidRPr="00FB65E1" w:rsidRDefault="000645BF" w:rsidP="000645BF">
      <w:pPr>
        <w:spacing w:after="0" w:line="240" w:lineRule="auto"/>
        <w:jc w:val="both"/>
        <w:rPr>
          <w:rFonts w:ascii="Arial" w:hAnsi="Arial" w:cs="Arial"/>
          <w:b/>
          <w:sz w:val="24"/>
          <w:szCs w:val="24"/>
        </w:rPr>
      </w:pPr>
      <w:r w:rsidRPr="006E1558">
        <w:rPr>
          <w:rFonts w:ascii="Arial" w:hAnsi="Arial" w:cs="Arial"/>
          <w:b/>
          <w:sz w:val="24"/>
          <w:szCs w:val="24"/>
        </w:rPr>
        <w:t>INDICATOR WHS 03.  SUBSTANȚELE PRIORITARE DIN LACURI (RO66)</w:t>
      </w:r>
    </w:p>
    <w:p w:rsidR="000645BF" w:rsidRDefault="000645BF" w:rsidP="000645BF">
      <w:pPr>
        <w:spacing w:after="0" w:line="240" w:lineRule="auto"/>
        <w:jc w:val="both"/>
        <w:rPr>
          <w:rFonts w:ascii="Arial" w:hAnsi="Arial" w:cs="Arial"/>
          <w:b/>
          <w:i/>
          <w:sz w:val="24"/>
          <w:szCs w:val="24"/>
        </w:rPr>
      </w:pPr>
    </w:p>
    <w:p w:rsidR="000645BF" w:rsidRPr="00656230" w:rsidRDefault="000645BF" w:rsidP="000645BF">
      <w:pPr>
        <w:spacing w:line="240" w:lineRule="auto"/>
        <w:jc w:val="both"/>
        <w:rPr>
          <w:rFonts w:ascii="Arial" w:hAnsi="Arial" w:cs="Arial"/>
        </w:rPr>
      </w:pPr>
      <w:r w:rsidRPr="00F04597">
        <w:rPr>
          <w:rFonts w:ascii="Arial" w:hAnsi="Arial" w:cs="Arial"/>
          <w:i/>
          <w:sz w:val="24"/>
          <w:szCs w:val="24"/>
        </w:rPr>
        <w:t>Pentru acest indicator s-au avut în vedere raportarea substanțelor prioritare din HG 570/2016 care stau la baza evaluării stării chimice a apelor de suprafață (mediul de investigare APĂ). De asemenea, prin depășiri față de SCM se înțelege atât depășirile față de SCM-MA cât și față de SCM-MAC (conform H.G. 570/2016).</w:t>
      </w:r>
    </w:p>
    <w:p w:rsidR="000645BF" w:rsidRDefault="000645BF" w:rsidP="000645BF">
      <w:pPr>
        <w:spacing w:after="0" w:line="240" w:lineRule="auto"/>
        <w:jc w:val="both"/>
        <w:rPr>
          <w:rFonts w:ascii="Arial" w:hAnsi="Arial" w:cs="Arial"/>
          <w:b/>
          <w:i/>
          <w:sz w:val="24"/>
          <w:szCs w:val="24"/>
        </w:rPr>
      </w:pPr>
      <w:r w:rsidRPr="00656230">
        <w:rPr>
          <w:rFonts w:ascii="Arial" w:hAnsi="Arial" w:cs="Arial"/>
          <w:b/>
          <w:i/>
          <w:sz w:val="24"/>
          <w:szCs w:val="24"/>
        </w:rPr>
        <w:t>Distribuția numărului de substanțe prioritare monitorizate în lacuri (lacuri naturale, puternic modificate și artificiale) pe spații/bazine hidrografice în anul 2017</w:t>
      </w:r>
    </w:p>
    <w:p w:rsidR="000645BF" w:rsidRDefault="000645BF" w:rsidP="000645BF">
      <w:pPr>
        <w:spacing w:after="0" w:line="240" w:lineRule="auto"/>
        <w:jc w:val="both"/>
        <w:rPr>
          <w:rFonts w:ascii="Arial" w:hAnsi="Arial" w:cs="Arial"/>
          <w:b/>
          <w:i/>
          <w:sz w:val="20"/>
          <w:szCs w:val="16"/>
        </w:rPr>
      </w:pPr>
    </w:p>
    <w:p w:rsidR="000645BF" w:rsidRPr="004E444C" w:rsidRDefault="000645BF" w:rsidP="000645BF">
      <w:pPr>
        <w:spacing w:after="0" w:line="240" w:lineRule="auto"/>
        <w:jc w:val="both"/>
        <w:rPr>
          <w:rFonts w:ascii="Arial" w:hAnsi="Arial" w:cs="Arial"/>
          <w:i/>
          <w:sz w:val="20"/>
          <w:szCs w:val="16"/>
          <w:u w:val="single"/>
        </w:rPr>
      </w:pPr>
      <w:r w:rsidRPr="00071D2D">
        <w:rPr>
          <w:rFonts w:ascii="Arial" w:hAnsi="Arial" w:cs="Arial"/>
          <w:b/>
          <w:i/>
          <w:sz w:val="20"/>
          <w:szCs w:val="16"/>
        </w:rPr>
        <w:t>Tabel II.2.1.</w:t>
      </w:r>
      <w:r>
        <w:rPr>
          <w:rFonts w:ascii="Arial" w:hAnsi="Arial" w:cs="Arial"/>
          <w:b/>
          <w:i/>
          <w:sz w:val="20"/>
          <w:szCs w:val="16"/>
        </w:rPr>
        <w:t>2.1</w:t>
      </w:r>
      <w:r w:rsidRPr="00071D2D">
        <w:rPr>
          <w:rFonts w:ascii="Arial" w:hAnsi="Arial" w:cs="Arial"/>
          <w:b/>
          <w:i/>
          <w:sz w:val="20"/>
          <w:szCs w:val="16"/>
        </w:rPr>
        <w:t xml:space="preserve"> </w:t>
      </w:r>
      <w:r w:rsidRPr="004E444C">
        <w:rPr>
          <w:rFonts w:ascii="Arial" w:hAnsi="Arial" w:cs="Arial"/>
          <w:i/>
          <w:sz w:val="20"/>
          <w:szCs w:val="16"/>
        </w:rPr>
        <w:t xml:space="preserve">Distribuția substanțelor prioritare monitorizate în lacuri (lacuri naturale, puternic modificate și artificiale) pe spații/bazine hidrografice în anul 2017 – </w:t>
      </w:r>
      <w:r w:rsidRPr="004E444C">
        <w:rPr>
          <w:rFonts w:ascii="Arial" w:hAnsi="Arial" w:cs="Arial"/>
          <w:i/>
          <w:sz w:val="20"/>
          <w:szCs w:val="16"/>
          <w:u w:val="single"/>
        </w:rPr>
        <w:t>mediul de investigare APĂ</w:t>
      </w:r>
    </w:p>
    <w:tbl>
      <w:tblPr>
        <w:tblW w:w="9018" w:type="dxa"/>
        <w:jc w:val="center"/>
        <w:tblLook w:val="04A0"/>
      </w:tblPr>
      <w:tblGrid>
        <w:gridCol w:w="2150"/>
        <w:gridCol w:w="1330"/>
        <w:gridCol w:w="1720"/>
        <w:gridCol w:w="2380"/>
        <w:gridCol w:w="1524"/>
      </w:tblGrid>
      <w:tr w:rsidR="000645BF" w:rsidRPr="00A4508A" w:rsidTr="004E444C">
        <w:trPr>
          <w:trHeight w:val="315"/>
          <w:jc w:val="center"/>
        </w:trPr>
        <w:tc>
          <w:tcPr>
            <w:tcW w:w="2150"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Spațiu / Bazin hidrografic</w:t>
            </w:r>
          </w:p>
        </w:tc>
        <w:tc>
          <w:tcPr>
            <w:tcW w:w="1330"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Corpuri de apă (nr.)</w:t>
            </w:r>
          </w:p>
        </w:tc>
        <w:tc>
          <w:tcPr>
            <w:tcW w:w="4100" w:type="dxa"/>
            <w:gridSpan w:val="2"/>
            <w:tcBorders>
              <w:top w:val="single" w:sz="8" w:space="0" w:color="auto"/>
              <w:left w:val="nil"/>
              <w:bottom w:val="single" w:sz="8" w:space="0" w:color="auto"/>
              <w:right w:val="single" w:sz="8" w:space="0" w:color="000000"/>
            </w:tcBorders>
            <w:shd w:val="clear" w:color="auto" w:fill="DAEEF3" w:themeFill="accent5"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 xml:space="preserve">Substanțe prioritare </w:t>
            </w:r>
            <w:r w:rsidRPr="00154440">
              <w:rPr>
                <w:rFonts w:ascii="Arial" w:eastAsia="Times New Roman" w:hAnsi="Arial" w:cs="Arial"/>
                <w:b/>
                <w:bCs/>
                <w:color w:val="000000"/>
              </w:rPr>
              <w:t xml:space="preserve"> monitorizate</w:t>
            </w:r>
          </w:p>
        </w:tc>
        <w:tc>
          <w:tcPr>
            <w:tcW w:w="1438"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Secțiuni monitorizate (nr.)</w:t>
            </w:r>
          </w:p>
        </w:tc>
      </w:tr>
      <w:tr w:rsidR="000645BF" w:rsidRPr="00A4508A" w:rsidTr="004E444C">
        <w:trPr>
          <w:trHeight w:val="690"/>
          <w:jc w:val="center"/>
        </w:trPr>
        <w:tc>
          <w:tcPr>
            <w:tcW w:w="2150"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rPr>
                <w:rFonts w:ascii="Arial" w:eastAsia="Times New Roman" w:hAnsi="Arial" w:cs="Arial"/>
                <w:b/>
                <w:bCs/>
                <w:color w:val="000000"/>
              </w:rPr>
            </w:pPr>
          </w:p>
        </w:tc>
        <w:tc>
          <w:tcPr>
            <w:tcW w:w="1330" w:type="dxa"/>
            <w:vMerge/>
            <w:tcBorders>
              <w:top w:val="single" w:sz="8" w:space="0" w:color="auto"/>
              <w:left w:val="single" w:sz="8" w:space="0" w:color="auto"/>
              <w:bottom w:val="single" w:sz="4" w:space="0" w:color="auto"/>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rPr>
                <w:rFonts w:ascii="Arial" w:eastAsia="Times New Roman" w:hAnsi="Arial" w:cs="Arial"/>
                <w:b/>
                <w:bCs/>
                <w:color w:val="000000"/>
              </w:rPr>
            </w:pPr>
          </w:p>
        </w:tc>
        <w:tc>
          <w:tcPr>
            <w:tcW w:w="1720" w:type="dxa"/>
            <w:tcBorders>
              <w:top w:val="nil"/>
              <w:left w:val="nil"/>
              <w:bottom w:val="nil"/>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Metale prioritare (nr.)</w:t>
            </w:r>
          </w:p>
        </w:tc>
        <w:tc>
          <w:tcPr>
            <w:tcW w:w="2380" w:type="dxa"/>
            <w:tcBorders>
              <w:top w:val="nil"/>
              <w:left w:val="nil"/>
              <w:bottom w:val="nil"/>
              <w:right w:val="nil"/>
            </w:tcBorders>
            <w:shd w:val="clear" w:color="auto" w:fill="DAEEF3" w:themeFill="accent5"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Micropoluanți organici (nr.)</w:t>
            </w:r>
          </w:p>
        </w:tc>
        <w:tc>
          <w:tcPr>
            <w:tcW w:w="1438"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0645BF" w:rsidRPr="00A4508A" w:rsidRDefault="000645BF" w:rsidP="004E444C">
            <w:pPr>
              <w:spacing w:after="0" w:line="240" w:lineRule="auto"/>
              <w:rPr>
                <w:rFonts w:ascii="Arial" w:eastAsia="Times New Roman" w:hAnsi="Arial" w:cs="Arial"/>
                <w:b/>
                <w:bCs/>
                <w:color w:val="000000"/>
              </w:rPr>
            </w:pPr>
          </w:p>
        </w:tc>
      </w:tr>
      <w:tr w:rsidR="000645BF" w:rsidRPr="00A4508A" w:rsidTr="004E444C">
        <w:trPr>
          <w:trHeight w:val="315"/>
          <w:jc w:val="center"/>
        </w:trPr>
        <w:tc>
          <w:tcPr>
            <w:tcW w:w="2150"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Someș-Tisa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12</w:t>
            </w:r>
          </w:p>
        </w:tc>
        <w:tc>
          <w:tcPr>
            <w:tcW w:w="1720" w:type="dxa"/>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10</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Crișuri</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0</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0</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Mureș</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2</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Banat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Jiu</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16</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3</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Olt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11</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7</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Argeș - Vedea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18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2</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Buzău - Ialomița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29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1</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3</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Siret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10</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8</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3</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Prut - Bârlad</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26</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22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11</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Dobrogea - Litoral</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color w:val="000000"/>
              </w:rPr>
            </w:pPr>
            <w:r w:rsidRPr="00A4508A">
              <w:rPr>
                <w:rFonts w:ascii="Arial" w:eastAsia="Times New Roman" w:hAnsi="Arial" w:cs="Arial"/>
                <w:color w:val="000000"/>
              </w:rPr>
              <w:t>22</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3</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3</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rPr>
            </w:pPr>
            <w:r w:rsidRPr="00A4508A">
              <w:rPr>
                <w:rFonts w:ascii="Arial" w:eastAsia="Times New Roman" w:hAnsi="Arial" w:cs="Arial"/>
              </w:rPr>
              <w:t>10</w:t>
            </w:r>
          </w:p>
        </w:tc>
      </w:tr>
      <w:tr w:rsidR="000645BF" w:rsidRPr="00A4508A" w:rsidTr="004E444C">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bCs/>
                <w:color w:val="000000"/>
              </w:rPr>
            </w:pPr>
            <w:r w:rsidRPr="00A4508A">
              <w:rPr>
                <w:rFonts w:ascii="Arial" w:eastAsia="Times New Roman" w:hAnsi="Arial" w:cs="Arial"/>
                <w:b/>
                <w:bCs/>
                <w:color w:val="000000"/>
              </w:rPr>
              <w:t>Total</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color w:val="000000"/>
              </w:rPr>
            </w:pPr>
            <w:r w:rsidRPr="00A4508A">
              <w:rPr>
                <w:rFonts w:ascii="Arial" w:eastAsia="Times New Roman" w:hAnsi="Arial" w:cs="Arial"/>
                <w:b/>
                <w:color w:val="000000"/>
              </w:rPr>
              <w:t>169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rPr>
            </w:pPr>
            <w:r w:rsidRPr="00A4508A">
              <w:rPr>
                <w:rFonts w:ascii="Arial" w:eastAsia="Times New Roman" w:hAnsi="Arial" w:cs="Arial"/>
                <w:b/>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rPr>
            </w:pPr>
            <w:r w:rsidRPr="00A4508A">
              <w:rPr>
                <w:rFonts w:ascii="Arial" w:eastAsia="Times New Roman" w:hAnsi="Arial" w:cs="Arial"/>
                <w:b/>
              </w:rPr>
              <w:t>22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A4508A" w:rsidRDefault="000645BF" w:rsidP="004E444C">
            <w:pPr>
              <w:spacing w:after="0" w:line="240" w:lineRule="auto"/>
              <w:jc w:val="center"/>
              <w:rPr>
                <w:rFonts w:ascii="Arial" w:eastAsia="Times New Roman" w:hAnsi="Arial" w:cs="Arial"/>
                <w:b/>
              </w:rPr>
            </w:pPr>
            <w:r w:rsidRPr="00A4508A">
              <w:rPr>
                <w:rFonts w:ascii="Arial" w:eastAsia="Times New Roman" w:hAnsi="Arial" w:cs="Arial"/>
                <w:b/>
              </w:rPr>
              <w:t>55</w:t>
            </w:r>
          </w:p>
        </w:tc>
      </w:tr>
    </w:tbl>
    <w:p w:rsidR="000645BF" w:rsidRPr="00CB7541" w:rsidRDefault="000645BF" w:rsidP="000645BF">
      <w:pPr>
        <w:spacing w:after="0" w:line="240" w:lineRule="auto"/>
        <w:rPr>
          <w:rFonts w:ascii="Arial" w:hAnsi="Arial" w:cs="Arial"/>
          <w:color w:val="FF0000"/>
        </w:rPr>
      </w:pPr>
    </w:p>
    <w:p w:rsidR="000645BF" w:rsidRPr="00CB7541" w:rsidRDefault="000645BF" w:rsidP="000645BF">
      <w:pPr>
        <w:spacing w:line="240" w:lineRule="auto"/>
        <w:jc w:val="both"/>
        <w:rPr>
          <w:rFonts w:ascii="Arial" w:hAnsi="Arial" w:cs="Arial"/>
          <w:b/>
          <w:i/>
          <w:color w:val="FF0000"/>
          <w:sz w:val="20"/>
          <w:szCs w:val="20"/>
          <w:u w:val="single"/>
        </w:rPr>
      </w:pPr>
    </w:p>
    <w:p w:rsidR="000645BF" w:rsidRPr="00CB7541" w:rsidRDefault="000645BF" w:rsidP="000645BF">
      <w:pPr>
        <w:spacing w:line="240" w:lineRule="auto"/>
        <w:jc w:val="center"/>
        <w:rPr>
          <w:rFonts w:ascii="Arial" w:hAnsi="Arial" w:cs="Arial"/>
          <w:b/>
          <w:i/>
          <w:color w:val="FF0000"/>
          <w:sz w:val="20"/>
          <w:szCs w:val="20"/>
          <w:u w:val="single"/>
        </w:rPr>
      </w:pPr>
      <w:r>
        <w:rPr>
          <w:noProof/>
        </w:rPr>
        <w:lastRenderedPageBreak/>
        <w:drawing>
          <wp:inline distT="0" distB="0" distL="0" distR="0">
            <wp:extent cx="5843905" cy="2981740"/>
            <wp:effectExtent l="19050" t="0" r="23495" b="9110"/>
            <wp:docPr id="231"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645BF" w:rsidRDefault="000645BF" w:rsidP="000645BF">
      <w:pPr>
        <w:spacing w:after="0" w:line="240" w:lineRule="auto"/>
        <w:jc w:val="both"/>
        <w:rPr>
          <w:rFonts w:ascii="Arial" w:hAnsi="Arial" w:cs="Arial"/>
          <w:b/>
          <w:i/>
          <w:sz w:val="20"/>
          <w:szCs w:val="16"/>
          <w:u w:val="single"/>
        </w:rPr>
      </w:pPr>
      <w:r w:rsidRPr="00996435">
        <w:rPr>
          <w:rFonts w:ascii="Arial" w:hAnsi="Arial" w:cs="Arial"/>
          <w:b/>
          <w:i/>
          <w:sz w:val="20"/>
          <w:szCs w:val="16"/>
        </w:rPr>
        <w:t>Figura II.2.1.2.1 Distribuția substanțelor prioritare monitorizate în lacuri (lacuri naturale, puternic modificate și artificiale</w:t>
      </w:r>
      <w:r w:rsidRPr="00C41CFB">
        <w:rPr>
          <w:rFonts w:ascii="Arial" w:hAnsi="Arial" w:cs="Arial"/>
          <w:b/>
          <w:i/>
          <w:sz w:val="20"/>
          <w:szCs w:val="16"/>
        </w:rPr>
        <w:t xml:space="preserve">) pe spații/bazine hidrografice în anul 2017 – </w:t>
      </w:r>
      <w:r w:rsidRPr="00C41CFB">
        <w:rPr>
          <w:rFonts w:ascii="Arial" w:hAnsi="Arial" w:cs="Arial"/>
          <w:b/>
          <w:i/>
          <w:sz w:val="20"/>
          <w:szCs w:val="16"/>
          <w:u w:val="single"/>
        </w:rPr>
        <w:t>mediul de investigare APĂ</w:t>
      </w:r>
    </w:p>
    <w:p w:rsidR="000645BF" w:rsidRDefault="000645BF" w:rsidP="000645BF">
      <w:pPr>
        <w:spacing w:after="0" w:line="240" w:lineRule="auto"/>
        <w:jc w:val="both"/>
        <w:rPr>
          <w:rFonts w:ascii="Arial" w:hAnsi="Arial" w:cs="Arial"/>
          <w:b/>
          <w:i/>
          <w:sz w:val="20"/>
          <w:szCs w:val="16"/>
          <w:u w:val="single"/>
        </w:rPr>
      </w:pPr>
    </w:p>
    <w:p w:rsidR="000645BF" w:rsidRPr="00DD2DF8" w:rsidRDefault="000645BF" w:rsidP="000645BF">
      <w:pPr>
        <w:spacing w:after="0" w:line="240" w:lineRule="auto"/>
        <w:jc w:val="both"/>
        <w:rPr>
          <w:rFonts w:ascii="Arial" w:hAnsi="Arial" w:cs="Arial"/>
          <w:i/>
          <w:sz w:val="20"/>
          <w:szCs w:val="16"/>
        </w:rPr>
      </w:pPr>
      <w:r>
        <w:rPr>
          <w:rFonts w:ascii="Arial" w:hAnsi="Arial" w:cs="Arial"/>
          <w:b/>
          <w:i/>
          <w:sz w:val="20"/>
          <w:szCs w:val="16"/>
        </w:rPr>
        <w:t>Tabel II.2.1.2</w:t>
      </w:r>
      <w:r w:rsidRPr="00DD2DF8">
        <w:rPr>
          <w:rFonts w:ascii="Arial" w:hAnsi="Arial" w:cs="Arial"/>
          <w:b/>
          <w:i/>
          <w:sz w:val="20"/>
          <w:szCs w:val="16"/>
        </w:rPr>
        <w:t>.</w:t>
      </w:r>
      <w:r>
        <w:rPr>
          <w:rFonts w:ascii="Arial" w:hAnsi="Arial" w:cs="Arial"/>
          <w:b/>
          <w:i/>
          <w:sz w:val="20"/>
          <w:szCs w:val="16"/>
        </w:rPr>
        <w:t>2</w:t>
      </w:r>
      <w:r w:rsidRPr="00DD2DF8">
        <w:rPr>
          <w:rFonts w:ascii="Arial" w:hAnsi="Arial" w:cs="Arial"/>
          <w:b/>
          <w:i/>
          <w:sz w:val="20"/>
          <w:szCs w:val="16"/>
        </w:rPr>
        <w:t xml:space="preserve"> Ponderea secțiunilor de monitorizare a substanțelor prioritare cu concentrații mai mari decât SCM (%) pentru anul 2017 pe spații/bazine hidrografice– </w:t>
      </w:r>
      <w:r w:rsidRPr="00DD2DF8">
        <w:rPr>
          <w:rFonts w:ascii="Arial" w:hAnsi="Arial" w:cs="Arial"/>
          <w:b/>
          <w:i/>
          <w:sz w:val="20"/>
          <w:szCs w:val="16"/>
          <w:u w:val="single"/>
        </w:rPr>
        <w:t>mediul de investigare APĂ</w:t>
      </w:r>
    </w:p>
    <w:p w:rsidR="000645BF" w:rsidRPr="00C41CFB" w:rsidRDefault="000645BF" w:rsidP="000645BF">
      <w:pPr>
        <w:spacing w:after="0" w:line="240" w:lineRule="auto"/>
        <w:jc w:val="both"/>
        <w:rPr>
          <w:rFonts w:ascii="Arial" w:hAnsi="Arial" w:cs="Arial"/>
          <w:b/>
          <w:i/>
          <w:sz w:val="20"/>
          <w:szCs w:val="16"/>
          <w:u w:val="single"/>
        </w:rPr>
      </w:pPr>
    </w:p>
    <w:tbl>
      <w:tblPr>
        <w:tblW w:w="7580" w:type="dxa"/>
        <w:jc w:val="center"/>
        <w:tblLook w:val="04A0"/>
      </w:tblPr>
      <w:tblGrid>
        <w:gridCol w:w="2060"/>
        <w:gridCol w:w="1420"/>
        <w:gridCol w:w="1910"/>
        <w:gridCol w:w="2190"/>
      </w:tblGrid>
      <w:tr w:rsidR="000645BF" w:rsidRPr="00C41CFB" w:rsidTr="004E444C">
        <w:trPr>
          <w:trHeight w:val="1440"/>
          <w:jc w:val="center"/>
        </w:trPr>
        <w:tc>
          <w:tcPr>
            <w:tcW w:w="2060" w:type="dxa"/>
            <w:tcBorders>
              <w:top w:val="single" w:sz="8" w:space="0" w:color="auto"/>
              <w:left w:val="single" w:sz="8" w:space="0" w:color="auto"/>
              <w:bottom w:val="nil"/>
              <w:right w:val="single" w:sz="8" w:space="0" w:color="auto"/>
            </w:tcBorders>
            <w:shd w:val="clear" w:color="auto" w:fill="92CDDC" w:themeFill="accent5" w:themeFillTint="99"/>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Spațiu / Bazin hidrografic</w:t>
            </w:r>
          </w:p>
        </w:tc>
        <w:tc>
          <w:tcPr>
            <w:tcW w:w="1420" w:type="dxa"/>
            <w:tcBorders>
              <w:top w:val="single" w:sz="8" w:space="0" w:color="auto"/>
              <w:left w:val="nil"/>
              <w:bottom w:val="nil"/>
              <w:right w:val="single" w:sz="8" w:space="0" w:color="auto"/>
            </w:tcBorders>
            <w:shd w:val="clear" w:color="auto" w:fill="92CDDC" w:themeFill="accent5" w:themeFillTint="99"/>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Secțiuni de monitorizare</w:t>
            </w:r>
            <w:r w:rsidRPr="00C41CFB">
              <w:rPr>
                <w:rFonts w:ascii="Arial" w:eastAsia="Times New Roman" w:hAnsi="Arial" w:cs="Arial"/>
                <w:b/>
                <w:bCs/>
                <w:sz w:val="20"/>
                <w:szCs w:val="20"/>
              </w:rPr>
              <w:br/>
              <w:t>(nr.)</w:t>
            </w:r>
          </w:p>
        </w:tc>
        <w:tc>
          <w:tcPr>
            <w:tcW w:w="1910" w:type="dxa"/>
            <w:tcBorders>
              <w:top w:val="single" w:sz="8" w:space="0" w:color="auto"/>
              <w:left w:val="nil"/>
              <w:bottom w:val="nil"/>
              <w:right w:val="single" w:sz="8" w:space="0" w:color="auto"/>
            </w:tcBorders>
            <w:shd w:val="clear" w:color="auto" w:fill="92CDDC" w:themeFill="accent5" w:themeFillTint="99"/>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Secțiuni de monitorizare cu concentrații mai mari decât SCM (nr.)</w:t>
            </w:r>
          </w:p>
        </w:tc>
        <w:tc>
          <w:tcPr>
            <w:tcW w:w="2190" w:type="dxa"/>
            <w:tcBorders>
              <w:top w:val="single" w:sz="8" w:space="0" w:color="auto"/>
              <w:left w:val="nil"/>
              <w:bottom w:val="nil"/>
              <w:right w:val="single" w:sz="8" w:space="0" w:color="auto"/>
            </w:tcBorders>
            <w:shd w:val="clear" w:color="auto" w:fill="92CDDC" w:themeFill="accent5" w:themeFillTint="99"/>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Ponderea secțiunilor de monitorizare cu  concentrații mai mari decât SCM</w:t>
            </w:r>
            <w:r w:rsidRPr="00C41CFB">
              <w:rPr>
                <w:rFonts w:ascii="Arial" w:eastAsia="Times New Roman" w:hAnsi="Arial" w:cs="Arial"/>
                <w:b/>
                <w:bCs/>
                <w:sz w:val="20"/>
                <w:szCs w:val="20"/>
              </w:rPr>
              <w:br/>
              <w:t xml:space="preserve"> (%)</w:t>
            </w:r>
          </w:p>
        </w:tc>
      </w:tr>
      <w:tr w:rsidR="000645BF" w:rsidRPr="00C41CFB" w:rsidTr="004E444C">
        <w:trPr>
          <w:trHeight w:val="315"/>
          <w:jc w:val="center"/>
        </w:trPr>
        <w:tc>
          <w:tcPr>
            <w:tcW w:w="206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Someș - Tisa</w:t>
            </w:r>
          </w:p>
        </w:tc>
        <w:tc>
          <w:tcPr>
            <w:tcW w:w="142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10</w:t>
            </w:r>
          </w:p>
        </w:tc>
        <w:tc>
          <w:tcPr>
            <w:tcW w:w="191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Crișuri</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Mureș</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2</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Banat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4</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Jiu</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Olt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7</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Argeș - Vedea</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2</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Buzău - Ialomița</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Siret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Prut - Bârlad</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11</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0</w:t>
            </w:r>
          </w:p>
        </w:tc>
      </w:tr>
      <w:tr w:rsidR="000645BF" w:rsidRPr="00C41CFB" w:rsidTr="004E444C">
        <w:trPr>
          <w:trHeight w:val="443"/>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Dobrogea - Litoral</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10</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1</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C41CFB" w:rsidRDefault="000645BF" w:rsidP="004E444C">
            <w:pPr>
              <w:spacing w:after="0" w:line="240" w:lineRule="auto"/>
              <w:jc w:val="center"/>
              <w:rPr>
                <w:rFonts w:ascii="Arial" w:eastAsia="Times New Roman" w:hAnsi="Arial" w:cs="Arial"/>
                <w:sz w:val="20"/>
                <w:szCs w:val="20"/>
              </w:rPr>
            </w:pPr>
            <w:r w:rsidRPr="00C41CFB">
              <w:rPr>
                <w:rFonts w:ascii="Arial" w:eastAsia="Times New Roman" w:hAnsi="Arial" w:cs="Arial"/>
                <w:sz w:val="20"/>
                <w:szCs w:val="20"/>
              </w:rPr>
              <w:t>10</w:t>
            </w:r>
          </w:p>
        </w:tc>
      </w:tr>
      <w:tr w:rsidR="000645BF" w:rsidRPr="00C41CFB" w:rsidTr="004E444C">
        <w:trPr>
          <w:trHeight w:val="315"/>
          <w:jc w:val="center"/>
        </w:trPr>
        <w:tc>
          <w:tcPr>
            <w:tcW w:w="2060"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0645BF" w:rsidRPr="00C41CFB" w:rsidRDefault="000645BF" w:rsidP="004E444C">
            <w:pPr>
              <w:spacing w:after="0" w:line="240" w:lineRule="auto"/>
              <w:jc w:val="center"/>
              <w:rPr>
                <w:rFonts w:ascii="Arial" w:eastAsia="Times New Roman" w:hAnsi="Arial" w:cs="Arial"/>
                <w:b/>
                <w:bCs/>
                <w:sz w:val="20"/>
                <w:szCs w:val="20"/>
              </w:rPr>
            </w:pPr>
            <w:r w:rsidRPr="00C41CFB">
              <w:rPr>
                <w:rFonts w:ascii="Arial" w:eastAsia="Times New Roman" w:hAnsi="Arial" w:cs="Arial"/>
                <w:b/>
                <w:bCs/>
                <w:sz w:val="20"/>
                <w:szCs w:val="20"/>
              </w:rPr>
              <w:t>Total</w:t>
            </w:r>
          </w:p>
        </w:tc>
        <w:tc>
          <w:tcPr>
            <w:tcW w:w="142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C41CFB" w:rsidRDefault="000645BF" w:rsidP="004E444C">
            <w:pPr>
              <w:spacing w:after="0" w:line="240" w:lineRule="auto"/>
              <w:jc w:val="center"/>
              <w:rPr>
                <w:rFonts w:ascii="Arial" w:eastAsia="Times New Roman" w:hAnsi="Arial" w:cs="Arial"/>
                <w:b/>
                <w:sz w:val="20"/>
                <w:szCs w:val="20"/>
              </w:rPr>
            </w:pPr>
            <w:r w:rsidRPr="00C41CFB">
              <w:rPr>
                <w:rFonts w:ascii="Arial" w:eastAsia="Times New Roman" w:hAnsi="Arial" w:cs="Arial"/>
                <w:b/>
                <w:sz w:val="20"/>
                <w:szCs w:val="20"/>
              </w:rPr>
              <w:t>55</w:t>
            </w:r>
          </w:p>
        </w:tc>
        <w:tc>
          <w:tcPr>
            <w:tcW w:w="191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C41CFB" w:rsidRDefault="000645BF" w:rsidP="004E444C">
            <w:pPr>
              <w:spacing w:after="0" w:line="240" w:lineRule="auto"/>
              <w:jc w:val="center"/>
              <w:rPr>
                <w:rFonts w:ascii="Arial" w:eastAsia="Times New Roman" w:hAnsi="Arial" w:cs="Arial"/>
                <w:b/>
                <w:sz w:val="20"/>
                <w:szCs w:val="20"/>
              </w:rPr>
            </w:pPr>
            <w:r w:rsidRPr="00C41CFB">
              <w:rPr>
                <w:rFonts w:ascii="Arial" w:eastAsia="Times New Roman" w:hAnsi="Arial" w:cs="Arial"/>
                <w:b/>
                <w:sz w:val="20"/>
                <w:szCs w:val="20"/>
              </w:rPr>
              <w:t>1</w:t>
            </w:r>
          </w:p>
        </w:tc>
        <w:tc>
          <w:tcPr>
            <w:tcW w:w="2190" w:type="dxa"/>
            <w:tcBorders>
              <w:top w:val="nil"/>
              <w:left w:val="nil"/>
              <w:bottom w:val="single" w:sz="8" w:space="0" w:color="auto"/>
              <w:right w:val="single" w:sz="8" w:space="0" w:color="auto"/>
            </w:tcBorders>
            <w:shd w:val="clear" w:color="auto" w:fill="DBE5F1" w:themeFill="accent1" w:themeFillTint="33"/>
            <w:noWrap/>
            <w:vAlign w:val="center"/>
            <w:hideMark/>
          </w:tcPr>
          <w:p w:rsidR="000645BF" w:rsidRPr="00C41CFB" w:rsidRDefault="000645BF" w:rsidP="004E444C">
            <w:pPr>
              <w:spacing w:after="0" w:line="240" w:lineRule="auto"/>
              <w:jc w:val="center"/>
              <w:rPr>
                <w:rFonts w:ascii="Arial" w:eastAsia="Times New Roman" w:hAnsi="Arial" w:cs="Arial"/>
                <w:b/>
                <w:sz w:val="20"/>
                <w:szCs w:val="20"/>
              </w:rPr>
            </w:pPr>
            <w:r w:rsidRPr="00C41CFB">
              <w:rPr>
                <w:rFonts w:ascii="Arial" w:eastAsia="Times New Roman" w:hAnsi="Arial" w:cs="Arial"/>
                <w:b/>
                <w:sz w:val="20"/>
                <w:szCs w:val="20"/>
              </w:rPr>
              <w:t>1,82</w:t>
            </w:r>
          </w:p>
        </w:tc>
      </w:tr>
    </w:tbl>
    <w:p w:rsidR="004E444C" w:rsidRDefault="004E444C" w:rsidP="004E444C">
      <w:pPr>
        <w:tabs>
          <w:tab w:val="left" w:pos="8880"/>
        </w:tabs>
        <w:spacing w:line="240" w:lineRule="auto"/>
        <w:ind w:firstLine="708"/>
        <w:rPr>
          <w:rFonts w:ascii="Arial" w:hAnsi="Arial" w:cs="Arial"/>
          <w:sz w:val="24"/>
          <w:szCs w:val="24"/>
        </w:rPr>
      </w:pPr>
    </w:p>
    <w:p w:rsidR="000645BF" w:rsidRDefault="000645BF" w:rsidP="004E444C">
      <w:pPr>
        <w:tabs>
          <w:tab w:val="left" w:pos="8880"/>
        </w:tabs>
        <w:spacing w:line="240" w:lineRule="auto"/>
        <w:ind w:firstLine="708"/>
        <w:rPr>
          <w:rFonts w:ascii="Arial" w:hAnsi="Arial" w:cs="Arial"/>
          <w:b/>
          <w:i/>
          <w:sz w:val="20"/>
          <w:szCs w:val="16"/>
        </w:rPr>
      </w:pPr>
      <w:r w:rsidRPr="00470F51">
        <w:rPr>
          <w:rFonts w:ascii="Arial" w:hAnsi="Arial" w:cs="Arial"/>
          <w:sz w:val="24"/>
          <w:szCs w:val="24"/>
        </w:rPr>
        <w:t>Evoluția secțiunilor de monitorizare cu concentrație mai mare decât SCM</w:t>
      </w:r>
    </w:p>
    <w:p w:rsidR="000645BF" w:rsidRPr="00F914A0" w:rsidRDefault="000645BF" w:rsidP="000645BF">
      <w:pPr>
        <w:spacing w:after="0" w:line="240" w:lineRule="auto"/>
        <w:jc w:val="both"/>
        <w:rPr>
          <w:rFonts w:ascii="Arial" w:hAnsi="Arial" w:cs="Arial"/>
          <w:b/>
          <w:i/>
          <w:sz w:val="20"/>
          <w:szCs w:val="16"/>
        </w:rPr>
      </w:pPr>
      <w:r w:rsidRPr="00F914A0">
        <w:rPr>
          <w:rFonts w:ascii="Arial" w:hAnsi="Arial" w:cs="Arial"/>
          <w:b/>
          <w:i/>
          <w:sz w:val="20"/>
          <w:szCs w:val="16"/>
        </w:rPr>
        <w:t>Tabel II.2.1.</w:t>
      </w:r>
      <w:r>
        <w:rPr>
          <w:rFonts w:ascii="Arial" w:hAnsi="Arial" w:cs="Arial"/>
          <w:b/>
          <w:i/>
          <w:sz w:val="20"/>
          <w:szCs w:val="16"/>
        </w:rPr>
        <w:t>2</w:t>
      </w:r>
      <w:r w:rsidRPr="00F914A0">
        <w:rPr>
          <w:rFonts w:ascii="Arial" w:hAnsi="Arial" w:cs="Arial"/>
          <w:b/>
          <w:i/>
          <w:sz w:val="20"/>
          <w:szCs w:val="16"/>
        </w:rPr>
        <w:t>.</w:t>
      </w:r>
      <w:r>
        <w:rPr>
          <w:rFonts w:ascii="Arial" w:hAnsi="Arial" w:cs="Arial"/>
          <w:b/>
          <w:i/>
          <w:sz w:val="20"/>
          <w:szCs w:val="16"/>
        </w:rPr>
        <w:t>3</w:t>
      </w:r>
      <w:r w:rsidRPr="00F914A0">
        <w:rPr>
          <w:rFonts w:ascii="Arial" w:hAnsi="Arial" w:cs="Arial"/>
          <w:b/>
          <w:i/>
          <w:sz w:val="20"/>
          <w:szCs w:val="16"/>
        </w:rPr>
        <w:t xml:space="preserve"> Ponderea secțiunilor de monitorizare cu  concentrație mai mare decât SCM (%) în perioada 2011 - 2017</w:t>
      </w:r>
    </w:p>
    <w:tbl>
      <w:tblPr>
        <w:tblW w:w="9923" w:type="dxa"/>
        <w:jc w:val="center"/>
        <w:tblLook w:val="04A0"/>
      </w:tblPr>
      <w:tblGrid>
        <w:gridCol w:w="3900"/>
        <w:gridCol w:w="870"/>
        <w:gridCol w:w="1014"/>
        <w:gridCol w:w="870"/>
        <w:gridCol w:w="1014"/>
        <w:gridCol w:w="719"/>
        <w:gridCol w:w="749"/>
        <w:gridCol w:w="787"/>
      </w:tblGrid>
      <w:tr w:rsidR="000645BF" w:rsidRPr="00F914A0" w:rsidTr="004E444C">
        <w:trPr>
          <w:trHeight w:val="563"/>
          <w:jc w:val="center"/>
        </w:trPr>
        <w:tc>
          <w:tcPr>
            <w:tcW w:w="3900" w:type="dxa"/>
            <w:tcBorders>
              <w:top w:val="single" w:sz="8" w:space="0" w:color="auto"/>
              <w:left w:val="single" w:sz="8" w:space="0" w:color="auto"/>
              <w:bottom w:val="single" w:sz="8" w:space="0" w:color="auto"/>
              <w:right w:val="nil"/>
            </w:tcBorders>
            <w:shd w:val="clear" w:color="auto" w:fill="DBE5F1" w:themeFill="accent1" w:themeFillTint="33"/>
            <w:noWrap/>
            <w:vAlign w:val="center"/>
            <w:hideMark/>
          </w:tcPr>
          <w:p w:rsidR="000645BF" w:rsidRPr="00F914A0" w:rsidRDefault="000645BF" w:rsidP="004E444C">
            <w:pPr>
              <w:spacing w:after="0" w:line="240" w:lineRule="auto"/>
              <w:jc w:val="center"/>
              <w:rPr>
                <w:rFonts w:ascii="Arial" w:eastAsia="Times New Roman" w:hAnsi="Arial" w:cs="Arial"/>
                <w:b/>
                <w:sz w:val="20"/>
                <w:szCs w:val="20"/>
              </w:rPr>
            </w:pPr>
            <w:r w:rsidRPr="00F914A0">
              <w:rPr>
                <w:rFonts w:ascii="Arial" w:eastAsia="Times New Roman" w:hAnsi="Arial" w:cs="Arial"/>
                <w:b/>
                <w:sz w:val="20"/>
                <w:szCs w:val="20"/>
              </w:rPr>
              <w:t>Anul</w:t>
            </w:r>
          </w:p>
        </w:tc>
        <w:tc>
          <w:tcPr>
            <w:tcW w:w="87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 xml:space="preserve">  2011</w:t>
            </w:r>
          </w:p>
        </w:tc>
        <w:tc>
          <w:tcPr>
            <w:tcW w:w="101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 xml:space="preserve">  2012</w:t>
            </w:r>
          </w:p>
        </w:tc>
        <w:tc>
          <w:tcPr>
            <w:tcW w:w="87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 xml:space="preserve"> 2013</w:t>
            </w:r>
          </w:p>
        </w:tc>
        <w:tc>
          <w:tcPr>
            <w:tcW w:w="101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 xml:space="preserve">  2014</w:t>
            </w:r>
          </w:p>
        </w:tc>
        <w:tc>
          <w:tcPr>
            <w:tcW w:w="719"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2015</w:t>
            </w:r>
          </w:p>
        </w:tc>
        <w:tc>
          <w:tcPr>
            <w:tcW w:w="749"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F914A0" w:rsidRDefault="000645BF" w:rsidP="004E444C">
            <w:pPr>
              <w:spacing w:after="0" w:line="240" w:lineRule="auto"/>
              <w:rPr>
                <w:rFonts w:ascii="Arial" w:eastAsia="Times New Roman" w:hAnsi="Arial" w:cs="Arial"/>
                <w:b/>
                <w:sz w:val="20"/>
                <w:szCs w:val="20"/>
              </w:rPr>
            </w:pPr>
            <w:r w:rsidRPr="00F914A0">
              <w:rPr>
                <w:rFonts w:ascii="Arial" w:eastAsia="Times New Roman" w:hAnsi="Arial" w:cs="Arial"/>
                <w:b/>
                <w:sz w:val="20"/>
                <w:szCs w:val="20"/>
              </w:rPr>
              <w:t xml:space="preserve"> 2016</w:t>
            </w:r>
          </w:p>
        </w:tc>
        <w:tc>
          <w:tcPr>
            <w:tcW w:w="787"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F914A0" w:rsidRDefault="000645BF" w:rsidP="004E444C">
            <w:pPr>
              <w:spacing w:after="0" w:line="240" w:lineRule="auto"/>
              <w:jc w:val="center"/>
              <w:rPr>
                <w:rFonts w:ascii="Arial" w:eastAsia="Times New Roman" w:hAnsi="Arial" w:cs="Arial"/>
                <w:b/>
                <w:sz w:val="20"/>
                <w:szCs w:val="20"/>
              </w:rPr>
            </w:pPr>
            <w:r w:rsidRPr="00F914A0">
              <w:rPr>
                <w:rFonts w:ascii="Arial" w:eastAsia="Times New Roman" w:hAnsi="Arial" w:cs="Arial"/>
                <w:b/>
                <w:sz w:val="20"/>
                <w:szCs w:val="20"/>
              </w:rPr>
              <w:t>2017</w:t>
            </w:r>
          </w:p>
        </w:tc>
      </w:tr>
      <w:tr w:rsidR="000645BF" w:rsidRPr="00F914A0" w:rsidTr="004E444C">
        <w:trPr>
          <w:trHeight w:val="520"/>
          <w:jc w:val="center"/>
        </w:trPr>
        <w:tc>
          <w:tcPr>
            <w:tcW w:w="3900" w:type="dxa"/>
            <w:tcBorders>
              <w:top w:val="single" w:sz="8" w:space="0" w:color="auto"/>
              <w:left w:val="single" w:sz="8" w:space="0" w:color="auto"/>
              <w:bottom w:val="single" w:sz="8" w:space="0" w:color="auto"/>
              <w:right w:val="nil"/>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b/>
                <w:sz w:val="20"/>
                <w:szCs w:val="20"/>
              </w:rPr>
            </w:pPr>
            <w:r w:rsidRPr="00F914A0">
              <w:rPr>
                <w:rFonts w:ascii="Arial" w:eastAsia="Times New Roman" w:hAnsi="Arial" w:cs="Arial"/>
                <w:b/>
                <w:sz w:val="20"/>
                <w:szCs w:val="20"/>
              </w:rPr>
              <w:t>Substanțe prioritare monitorizate (nr.)</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34</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37</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37</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37</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37</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eastAsia="Times New Roman" w:hAnsi="Arial" w:cs="Arial"/>
                <w:sz w:val="20"/>
                <w:szCs w:val="20"/>
              </w:rPr>
            </w:pPr>
            <w:r w:rsidRPr="00F914A0">
              <w:rPr>
                <w:rFonts w:ascii="Arial" w:eastAsia="Times New Roman" w:hAnsi="Arial" w:cs="Arial"/>
                <w:sz w:val="20"/>
                <w:szCs w:val="20"/>
              </w:rPr>
              <w:t>26</w:t>
            </w:r>
          </w:p>
        </w:tc>
      </w:tr>
      <w:tr w:rsidR="000645BF" w:rsidRPr="00F914A0" w:rsidTr="004E444C">
        <w:trPr>
          <w:trHeight w:val="511"/>
          <w:jc w:val="center"/>
        </w:trPr>
        <w:tc>
          <w:tcPr>
            <w:tcW w:w="3900" w:type="dxa"/>
            <w:tcBorders>
              <w:top w:val="single" w:sz="8" w:space="0" w:color="auto"/>
              <w:left w:val="single" w:sz="8" w:space="0" w:color="auto"/>
              <w:bottom w:val="single" w:sz="8" w:space="0" w:color="auto"/>
              <w:right w:val="nil"/>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eastAsia="Times New Roman" w:hAnsi="Arial" w:cs="Arial"/>
                <w:b/>
                <w:sz w:val="20"/>
                <w:szCs w:val="20"/>
              </w:rPr>
            </w:pPr>
            <w:r w:rsidRPr="00F914A0">
              <w:rPr>
                <w:rFonts w:ascii="Arial" w:eastAsia="Times New Roman" w:hAnsi="Arial" w:cs="Arial"/>
                <w:b/>
                <w:sz w:val="20"/>
                <w:szCs w:val="20"/>
              </w:rPr>
              <w:t>Secțiuni de monitorizare (nr.)</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110</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109</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98</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92</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71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95</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jc w:val="center"/>
              <w:rPr>
                <w:rFonts w:ascii="Arial" w:hAnsi="Arial" w:cs="Arial"/>
                <w:sz w:val="20"/>
                <w:szCs w:val="20"/>
              </w:rPr>
            </w:pPr>
            <w:r w:rsidRPr="00F914A0">
              <w:rPr>
                <w:rFonts w:ascii="Arial" w:hAnsi="Arial" w:cs="Arial"/>
                <w:sz w:val="20"/>
                <w:szCs w:val="20"/>
              </w:rPr>
              <w:t>55</w:t>
            </w:r>
          </w:p>
        </w:tc>
      </w:tr>
      <w:tr w:rsidR="000645BF" w:rsidRPr="00F914A0" w:rsidTr="004E444C">
        <w:trPr>
          <w:trHeight w:val="510"/>
          <w:jc w:val="center"/>
        </w:trPr>
        <w:tc>
          <w:tcPr>
            <w:tcW w:w="3900" w:type="dxa"/>
            <w:tcBorders>
              <w:top w:val="nil"/>
              <w:left w:val="single" w:sz="8" w:space="0" w:color="auto"/>
              <w:bottom w:val="single" w:sz="8" w:space="0" w:color="auto"/>
              <w:right w:val="nil"/>
            </w:tcBorders>
            <w:shd w:val="clear" w:color="auto" w:fill="DAEEF3" w:themeFill="accent5" w:themeFillTint="33"/>
            <w:vAlign w:val="center"/>
            <w:hideMark/>
          </w:tcPr>
          <w:p w:rsidR="000645BF" w:rsidRPr="00F914A0" w:rsidRDefault="000645BF" w:rsidP="004E444C">
            <w:pPr>
              <w:spacing w:after="0" w:line="240" w:lineRule="auto"/>
              <w:jc w:val="center"/>
              <w:rPr>
                <w:rFonts w:ascii="Arial" w:eastAsia="Times New Roman" w:hAnsi="Arial" w:cs="Arial"/>
                <w:b/>
                <w:sz w:val="20"/>
                <w:szCs w:val="20"/>
              </w:rPr>
            </w:pPr>
            <w:r w:rsidRPr="00F914A0">
              <w:rPr>
                <w:rFonts w:ascii="Arial" w:eastAsia="Times New Roman" w:hAnsi="Arial" w:cs="Arial"/>
                <w:b/>
                <w:sz w:val="20"/>
                <w:szCs w:val="20"/>
              </w:rPr>
              <w:t>Ponderea secțiunilor cu  concentrație mai mare dec</w:t>
            </w:r>
            <w:r>
              <w:rPr>
                <w:rFonts w:ascii="Arial" w:eastAsia="Times New Roman" w:hAnsi="Arial" w:cs="Arial"/>
                <w:b/>
                <w:sz w:val="20"/>
                <w:szCs w:val="20"/>
              </w:rPr>
              <w:t>â</w:t>
            </w:r>
            <w:r w:rsidRPr="00F914A0">
              <w:rPr>
                <w:rFonts w:ascii="Arial" w:eastAsia="Times New Roman" w:hAnsi="Arial" w:cs="Arial"/>
                <w:b/>
                <w:sz w:val="20"/>
                <w:szCs w:val="20"/>
              </w:rPr>
              <w:t>t SCM (%)</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 xml:space="preserve"> 13,64</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 xml:space="preserve">  24,77</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 xml:space="preserve"> 53,06</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 xml:space="preserve">  11,96</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2,81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 xml:space="preserve"> 3,15</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0645BF" w:rsidRPr="00F914A0" w:rsidRDefault="000645BF" w:rsidP="004E444C">
            <w:pPr>
              <w:spacing w:after="0" w:line="240" w:lineRule="auto"/>
              <w:rPr>
                <w:rFonts w:ascii="Arial" w:hAnsi="Arial" w:cs="Arial"/>
                <w:sz w:val="20"/>
                <w:szCs w:val="20"/>
              </w:rPr>
            </w:pPr>
            <w:r w:rsidRPr="00F914A0">
              <w:rPr>
                <w:rFonts w:ascii="Arial" w:hAnsi="Arial" w:cs="Arial"/>
                <w:sz w:val="20"/>
                <w:szCs w:val="20"/>
              </w:rPr>
              <w:t>1,82</w:t>
            </w:r>
          </w:p>
        </w:tc>
      </w:tr>
    </w:tbl>
    <w:p w:rsidR="000645BF" w:rsidRDefault="000645BF" w:rsidP="000645BF">
      <w:pPr>
        <w:spacing w:after="0" w:line="240" w:lineRule="auto"/>
        <w:jc w:val="both"/>
        <w:rPr>
          <w:rFonts w:ascii="Arial" w:hAnsi="Arial" w:cs="Arial"/>
          <w:b/>
          <w:i/>
          <w:sz w:val="20"/>
          <w:szCs w:val="20"/>
        </w:rPr>
      </w:pPr>
    </w:p>
    <w:p w:rsidR="000645BF" w:rsidRDefault="000645BF" w:rsidP="000645BF">
      <w:pPr>
        <w:pStyle w:val="Default"/>
        <w:jc w:val="both"/>
        <w:rPr>
          <w:rFonts w:ascii="Arial" w:hAnsi="Arial" w:cs="Arial"/>
          <w:b/>
          <w:bCs/>
          <w:color w:val="auto"/>
        </w:rPr>
      </w:pPr>
    </w:p>
    <w:p w:rsidR="000645BF" w:rsidRDefault="000645BF" w:rsidP="000645BF">
      <w:pPr>
        <w:pStyle w:val="Default"/>
        <w:jc w:val="both"/>
        <w:rPr>
          <w:rFonts w:ascii="Arial" w:hAnsi="Arial" w:cs="Arial"/>
          <w:b/>
          <w:bCs/>
          <w:color w:val="auto"/>
        </w:rPr>
      </w:pPr>
      <w:r w:rsidRPr="00E92120">
        <w:rPr>
          <w:rFonts w:ascii="Arial" w:hAnsi="Arial" w:cs="Arial"/>
          <w:b/>
          <w:bCs/>
          <w:color w:val="auto"/>
        </w:rPr>
        <w:t xml:space="preserve">II.2.1.3. Calitatea apelor subterane </w:t>
      </w:r>
    </w:p>
    <w:p w:rsidR="000645BF" w:rsidRPr="007C3218" w:rsidRDefault="000645BF" w:rsidP="000645BF">
      <w:pPr>
        <w:pStyle w:val="Default"/>
        <w:jc w:val="both"/>
        <w:rPr>
          <w:rFonts w:ascii="Arial" w:hAnsi="Arial" w:cs="Arial"/>
          <w:b/>
          <w:color w:val="FF0000"/>
        </w:rPr>
      </w:pPr>
    </w:p>
    <w:p w:rsidR="000645BF" w:rsidRDefault="000645BF" w:rsidP="000645BF">
      <w:pPr>
        <w:spacing w:after="160" w:line="240" w:lineRule="auto"/>
        <w:jc w:val="center"/>
        <w:rPr>
          <w:rFonts w:ascii="Arial" w:hAnsi="Arial" w:cs="Arial"/>
          <w:b/>
          <w:i/>
          <w:sz w:val="24"/>
          <w:szCs w:val="24"/>
          <w:lang w:val="en-US"/>
        </w:rPr>
      </w:pPr>
      <w:r w:rsidRPr="00401388">
        <w:rPr>
          <w:rFonts w:ascii="Arial" w:hAnsi="Arial" w:cs="Arial"/>
          <w:b/>
          <w:sz w:val="24"/>
          <w:szCs w:val="24"/>
          <w:highlight w:val="green"/>
          <w:lang w:val="en-US"/>
        </w:rPr>
        <w:t>Indicator CSI 20. Nutrienţi în apă RO 20</w:t>
      </w:r>
    </w:p>
    <w:p w:rsidR="000645BF" w:rsidRPr="005A2ED0" w:rsidRDefault="000645BF" w:rsidP="000645BF">
      <w:pPr>
        <w:spacing w:after="0" w:line="240" w:lineRule="auto"/>
        <w:jc w:val="both"/>
        <w:rPr>
          <w:rFonts w:ascii="Arial" w:hAnsi="Arial" w:cs="Arial"/>
          <w:b/>
          <w:i/>
          <w:sz w:val="24"/>
          <w:szCs w:val="24"/>
          <w:lang w:val="en-US"/>
        </w:rPr>
      </w:pPr>
      <w:r>
        <w:rPr>
          <w:rFonts w:ascii="Arial" w:hAnsi="Arial" w:cs="Arial"/>
          <w:b/>
          <w:i/>
          <w:sz w:val="24"/>
          <w:szCs w:val="24"/>
          <w:lang w:val="en-US"/>
        </w:rPr>
        <w:t>E</w:t>
      </w:r>
      <w:r w:rsidRPr="005A2ED0">
        <w:rPr>
          <w:rFonts w:ascii="Arial" w:hAnsi="Arial" w:cs="Arial"/>
          <w:b/>
          <w:i/>
          <w:sz w:val="24"/>
          <w:szCs w:val="24"/>
          <w:lang w:val="en-US"/>
        </w:rPr>
        <w:t>voluția numărului punctelor de monitorizare cu depășiri la conținutul de nitrați în perioada 2011 – 2017 (%)</w:t>
      </w:r>
    </w:p>
    <w:p w:rsidR="000645BF" w:rsidRPr="00CB7541" w:rsidRDefault="000645BF" w:rsidP="000645BF">
      <w:pPr>
        <w:spacing w:line="240" w:lineRule="auto"/>
        <w:jc w:val="center"/>
        <w:rPr>
          <w:rFonts w:ascii="Arial" w:hAnsi="Arial" w:cs="Arial"/>
          <w:b/>
          <w:i/>
          <w:color w:val="FF0000"/>
          <w:sz w:val="24"/>
          <w:szCs w:val="24"/>
          <w:lang w:val="en-US"/>
        </w:rPr>
      </w:pPr>
      <w:r w:rsidRPr="00B27779">
        <w:rPr>
          <w:rFonts w:ascii="Arial" w:hAnsi="Arial" w:cs="Arial"/>
          <w:noProof/>
        </w:rPr>
        <w:drawing>
          <wp:inline distT="0" distB="0" distL="0" distR="0">
            <wp:extent cx="5572125" cy="2900363"/>
            <wp:effectExtent l="19050" t="0" r="9525" b="0"/>
            <wp:docPr id="232"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645BF" w:rsidRPr="005A2ED0" w:rsidRDefault="000645BF" w:rsidP="000645BF">
      <w:pPr>
        <w:spacing w:after="0" w:line="240" w:lineRule="auto"/>
        <w:rPr>
          <w:rFonts w:ascii="Arial" w:hAnsi="Arial" w:cs="Arial"/>
          <w:b/>
          <w:i/>
          <w:sz w:val="20"/>
          <w:szCs w:val="16"/>
        </w:rPr>
      </w:pPr>
      <w:r>
        <w:rPr>
          <w:rFonts w:ascii="Arial" w:hAnsi="Arial" w:cs="Arial"/>
          <w:b/>
          <w:i/>
          <w:sz w:val="20"/>
          <w:szCs w:val="16"/>
        </w:rPr>
        <w:t>Figura II.2.</w:t>
      </w:r>
      <w:r w:rsidRPr="005A2ED0">
        <w:rPr>
          <w:rFonts w:ascii="Arial" w:hAnsi="Arial" w:cs="Arial"/>
          <w:b/>
          <w:i/>
          <w:sz w:val="20"/>
          <w:szCs w:val="16"/>
        </w:rPr>
        <w:t>1.</w:t>
      </w:r>
      <w:r>
        <w:rPr>
          <w:rFonts w:ascii="Arial" w:hAnsi="Arial" w:cs="Arial"/>
          <w:b/>
          <w:i/>
          <w:sz w:val="20"/>
          <w:szCs w:val="16"/>
        </w:rPr>
        <w:t>3.1</w:t>
      </w:r>
      <w:r w:rsidRPr="005A2ED0">
        <w:rPr>
          <w:rFonts w:ascii="Arial" w:hAnsi="Arial" w:cs="Arial"/>
          <w:b/>
          <w:i/>
          <w:sz w:val="20"/>
          <w:szCs w:val="16"/>
        </w:rPr>
        <w:t xml:space="preserve"> Evoluția punctelor de monitorizare cu depășiri ale concentrațiilor de nitrați  în  perioada 2011 - 2017 (%)</w:t>
      </w:r>
    </w:p>
    <w:p w:rsidR="000645BF" w:rsidRDefault="000645BF" w:rsidP="000645BF">
      <w:pPr>
        <w:spacing w:line="240" w:lineRule="auto"/>
        <w:jc w:val="center"/>
        <w:rPr>
          <w:rFonts w:ascii="Arial" w:hAnsi="Arial" w:cs="Arial"/>
          <w:b/>
          <w:sz w:val="24"/>
          <w:szCs w:val="24"/>
          <w:highlight w:val="green"/>
        </w:rPr>
      </w:pPr>
    </w:p>
    <w:p w:rsidR="000645BF" w:rsidRPr="00601A94" w:rsidRDefault="000645BF" w:rsidP="000645BF">
      <w:pPr>
        <w:spacing w:line="240" w:lineRule="auto"/>
        <w:jc w:val="center"/>
        <w:rPr>
          <w:rFonts w:ascii="Arial" w:hAnsi="Arial" w:cs="Arial"/>
          <w:b/>
          <w:sz w:val="24"/>
          <w:szCs w:val="24"/>
        </w:rPr>
      </w:pPr>
      <w:r w:rsidRPr="00CB6340">
        <w:rPr>
          <w:rFonts w:ascii="Arial" w:hAnsi="Arial" w:cs="Arial"/>
          <w:b/>
          <w:sz w:val="24"/>
          <w:szCs w:val="24"/>
          <w:highlight w:val="green"/>
        </w:rPr>
        <w:t>Indicator VHS 01. Pesticidele din apele subterane RO 64</w:t>
      </w:r>
    </w:p>
    <w:p w:rsidR="000645BF" w:rsidRDefault="000645BF" w:rsidP="000645BF">
      <w:pPr>
        <w:spacing w:line="240" w:lineRule="auto"/>
        <w:jc w:val="both"/>
        <w:rPr>
          <w:rFonts w:ascii="Arial" w:hAnsi="Arial" w:cs="Arial"/>
          <w:b/>
          <w:i/>
          <w:sz w:val="24"/>
          <w:szCs w:val="24"/>
        </w:rPr>
      </w:pPr>
      <w:r w:rsidRPr="00601A94">
        <w:rPr>
          <w:rFonts w:ascii="Arial" w:hAnsi="Arial" w:cs="Arial"/>
          <w:b/>
          <w:i/>
          <w:sz w:val="24"/>
          <w:szCs w:val="24"/>
        </w:rPr>
        <w:t xml:space="preserve">Distribuția numărului punctelor de monitorizare a pesticidelor pe spații/bazine hidrografice în anul 2017 </w:t>
      </w:r>
    </w:p>
    <w:p w:rsidR="000645BF" w:rsidRDefault="000645BF" w:rsidP="000645BF">
      <w:pPr>
        <w:spacing w:after="0" w:line="240" w:lineRule="auto"/>
        <w:rPr>
          <w:rFonts w:ascii="Arial" w:hAnsi="Arial" w:cs="Arial"/>
          <w:b/>
          <w:i/>
          <w:sz w:val="20"/>
          <w:szCs w:val="16"/>
        </w:rPr>
      </w:pPr>
      <w:r w:rsidRPr="00601A94">
        <w:rPr>
          <w:rFonts w:ascii="Arial" w:hAnsi="Arial" w:cs="Arial"/>
          <w:b/>
          <w:i/>
          <w:sz w:val="20"/>
          <w:szCs w:val="16"/>
        </w:rPr>
        <w:t>Tabel II.2.1.</w:t>
      </w:r>
      <w:r>
        <w:rPr>
          <w:rFonts w:ascii="Arial" w:hAnsi="Arial" w:cs="Arial"/>
          <w:b/>
          <w:i/>
          <w:sz w:val="20"/>
          <w:szCs w:val="16"/>
        </w:rPr>
        <w:t>3.1</w:t>
      </w:r>
      <w:r w:rsidRPr="00601A94">
        <w:rPr>
          <w:rFonts w:ascii="Arial" w:hAnsi="Arial" w:cs="Arial"/>
          <w:b/>
          <w:i/>
          <w:sz w:val="20"/>
          <w:szCs w:val="16"/>
        </w:rPr>
        <w:t xml:space="preserve"> Pesticide monitorizate în anul 2017 (nr.)</w:t>
      </w:r>
    </w:p>
    <w:tbl>
      <w:tblPr>
        <w:tblW w:w="9730" w:type="dxa"/>
        <w:jc w:val="center"/>
        <w:tblInd w:w="-10" w:type="dxa"/>
        <w:shd w:val="clear" w:color="auto" w:fill="DAEEF3" w:themeFill="accent5" w:themeFillTint="33"/>
        <w:tblLook w:val="04A0"/>
      </w:tblPr>
      <w:tblGrid>
        <w:gridCol w:w="2070"/>
        <w:gridCol w:w="1800"/>
        <w:gridCol w:w="2180"/>
        <w:gridCol w:w="2100"/>
        <w:gridCol w:w="1580"/>
      </w:tblGrid>
      <w:tr w:rsidR="000645BF" w:rsidRPr="00601A94" w:rsidTr="004E444C">
        <w:trPr>
          <w:trHeight w:val="315"/>
          <w:jc w:val="center"/>
        </w:trPr>
        <w:tc>
          <w:tcPr>
            <w:tcW w:w="9730" w:type="dxa"/>
            <w:gridSpan w:val="5"/>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rPr>
            </w:pPr>
            <w:r w:rsidRPr="00601A94">
              <w:rPr>
                <w:rFonts w:ascii="Arial" w:eastAsia="Times New Roman" w:hAnsi="Arial" w:cs="Arial"/>
                <w:b/>
                <w:bCs/>
                <w:color w:val="000000"/>
              </w:rPr>
              <w:t>2017</w:t>
            </w:r>
          </w:p>
        </w:tc>
      </w:tr>
      <w:tr w:rsidR="000645BF" w:rsidRPr="00601A94" w:rsidTr="004E444C">
        <w:trPr>
          <w:trHeight w:val="1069"/>
          <w:jc w:val="center"/>
        </w:trPr>
        <w:tc>
          <w:tcPr>
            <w:tcW w:w="2070" w:type="dxa"/>
            <w:tcBorders>
              <w:top w:val="nil"/>
              <w:left w:val="single" w:sz="8" w:space="0" w:color="auto"/>
              <w:bottom w:val="single" w:sz="8" w:space="0" w:color="auto"/>
              <w:right w:val="nil"/>
            </w:tcBorders>
            <w:shd w:val="clear" w:color="auto" w:fill="DAEEF3" w:themeFill="accent5" w:themeFillTint="33"/>
            <w:vAlign w:val="center"/>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Spaţiu / Bazin hidrografic</w:t>
            </w:r>
          </w:p>
        </w:tc>
        <w:tc>
          <w:tcPr>
            <w:tcW w:w="1800"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w:t>
            </w:r>
            <w:r w:rsidRPr="00601A94">
              <w:rPr>
                <w:rFonts w:ascii="Arial" w:eastAsia="Times New Roman" w:hAnsi="Arial" w:cs="Arial"/>
                <w:b/>
                <w:bCs/>
                <w:color w:val="000000"/>
                <w:sz w:val="20"/>
                <w:szCs w:val="20"/>
              </w:rPr>
              <w:t>orpuri de apă monitorizate</w:t>
            </w:r>
            <w:r>
              <w:rPr>
                <w:rFonts w:ascii="Arial" w:eastAsia="Times New Roman" w:hAnsi="Arial" w:cs="Arial"/>
                <w:b/>
                <w:bCs/>
                <w:color w:val="000000"/>
                <w:sz w:val="20"/>
                <w:szCs w:val="20"/>
              </w:rPr>
              <w:t xml:space="preserve"> (nr.)</w:t>
            </w:r>
          </w:p>
        </w:tc>
        <w:tc>
          <w:tcPr>
            <w:tcW w:w="2180" w:type="dxa"/>
            <w:tcBorders>
              <w:top w:val="nil"/>
              <w:left w:val="nil"/>
              <w:bottom w:val="single" w:sz="8" w:space="0" w:color="auto"/>
              <w:right w:val="single" w:sz="8" w:space="0" w:color="auto"/>
            </w:tcBorders>
            <w:shd w:val="clear" w:color="auto" w:fill="DAEEF3" w:themeFill="accent5" w:themeFillTint="33"/>
            <w:vAlign w:val="center"/>
            <w:hideMark/>
          </w:tcPr>
          <w:p w:rsidR="000645BF"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w:t>
            </w:r>
            <w:r w:rsidRPr="00601A94">
              <w:rPr>
                <w:rFonts w:ascii="Arial" w:eastAsia="Times New Roman" w:hAnsi="Arial" w:cs="Arial"/>
                <w:b/>
                <w:bCs/>
                <w:color w:val="000000"/>
                <w:sz w:val="20"/>
                <w:szCs w:val="20"/>
              </w:rPr>
              <w:t>uncte de monitorizare</w:t>
            </w:r>
          </w:p>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(nr. total)</w:t>
            </w:r>
          </w:p>
        </w:tc>
        <w:tc>
          <w:tcPr>
            <w:tcW w:w="2100"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w:t>
            </w:r>
            <w:r w:rsidRPr="00601A94">
              <w:rPr>
                <w:rFonts w:ascii="Arial" w:eastAsia="Times New Roman" w:hAnsi="Arial" w:cs="Arial"/>
                <w:b/>
                <w:bCs/>
                <w:color w:val="000000"/>
                <w:sz w:val="20"/>
                <w:szCs w:val="20"/>
              </w:rPr>
              <w:t>uncte în care sunt monitorizate   pesticidele</w:t>
            </w:r>
            <w:r>
              <w:rPr>
                <w:rFonts w:ascii="Arial" w:eastAsia="Times New Roman" w:hAnsi="Arial" w:cs="Arial"/>
                <w:b/>
                <w:bCs/>
                <w:color w:val="000000"/>
                <w:sz w:val="20"/>
                <w:szCs w:val="20"/>
              </w:rPr>
              <w:t xml:space="preserve"> (nr.)</w:t>
            </w:r>
          </w:p>
        </w:tc>
        <w:tc>
          <w:tcPr>
            <w:tcW w:w="1580" w:type="dxa"/>
            <w:tcBorders>
              <w:top w:val="nil"/>
              <w:left w:val="nil"/>
              <w:bottom w:val="single" w:sz="8" w:space="0" w:color="auto"/>
              <w:right w:val="single" w:sz="8" w:space="0" w:color="auto"/>
            </w:tcBorders>
            <w:shd w:val="clear" w:color="auto" w:fill="DAEEF3" w:themeFill="accent5" w:themeFillTint="33"/>
            <w:vAlign w:val="center"/>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Pesticide monitorizate (nr.)</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Someș - Tisa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15</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131</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2</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Crișuri</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9</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130</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3</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Mureș</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23</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122</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6</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16</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Banat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20</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215</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0</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0</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Jiu</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8</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93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76</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2</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Olt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14</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143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45</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15</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Argeș - Vedea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11</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168</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162</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Buzău - Ialomița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18</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192</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191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Siret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6</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111</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12</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18</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Prut- Bârlad</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7</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113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49</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12</w:t>
            </w:r>
          </w:p>
        </w:tc>
      </w:tr>
      <w:tr w:rsidR="000645BF" w:rsidRPr="00601A94" w:rsidTr="004E444C">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Dobrogea - Litoral</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10</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118</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7</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11</w:t>
            </w:r>
          </w:p>
        </w:tc>
      </w:tr>
      <w:tr w:rsidR="000645BF" w:rsidRPr="00601A94" w:rsidTr="004E444C">
        <w:trPr>
          <w:trHeight w:val="300"/>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141</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1536</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550</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21</w:t>
            </w:r>
          </w:p>
        </w:tc>
      </w:tr>
    </w:tbl>
    <w:p w:rsidR="000645BF" w:rsidRPr="00B27779" w:rsidRDefault="000645BF" w:rsidP="000645BF">
      <w:pPr>
        <w:spacing w:after="0" w:line="240" w:lineRule="auto"/>
        <w:rPr>
          <w:rFonts w:ascii="Arial" w:hAnsi="Arial" w:cs="Arial"/>
          <w:b/>
          <w:color w:val="FF0000"/>
          <w:sz w:val="24"/>
          <w:szCs w:val="20"/>
        </w:rPr>
      </w:pPr>
    </w:p>
    <w:p w:rsidR="000645BF" w:rsidRPr="00601A94" w:rsidRDefault="000645BF" w:rsidP="000645BF">
      <w:pPr>
        <w:spacing w:after="0" w:line="240" w:lineRule="auto"/>
        <w:rPr>
          <w:rFonts w:ascii="Arial" w:hAnsi="Arial" w:cs="Arial"/>
          <w:b/>
          <w:i/>
          <w:sz w:val="20"/>
          <w:szCs w:val="16"/>
        </w:rPr>
      </w:pPr>
    </w:p>
    <w:p w:rsidR="000645BF" w:rsidRDefault="000645BF" w:rsidP="000645BF">
      <w:pPr>
        <w:spacing w:line="240" w:lineRule="auto"/>
        <w:rPr>
          <w:rFonts w:ascii="Arial" w:eastAsia="Times New Roman" w:hAnsi="Arial" w:cs="Arial"/>
          <w:b/>
          <w:i/>
          <w:sz w:val="24"/>
          <w:szCs w:val="24"/>
        </w:rPr>
      </w:pPr>
      <w:r w:rsidRPr="00363DED">
        <w:rPr>
          <w:rFonts w:ascii="Arial" w:hAnsi="Arial" w:cs="Arial"/>
          <w:b/>
          <w:i/>
          <w:sz w:val="24"/>
          <w:szCs w:val="24"/>
        </w:rPr>
        <w:t>Ponderea punctelor de monitorizare cu concentrație mai mare de 0,1</w:t>
      </w:r>
      <w:r w:rsidRPr="00363DED">
        <w:rPr>
          <w:rFonts w:ascii="Arial" w:eastAsia="Times New Roman" w:hAnsi="Arial" w:cs="Arial"/>
          <w:b/>
          <w:i/>
          <w:sz w:val="24"/>
          <w:szCs w:val="24"/>
        </w:rPr>
        <w:t>µg/L din numărul de foraje în care se monitorizează pesticidele pentru anul 2017</w:t>
      </w:r>
    </w:p>
    <w:p w:rsidR="000645BF" w:rsidRPr="00363DED" w:rsidRDefault="000645BF" w:rsidP="000645BF">
      <w:pPr>
        <w:spacing w:after="0" w:line="240" w:lineRule="auto"/>
        <w:rPr>
          <w:rFonts w:ascii="Arial" w:eastAsia="Times New Roman" w:hAnsi="Arial" w:cs="Arial"/>
          <w:b/>
          <w:i/>
          <w:sz w:val="20"/>
          <w:szCs w:val="16"/>
        </w:rPr>
      </w:pPr>
      <w:r w:rsidRPr="00363DED">
        <w:rPr>
          <w:rFonts w:ascii="Arial" w:hAnsi="Arial" w:cs="Arial"/>
          <w:b/>
          <w:i/>
          <w:sz w:val="20"/>
          <w:szCs w:val="16"/>
        </w:rPr>
        <w:lastRenderedPageBreak/>
        <w:t>Tabel II.2.</w:t>
      </w:r>
      <w:r>
        <w:rPr>
          <w:rFonts w:ascii="Arial" w:hAnsi="Arial" w:cs="Arial"/>
          <w:b/>
          <w:i/>
          <w:sz w:val="20"/>
          <w:szCs w:val="16"/>
        </w:rPr>
        <w:t>1.3.2</w:t>
      </w:r>
      <w:r w:rsidRPr="00363DED">
        <w:rPr>
          <w:rFonts w:ascii="Arial" w:hAnsi="Arial" w:cs="Arial"/>
          <w:b/>
          <w:i/>
          <w:sz w:val="20"/>
          <w:szCs w:val="16"/>
        </w:rPr>
        <w:t xml:space="preserve"> Ponderea punctelor de monitorizare cu concentrație mai mare de 0,1</w:t>
      </w:r>
      <w:r w:rsidRPr="00363DED">
        <w:rPr>
          <w:rFonts w:ascii="Arial" w:eastAsia="Times New Roman" w:hAnsi="Arial" w:cs="Arial"/>
          <w:b/>
          <w:i/>
          <w:sz w:val="20"/>
          <w:szCs w:val="16"/>
        </w:rPr>
        <w:t>µg/L din numărul de foraje în care se monitorizează pesticidele pentru anul 2017 (%)</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1966"/>
        <w:gridCol w:w="1550"/>
        <w:gridCol w:w="2396"/>
        <w:gridCol w:w="1973"/>
      </w:tblGrid>
      <w:tr w:rsidR="000645BF" w:rsidRPr="00CB7541" w:rsidTr="004E444C">
        <w:trPr>
          <w:trHeight w:val="1313"/>
          <w:jc w:val="center"/>
        </w:trPr>
        <w:tc>
          <w:tcPr>
            <w:tcW w:w="1966" w:type="dxa"/>
            <w:shd w:val="clear" w:color="auto" w:fill="DAEEF3" w:themeFill="accent5" w:themeFillTint="33"/>
            <w:vAlign w:val="center"/>
            <w:hideMark/>
          </w:tcPr>
          <w:p w:rsidR="000645BF" w:rsidRPr="00601A94" w:rsidRDefault="000645BF" w:rsidP="004E444C">
            <w:pPr>
              <w:spacing w:after="0" w:line="240" w:lineRule="auto"/>
              <w:jc w:val="center"/>
              <w:rPr>
                <w:rFonts w:ascii="Arial" w:eastAsia="Times New Roman" w:hAnsi="Arial" w:cs="Arial"/>
                <w:b/>
                <w:bCs/>
                <w:color w:val="000000"/>
                <w:sz w:val="20"/>
                <w:szCs w:val="20"/>
              </w:rPr>
            </w:pPr>
            <w:r w:rsidRPr="00601A94">
              <w:rPr>
                <w:rFonts w:ascii="Arial" w:eastAsia="Times New Roman" w:hAnsi="Arial" w:cs="Arial"/>
                <w:b/>
                <w:bCs/>
                <w:color w:val="000000"/>
                <w:sz w:val="20"/>
                <w:szCs w:val="20"/>
              </w:rPr>
              <w:t>Spaţiu / Bazin hidrografic</w:t>
            </w:r>
          </w:p>
        </w:tc>
        <w:tc>
          <w:tcPr>
            <w:tcW w:w="1550" w:type="dxa"/>
            <w:shd w:val="clear" w:color="auto" w:fill="DAEEF3" w:themeFill="accent5" w:themeFillTint="33"/>
            <w:vAlign w:val="center"/>
          </w:tcPr>
          <w:p w:rsidR="000645BF" w:rsidRPr="00601A94" w:rsidRDefault="000645BF" w:rsidP="004E444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w:t>
            </w:r>
            <w:r w:rsidRPr="00601A94">
              <w:rPr>
                <w:rFonts w:ascii="Arial" w:eastAsia="Times New Roman" w:hAnsi="Arial" w:cs="Arial"/>
                <w:b/>
                <w:bCs/>
                <w:color w:val="000000"/>
                <w:sz w:val="20"/>
                <w:szCs w:val="20"/>
              </w:rPr>
              <w:t>uncte în care sunt monitorizate   pesticidele</w:t>
            </w:r>
            <w:r>
              <w:rPr>
                <w:rFonts w:ascii="Arial" w:eastAsia="Times New Roman" w:hAnsi="Arial" w:cs="Arial"/>
                <w:b/>
                <w:bCs/>
                <w:color w:val="000000"/>
                <w:sz w:val="20"/>
                <w:szCs w:val="20"/>
              </w:rPr>
              <w:t xml:space="preserve"> (nr.)</w:t>
            </w:r>
          </w:p>
        </w:tc>
        <w:tc>
          <w:tcPr>
            <w:tcW w:w="2396" w:type="dxa"/>
            <w:shd w:val="clear" w:color="auto" w:fill="DAEEF3" w:themeFill="accent5" w:themeFillTint="33"/>
            <w:vAlign w:val="center"/>
            <w:hideMark/>
          </w:tcPr>
          <w:p w:rsidR="000645BF" w:rsidRPr="00363DED" w:rsidRDefault="000645BF" w:rsidP="004E444C">
            <w:pPr>
              <w:spacing w:after="0" w:line="240" w:lineRule="auto"/>
              <w:jc w:val="center"/>
              <w:rPr>
                <w:rFonts w:ascii="Arial" w:eastAsia="Times New Roman" w:hAnsi="Arial" w:cs="Arial"/>
                <w:b/>
                <w:sz w:val="20"/>
                <w:szCs w:val="20"/>
              </w:rPr>
            </w:pPr>
            <w:r w:rsidRPr="00363DED">
              <w:rPr>
                <w:rFonts w:ascii="Arial" w:eastAsia="Times New Roman" w:hAnsi="Arial" w:cs="Arial"/>
                <w:b/>
                <w:sz w:val="20"/>
                <w:szCs w:val="20"/>
              </w:rPr>
              <w:t xml:space="preserve">Puncte de monitorizare cu conc. </w:t>
            </w:r>
            <w:r w:rsidRPr="00363DED">
              <w:rPr>
                <w:rFonts w:ascii="Arial" w:eastAsia="Times New Roman" w:hAnsi="Arial" w:cs="Arial"/>
                <w:b/>
                <w:sz w:val="20"/>
                <w:szCs w:val="20"/>
                <w:lang w:val="en-US"/>
              </w:rPr>
              <w:t>&gt;</w:t>
            </w:r>
            <w:r w:rsidRPr="00363DED">
              <w:rPr>
                <w:rFonts w:ascii="Arial" w:eastAsia="Times New Roman" w:hAnsi="Arial" w:cs="Arial"/>
                <w:b/>
                <w:sz w:val="20"/>
                <w:szCs w:val="20"/>
              </w:rPr>
              <w:t xml:space="preserve"> 0,1 µg/L</w:t>
            </w:r>
          </w:p>
          <w:p w:rsidR="000645BF" w:rsidRPr="00363DED" w:rsidRDefault="000645BF" w:rsidP="004E444C">
            <w:pPr>
              <w:spacing w:after="0" w:line="240" w:lineRule="auto"/>
              <w:jc w:val="center"/>
              <w:rPr>
                <w:rFonts w:ascii="Arial" w:eastAsia="Times New Roman" w:hAnsi="Arial" w:cs="Arial"/>
                <w:b/>
                <w:sz w:val="20"/>
                <w:szCs w:val="20"/>
              </w:rPr>
            </w:pPr>
            <w:r w:rsidRPr="00363DED">
              <w:rPr>
                <w:rFonts w:ascii="Arial" w:eastAsia="Times New Roman" w:hAnsi="Arial" w:cs="Arial"/>
                <w:b/>
                <w:sz w:val="20"/>
                <w:szCs w:val="20"/>
              </w:rPr>
              <w:t>(nr.)</w:t>
            </w:r>
          </w:p>
        </w:tc>
        <w:tc>
          <w:tcPr>
            <w:tcW w:w="1973" w:type="dxa"/>
            <w:shd w:val="clear" w:color="auto" w:fill="DAEEF3" w:themeFill="accent5" w:themeFillTint="33"/>
            <w:vAlign w:val="center"/>
            <w:hideMark/>
          </w:tcPr>
          <w:p w:rsidR="000645BF" w:rsidRPr="00363DED" w:rsidRDefault="000645BF" w:rsidP="004E444C">
            <w:pPr>
              <w:spacing w:after="0" w:line="240" w:lineRule="auto"/>
              <w:jc w:val="center"/>
              <w:rPr>
                <w:rFonts w:ascii="Arial" w:eastAsia="Times New Roman" w:hAnsi="Arial" w:cs="Arial"/>
                <w:b/>
                <w:sz w:val="20"/>
                <w:szCs w:val="20"/>
              </w:rPr>
            </w:pPr>
            <w:r w:rsidRPr="00363DED">
              <w:rPr>
                <w:rFonts w:ascii="Arial" w:eastAsia="Times New Roman" w:hAnsi="Arial" w:cs="Arial"/>
                <w:b/>
                <w:sz w:val="20"/>
                <w:szCs w:val="20"/>
              </w:rPr>
              <w:t>Puncte de monitorizare cu conc. &gt; 0,1 µg/L</w:t>
            </w:r>
          </w:p>
          <w:p w:rsidR="000645BF" w:rsidRPr="00363DED" w:rsidRDefault="000645BF" w:rsidP="004E444C">
            <w:pPr>
              <w:spacing w:after="0" w:line="240" w:lineRule="auto"/>
              <w:jc w:val="center"/>
              <w:rPr>
                <w:rFonts w:ascii="Arial" w:eastAsia="Times New Roman" w:hAnsi="Arial" w:cs="Arial"/>
                <w:b/>
                <w:sz w:val="20"/>
                <w:szCs w:val="20"/>
              </w:rPr>
            </w:pPr>
            <w:r w:rsidRPr="00363DED">
              <w:rPr>
                <w:rFonts w:ascii="Arial" w:eastAsia="Times New Roman" w:hAnsi="Arial" w:cs="Arial"/>
                <w:b/>
                <w:sz w:val="20"/>
                <w:szCs w:val="20"/>
              </w:rPr>
              <w:t xml:space="preserve"> (%)</w:t>
            </w:r>
          </w:p>
        </w:tc>
      </w:tr>
      <w:tr w:rsidR="000645BF" w:rsidRPr="00CB7541" w:rsidTr="004E444C">
        <w:trPr>
          <w:trHeight w:val="315"/>
          <w:jc w:val="center"/>
        </w:trPr>
        <w:tc>
          <w:tcPr>
            <w:tcW w:w="1966" w:type="dxa"/>
            <w:shd w:val="clear" w:color="auto" w:fill="DAEEF3" w:themeFill="accent5" w:themeFillTint="33"/>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Someș - Tisa</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1</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100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Crișuri</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Mureș</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6</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Banat</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0</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Jiu</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76</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Olt</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45</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Argeș - Vedea</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162</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7</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4,32</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Buzău - Ialomița</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191</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3</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1,57</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Siret</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12</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Prut- Bârlad</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49</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CB7541" w:rsidTr="004E444C">
        <w:trPr>
          <w:trHeight w:val="315"/>
          <w:jc w:val="center"/>
        </w:trPr>
        <w:tc>
          <w:tcPr>
            <w:tcW w:w="1966" w:type="dxa"/>
            <w:shd w:val="clear" w:color="auto" w:fill="DAEEF3" w:themeFill="accent5" w:themeFillTint="33"/>
            <w:noWrap/>
            <w:vAlign w:val="bottom"/>
            <w:hideMark/>
          </w:tcPr>
          <w:p w:rsidR="000645BF" w:rsidRPr="00601A94" w:rsidRDefault="000645BF" w:rsidP="004E444C">
            <w:pPr>
              <w:spacing w:after="0" w:line="240" w:lineRule="auto"/>
              <w:jc w:val="center"/>
              <w:rPr>
                <w:rFonts w:ascii="Arial" w:eastAsia="Times New Roman" w:hAnsi="Arial" w:cs="Arial"/>
                <w:sz w:val="20"/>
                <w:szCs w:val="20"/>
              </w:rPr>
            </w:pPr>
            <w:r w:rsidRPr="00601A94">
              <w:rPr>
                <w:rFonts w:ascii="Arial" w:eastAsia="Times New Roman" w:hAnsi="Arial" w:cs="Arial"/>
                <w:sz w:val="20"/>
                <w:szCs w:val="20"/>
              </w:rPr>
              <w:t>Dobrogea - Litoral</w:t>
            </w:r>
          </w:p>
        </w:tc>
        <w:tc>
          <w:tcPr>
            <w:tcW w:w="1550" w:type="dxa"/>
            <w:shd w:val="clear" w:color="auto" w:fill="DAEEF3" w:themeFill="accent5" w:themeFillTint="33"/>
            <w:vAlign w:val="bottom"/>
          </w:tcPr>
          <w:p w:rsidR="000645BF" w:rsidRPr="00601A94" w:rsidRDefault="000645BF" w:rsidP="004E444C">
            <w:pPr>
              <w:spacing w:after="0" w:line="240" w:lineRule="auto"/>
              <w:jc w:val="center"/>
              <w:rPr>
                <w:rFonts w:ascii="Arial" w:eastAsia="Times New Roman" w:hAnsi="Arial" w:cs="Arial"/>
                <w:color w:val="000000"/>
                <w:sz w:val="20"/>
                <w:szCs w:val="20"/>
              </w:rPr>
            </w:pPr>
            <w:r w:rsidRPr="00601A94">
              <w:rPr>
                <w:rFonts w:ascii="Arial" w:eastAsia="Times New Roman" w:hAnsi="Arial" w:cs="Arial"/>
                <w:color w:val="000000"/>
                <w:sz w:val="20"/>
                <w:szCs w:val="20"/>
              </w:rPr>
              <w:t>7</w:t>
            </w:r>
          </w:p>
        </w:tc>
        <w:tc>
          <w:tcPr>
            <w:tcW w:w="2396" w:type="dxa"/>
            <w:shd w:val="clear" w:color="auto" w:fill="DAEEF3" w:themeFill="accent5" w:themeFillTint="33"/>
            <w:noWrap/>
            <w:vAlign w:val="center"/>
            <w:hideMark/>
          </w:tcPr>
          <w:p w:rsidR="000645BF" w:rsidRPr="00363DED" w:rsidRDefault="000645BF" w:rsidP="004E444C">
            <w:pPr>
              <w:spacing w:after="0" w:line="240" w:lineRule="auto"/>
              <w:jc w:val="center"/>
              <w:rPr>
                <w:rFonts w:ascii="Arial" w:eastAsia="Times New Roman" w:hAnsi="Arial" w:cs="Arial"/>
                <w:sz w:val="20"/>
                <w:szCs w:val="20"/>
              </w:rPr>
            </w:pPr>
            <w:r w:rsidRPr="00363DED">
              <w:rPr>
                <w:rFonts w:ascii="Arial" w:eastAsia="Times New Roman" w:hAnsi="Arial" w:cs="Arial"/>
                <w:sz w:val="20"/>
                <w:szCs w:val="20"/>
              </w:rPr>
              <w:t>0</w:t>
            </w:r>
          </w:p>
        </w:tc>
        <w:tc>
          <w:tcPr>
            <w:tcW w:w="1973" w:type="dxa"/>
            <w:shd w:val="clear" w:color="auto" w:fill="DAEEF3" w:themeFill="accent5" w:themeFillTint="33"/>
            <w:noWrap/>
            <w:vAlign w:val="center"/>
          </w:tcPr>
          <w:p w:rsidR="000645BF" w:rsidRPr="00363DED" w:rsidRDefault="000645BF" w:rsidP="004E444C">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645BF" w:rsidRPr="00363DED" w:rsidTr="004E444C">
        <w:trPr>
          <w:trHeight w:val="277"/>
          <w:jc w:val="center"/>
        </w:trPr>
        <w:tc>
          <w:tcPr>
            <w:tcW w:w="1966" w:type="dxa"/>
            <w:shd w:val="clear" w:color="auto" w:fill="DAEEF3" w:themeFill="accent5" w:themeFillTint="33"/>
            <w:noWrap/>
            <w:vAlign w:val="bottom"/>
            <w:hideMark/>
          </w:tcPr>
          <w:p w:rsidR="000645BF" w:rsidRPr="00196170" w:rsidRDefault="000645BF" w:rsidP="004E444C">
            <w:pPr>
              <w:spacing w:after="0" w:line="240" w:lineRule="auto"/>
              <w:jc w:val="center"/>
              <w:rPr>
                <w:rFonts w:ascii="Arial" w:eastAsia="Times New Roman" w:hAnsi="Arial" w:cs="Arial"/>
                <w:b/>
                <w:sz w:val="20"/>
                <w:szCs w:val="20"/>
              </w:rPr>
            </w:pPr>
            <w:r w:rsidRPr="00196170">
              <w:rPr>
                <w:rFonts w:ascii="Arial" w:eastAsia="Times New Roman" w:hAnsi="Arial" w:cs="Arial"/>
                <w:b/>
                <w:sz w:val="20"/>
                <w:szCs w:val="20"/>
              </w:rPr>
              <w:t>Total</w:t>
            </w:r>
          </w:p>
        </w:tc>
        <w:tc>
          <w:tcPr>
            <w:tcW w:w="1550" w:type="dxa"/>
            <w:shd w:val="clear" w:color="auto" w:fill="DAEEF3" w:themeFill="accent5" w:themeFillTint="33"/>
            <w:vAlign w:val="bottom"/>
          </w:tcPr>
          <w:p w:rsidR="000645BF" w:rsidRPr="00196170" w:rsidRDefault="000645BF" w:rsidP="004E444C">
            <w:pPr>
              <w:spacing w:after="0" w:line="240" w:lineRule="auto"/>
              <w:jc w:val="center"/>
              <w:rPr>
                <w:rFonts w:ascii="Arial" w:eastAsia="Times New Roman" w:hAnsi="Arial" w:cs="Arial"/>
                <w:b/>
                <w:bCs/>
                <w:sz w:val="20"/>
                <w:szCs w:val="20"/>
              </w:rPr>
            </w:pPr>
            <w:r w:rsidRPr="00196170">
              <w:rPr>
                <w:rFonts w:ascii="Arial" w:eastAsia="Times New Roman" w:hAnsi="Arial" w:cs="Arial"/>
                <w:b/>
                <w:bCs/>
                <w:sz w:val="20"/>
                <w:szCs w:val="20"/>
              </w:rPr>
              <w:t>550</w:t>
            </w:r>
          </w:p>
        </w:tc>
        <w:tc>
          <w:tcPr>
            <w:tcW w:w="2396" w:type="dxa"/>
            <w:shd w:val="clear" w:color="auto" w:fill="DAEEF3" w:themeFill="accent5" w:themeFillTint="33"/>
            <w:noWrap/>
            <w:vAlign w:val="center"/>
            <w:hideMark/>
          </w:tcPr>
          <w:p w:rsidR="000645BF" w:rsidRPr="00196170" w:rsidRDefault="000645BF" w:rsidP="004E444C">
            <w:pPr>
              <w:spacing w:after="0" w:line="240" w:lineRule="auto"/>
              <w:jc w:val="center"/>
              <w:rPr>
                <w:rFonts w:ascii="Arial" w:eastAsia="Times New Roman" w:hAnsi="Arial" w:cs="Arial"/>
                <w:b/>
                <w:sz w:val="20"/>
                <w:szCs w:val="20"/>
              </w:rPr>
            </w:pPr>
            <w:r w:rsidRPr="00196170">
              <w:rPr>
                <w:rFonts w:ascii="Arial" w:eastAsia="Times New Roman" w:hAnsi="Arial" w:cs="Arial"/>
                <w:b/>
                <w:sz w:val="20"/>
                <w:szCs w:val="20"/>
              </w:rPr>
              <w:t>11</w:t>
            </w:r>
          </w:p>
        </w:tc>
        <w:tc>
          <w:tcPr>
            <w:tcW w:w="1973" w:type="dxa"/>
            <w:shd w:val="clear" w:color="auto" w:fill="DAEEF3" w:themeFill="accent5" w:themeFillTint="33"/>
            <w:noWrap/>
            <w:vAlign w:val="center"/>
            <w:hideMark/>
          </w:tcPr>
          <w:p w:rsidR="000645BF" w:rsidRPr="00196170" w:rsidRDefault="000645BF" w:rsidP="004E444C">
            <w:pPr>
              <w:spacing w:after="0" w:line="240" w:lineRule="auto"/>
              <w:jc w:val="center"/>
              <w:rPr>
                <w:rFonts w:ascii="Arial" w:eastAsia="Times New Roman" w:hAnsi="Arial" w:cs="Arial"/>
                <w:b/>
                <w:sz w:val="20"/>
                <w:szCs w:val="20"/>
              </w:rPr>
            </w:pPr>
            <w:r w:rsidRPr="00196170">
              <w:rPr>
                <w:rFonts w:ascii="Arial" w:eastAsia="Times New Roman" w:hAnsi="Arial" w:cs="Arial"/>
                <w:b/>
                <w:sz w:val="20"/>
                <w:szCs w:val="20"/>
              </w:rPr>
              <w:t>2,0</w:t>
            </w:r>
          </w:p>
        </w:tc>
      </w:tr>
    </w:tbl>
    <w:p w:rsidR="000645BF" w:rsidRPr="00363DED" w:rsidRDefault="000645BF" w:rsidP="000645BF">
      <w:pPr>
        <w:spacing w:after="0" w:line="240" w:lineRule="auto"/>
        <w:jc w:val="center"/>
        <w:rPr>
          <w:rFonts w:ascii="Arial" w:hAnsi="Arial" w:cs="Arial"/>
          <w:b/>
          <w:sz w:val="20"/>
          <w:szCs w:val="20"/>
        </w:rPr>
      </w:pPr>
    </w:p>
    <w:p w:rsidR="000645BF" w:rsidRPr="00094AD8" w:rsidRDefault="000645BF" w:rsidP="000645BF">
      <w:pPr>
        <w:spacing w:line="240" w:lineRule="auto"/>
        <w:rPr>
          <w:rFonts w:ascii="Arial" w:hAnsi="Arial" w:cs="Arial"/>
          <w:b/>
          <w:i/>
          <w:sz w:val="20"/>
          <w:szCs w:val="20"/>
        </w:rPr>
      </w:pPr>
    </w:p>
    <w:p w:rsidR="000645BF" w:rsidRDefault="000645BF" w:rsidP="000645BF">
      <w:pPr>
        <w:spacing w:line="240" w:lineRule="auto"/>
        <w:rPr>
          <w:rFonts w:ascii="Arial" w:eastAsia="Times New Roman" w:hAnsi="Arial" w:cs="Arial"/>
          <w:b/>
          <w:i/>
          <w:sz w:val="20"/>
          <w:szCs w:val="20"/>
        </w:rPr>
      </w:pPr>
      <w:r w:rsidRPr="00094AD8">
        <w:rPr>
          <w:rFonts w:ascii="Arial" w:hAnsi="Arial" w:cs="Arial"/>
          <w:b/>
          <w:i/>
          <w:sz w:val="20"/>
          <w:szCs w:val="20"/>
        </w:rPr>
        <w:t>Evoluția punctelor de monitorizare cu concentrație mai mare de 0,1</w:t>
      </w:r>
      <w:r w:rsidRPr="00094AD8">
        <w:rPr>
          <w:rFonts w:ascii="Arial" w:eastAsia="Times New Roman" w:hAnsi="Arial" w:cs="Arial"/>
          <w:b/>
          <w:i/>
          <w:sz w:val="20"/>
          <w:szCs w:val="20"/>
        </w:rPr>
        <w:t>µg/L pentru perioada 2011 - 2017 (%)</w:t>
      </w:r>
    </w:p>
    <w:p w:rsidR="000645BF" w:rsidRPr="005F7CBA" w:rsidRDefault="000645BF" w:rsidP="000645BF">
      <w:pPr>
        <w:spacing w:after="0" w:line="240" w:lineRule="auto"/>
        <w:jc w:val="both"/>
        <w:rPr>
          <w:rFonts w:ascii="Arial" w:eastAsia="Times New Roman" w:hAnsi="Arial" w:cs="Arial"/>
          <w:b/>
          <w:i/>
          <w:sz w:val="20"/>
          <w:szCs w:val="16"/>
        </w:rPr>
      </w:pPr>
      <w:r w:rsidRPr="00094AD8">
        <w:rPr>
          <w:rFonts w:ascii="Arial" w:hAnsi="Arial" w:cs="Arial"/>
          <w:b/>
          <w:i/>
          <w:sz w:val="20"/>
          <w:szCs w:val="20"/>
        </w:rPr>
        <w:t>Tabel II.2.</w:t>
      </w:r>
      <w:r>
        <w:rPr>
          <w:rFonts w:ascii="Arial" w:hAnsi="Arial" w:cs="Arial"/>
          <w:b/>
          <w:i/>
          <w:sz w:val="20"/>
          <w:szCs w:val="20"/>
        </w:rPr>
        <w:t>1</w:t>
      </w:r>
      <w:r w:rsidRPr="00094AD8">
        <w:rPr>
          <w:rFonts w:ascii="Arial" w:hAnsi="Arial" w:cs="Arial"/>
          <w:b/>
          <w:i/>
          <w:sz w:val="20"/>
          <w:szCs w:val="20"/>
        </w:rPr>
        <w:t>.3.</w:t>
      </w:r>
      <w:r>
        <w:rPr>
          <w:rFonts w:ascii="Arial" w:hAnsi="Arial" w:cs="Arial"/>
          <w:b/>
          <w:i/>
          <w:sz w:val="20"/>
          <w:szCs w:val="20"/>
        </w:rPr>
        <w:t>3</w:t>
      </w:r>
      <w:r w:rsidRPr="00094AD8">
        <w:rPr>
          <w:rFonts w:ascii="Arial" w:hAnsi="Arial" w:cs="Arial"/>
          <w:b/>
          <w:i/>
          <w:sz w:val="20"/>
          <w:szCs w:val="20"/>
        </w:rPr>
        <w:t xml:space="preserve"> Evoluția punctelor de monitorizare cu concentrație mai mare de 0,1</w:t>
      </w:r>
      <w:r w:rsidRPr="00094AD8">
        <w:rPr>
          <w:rFonts w:ascii="Arial" w:eastAsia="Times New Roman" w:hAnsi="Arial" w:cs="Arial"/>
          <w:b/>
          <w:i/>
          <w:sz w:val="20"/>
          <w:szCs w:val="20"/>
        </w:rPr>
        <w:t>µg/L pentru</w:t>
      </w:r>
      <w:r w:rsidRPr="005F7CBA">
        <w:rPr>
          <w:rFonts w:ascii="Arial" w:eastAsia="Times New Roman" w:hAnsi="Arial" w:cs="Arial"/>
          <w:b/>
          <w:i/>
          <w:sz w:val="20"/>
          <w:szCs w:val="16"/>
        </w:rPr>
        <w:t>perioada 2011-201</w:t>
      </w:r>
      <w:r>
        <w:rPr>
          <w:rFonts w:ascii="Arial" w:eastAsia="Times New Roman" w:hAnsi="Arial" w:cs="Arial"/>
          <w:b/>
          <w:i/>
          <w:sz w:val="20"/>
          <w:szCs w:val="16"/>
        </w:rPr>
        <w:t>7</w:t>
      </w:r>
      <w:r w:rsidRPr="005F7CBA">
        <w:rPr>
          <w:rFonts w:ascii="Arial" w:eastAsia="Times New Roman" w:hAnsi="Arial" w:cs="Arial"/>
          <w:b/>
          <w:i/>
          <w:sz w:val="20"/>
          <w:szCs w:val="16"/>
        </w:rPr>
        <w:t xml:space="preserve"> (%)</w:t>
      </w:r>
    </w:p>
    <w:tbl>
      <w:tblPr>
        <w:tblW w:w="9620" w:type="dxa"/>
        <w:jc w:val="center"/>
        <w:tblLook w:val="04A0"/>
      </w:tblPr>
      <w:tblGrid>
        <w:gridCol w:w="3533"/>
        <w:gridCol w:w="957"/>
        <w:gridCol w:w="810"/>
        <w:gridCol w:w="900"/>
        <w:gridCol w:w="810"/>
        <w:gridCol w:w="900"/>
        <w:gridCol w:w="810"/>
        <w:gridCol w:w="900"/>
      </w:tblGrid>
      <w:tr w:rsidR="000645BF" w:rsidRPr="00094AD8" w:rsidTr="004E444C">
        <w:trPr>
          <w:trHeight w:val="619"/>
          <w:jc w:val="center"/>
        </w:trPr>
        <w:tc>
          <w:tcPr>
            <w:tcW w:w="3533"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Anul</w:t>
            </w:r>
          </w:p>
        </w:tc>
        <w:tc>
          <w:tcPr>
            <w:tcW w:w="957"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2011</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2012</w:t>
            </w:r>
          </w:p>
        </w:tc>
        <w:tc>
          <w:tcPr>
            <w:tcW w:w="90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2013</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2014</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2015</w:t>
            </w:r>
          </w:p>
        </w:tc>
        <w:tc>
          <w:tcPr>
            <w:tcW w:w="81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2016</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2017</w:t>
            </w:r>
          </w:p>
        </w:tc>
      </w:tr>
      <w:tr w:rsidR="000645BF" w:rsidRPr="00094AD8" w:rsidTr="004E444C">
        <w:trPr>
          <w:trHeight w:val="437"/>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Număr pesticide monitorizate</w:t>
            </w:r>
          </w:p>
        </w:tc>
        <w:tc>
          <w:tcPr>
            <w:tcW w:w="957"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20</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20</w:t>
            </w:r>
          </w:p>
        </w:tc>
        <w:tc>
          <w:tcPr>
            <w:tcW w:w="90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19</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19</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19</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20</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21</w:t>
            </w:r>
          </w:p>
        </w:tc>
      </w:tr>
      <w:tr w:rsidR="000645BF" w:rsidRPr="00094AD8" w:rsidTr="004E444C">
        <w:trPr>
          <w:trHeight w:val="402"/>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Număr total de puncte monitorizate</w:t>
            </w:r>
          </w:p>
        </w:tc>
        <w:tc>
          <w:tcPr>
            <w:tcW w:w="957"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1314</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1300</w:t>
            </w:r>
          </w:p>
        </w:tc>
        <w:tc>
          <w:tcPr>
            <w:tcW w:w="90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1271</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1318</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1310</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1523</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1536</w:t>
            </w:r>
          </w:p>
        </w:tc>
      </w:tr>
      <w:tr w:rsidR="000645BF" w:rsidRPr="00094AD8" w:rsidTr="004E444C">
        <w:trPr>
          <w:trHeight w:val="481"/>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Număr puncte în care se  monitorizează pesticidele</w:t>
            </w:r>
          </w:p>
        </w:tc>
        <w:tc>
          <w:tcPr>
            <w:tcW w:w="957"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278</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368</w:t>
            </w:r>
          </w:p>
        </w:tc>
        <w:tc>
          <w:tcPr>
            <w:tcW w:w="90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333</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284</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365</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574</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550</w:t>
            </w:r>
          </w:p>
        </w:tc>
      </w:tr>
      <w:tr w:rsidR="000645BF" w:rsidRPr="00094AD8" w:rsidTr="004E444C">
        <w:trPr>
          <w:trHeight w:val="867"/>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0645BF" w:rsidRPr="00094AD8" w:rsidRDefault="000645BF" w:rsidP="004E444C">
            <w:pPr>
              <w:spacing w:after="0" w:line="240" w:lineRule="auto"/>
              <w:jc w:val="center"/>
              <w:rPr>
                <w:rFonts w:ascii="Arial" w:eastAsia="Times New Roman" w:hAnsi="Arial" w:cs="Arial"/>
                <w:b/>
                <w:sz w:val="20"/>
                <w:szCs w:val="20"/>
              </w:rPr>
            </w:pPr>
            <w:r w:rsidRPr="00094AD8">
              <w:rPr>
                <w:rFonts w:ascii="Arial" w:eastAsia="Times New Roman" w:hAnsi="Arial" w:cs="Arial"/>
                <w:b/>
                <w:sz w:val="20"/>
                <w:szCs w:val="20"/>
              </w:rPr>
              <w:t>Ponderea punctelor de monitorizare  cu concentrație mai mare de 0.1µg/L din nr. punctelor în care se monitorizează pesticidele (%)</w:t>
            </w:r>
          </w:p>
        </w:tc>
        <w:tc>
          <w:tcPr>
            <w:tcW w:w="957"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6,12</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2,99</w:t>
            </w:r>
          </w:p>
        </w:tc>
        <w:tc>
          <w:tcPr>
            <w:tcW w:w="90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2,7</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0</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6,3</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3,31</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0645BF" w:rsidRPr="00094AD8" w:rsidRDefault="000645BF" w:rsidP="004E444C">
            <w:pPr>
              <w:spacing w:after="0" w:line="240" w:lineRule="auto"/>
              <w:jc w:val="center"/>
              <w:rPr>
                <w:rFonts w:ascii="Arial" w:eastAsia="Times New Roman" w:hAnsi="Arial" w:cs="Arial"/>
                <w:sz w:val="20"/>
                <w:szCs w:val="20"/>
              </w:rPr>
            </w:pPr>
            <w:r w:rsidRPr="00094AD8">
              <w:rPr>
                <w:rFonts w:ascii="Arial" w:eastAsia="Times New Roman" w:hAnsi="Arial" w:cs="Arial"/>
                <w:sz w:val="20"/>
                <w:szCs w:val="20"/>
              </w:rPr>
              <w:t>2,0</w:t>
            </w:r>
          </w:p>
        </w:tc>
      </w:tr>
    </w:tbl>
    <w:p w:rsidR="000645BF" w:rsidRPr="00094AD8" w:rsidRDefault="000645BF" w:rsidP="000645BF">
      <w:pPr>
        <w:spacing w:after="0" w:line="240" w:lineRule="auto"/>
        <w:jc w:val="both"/>
        <w:rPr>
          <w:rFonts w:ascii="Arial" w:hAnsi="Arial" w:cs="Arial"/>
          <w:i/>
          <w:sz w:val="20"/>
          <w:szCs w:val="20"/>
          <w:lang w:val="en-US"/>
        </w:rPr>
      </w:pPr>
    </w:p>
    <w:p w:rsidR="000645BF" w:rsidRDefault="000645BF" w:rsidP="000645BF">
      <w:pPr>
        <w:spacing w:after="0" w:line="240" w:lineRule="auto"/>
        <w:jc w:val="both"/>
        <w:rPr>
          <w:rFonts w:ascii="Arial" w:hAnsi="Arial" w:cs="Arial"/>
          <w:b/>
          <w:bCs/>
          <w:sz w:val="24"/>
          <w:szCs w:val="24"/>
        </w:rPr>
      </w:pPr>
    </w:p>
    <w:p w:rsidR="000645BF" w:rsidRDefault="000645BF" w:rsidP="000645BF">
      <w:pPr>
        <w:spacing w:after="0" w:line="240" w:lineRule="auto"/>
        <w:jc w:val="both"/>
        <w:rPr>
          <w:rFonts w:ascii="Arial" w:hAnsi="Arial" w:cs="Arial"/>
          <w:b/>
          <w:bCs/>
          <w:sz w:val="24"/>
          <w:szCs w:val="24"/>
        </w:rPr>
      </w:pPr>
      <w:r w:rsidRPr="00E92120">
        <w:rPr>
          <w:rFonts w:ascii="Arial" w:hAnsi="Arial" w:cs="Arial"/>
          <w:b/>
          <w:bCs/>
          <w:sz w:val="24"/>
          <w:szCs w:val="24"/>
        </w:rPr>
        <w:t xml:space="preserve">II.2.1.4. Calitatea apelor de îmbăiere </w:t>
      </w:r>
    </w:p>
    <w:p w:rsidR="000645BF" w:rsidRDefault="000645BF" w:rsidP="000645BF">
      <w:pPr>
        <w:spacing w:after="0" w:line="240" w:lineRule="auto"/>
        <w:ind w:firstLine="708"/>
        <w:jc w:val="both"/>
        <w:rPr>
          <w:rFonts w:ascii="Arial" w:hAnsi="Arial" w:cs="Arial"/>
          <w:bCs/>
          <w:sz w:val="24"/>
          <w:szCs w:val="24"/>
        </w:rPr>
      </w:pPr>
      <w:r w:rsidRPr="00E92120">
        <w:rPr>
          <w:rFonts w:ascii="Arial" w:hAnsi="Arial" w:cs="Arial"/>
          <w:bCs/>
          <w:sz w:val="24"/>
          <w:szCs w:val="24"/>
        </w:rPr>
        <w:t xml:space="preserve">În mod tradiţional se folosesc malurile Dunării în scop recreativ,  dar în judeţul </w:t>
      </w:r>
      <w:r>
        <w:rPr>
          <w:rFonts w:ascii="Arial" w:hAnsi="Arial" w:cs="Arial"/>
          <w:bCs/>
          <w:sz w:val="24"/>
          <w:szCs w:val="24"/>
        </w:rPr>
        <w:t>Brăila</w:t>
      </w:r>
      <w:r w:rsidRPr="00E92120">
        <w:rPr>
          <w:rFonts w:ascii="Arial" w:hAnsi="Arial" w:cs="Arial"/>
          <w:bCs/>
          <w:sz w:val="24"/>
          <w:szCs w:val="24"/>
        </w:rPr>
        <w:t xml:space="preserve"> nu există zone naturale de îmbăiere amenajate şi autorizate sanitar. În municipiu sunt câteva piscine autorizare sanitar, acestea fiind racordate la reţeaua de apă potabilă a municipiului </w:t>
      </w:r>
      <w:r>
        <w:rPr>
          <w:rFonts w:ascii="Arial" w:hAnsi="Arial" w:cs="Arial"/>
          <w:bCs/>
          <w:sz w:val="24"/>
          <w:szCs w:val="24"/>
        </w:rPr>
        <w:t>Brăila</w:t>
      </w:r>
      <w:r w:rsidRPr="00E92120">
        <w:rPr>
          <w:rFonts w:ascii="Arial" w:hAnsi="Arial" w:cs="Arial"/>
          <w:bCs/>
          <w:sz w:val="24"/>
          <w:szCs w:val="24"/>
        </w:rPr>
        <w:t>. Calitatea apei din staţiunea Lacu - Sărat este monitorizată de către Institutul Naţional de Resurse Minerale şi de către Institutul Naţional de Balneologie.</w:t>
      </w:r>
    </w:p>
    <w:p w:rsidR="000645BF" w:rsidRDefault="000645BF" w:rsidP="000645BF">
      <w:pPr>
        <w:pStyle w:val="BodyText2"/>
        <w:spacing w:after="0" w:line="240" w:lineRule="auto"/>
        <w:ind w:firstLine="708"/>
        <w:jc w:val="both"/>
        <w:rPr>
          <w:rFonts w:ascii="Arial" w:hAnsi="Arial" w:cs="Arial"/>
          <w:b/>
          <w:lang w:val="it-IT"/>
        </w:rPr>
      </w:pPr>
      <w:r>
        <w:rPr>
          <w:rFonts w:ascii="Arial" w:hAnsi="Arial" w:cs="Arial"/>
          <w:lang w:val="en-US"/>
        </w:rPr>
        <w:t>În anul 2017 s</w:t>
      </w:r>
      <w:r w:rsidRPr="00A44712">
        <w:rPr>
          <w:rFonts w:ascii="Arial" w:hAnsi="Arial" w:cs="Arial"/>
          <w:lang w:val="en-US"/>
        </w:rPr>
        <w:t>-au recoltat  probe de ape din piscine din judetul Br</w:t>
      </w:r>
      <w:r>
        <w:rPr>
          <w:rFonts w:ascii="Arial" w:hAnsi="Arial" w:cs="Arial"/>
          <w:lang w:val="en-US"/>
        </w:rPr>
        <w:t>ă</w:t>
      </w:r>
      <w:r w:rsidRPr="00A44712">
        <w:rPr>
          <w:rFonts w:ascii="Arial" w:hAnsi="Arial" w:cs="Arial"/>
          <w:lang w:val="en-US"/>
        </w:rPr>
        <w:t xml:space="preserve">ila, rezultatele fiind </w:t>
      </w:r>
      <w:r>
        <w:rPr>
          <w:rFonts w:ascii="Arial" w:hAnsi="Arial" w:cs="Arial"/>
          <w:lang w:val="en-US"/>
        </w:rPr>
        <w:t xml:space="preserve">specificate în tabelul de mai jos </w:t>
      </w:r>
      <w:r w:rsidRPr="00A44712">
        <w:rPr>
          <w:rFonts w:ascii="Arial" w:hAnsi="Arial" w:cs="Arial"/>
          <w:lang w:val="en-US"/>
        </w:rPr>
        <w:t>:</w:t>
      </w:r>
    </w:p>
    <w:p w:rsidR="000645BF" w:rsidRPr="00A44712" w:rsidRDefault="000645BF" w:rsidP="000645BF">
      <w:pPr>
        <w:pStyle w:val="BodyText2"/>
        <w:spacing w:after="0" w:line="240" w:lineRule="auto"/>
        <w:ind w:firstLine="708"/>
        <w:jc w:val="both"/>
        <w:rPr>
          <w:rFonts w:ascii="Arial" w:hAnsi="Arial" w:cs="Arial"/>
          <w:lang w:val="it-IT"/>
        </w:rPr>
      </w:pPr>
      <w:r w:rsidRPr="00A50446">
        <w:rPr>
          <w:rFonts w:ascii="Arial" w:hAnsi="Arial" w:cs="Arial"/>
          <w:b/>
          <w:lang w:val="it-IT"/>
        </w:rPr>
        <w:t>Tabelul</w:t>
      </w:r>
      <w:r w:rsidRPr="00E92120">
        <w:rPr>
          <w:rFonts w:ascii="Arial" w:hAnsi="Arial" w:cs="Arial"/>
          <w:b/>
          <w:bCs/>
        </w:rPr>
        <w:t>II.2.1.4.</w:t>
      </w:r>
      <w:r>
        <w:rPr>
          <w:rFonts w:ascii="Arial" w:hAnsi="Arial" w:cs="Arial"/>
          <w:b/>
          <w:bCs/>
        </w:rPr>
        <w:t>- 1</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629"/>
        <w:gridCol w:w="2268"/>
        <w:gridCol w:w="1843"/>
        <w:gridCol w:w="2268"/>
      </w:tblGrid>
      <w:tr w:rsidR="000645BF" w:rsidRPr="00A44712" w:rsidTr="004E444C">
        <w:trPr>
          <w:trHeight w:val="375"/>
        </w:trPr>
        <w:tc>
          <w:tcPr>
            <w:tcW w:w="234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i/>
                <w:lang w:val="pt-BR"/>
              </w:rPr>
            </w:pPr>
          </w:p>
        </w:tc>
        <w:tc>
          <w:tcPr>
            <w:tcW w:w="162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rPr>
            </w:pPr>
            <w:r w:rsidRPr="00A44712">
              <w:rPr>
                <w:rFonts w:ascii="Arial" w:hAnsi="Arial" w:cs="Arial"/>
              </w:rPr>
              <w:t>Nr. parametri</w:t>
            </w:r>
          </w:p>
          <w:p w:rsidR="000645BF" w:rsidRPr="00A44712" w:rsidRDefault="000645BF" w:rsidP="004E444C">
            <w:pPr>
              <w:pStyle w:val="BodyText2"/>
              <w:spacing w:after="0" w:line="240" w:lineRule="auto"/>
              <w:jc w:val="both"/>
              <w:rPr>
                <w:rFonts w:ascii="Arial" w:hAnsi="Arial" w:cs="Arial"/>
                <w:lang w:val="pt-BR"/>
              </w:rPr>
            </w:pPr>
            <w:r>
              <w:rPr>
                <w:rFonts w:ascii="Arial" w:hAnsi="Arial" w:cs="Arial"/>
                <w:lang w:val="pt-BR"/>
              </w:rPr>
              <w:t>a</w:t>
            </w:r>
            <w:r w:rsidRPr="00A44712">
              <w:rPr>
                <w:rFonts w:ascii="Arial" w:hAnsi="Arial" w:cs="Arial"/>
                <w:lang w:val="pt-BR"/>
              </w:rPr>
              <w:t>naliza</w:t>
            </w:r>
            <w:r>
              <w:rPr>
                <w:rFonts w:ascii="Arial" w:hAnsi="Arial" w:cs="Arial"/>
                <w:lang w:val="pt-BR"/>
              </w:rPr>
              <w:t>ț</w:t>
            </w:r>
            <w:r w:rsidRPr="00A44712">
              <w:rPr>
                <w:rFonts w:ascii="Arial" w:hAnsi="Arial" w:cs="Arial"/>
                <w:lang w:val="pt-BR"/>
              </w:rPr>
              <w:t>i</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Nr.total parametri</w:t>
            </w:r>
          </w:p>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necorespunz</w:t>
            </w:r>
            <w:r>
              <w:rPr>
                <w:rFonts w:ascii="Arial" w:hAnsi="Arial" w:cs="Arial"/>
                <w:lang w:val="pt-BR"/>
              </w:rPr>
              <w:t>ă</w:t>
            </w:r>
            <w:r w:rsidRPr="00A44712">
              <w:rPr>
                <w:rFonts w:ascii="Arial" w:hAnsi="Arial" w:cs="Arial"/>
                <w:lang w:val="pt-BR"/>
              </w:rPr>
              <w:t>tori</w:t>
            </w:r>
          </w:p>
        </w:tc>
        <w:tc>
          <w:tcPr>
            <w:tcW w:w="41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Nr. parametri necorespunz</w:t>
            </w:r>
            <w:r>
              <w:rPr>
                <w:rFonts w:ascii="Arial" w:hAnsi="Arial" w:cs="Arial"/>
                <w:lang w:val="pt-BR"/>
              </w:rPr>
              <w:t>ă</w:t>
            </w:r>
            <w:r w:rsidRPr="00A44712">
              <w:rPr>
                <w:rFonts w:ascii="Arial" w:hAnsi="Arial" w:cs="Arial"/>
                <w:lang w:val="pt-BR"/>
              </w:rPr>
              <w:t>tori</w:t>
            </w:r>
          </w:p>
        </w:tc>
      </w:tr>
      <w:tr w:rsidR="000645BF" w:rsidRPr="00A44712" w:rsidTr="004E444C">
        <w:trPr>
          <w:trHeight w:val="653"/>
        </w:trPr>
        <w:tc>
          <w:tcPr>
            <w:tcW w:w="234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45BF" w:rsidRPr="00A44712" w:rsidRDefault="000645BF" w:rsidP="004E444C">
            <w:pPr>
              <w:spacing w:after="0" w:line="240" w:lineRule="auto"/>
              <w:jc w:val="both"/>
              <w:rPr>
                <w:rFonts w:ascii="Arial" w:hAnsi="Arial" w:cs="Arial"/>
                <w:i/>
                <w:sz w:val="24"/>
                <w:lang w:val="pt-BR"/>
              </w:rPr>
            </w:pPr>
          </w:p>
        </w:tc>
        <w:tc>
          <w:tcPr>
            <w:tcW w:w="162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45BF" w:rsidRPr="00A44712" w:rsidRDefault="000645BF" w:rsidP="004E444C">
            <w:pPr>
              <w:spacing w:after="0" w:line="240" w:lineRule="auto"/>
              <w:jc w:val="both"/>
              <w:rPr>
                <w:rFonts w:ascii="Arial" w:hAnsi="Arial" w:cs="Arial"/>
                <w:sz w:val="24"/>
                <w:lang w:val="pt-BR"/>
              </w:rPr>
            </w:pPr>
          </w:p>
        </w:tc>
        <w:tc>
          <w:tcPr>
            <w:tcW w:w="226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45BF" w:rsidRPr="00A44712" w:rsidRDefault="000645BF" w:rsidP="004E444C">
            <w:pPr>
              <w:spacing w:after="0" w:line="240" w:lineRule="auto"/>
              <w:jc w:val="both"/>
              <w:rPr>
                <w:rFonts w:ascii="Arial" w:hAnsi="Arial" w:cs="Arial"/>
                <w:sz w:val="24"/>
                <w:lang w:val="pt-BR"/>
              </w:rPr>
            </w:pP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Microbiologici</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Fizico-chimici</w:t>
            </w:r>
          </w:p>
        </w:tc>
      </w:tr>
      <w:tr w:rsidR="000645BF" w:rsidRPr="00A44712" w:rsidTr="004E444C">
        <w:trPr>
          <w:trHeight w:val="315"/>
        </w:trPr>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i/>
                <w:lang w:val="pt-BR"/>
              </w:rPr>
            </w:pPr>
            <w:r w:rsidRPr="00A44712">
              <w:rPr>
                <w:rFonts w:ascii="Arial" w:hAnsi="Arial" w:cs="Arial"/>
                <w:i/>
                <w:lang w:val="pt-BR"/>
              </w:rPr>
              <w:t xml:space="preserve">Ape de  </w:t>
            </w:r>
            <w:r>
              <w:rPr>
                <w:rFonts w:ascii="Arial" w:hAnsi="Arial" w:cs="Arial"/>
                <w:i/>
                <w:lang w:val="pt-BR"/>
              </w:rPr>
              <w:t>î</w:t>
            </w:r>
            <w:r w:rsidRPr="00A44712">
              <w:rPr>
                <w:rFonts w:ascii="Arial" w:hAnsi="Arial" w:cs="Arial"/>
                <w:i/>
                <w:lang w:val="pt-BR"/>
              </w:rPr>
              <w:t>mb</w:t>
            </w:r>
            <w:r>
              <w:rPr>
                <w:rFonts w:ascii="Arial" w:hAnsi="Arial" w:cs="Arial"/>
                <w:i/>
                <w:lang w:val="pt-BR"/>
              </w:rPr>
              <w:t>ă</w:t>
            </w:r>
            <w:r w:rsidRPr="00A44712">
              <w:rPr>
                <w:rFonts w:ascii="Arial" w:hAnsi="Arial" w:cs="Arial"/>
                <w:i/>
                <w:lang w:val="pt-BR"/>
              </w:rPr>
              <w:t>iere</w:t>
            </w:r>
          </w:p>
        </w:tc>
        <w:tc>
          <w:tcPr>
            <w:tcW w:w="16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45BF" w:rsidRPr="00A44712" w:rsidRDefault="000645BF" w:rsidP="004E444C">
            <w:pPr>
              <w:pStyle w:val="BodyText2"/>
              <w:spacing w:after="0" w:line="240" w:lineRule="auto"/>
              <w:jc w:val="center"/>
              <w:rPr>
                <w:rFonts w:ascii="Arial" w:hAnsi="Arial" w:cs="Arial"/>
                <w:lang w:val="pt-BR"/>
              </w:rPr>
            </w:pPr>
            <w:r w:rsidRPr="00A44712">
              <w:rPr>
                <w:rFonts w:ascii="Arial" w:hAnsi="Arial" w:cs="Arial"/>
                <w:lang w:val="pt-BR"/>
              </w:rPr>
              <w:t>131</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45BF" w:rsidRPr="00A44712" w:rsidRDefault="000645BF" w:rsidP="004E444C">
            <w:pPr>
              <w:pStyle w:val="BodyText2"/>
              <w:spacing w:after="0" w:line="240" w:lineRule="auto"/>
              <w:jc w:val="center"/>
              <w:rPr>
                <w:rFonts w:ascii="Arial" w:hAnsi="Arial" w:cs="Arial"/>
                <w:lang w:val="pt-BR"/>
              </w:rPr>
            </w:pPr>
            <w:r w:rsidRPr="00A44712">
              <w:rPr>
                <w:rFonts w:ascii="Arial" w:hAnsi="Arial" w:cs="Arial"/>
                <w:lang w:val="pt-BR"/>
              </w:rPr>
              <w:t>6</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3 (Enterococi)</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645BF" w:rsidRPr="00A44712" w:rsidRDefault="000645BF" w:rsidP="004E444C">
            <w:pPr>
              <w:pStyle w:val="BodyText2"/>
              <w:spacing w:after="0" w:line="240" w:lineRule="auto"/>
              <w:jc w:val="both"/>
              <w:rPr>
                <w:rFonts w:ascii="Arial" w:hAnsi="Arial" w:cs="Arial"/>
                <w:lang w:val="pt-BR"/>
              </w:rPr>
            </w:pPr>
            <w:r w:rsidRPr="00A44712">
              <w:rPr>
                <w:rFonts w:ascii="Arial" w:hAnsi="Arial" w:cs="Arial"/>
                <w:lang w:val="pt-BR"/>
              </w:rPr>
              <w:t>3 (clor)</w:t>
            </w:r>
          </w:p>
        </w:tc>
      </w:tr>
    </w:tbl>
    <w:p w:rsidR="000645BF" w:rsidRPr="00A44712" w:rsidRDefault="000645BF" w:rsidP="000645BF">
      <w:pPr>
        <w:autoSpaceDE w:val="0"/>
        <w:autoSpaceDN w:val="0"/>
        <w:adjustRightInd w:val="0"/>
        <w:spacing w:after="0" w:line="240" w:lineRule="auto"/>
        <w:jc w:val="both"/>
        <w:rPr>
          <w:rFonts w:ascii="Arial" w:hAnsi="Arial" w:cs="Arial"/>
          <w:b/>
          <w:sz w:val="24"/>
          <w:szCs w:val="24"/>
        </w:rPr>
      </w:pPr>
    </w:p>
    <w:p w:rsidR="000645BF" w:rsidRPr="001E2C56" w:rsidRDefault="000645BF" w:rsidP="000645BF">
      <w:pPr>
        <w:autoSpaceDE w:val="0"/>
        <w:autoSpaceDN w:val="0"/>
        <w:adjustRightInd w:val="0"/>
        <w:spacing w:after="0" w:line="240" w:lineRule="auto"/>
        <w:jc w:val="both"/>
        <w:rPr>
          <w:b/>
          <w:sz w:val="24"/>
          <w:szCs w:val="24"/>
        </w:rPr>
      </w:pPr>
      <w:r>
        <w:rPr>
          <w:rFonts w:ascii="Arial" w:hAnsi="Arial" w:cs="Arial"/>
          <w:i/>
          <w:sz w:val="24"/>
          <w:szCs w:val="24"/>
          <w:lang w:val="fr-FR"/>
        </w:rPr>
        <w:t>*</w:t>
      </w:r>
      <w:r w:rsidRPr="00797EA7">
        <w:rPr>
          <w:rFonts w:ascii="Arial" w:hAnsi="Arial" w:cs="Arial"/>
          <w:i/>
          <w:sz w:val="24"/>
          <w:szCs w:val="24"/>
          <w:lang w:val="fr-FR"/>
        </w:rPr>
        <w:t>La nivelul judetului Braila nu s-au identificat zone de îmbăiere naturale amenajate si neamenajate</w:t>
      </w:r>
      <w:r w:rsidRPr="001E2C56">
        <w:rPr>
          <w:sz w:val="24"/>
          <w:szCs w:val="24"/>
          <w:lang w:val="fr-FR"/>
        </w:rPr>
        <w:t xml:space="preserve"> .  </w:t>
      </w:r>
      <w:r>
        <w:rPr>
          <w:sz w:val="24"/>
          <w:szCs w:val="24"/>
          <w:lang w:val="fr-FR"/>
        </w:rPr>
        <w:t>(</w:t>
      </w:r>
      <w:r w:rsidRPr="00766C49">
        <w:rPr>
          <w:rFonts w:ascii="Arial" w:hAnsi="Arial" w:cs="Arial"/>
          <w:i/>
          <w:sz w:val="24"/>
          <w:szCs w:val="24"/>
        </w:rPr>
        <w:t>Date furnizate de către Direcția de Sănătate Publică a jud. Brăila</w:t>
      </w:r>
      <w:r>
        <w:rPr>
          <w:b/>
          <w:sz w:val="24"/>
          <w:szCs w:val="24"/>
        </w:rPr>
        <w:t>)</w:t>
      </w:r>
    </w:p>
    <w:p w:rsidR="000645BF" w:rsidRPr="00E92120" w:rsidRDefault="000645BF" w:rsidP="000645BF">
      <w:pPr>
        <w:spacing w:after="0" w:line="240" w:lineRule="auto"/>
        <w:jc w:val="both"/>
        <w:rPr>
          <w:rFonts w:ascii="Arial" w:hAnsi="Arial" w:cs="Arial"/>
          <w:b/>
          <w:bCs/>
          <w:iCs/>
        </w:rPr>
      </w:pPr>
    </w:p>
    <w:p w:rsidR="000645BF" w:rsidRDefault="000645BF" w:rsidP="000645BF">
      <w:pPr>
        <w:pStyle w:val="Default"/>
        <w:jc w:val="both"/>
        <w:rPr>
          <w:rFonts w:ascii="Arial" w:hAnsi="Arial" w:cs="Arial"/>
          <w:b/>
          <w:bCs/>
          <w:i/>
          <w:iCs/>
          <w:color w:val="auto"/>
          <w:u w:val="single"/>
        </w:rPr>
      </w:pPr>
      <w:r w:rsidRPr="00E92120">
        <w:rPr>
          <w:rFonts w:ascii="Arial" w:hAnsi="Arial" w:cs="Arial"/>
          <w:b/>
          <w:bCs/>
          <w:iCs/>
          <w:color w:val="auto"/>
        </w:rPr>
        <w:t>II.2.2. Factorii determinanţi şi presiunile care afectează starea de calitate</w:t>
      </w:r>
      <w:r w:rsidRPr="00E92120">
        <w:rPr>
          <w:rFonts w:ascii="Arial" w:hAnsi="Arial" w:cs="Arial"/>
          <w:b/>
          <w:bCs/>
          <w:i/>
          <w:iCs/>
          <w:color w:val="auto"/>
        </w:rPr>
        <w:t xml:space="preserve"> a apelor</w:t>
      </w:r>
    </w:p>
    <w:p w:rsidR="000645BF" w:rsidRPr="00E92120" w:rsidRDefault="000645BF" w:rsidP="000645BF">
      <w:pPr>
        <w:pStyle w:val="Default"/>
        <w:jc w:val="both"/>
        <w:rPr>
          <w:rFonts w:ascii="Arial" w:hAnsi="Arial" w:cs="Arial"/>
        </w:rPr>
      </w:pPr>
    </w:p>
    <w:p w:rsidR="000645BF" w:rsidRDefault="000645BF" w:rsidP="000645BF">
      <w:pPr>
        <w:pStyle w:val="Default"/>
        <w:jc w:val="both"/>
        <w:rPr>
          <w:rFonts w:ascii="Arial" w:hAnsi="Arial" w:cs="Arial"/>
        </w:rPr>
      </w:pPr>
      <w:r w:rsidRPr="007068FD">
        <w:rPr>
          <w:rFonts w:ascii="Arial" w:hAnsi="Arial" w:cs="Arial"/>
          <w:b/>
          <w:bCs/>
          <w:color w:val="auto"/>
        </w:rPr>
        <w:t>II.2.2.1. Presiuni semnificative asupra resurselor de apă</w:t>
      </w:r>
    </w:p>
    <w:p w:rsidR="000645BF" w:rsidRDefault="000645BF" w:rsidP="000645BF">
      <w:pPr>
        <w:spacing w:after="0" w:line="240" w:lineRule="auto"/>
        <w:ind w:firstLine="708"/>
        <w:jc w:val="both"/>
        <w:rPr>
          <w:rFonts w:ascii="Arial" w:hAnsi="Arial" w:cs="Arial"/>
          <w:sz w:val="24"/>
          <w:szCs w:val="24"/>
        </w:rPr>
      </w:pPr>
      <w:r w:rsidRPr="00497FAC">
        <w:rPr>
          <w:rFonts w:ascii="Arial" w:hAnsi="Arial" w:cs="Arial"/>
          <w:sz w:val="24"/>
          <w:szCs w:val="24"/>
        </w:rPr>
        <w:t>În conformitate cu Directiva Cadru Apă</w:t>
      </w:r>
      <w:r>
        <w:rPr>
          <w:rFonts w:ascii="Arial" w:hAnsi="Arial" w:cs="Arial"/>
          <w:sz w:val="24"/>
          <w:szCs w:val="24"/>
        </w:rPr>
        <w:t xml:space="preserve"> 2000/60/CE</w:t>
      </w:r>
      <w:r w:rsidRPr="00497FAC">
        <w:rPr>
          <w:rFonts w:ascii="Arial" w:hAnsi="Arial" w:cs="Arial"/>
          <w:sz w:val="24"/>
          <w:szCs w:val="24"/>
        </w:rPr>
        <w:t xml:space="preserve">, în cadrul planurilor de management </w:t>
      </w:r>
      <w:r>
        <w:rPr>
          <w:rFonts w:ascii="Arial" w:hAnsi="Arial" w:cs="Arial"/>
          <w:sz w:val="24"/>
          <w:szCs w:val="24"/>
        </w:rPr>
        <w:t xml:space="preserve">al bazinelor/spațiilor hidrografice </w:t>
      </w:r>
      <w:r w:rsidRPr="00497FAC">
        <w:rPr>
          <w:rFonts w:ascii="Arial" w:hAnsi="Arial" w:cs="Arial"/>
          <w:sz w:val="24"/>
          <w:szCs w:val="24"/>
        </w:rPr>
        <w:t xml:space="preserve">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0645BF" w:rsidRDefault="000645BF" w:rsidP="000645BF">
      <w:pPr>
        <w:spacing w:after="0" w:line="240" w:lineRule="auto"/>
        <w:ind w:firstLine="708"/>
        <w:jc w:val="both"/>
        <w:rPr>
          <w:rFonts w:ascii="Arial" w:hAnsi="Arial" w:cs="Arial"/>
          <w:sz w:val="24"/>
          <w:szCs w:val="24"/>
        </w:rPr>
      </w:pPr>
      <w:r w:rsidRPr="00497FAC">
        <w:rPr>
          <w:rFonts w:ascii="Arial" w:hAnsi="Arial" w:cs="Arial"/>
          <w:sz w:val="24"/>
          <w:szCs w:val="24"/>
        </w:rPr>
        <w:t>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w:t>
      </w:r>
    </w:p>
    <w:p w:rsidR="000645BF" w:rsidRPr="00497FAC" w:rsidRDefault="000645BF" w:rsidP="000645BF">
      <w:pPr>
        <w:spacing w:after="0" w:line="240" w:lineRule="auto"/>
        <w:ind w:firstLine="708"/>
        <w:jc w:val="both"/>
        <w:rPr>
          <w:rFonts w:ascii="Arial" w:hAnsi="Arial" w:cs="Arial"/>
          <w:sz w:val="24"/>
          <w:szCs w:val="24"/>
        </w:rPr>
      </w:pPr>
      <w:r w:rsidRPr="00497FAC">
        <w:rPr>
          <w:rFonts w:ascii="Arial" w:hAnsi="Arial" w:cs="Arial"/>
          <w:sz w:val="24"/>
          <w:szCs w:val="24"/>
        </w:rPr>
        <w:t>Aplicarea setului de criterii a condus la identificarea presiunilor semnificative punctiforme, având în vedere evacuările de ape epurate sau neepurate în resursele de apă de suprafaţă:</w:t>
      </w:r>
    </w:p>
    <w:p w:rsidR="000645BF" w:rsidRPr="003A15F5" w:rsidRDefault="000645BF" w:rsidP="00EF3940">
      <w:pPr>
        <w:pStyle w:val="ListParagraph"/>
        <w:numPr>
          <w:ilvl w:val="0"/>
          <w:numId w:val="19"/>
        </w:numPr>
        <w:jc w:val="both"/>
        <w:rPr>
          <w:rFonts w:ascii="Arial" w:hAnsi="Arial" w:cs="Arial"/>
          <w:bCs/>
        </w:rPr>
      </w:pPr>
      <w:r w:rsidRPr="003A15F5">
        <w:rPr>
          <w:rFonts w:ascii="Arial" w:hAnsi="Arial" w:cs="Arial"/>
          <w:b/>
          <w:bCs/>
          <w:i/>
        </w:rPr>
        <w:t>aglomerările umane</w:t>
      </w:r>
      <w:r w:rsidRPr="003A15F5">
        <w:rPr>
          <w:rFonts w:ascii="Arial" w:hAnsi="Arial" w:cs="Arial"/>
          <w:bCs/>
          <w:i/>
        </w:rPr>
        <w:t xml:space="preserve"> (</w:t>
      </w:r>
      <w:r w:rsidRPr="003A15F5">
        <w:rPr>
          <w:rFonts w:ascii="Arial" w:hAnsi="Arial" w:cs="Arial"/>
          <w:bCs/>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3A15F5">
          <w:rPr>
            <w:rFonts w:ascii="Arial" w:hAnsi="Arial" w:cs="Arial"/>
            <w:bCs/>
          </w:rPr>
          <w:t>2000 l</w:t>
        </w:r>
      </w:smartTag>
      <w:r w:rsidRPr="003A15F5">
        <w:rPr>
          <w:rFonts w:ascii="Arial" w:hAnsi="Arial" w:cs="Arial"/>
          <w:bCs/>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0645BF" w:rsidRPr="00E579A8" w:rsidRDefault="000645BF" w:rsidP="00EF3940">
      <w:pPr>
        <w:pStyle w:val="ListParagraph"/>
        <w:numPr>
          <w:ilvl w:val="0"/>
          <w:numId w:val="19"/>
        </w:numPr>
        <w:jc w:val="both"/>
        <w:rPr>
          <w:rFonts w:ascii="Arial" w:hAnsi="Arial" w:cs="Arial"/>
          <w:b/>
          <w:i/>
        </w:rPr>
      </w:pPr>
      <w:r w:rsidRPr="00E579A8">
        <w:rPr>
          <w:rFonts w:ascii="Arial" w:hAnsi="Arial" w:cs="Arial"/>
          <w:b/>
          <w:i/>
        </w:rPr>
        <w:t xml:space="preserve">industria:  </w:t>
      </w:r>
    </w:p>
    <w:p w:rsidR="000645BF" w:rsidRPr="00E579A8" w:rsidRDefault="000645BF" w:rsidP="00EF3940">
      <w:pPr>
        <w:pStyle w:val="ListParagraph"/>
        <w:numPr>
          <w:ilvl w:val="0"/>
          <w:numId w:val="20"/>
        </w:numPr>
        <w:contextualSpacing w:val="0"/>
        <w:jc w:val="both"/>
        <w:rPr>
          <w:rFonts w:ascii="Arial" w:hAnsi="Arial" w:cs="Arial"/>
        </w:rPr>
      </w:pPr>
      <w:r>
        <w:rPr>
          <w:rFonts w:ascii="Arial" w:hAnsi="Arial" w:cs="Arial"/>
        </w:rPr>
        <w:t>i</w:t>
      </w:r>
      <w:r w:rsidRPr="00E579A8">
        <w:rPr>
          <w:rFonts w:ascii="Arial" w:hAnsi="Arial" w:cs="Arial"/>
        </w:rPr>
        <w:t>nstalaţiile care intră sub incidenţa Directiva 2010/75/CEE privind emisiile industriale (Directiva IED) - inclusiv unităţile care sunt inventariate în Registrul Polunaţilor Emişi şi Transferaţi (E-PRTR), care sunt relevante pentru factorul de mediu apă;</w:t>
      </w:r>
    </w:p>
    <w:p w:rsidR="000645BF" w:rsidRPr="00E579A8" w:rsidRDefault="000645BF" w:rsidP="00EF3940">
      <w:pPr>
        <w:pStyle w:val="ListParagraph"/>
        <w:numPr>
          <w:ilvl w:val="0"/>
          <w:numId w:val="20"/>
        </w:numPr>
        <w:contextualSpacing w:val="0"/>
        <w:jc w:val="both"/>
        <w:rPr>
          <w:rFonts w:ascii="Arial" w:hAnsi="Arial" w:cs="Arial"/>
        </w:rPr>
      </w:pPr>
      <w:r>
        <w:rPr>
          <w:rFonts w:ascii="Arial" w:hAnsi="Arial" w:cs="Arial"/>
        </w:rPr>
        <w:t>u</w:t>
      </w:r>
      <w:r w:rsidRPr="00E579A8">
        <w:rPr>
          <w:rFonts w:ascii="Arial" w:hAnsi="Arial" w:cs="Arial"/>
        </w:rPr>
        <w:t>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0645BF" w:rsidRPr="00E579A8" w:rsidRDefault="000645BF" w:rsidP="00EF3940">
      <w:pPr>
        <w:pStyle w:val="ListParagraph"/>
        <w:numPr>
          <w:ilvl w:val="0"/>
          <w:numId w:val="20"/>
        </w:numPr>
        <w:contextualSpacing w:val="0"/>
        <w:jc w:val="both"/>
        <w:rPr>
          <w:rFonts w:ascii="Arial" w:hAnsi="Arial" w:cs="Arial"/>
          <w:i/>
        </w:rPr>
      </w:pPr>
      <w:r w:rsidRPr="00E579A8">
        <w:rPr>
          <w:rFonts w:ascii="Arial" w:hAnsi="Arial" w:cs="Arial"/>
        </w:rPr>
        <w:t>alte unităţi care evacuează în resursele de apă şi care nu se conformează legislaţiei în vigoare privind factorul de mediu apă;</w:t>
      </w:r>
    </w:p>
    <w:p w:rsidR="000645BF" w:rsidRPr="00E579A8" w:rsidRDefault="000645BF" w:rsidP="00EF3940">
      <w:pPr>
        <w:pStyle w:val="ListParagraph"/>
        <w:numPr>
          <w:ilvl w:val="0"/>
          <w:numId w:val="21"/>
        </w:numPr>
        <w:jc w:val="both"/>
        <w:rPr>
          <w:rFonts w:ascii="Arial" w:hAnsi="Arial" w:cs="Arial"/>
          <w:b/>
          <w:i/>
        </w:rPr>
      </w:pPr>
      <w:r w:rsidRPr="00E579A8">
        <w:rPr>
          <w:rFonts w:ascii="Arial" w:hAnsi="Arial" w:cs="Arial"/>
          <w:b/>
          <w:i/>
        </w:rPr>
        <w:t>agricultura:</w:t>
      </w:r>
    </w:p>
    <w:p w:rsidR="000645BF" w:rsidRPr="003A15F5" w:rsidRDefault="000645BF" w:rsidP="00EF3940">
      <w:pPr>
        <w:pStyle w:val="ListParagraph"/>
        <w:numPr>
          <w:ilvl w:val="0"/>
          <w:numId w:val="22"/>
        </w:numPr>
        <w:jc w:val="both"/>
        <w:rPr>
          <w:rFonts w:ascii="Arial" w:hAnsi="Arial" w:cs="Arial"/>
        </w:rPr>
      </w:pPr>
      <w:r w:rsidRPr="003A15F5">
        <w:rPr>
          <w:rFonts w:ascii="Arial" w:hAnsi="Arial" w:cs="Arial"/>
        </w:rPr>
        <w:t>fermele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0645BF" w:rsidRPr="003A15F5" w:rsidRDefault="000645BF" w:rsidP="00EF3940">
      <w:pPr>
        <w:pStyle w:val="ListParagraph"/>
        <w:numPr>
          <w:ilvl w:val="0"/>
          <w:numId w:val="22"/>
        </w:numPr>
        <w:jc w:val="both"/>
        <w:rPr>
          <w:rFonts w:ascii="Arial" w:hAnsi="Arial" w:cs="Arial"/>
        </w:rPr>
      </w:pPr>
      <w:r w:rsidRPr="003A15F5">
        <w:rPr>
          <w:rFonts w:ascii="Arial" w:hAnsi="Arial" w:cs="Arial"/>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0645BF" w:rsidRPr="003A15F5" w:rsidRDefault="000645BF" w:rsidP="00EF3940">
      <w:pPr>
        <w:pStyle w:val="ListParagraph"/>
        <w:numPr>
          <w:ilvl w:val="0"/>
          <w:numId w:val="22"/>
        </w:numPr>
        <w:jc w:val="both"/>
        <w:rPr>
          <w:rFonts w:ascii="Arial" w:hAnsi="Arial" w:cs="Arial"/>
        </w:rPr>
      </w:pPr>
      <w:r w:rsidRPr="003A15F5">
        <w:rPr>
          <w:rFonts w:ascii="Arial" w:hAnsi="Arial" w:cs="Arial"/>
        </w:rPr>
        <w:t>alte unităţi agricole cu evacuare punctiformă şi care nu se conformează legislaţiei în vigoare privind factorul de mediu apă;</w:t>
      </w:r>
    </w:p>
    <w:p w:rsidR="000645BF" w:rsidRPr="003112DC" w:rsidRDefault="000645BF" w:rsidP="000645BF">
      <w:pPr>
        <w:spacing w:after="0" w:line="240" w:lineRule="auto"/>
        <w:jc w:val="both"/>
        <w:rPr>
          <w:rFonts w:ascii="Arial" w:hAnsi="Arial" w:cs="Arial"/>
          <w:sz w:val="24"/>
          <w:szCs w:val="24"/>
        </w:rPr>
      </w:pPr>
      <w:r>
        <w:rPr>
          <w:rFonts w:ascii="Arial" w:hAnsi="Arial" w:cs="Arial"/>
          <w:sz w:val="24"/>
          <w:szCs w:val="24"/>
        </w:rPr>
        <w:t>Î</w:t>
      </w:r>
      <w:r w:rsidRPr="00497FAC">
        <w:rPr>
          <w:rFonts w:ascii="Arial" w:hAnsi="Arial" w:cs="Arial"/>
          <w:sz w:val="24"/>
          <w:szCs w:val="24"/>
        </w:rPr>
        <w:t xml:space="preserve">n </w:t>
      </w:r>
      <w:r>
        <w:rPr>
          <w:rFonts w:ascii="Arial" w:hAnsi="Arial" w:cs="Arial"/>
          <w:sz w:val="24"/>
          <w:szCs w:val="24"/>
        </w:rPr>
        <w:t>Planul Național de Management al bazinelor/spațiilor hidrografice din România, actualizat și aprobat prin HG nr. 859/2016, au fost inventariate l</w:t>
      </w:r>
      <w:r w:rsidRPr="00E579A8">
        <w:rPr>
          <w:rFonts w:ascii="Arial" w:hAnsi="Arial" w:cs="Arial"/>
          <w:sz w:val="24"/>
          <w:szCs w:val="24"/>
        </w:rPr>
        <w:t xml:space="preserve">a nivel naţional un număr </w:t>
      </w:r>
      <w:r>
        <w:rPr>
          <w:rFonts w:ascii="Arial" w:hAnsi="Arial" w:cs="Arial"/>
          <w:sz w:val="24"/>
          <w:szCs w:val="24"/>
        </w:rPr>
        <w:t xml:space="preserve">total </w:t>
      </w:r>
      <w:r w:rsidRPr="00E579A8">
        <w:rPr>
          <w:rFonts w:ascii="Arial" w:hAnsi="Arial" w:cs="Arial"/>
          <w:sz w:val="24"/>
          <w:szCs w:val="24"/>
        </w:rPr>
        <w:t xml:space="preserve">de </w:t>
      </w:r>
      <w:r>
        <w:rPr>
          <w:rFonts w:ascii="Arial" w:hAnsi="Arial" w:cs="Arial"/>
          <w:sz w:val="24"/>
          <w:szCs w:val="24"/>
        </w:rPr>
        <w:t>2970</w:t>
      </w:r>
      <w:r w:rsidRPr="00E579A8">
        <w:rPr>
          <w:rFonts w:ascii="Arial" w:hAnsi="Arial" w:cs="Arial"/>
          <w:sz w:val="24"/>
          <w:szCs w:val="24"/>
        </w:rPr>
        <w:t xml:space="preserve"> utilizatori de apă care folosesc resursele de apă de suprafaţă ca receptor al apelor evacuate</w:t>
      </w:r>
      <w:r>
        <w:rPr>
          <w:rFonts w:ascii="Arial" w:hAnsi="Arial" w:cs="Arial"/>
          <w:sz w:val="24"/>
          <w:szCs w:val="24"/>
        </w:rPr>
        <w:t>, din care, ți</w:t>
      </w:r>
      <w:r w:rsidRPr="00E579A8">
        <w:rPr>
          <w:rFonts w:ascii="Arial" w:hAnsi="Arial" w:cs="Arial"/>
          <w:sz w:val="24"/>
          <w:szCs w:val="24"/>
        </w:rPr>
        <w:t xml:space="preserve">nând seama de criteriile menţionate mai sus, au rezultat un număr total de </w:t>
      </w:r>
      <w:r w:rsidRPr="003112DC">
        <w:rPr>
          <w:rFonts w:ascii="Arial" w:hAnsi="Arial" w:cs="Arial"/>
          <w:sz w:val="24"/>
          <w:szCs w:val="24"/>
        </w:rPr>
        <w:t>1409 surse punctiforme potențial semnificative (626 urbane, 563 industriale, 106 agricole și 114 alte presiuni de tipul exploatărilor forestiere, acvacultură, etc.).</w:t>
      </w:r>
    </w:p>
    <w:p w:rsidR="000645BF" w:rsidRDefault="000645BF"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b/>
          <w:sz w:val="24"/>
          <w:szCs w:val="24"/>
        </w:rPr>
      </w:pPr>
      <w:r w:rsidRPr="002E19F4">
        <w:rPr>
          <w:rFonts w:ascii="Arial" w:hAnsi="Arial" w:cs="Arial"/>
          <w:b/>
          <w:sz w:val="24"/>
          <w:szCs w:val="24"/>
        </w:rPr>
        <w:t>Ponderea presiunilor puncti</w:t>
      </w:r>
      <w:r>
        <w:rPr>
          <w:rFonts w:ascii="Arial" w:hAnsi="Arial" w:cs="Arial"/>
          <w:b/>
          <w:sz w:val="24"/>
          <w:szCs w:val="24"/>
        </w:rPr>
        <w:t>forme</w:t>
      </w:r>
      <w:r w:rsidRPr="002E19F4">
        <w:rPr>
          <w:rFonts w:ascii="Arial" w:hAnsi="Arial" w:cs="Arial"/>
          <w:b/>
          <w:sz w:val="24"/>
          <w:szCs w:val="24"/>
        </w:rPr>
        <w:t xml:space="preserve"> potențial semnificative </w:t>
      </w:r>
    </w:p>
    <w:p w:rsidR="000645BF" w:rsidRDefault="000645BF" w:rsidP="000645BF">
      <w:pPr>
        <w:spacing w:after="0" w:line="240" w:lineRule="auto"/>
        <w:jc w:val="center"/>
        <w:rPr>
          <w:rFonts w:ascii="Arial" w:hAnsi="Arial" w:cs="Arial"/>
          <w:b/>
          <w:sz w:val="24"/>
          <w:szCs w:val="24"/>
        </w:rPr>
      </w:pPr>
      <w:r>
        <w:rPr>
          <w:noProof/>
        </w:rPr>
        <w:drawing>
          <wp:inline distT="0" distB="0" distL="0" distR="0">
            <wp:extent cx="4276725" cy="1895475"/>
            <wp:effectExtent l="0" t="0" r="0" b="0"/>
            <wp:docPr id="2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645BF" w:rsidRPr="003112DC" w:rsidRDefault="000645BF" w:rsidP="000645BF">
      <w:pPr>
        <w:spacing w:after="0" w:line="240" w:lineRule="auto"/>
        <w:jc w:val="both"/>
        <w:rPr>
          <w:rFonts w:ascii="Arial" w:hAnsi="Arial" w:cs="Arial"/>
          <w:sz w:val="24"/>
          <w:szCs w:val="24"/>
        </w:rPr>
      </w:pPr>
      <w:r w:rsidRPr="003112DC">
        <w:rPr>
          <w:rFonts w:ascii="Arial" w:hAnsi="Arial" w:cs="Arial"/>
          <w:sz w:val="24"/>
          <w:szCs w:val="24"/>
        </w:rPr>
        <w:t xml:space="preserve">                                                               Figura II.2.2.1.1</w:t>
      </w:r>
    </w:p>
    <w:p w:rsidR="000645BF" w:rsidRPr="002E19F4" w:rsidRDefault="000645BF" w:rsidP="000645BF">
      <w:pPr>
        <w:spacing w:after="0" w:line="240" w:lineRule="auto"/>
        <w:jc w:val="both"/>
        <w:rPr>
          <w:rFonts w:ascii="Arial" w:hAnsi="Arial" w:cs="Arial"/>
          <w:i/>
          <w:sz w:val="24"/>
          <w:szCs w:val="24"/>
        </w:rPr>
      </w:pPr>
      <w:r>
        <w:rPr>
          <w:rFonts w:ascii="Arial" w:hAnsi="Arial" w:cs="Arial"/>
          <w:i/>
          <w:sz w:val="24"/>
          <w:szCs w:val="24"/>
        </w:rPr>
        <w:t>(</w:t>
      </w: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405CE5">
        <w:rPr>
          <w:rFonts w:ascii="Arial" w:hAnsi="Arial" w:cs="Arial"/>
          <w:i/>
          <w:sz w:val="24"/>
          <w:szCs w:val="24"/>
        </w:rPr>
        <w:t>Plan</w:t>
      </w:r>
      <w:r>
        <w:rPr>
          <w:rFonts w:ascii="Arial" w:hAnsi="Arial" w:cs="Arial"/>
          <w:i/>
          <w:sz w:val="24"/>
          <w:szCs w:val="24"/>
        </w:rPr>
        <w:t>ul</w:t>
      </w:r>
      <w:r w:rsidRPr="00405CE5">
        <w:rPr>
          <w:rFonts w:ascii="Arial" w:hAnsi="Arial" w:cs="Arial"/>
          <w:i/>
          <w:sz w:val="24"/>
          <w:szCs w:val="24"/>
        </w:rPr>
        <w:t xml:space="preserve"> Național de Management </w:t>
      </w:r>
      <w:r w:rsidRPr="0013224A">
        <w:rPr>
          <w:rFonts w:ascii="Arial" w:hAnsi="Arial" w:cs="Arial"/>
          <w:i/>
          <w:sz w:val="24"/>
          <w:szCs w:val="24"/>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0645BF" w:rsidRDefault="000645BF" w:rsidP="000645BF">
      <w:pPr>
        <w:spacing w:after="0" w:line="240" w:lineRule="auto"/>
        <w:jc w:val="both"/>
        <w:rPr>
          <w:rFonts w:ascii="Arial" w:hAnsi="Arial" w:cs="Arial"/>
          <w:sz w:val="24"/>
          <w:szCs w:val="24"/>
        </w:rPr>
      </w:pPr>
    </w:p>
    <w:p w:rsidR="000645BF" w:rsidRPr="002E19F4" w:rsidRDefault="000645BF" w:rsidP="000645BF">
      <w:pPr>
        <w:spacing w:after="0" w:line="240" w:lineRule="auto"/>
        <w:jc w:val="both"/>
        <w:rPr>
          <w:rFonts w:ascii="Arial" w:hAnsi="Arial" w:cs="Arial"/>
          <w:sz w:val="24"/>
          <w:szCs w:val="24"/>
        </w:rPr>
      </w:pPr>
      <w:r w:rsidRPr="002E19F4">
        <w:rPr>
          <w:rFonts w:ascii="Arial" w:hAnsi="Arial" w:cs="Arial"/>
          <w:sz w:val="24"/>
          <w:szCs w:val="24"/>
        </w:rPr>
        <w:t xml:space="preserve">Se constată că ponderea cea mai mare a presiunilor </w:t>
      </w:r>
      <w:r>
        <w:rPr>
          <w:rFonts w:ascii="Arial" w:hAnsi="Arial" w:cs="Arial"/>
          <w:sz w:val="24"/>
          <w:szCs w:val="24"/>
        </w:rPr>
        <w:t xml:space="preserve">punctiforme </w:t>
      </w:r>
      <w:r w:rsidRPr="002E19F4">
        <w:rPr>
          <w:rFonts w:ascii="Arial" w:hAnsi="Arial" w:cs="Arial"/>
          <w:sz w:val="24"/>
          <w:szCs w:val="24"/>
        </w:rPr>
        <w:t>este reprezentată de aglomerări umane</w:t>
      </w:r>
      <w:r>
        <w:rPr>
          <w:rFonts w:ascii="Arial" w:hAnsi="Arial" w:cs="Arial"/>
          <w:sz w:val="24"/>
          <w:szCs w:val="24"/>
        </w:rPr>
        <w:t>, cu cca. 45%, respectiv</w:t>
      </w:r>
      <w:r w:rsidRPr="002E19F4">
        <w:rPr>
          <w:rFonts w:ascii="Arial" w:hAnsi="Arial" w:cs="Arial"/>
          <w:sz w:val="24"/>
          <w:szCs w:val="24"/>
        </w:rPr>
        <w:t xml:space="preserve"> ape</w:t>
      </w:r>
      <w:r>
        <w:rPr>
          <w:rFonts w:ascii="Arial" w:hAnsi="Arial" w:cs="Arial"/>
          <w:sz w:val="24"/>
          <w:szCs w:val="24"/>
        </w:rPr>
        <w:t>le</w:t>
      </w:r>
      <w:r w:rsidRPr="002E19F4">
        <w:rPr>
          <w:rFonts w:ascii="Arial" w:hAnsi="Arial" w:cs="Arial"/>
          <w:sz w:val="24"/>
          <w:szCs w:val="24"/>
        </w:rPr>
        <w:t xml:space="preserve"> uzate evacuate de la sistemele de colectare și epurare a aglomerărilor</w:t>
      </w:r>
      <w:r>
        <w:rPr>
          <w:rFonts w:ascii="Arial" w:hAnsi="Arial" w:cs="Arial"/>
          <w:sz w:val="24"/>
          <w:szCs w:val="24"/>
        </w:rPr>
        <w:t xml:space="preserve"> urbane</w:t>
      </w:r>
      <w:r w:rsidRPr="002E19F4">
        <w:rPr>
          <w:rFonts w:ascii="Arial" w:hAnsi="Arial" w:cs="Arial"/>
          <w:sz w:val="24"/>
          <w:szCs w:val="24"/>
        </w:rPr>
        <w:t>.</w:t>
      </w:r>
    </w:p>
    <w:p w:rsidR="000645BF" w:rsidRPr="00497FAC" w:rsidRDefault="000645BF" w:rsidP="000645BF">
      <w:pPr>
        <w:spacing w:after="0" w:line="240" w:lineRule="auto"/>
        <w:jc w:val="both"/>
        <w:rPr>
          <w:rFonts w:ascii="Arial" w:hAnsi="Arial" w:cs="Arial"/>
          <w:sz w:val="24"/>
          <w:szCs w:val="24"/>
        </w:rPr>
      </w:pPr>
      <w:r w:rsidRPr="00497FAC">
        <w:rPr>
          <w:rFonts w:ascii="Arial" w:hAnsi="Arial" w:cs="Arial"/>
          <w:sz w:val="24"/>
          <w:szCs w:val="24"/>
        </w:rPr>
        <w:t xml:space="preserve">În ceea ce priveşte </w:t>
      </w:r>
      <w:r w:rsidRPr="00497FAC">
        <w:rPr>
          <w:rFonts w:ascii="Arial" w:hAnsi="Arial" w:cs="Arial"/>
          <w:b/>
          <w:i/>
          <w:sz w:val="24"/>
          <w:szCs w:val="24"/>
        </w:rPr>
        <w:t>sursele difuze de poluare semnificativă</w:t>
      </w:r>
      <w:r w:rsidRPr="00497FAC">
        <w:rPr>
          <w:rFonts w:ascii="Arial" w:hAnsi="Arial" w:cs="Arial"/>
          <w:sz w:val="24"/>
          <w:szCs w:val="24"/>
        </w:rPr>
        <w:t>, identificate cu referire la modul de utilizare al terenului, se pot menţiona:</w:t>
      </w:r>
    </w:p>
    <w:p w:rsidR="000645BF" w:rsidRPr="00497FAC" w:rsidRDefault="000645BF" w:rsidP="00EF3940">
      <w:pPr>
        <w:pStyle w:val="ListParagraph"/>
        <w:numPr>
          <w:ilvl w:val="0"/>
          <w:numId w:val="31"/>
        </w:numPr>
        <w:jc w:val="both"/>
        <w:rPr>
          <w:rFonts w:ascii="Arial" w:hAnsi="Arial" w:cs="Arial"/>
        </w:rPr>
      </w:pPr>
      <w:r w:rsidRPr="00497FAC">
        <w:rPr>
          <w:rFonts w:ascii="Arial" w:hAnsi="Arial" w:cs="Arial"/>
        </w:rPr>
        <w:t>aglomerările umane/localităţile care nu au sisteme de colectare a apelor uzate sau sisteme corespunzătoare de colectare şi eliminare a nămolului din staţiile de epurare, precum şi localităţile care au depozite de deşeuri menajere neconforme;</w:t>
      </w:r>
    </w:p>
    <w:p w:rsidR="000645BF" w:rsidRPr="00497FAC" w:rsidRDefault="000645BF" w:rsidP="00EF3940">
      <w:pPr>
        <w:pStyle w:val="ListParagraph"/>
        <w:numPr>
          <w:ilvl w:val="0"/>
          <w:numId w:val="31"/>
        </w:numPr>
        <w:jc w:val="both"/>
        <w:rPr>
          <w:rFonts w:ascii="Arial" w:hAnsi="Arial" w:cs="Arial"/>
        </w:rPr>
      </w:pPr>
      <w:r w:rsidRPr="00497FAC">
        <w:rPr>
          <w:rFonts w:ascii="Arial" w:hAnsi="Arial" w:cs="Arial"/>
        </w:rPr>
        <w:t>fermele agro</w:t>
      </w:r>
      <w:r>
        <w:rPr>
          <w:rFonts w:ascii="Arial" w:hAnsi="Arial" w:cs="Arial"/>
        </w:rPr>
        <w:t>-</w:t>
      </w:r>
      <w:r w:rsidRPr="00497FAC">
        <w:rPr>
          <w:rFonts w:ascii="Arial" w:hAnsi="Arial" w:cs="Arial"/>
        </w:rPr>
        <w:t>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0645BF" w:rsidRDefault="000645BF" w:rsidP="00EF3940">
      <w:pPr>
        <w:pStyle w:val="ListParagraph"/>
        <w:numPr>
          <w:ilvl w:val="0"/>
          <w:numId w:val="31"/>
        </w:numPr>
        <w:jc w:val="both"/>
        <w:rPr>
          <w:rFonts w:ascii="Arial" w:hAnsi="Arial" w:cs="Arial"/>
        </w:rPr>
      </w:pPr>
      <w:r w:rsidRPr="00497FAC">
        <w:rPr>
          <w:rFonts w:ascii="Arial" w:hAnsi="Arial" w:cs="Arial"/>
        </w:rPr>
        <w:t>depozitele de materii prime, produse finite, produse auxiliare, stocare de deşeuri neconforme, unităţi ce produc poluări accidentale difuze, situri industriale abandonate.</w:t>
      </w:r>
    </w:p>
    <w:p w:rsidR="000645BF" w:rsidRDefault="000645BF" w:rsidP="000645BF">
      <w:pPr>
        <w:jc w:val="both"/>
        <w:rPr>
          <w:rFonts w:ascii="Arial" w:hAnsi="Arial" w:cs="Arial"/>
          <w:sz w:val="24"/>
          <w:szCs w:val="24"/>
        </w:rPr>
      </w:pPr>
      <w:r w:rsidRPr="008C184C">
        <w:rPr>
          <w:rFonts w:ascii="Arial" w:hAnsi="Arial" w:cs="Arial"/>
          <w:sz w:val="24"/>
          <w:szCs w:val="24"/>
        </w:rPr>
        <w:t>Presiunile difuze provenite din activităţile agricole sunt dificil de cuantificat. Totuşi, cantităţile de poluanţi emise de sursele difuze de poluare pot fi estimate prin aplicarea unor modele matematice,luând în consideraţie şase căi de producere a poluării difuze: scurgerea pe suprafaţă, scurgerea din reţele de drenaje, scurgerea subterană, scurgerea din zone impermeabile orăşeneşti, depuneri din atmosferă şi eroziunea solului</w:t>
      </w:r>
      <w:r w:rsidRPr="008C184C">
        <w:rPr>
          <w:rFonts w:ascii="Arial" w:hAnsi="Arial" w:cs="Arial"/>
        </w:rPr>
        <w:t>.</w:t>
      </w:r>
    </w:p>
    <w:p w:rsidR="000645BF" w:rsidRDefault="000645BF" w:rsidP="000645BF">
      <w:pPr>
        <w:spacing w:after="0" w:line="240" w:lineRule="auto"/>
        <w:jc w:val="both"/>
        <w:rPr>
          <w:rFonts w:ascii="Arial" w:hAnsi="Arial" w:cs="Arial"/>
          <w:sz w:val="24"/>
          <w:szCs w:val="24"/>
        </w:rPr>
      </w:pPr>
      <w:r>
        <w:rPr>
          <w:rFonts w:ascii="Arial" w:hAnsi="Arial" w:cs="Arial"/>
          <w:sz w:val="24"/>
          <w:szCs w:val="24"/>
        </w:rPr>
        <w:t xml:space="preserve">În ceea ce privește </w:t>
      </w:r>
      <w:r w:rsidRPr="00560422">
        <w:rPr>
          <w:rFonts w:ascii="Arial" w:hAnsi="Arial" w:cs="Arial"/>
          <w:sz w:val="24"/>
          <w:szCs w:val="24"/>
        </w:rPr>
        <w:t xml:space="preserve">tipul şi mărimea presiunilor antropice </w:t>
      </w:r>
      <w:r w:rsidRPr="00C81179">
        <w:rPr>
          <w:rFonts w:ascii="Arial" w:hAnsi="Arial" w:cs="Arial"/>
          <w:sz w:val="24"/>
          <w:szCs w:val="24"/>
        </w:rPr>
        <w:t xml:space="preserve">care pot afecta </w:t>
      </w:r>
      <w:r w:rsidRPr="00C81179">
        <w:rPr>
          <w:rFonts w:ascii="Arial" w:hAnsi="Arial" w:cs="Arial"/>
          <w:b/>
          <w:sz w:val="24"/>
          <w:szCs w:val="24"/>
        </w:rPr>
        <w:t>corpurile de apă subterană</w:t>
      </w:r>
      <w:r w:rsidRPr="00560422">
        <w:rPr>
          <w:rFonts w:ascii="Arial" w:hAnsi="Arial" w:cs="Arial"/>
          <w:sz w:val="24"/>
          <w:szCs w:val="24"/>
        </w:rPr>
        <w:t xml:space="preserve"> (</w:t>
      </w:r>
      <w:r>
        <w:rPr>
          <w:rFonts w:ascii="Arial" w:hAnsi="Arial" w:cs="Arial"/>
          <w:sz w:val="24"/>
          <w:szCs w:val="24"/>
        </w:rPr>
        <w:t xml:space="preserve">conform </w:t>
      </w:r>
      <w:r w:rsidRPr="00560422">
        <w:rPr>
          <w:rFonts w:ascii="Arial" w:hAnsi="Arial" w:cs="Arial"/>
          <w:sz w:val="24"/>
          <w:szCs w:val="24"/>
        </w:rPr>
        <w:t>Directiv</w:t>
      </w:r>
      <w:r>
        <w:rPr>
          <w:rFonts w:ascii="Arial" w:hAnsi="Arial" w:cs="Arial"/>
          <w:sz w:val="24"/>
          <w:szCs w:val="24"/>
        </w:rPr>
        <w:t>ei</w:t>
      </w:r>
      <w:r w:rsidRPr="00560422">
        <w:rPr>
          <w:rFonts w:ascii="Arial" w:hAnsi="Arial" w:cs="Arial"/>
          <w:sz w:val="24"/>
          <w:szCs w:val="24"/>
        </w:rPr>
        <w:t xml:space="preserve"> Cadru 2000/60/EC – anexa II – 2.1), </w:t>
      </w:r>
      <w:r>
        <w:rPr>
          <w:rFonts w:ascii="Arial" w:hAnsi="Arial" w:cs="Arial"/>
          <w:sz w:val="24"/>
          <w:szCs w:val="24"/>
        </w:rPr>
        <w:t>se au în vedere:</w:t>
      </w:r>
    </w:p>
    <w:p w:rsidR="000645BF" w:rsidRPr="00766C49" w:rsidRDefault="000645BF" w:rsidP="00EF3940">
      <w:pPr>
        <w:pStyle w:val="ListParagraph"/>
        <w:numPr>
          <w:ilvl w:val="0"/>
          <w:numId w:val="27"/>
        </w:numPr>
        <w:jc w:val="both"/>
        <w:rPr>
          <w:rFonts w:ascii="Arial" w:hAnsi="Arial" w:cs="Arial"/>
        </w:rPr>
      </w:pPr>
      <w:r w:rsidRPr="00766C49">
        <w:rPr>
          <w:rFonts w:ascii="Arial" w:hAnsi="Arial" w:cs="Arial"/>
        </w:rPr>
        <w:t>surse de poluare punctiforme și difuze:</w:t>
      </w:r>
    </w:p>
    <w:p w:rsidR="000645BF" w:rsidRPr="00766C49" w:rsidRDefault="000645BF" w:rsidP="00EF3940">
      <w:pPr>
        <w:pStyle w:val="ListParagraph"/>
        <w:numPr>
          <w:ilvl w:val="0"/>
          <w:numId w:val="28"/>
        </w:numPr>
        <w:jc w:val="both"/>
        <w:rPr>
          <w:rFonts w:ascii="Arial" w:hAnsi="Arial" w:cs="Arial"/>
        </w:rPr>
      </w:pPr>
      <w:r w:rsidRPr="00766C49">
        <w:rPr>
          <w:rFonts w:ascii="Arial" w:hAnsi="Arial" w:cs="Arial"/>
        </w:rPr>
        <w:t>sursele de poluare datorate aglomerărilor umane fără sisteme de colectare şi epurare a apele uzate (menajere, industriale, agricole, etc.) sau fără sisteme corespunzătoare de colectare a deşeurilor;</w:t>
      </w:r>
    </w:p>
    <w:p w:rsidR="000645BF" w:rsidRPr="00766C49" w:rsidRDefault="000645BF" w:rsidP="00EF3940">
      <w:pPr>
        <w:pStyle w:val="ListParagraph"/>
        <w:numPr>
          <w:ilvl w:val="0"/>
          <w:numId w:val="28"/>
        </w:numPr>
        <w:jc w:val="both"/>
        <w:rPr>
          <w:rFonts w:ascii="Arial" w:hAnsi="Arial" w:cs="Arial"/>
        </w:rPr>
      </w:pPr>
      <w:r w:rsidRPr="00766C49">
        <w:rPr>
          <w:rFonts w:ascii="Arial" w:hAnsi="Arial" w:cs="Arial"/>
        </w:rPr>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0645BF" w:rsidRPr="00766C49" w:rsidRDefault="000645BF" w:rsidP="00EF3940">
      <w:pPr>
        <w:pStyle w:val="ListParagraph"/>
        <w:numPr>
          <w:ilvl w:val="0"/>
          <w:numId w:val="28"/>
        </w:numPr>
        <w:jc w:val="both"/>
        <w:rPr>
          <w:rFonts w:ascii="Arial" w:hAnsi="Arial" w:cs="Arial"/>
        </w:rPr>
      </w:pPr>
      <w:r w:rsidRPr="00766C49">
        <w:rPr>
          <w:rFonts w:ascii="Arial" w:hAnsi="Arial" w:cs="Arial"/>
        </w:rPr>
        <w:t>alte activităţi antropice potenţial poluatoare.</w:t>
      </w:r>
    </w:p>
    <w:p w:rsidR="000645BF" w:rsidRPr="00C81179" w:rsidRDefault="000645BF" w:rsidP="000645BF">
      <w:pPr>
        <w:spacing w:after="0" w:line="240" w:lineRule="auto"/>
        <w:jc w:val="both"/>
        <w:rPr>
          <w:rFonts w:ascii="Arial" w:hAnsi="Arial" w:cs="Arial"/>
          <w:sz w:val="24"/>
          <w:szCs w:val="24"/>
        </w:rPr>
      </w:pPr>
      <w:r w:rsidRPr="00C81179">
        <w:rPr>
          <w:rFonts w:ascii="Arial" w:hAnsi="Arial" w:cs="Arial"/>
          <w:sz w:val="24"/>
          <w:szCs w:val="24"/>
        </w:rPr>
        <w:t>Din punct de vedere al impactului asupra stării cantitative a corpurilor de apă subterane, presiunile cantitative sunt considerate captările de apă semnificative, care pot depăşi rata naturală de reînc</w:t>
      </w:r>
      <w:r>
        <w:rPr>
          <w:rFonts w:ascii="Arial" w:hAnsi="Arial" w:cs="Arial"/>
          <w:sz w:val="24"/>
          <w:szCs w:val="24"/>
        </w:rPr>
        <w:t>ă</w:t>
      </w:r>
      <w:r w:rsidRPr="00C81179">
        <w:rPr>
          <w:rFonts w:ascii="Arial" w:hAnsi="Arial" w:cs="Arial"/>
          <w:sz w:val="24"/>
          <w:szCs w:val="24"/>
        </w:rPr>
        <w:t xml:space="preserve">rcare a acviferului. </w:t>
      </w:r>
    </w:p>
    <w:p w:rsidR="000645BF" w:rsidRPr="00766C49" w:rsidRDefault="000645BF" w:rsidP="00EF3940">
      <w:pPr>
        <w:pStyle w:val="ListParagraph"/>
        <w:numPr>
          <w:ilvl w:val="0"/>
          <w:numId w:val="27"/>
        </w:numPr>
        <w:jc w:val="both"/>
        <w:rPr>
          <w:rFonts w:ascii="Arial" w:hAnsi="Arial" w:cs="Arial"/>
          <w:b/>
          <w:i/>
        </w:rPr>
      </w:pPr>
      <w:r w:rsidRPr="00766C49">
        <w:rPr>
          <w:rFonts w:ascii="Arial" w:hAnsi="Arial" w:cs="Arial"/>
          <w:b/>
          <w:i/>
        </w:rPr>
        <w:t>prelevări de apă şi reîncărcarea corpurilor de apă subterană:</w:t>
      </w:r>
    </w:p>
    <w:p w:rsidR="000645BF" w:rsidRPr="00766C49" w:rsidRDefault="000645BF" w:rsidP="00EF3940">
      <w:pPr>
        <w:pStyle w:val="ListParagraph"/>
        <w:numPr>
          <w:ilvl w:val="0"/>
          <w:numId w:val="29"/>
        </w:numPr>
        <w:jc w:val="both"/>
        <w:rPr>
          <w:rFonts w:ascii="Arial" w:hAnsi="Arial" w:cs="Arial"/>
        </w:rPr>
      </w:pPr>
      <w:r w:rsidRPr="00766C49">
        <w:rPr>
          <w:rFonts w:ascii="Arial" w:hAnsi="Arial" w:cs="Arial"/>
        </w:rPr>
        <w:lastRenderedPageBreak/>
        <w:t>În ceea ce priveşte balanţa prelevări/reîncarcare, care conduce la evaluarea corpului de apă subterană din punct de vedere cantitativ, nu se semnalează probleme deosebite, prelevările fiind inferioare ratei naturale de realimentare.</w:t>
      </w:r>
    </w:p>
    <w:p w:rsidR="000645BF" w:rsidRPr="00E92120" w:rsidRDefault="000645BF" w:rsidP="000645BF">
      <w:pPr>
        <w:spacing w:after="0" w:line="240" w:lineRule="auto"/>
        <w:jc w:val="both"/>
        <w:rPr>
          <w:rFonts w:ascii="Arial" w:hAnsi="Arial" w:cs="Arial"/>
          <w:b/>
          <w:bCs/>
          <w:sz w:val="24"/>
          <w:szCs w:val="24"/>
        </w:rPr>
      </w:pPr>
    </w:p>
    <w:p w:rsidR="000645BF" w:rsidRDefault="000645BF" w:rsidP="000645BF">
      <w:pPr>
        <w:spacing w:after="0" w:line="240" w:lineRule="auto"/>
        <w:jc w:val="both"/>
        <w:rPr>
          <w:rFonts w:ascii="Arial" w:hAnsi="Arial" w:cs="Arial"/>
          <w:sz w:val="24"/>
          <w:szCs w:val="24"/>
        </w:rPr>
      </w:pPr>
      <w:r w:rsidRPr="00E92120">
        <w:rPr>
          <w:rFonts w:ascii="Arial" w:hAnsi="Arial" w:cs="Arial"/>
          <w:b/>
          <w:bCs/>
          <w:sz w:val="24"/>
          <w:szCs w:val="24"/>
        </w:rPr>
        <w:t xml:space="preserve">   II.2.2.2. </w:t>
      </w:r>
      <w:r w:rsidRPr="00E92120">
        <w:rPr>
          <w:rFonts w:ascii="Arial" w:hAnsi="Arial" w:cs="Arial"/>
          <w:b/>
          <w:sz w:val="24"/>
          <w:szCs w:val="24"/>
        </w:rPr>
        <w:t>Apele uzate şi reţelele de canalizare</w:t>
      </w:r>
    </w:p>
    <w:p w:rsidR="000645BF" w:rsidRDefault="000645BF" w:rsidP="000645BF">
      <w:pPr>
        <w:spacing w:after="0" w:line="240" w:lineRule="auto"/>
        <w:jc w:val="both"/>
        <w:rPr>
          <w:rFonts w:ascii="Arial" w:hAnsi="Arial" w:cs="Arial"/>
          <w:sz w:val="24"/>
          <w:szCs w:val="24"/>
        </w:rPr>
      </w:pPr>
    </w:p>
    <w:p w:rsidR="000645BF" w:rsidRPr="008E67B6" w:rsidRDefault="000645BF" w:rsidP="000645BF">
      <w:pPr>
        <w:spacing w:after="0" w:line="240" w:lineRule="auto"/>
        <w:jc w:val="both"/>
        <w:rPr>
          <w:rFonts w:ascii="Arial" w:hAnsi="Arial" w:cs="Arial"/>
          <w:b/>
          <w:sz w:val="24"/>
          <w:szCs w:val="24"/>
        </w:rPr>
      </w:pPr>
      <w:r w:rsidRPr="008E67B6">
        <w:rPr>
          <w:rFonts w:ascii="Arial" w:hAnsi="Arial" w:cs="Arial"/>
          <w:b/>
          <w:sz w:val="24"/>
          <w:szCs w:val="24"/>
        </w:rPr>
        <w:t>Racordarea aglomerărilor umane la sistemele de colectare şi epurare a apelor uzate în județul Brăila la nivelul anului  2017</w:t>
      </w:r>
    </w:p>
    <w:p w:rsidR="000645BF" w:rsidRDefault="000645BF" w:rsidP="000645BF">
      <w:pPr>
        <w:spacing w:after="0" w:line="240" w:lineRule="auto"/>
        <w:jc w:val="both"/>
        <w:rPr>
          <w:rFonts w:ascii="Arial" w:hAnsi="Arial" w:cs="Arial"/>
          <w:b/>
          <w:sz w:val="24"/>
          <w:szCs w:val="24"/>
        </w:rPr>
      </w:pPr>
    </w:p>
    <w:p w:rsidR="000645BF" w:rsidRDefault="000645BF" w:rsidP="000645BF">
      <w:pPr>
        <w:spacing w:after="0" w:line="240" w:lineRule="auto"/>
        <w:jc w:val="both"/>
        <w:rPr>
          <w:rFonts w:ascii="Arial" w:hAnsi="Arial" w:cs="Arial"/>
          <w:sz w:val="24"/>
          <w:szCs w:val="24"/>
        </w:rPr>
      </w:pPr>
      <w:r w:rsidRPr="008E67B6">
        <w:rPr>
          <w:rFonts w:ascii="Arial" w:hAnsi="Arial" w:cs="Arial"/>
          <w:b/>
          <w:sz w:val="24"/>
          <w:szCs w:val="24"/>
        </w:rPr>
        <w:t>Tabel 2.2.2 - 1</w:t>
      </w:r>
      <w:r w:rsidRPr="00E92120">
        <w:rPr>
          <w:rFonts w:ascii="Arial" w:hAnsi="Arial" w:cs="Arial"/>
          <w:sz w:val="24"/>
          <w:szCs w:val="24"/>
        </w:rPr>
        <w:t xml:space="preserve"> - Racordarea aglomerărilor umane la sistemele de colectare şi epurare a apelor uzate în județul </w:t>
      </w:r>
      <w:r>
        <w:rPr>
          <w:rFonts w:ascii="Arial" w:hAnsi="Arial" w:cs="Arial"/>
          <w:sz w:val="24"/>
          <w:szCs w:val="24"/>
        </w:rPr>
        <w:t>Brăila</w:t>
      </w:r>
      <w:r w:rsidRPr="00E92120">
        <w:rPr>
          <w:rFonts w:ascii="Arial" w:hAnsi="Arial" w:cs="Arial"/>
          <w:sz w:val="24"/>
          <w:szCs w:val="24"/>
        </w:rPr>
        <w:t xml:space="preserve"> pentru anul </w:t>
      </w:r>
      <w:r w:rsidRPr="000E0B8A">
        <w:rPr>
          <w:rFonts w:ascii="Arial" w:hAnsi="Arial" w:cs="Arial"/>
          <w:sz w:val="24"/>
          <w:szCs w:val="24"/>
        </w:rPr>
        <w:t>201</w:t>
      </w:r>
      <w:r>
        <w:rPr>
          <w:rFonts w:ascii="Arial" w:hAnsi="Arial" w:cs="Arial"/>
          <w:sz w:val="24"/>
          <w:szCs w:val="24"/>
        </w:rPr>
        <w:t>7</w:t>
      </w:r>
    </w:p>
    <w:tbl>
      <w:tblPr>
        <w:tblStyle w:val="TableGrid"/>
        <w:tblW w:w="0" w:type="auto"/>
        <w:jc w:val="center"/>
        <w:shd w:val="clear" w:color="auto" w:fill="FDE9D9" w:themeFill="accent6" w:themeFillTint="33"/>
        <w:tblLook w:val="04A0"/>
      </w:tblPr>
      <w:tblGrid>
        <w:gridCol w:w="2830"/>
        <w:gridCol w:w="1701"/>
        <w:gridCol w:w="1701"/>
        <w:gridCol w:w="2830"/>
      </w:tblGrid>
      <w:tr w:rsidR="000645BF" w:rsidTr="004E444C">
        <w:trPr>
          <w:jc w:val="center"/>
        </w:trPr>
        <w:tc>
          <w:tcPr>
            <w:tcW w:w="2830" w:type="dxa"/>
            <w:shd w:val="clear" w:color="auto" w:fill="FDE9D9" w:themeFill="accent6" w:themeFillTint="33"/>
          </w:tcPr>
          <w:p w:rsidR="000645BF" w:rsidRPr="00AA441C" w:rsidRDefault="000645BF" w:rsidP="004E444C">
            <w:pPr>
              <w:jc w:val="center"/>
              <w:rPr>
                <w:b/>
                <w:sz w:val="24"/>
                <w:szCs w:val="24"/>
              </w:rPr>
            </w:pPr>
            <w:r w:rsidRPr="00AA441C">
              <w:rPr>
                <w:b/>
                <w:sz w:val="24"/>
                <w:szCs w:val="24"/>
              </w:rPr>
              <w:t>Tip de aglomerare/locuitori echivalenti (l.e.)</w:t>
            </w:r>
          </w:p>
        </w:tc>
        <w:tc>
          <w:tcPr>
            <w:tcW w:w="1701" w:type="dxa"/>
            <w:shd w:val="clear" w:color="auto" w:fill="FDE9D9" w:themeFill="accent6" w:themeFillTint="33"/>
          </w:tcPr>
          <w:p w:rsidR="000645BF" w:rsidRPr="00AA441C" w:rsidRDefault="000645BF" w:rsidP="004E444C">
            <w:pPr>
              <w:jc w:val="center"/>
              <w:rPr>
                <w:b/>
                <w:sz w:val="24"/>
                <w:szCs w:val="24"/>
              </w:rPr>
            </w:pPr>
            <w:r w:rsidRPr="00AA441C">
              <w:rPr>
                <w:b/>
                <w:sz w:val="24"/>
                <w:szCs w:val="24"/>
              </w:rPr>
              <w:t>Num</w:t>
            </w:r>
            <w:r>
              <w:rPr>
                <w:b/>
                <w:sz w:val="24"/>
                <w:szCs w:val="24"/>
              </w:rPr>
              <w:t>ă</w:t>
            </w:r>
            <w:r w:rsidRPr="00AA441C">
              <w:rPr>
                <w:b/>
                <w:sz w:val="24"/>
                <w:szCs w:val="24"/>
              </w:rPr>
              <w:t>r localit</w:t>
            </w:r>
            <w:r>
              <w:rPr>
                <w:b/>
                <w:sz w:val="24"/>
                <w:szCs w:val="24"/>
              </w:rPr>
              <w:t>ăț</w:t>
            </w:r>
            <w:r w:rsidRPr="00AA441C">
              <w:rPr>
                <w:b/>
                <w:sz w:val="24"/>
                <w:szCs w:val="24"/>
              </w:rPr>
              <w:t>i</w:t>
            </w:r>
          </w:p>
        </w:tc>
        <w:tc>
          <w:tcPr>
            <w:tcW w:w="1701" w:type="dxa"/>
            <w:shd w:val="clear" w:color="auto" w:fill="FDE9D9" w:themeFill="accent6" w:themeFillTint="33"/>
          </w:tcPr>
          <w:p w:rsidR="000645BF" w:rsidRPr="00AA441C" w:rsidRDefault="000645BF" w:rsidP="004E444C">
            <w:pPr>
              <w:jc w:val="center"/>
              <w:rPr>
                <w:b/>
                <w:sz w:val="24"/>
                <w:szCs w:val="24"/>
              </w:rPr>
            </w:pPr>
            <w:r w:rsidRPr="00AA441C">
              <w:rPr>
                <w:b/>
                <w:sz w:val="24"/>
                <w:szCs w:val="24"/>
              </w:rPr>
              <w:t>Num</w:t>
            </w:r>
            <w:r>
              <w:rPr>
                <w:b/>
                <w:sz w:val="24"/>
                <w:szCs w:val="24"/>
              </w:rPr>
              <w:t>ă</w:t>
            </w:r>
            <w:r w:rsidRPr="00AA441C">
              <w:rPr>
                <w:b/>
                <w:sz w:val="24"/>
                <w:szCs w:val="24"/>
              </w:rPr>
              <w:t>r locuitori echivalen</w:t>
            </w:r>
            <w:r>
              <w:rPr>
                <w:b/>
                <w:sz w:val="24"/>
                <w:szCs w:val="24"/>
              </w:rPr>
              <w:t>ț</w:t>
            </w:r>
            <w:r w:rsidRPr="00AA441C">
              <w:rPr>
                <w:b/>
                <w:sz w:val="24"/>
                <w:szCs w:val="24"/>
              </w:rPr>
              <w:t>i</w:t>
            </w:r>
          </w:p>
        </w:tc>
        <w:tc>
          <w:tcPr>
            <w:tcW w:w="2830" w:type="dxa"/>
            <w:shd w:val="clear" w:color="auto" w:fill="FDE9D9" w:themeFill="accent6" w:themeFillTint="33"/>
          </w:tcPr>
          <w:p w:rsidR="000645BF" w:rsidRPr="00AA441C" w:rsidRDefault="000645BF" w:rsidP="004E444C">
            <w:pPr>
              <w:jc w:val="center"/>
              <w:rPr>
                <w:b/>
                <w:sz w:val="24"/>
                <w:szCs w:val="24"/>
              </w:rPr>
            </w:pPr>
            <w:r w:rsidRPr="00AA441C">
              <w:rPr>
                <w:b/>
                <w:sz w:val="24"/>
                <w:szCs w:val="24"/>
              </w:rPr>
              <w:t>Numele localit</w:t>
            </w:r>
            <w:r>
              <w:rPr>
                <w:b/>
                <w:sz w:val="24"/>
                <w:szCs w:val="24"/>
              </w:rPr>
              <w:t>ăț</w:t>
            </w:r>
            <w:r w:rsidRPr="00AA441C">
              <w:rPr>
                <w:b/>
                <w:sz w:val="24"/>
                <w:szCs w:val="24"/>
              </w:rPr>
              <w:t>ilor racordate/neracordate</w:t>
            </w:r>
          </w:p>
        </w:tc>
      </w:tr>
      <w:tr w:rsidR="000645BF" w:rsidTr="004E444C">
        <w:trPr>
          <w:jc w:val="center"/>
        </w:trPr>
        <w:tc>
          <w:tcPr>
            <w:tcW w:w="9062" w:type="dxa"/>
            <w:gridSpan w:val="4"/>
            <w:shd w:val="clear" w:color="auto" w:fill="FDE9D9" w:themeFill="accent6" w:themeFillTint="33"/>
          </w:tcPr>
          <w:p w:rsidR="000645BF" w:rsidRPr="008E67B6" w:rsidRDefault="000645BF" w:rsidP="004E444C">
            <w:pPr>
              <w:jc w:val="center"/>
              <w:rPr>
                <w:b/>
                <w:sz w:val="24"/>
                <w:szCs w:val="24"/>
              </w:rPr>
            </w:pPr>
            <w:r w:rsidRPr="008E67B6">
              <w:rPr>
                <w:b/>
                <w:sz w:val="24"/>
                <w:szCs w:val="24"/>
              </w:rPr>
              <w:t>Aglomerări Racordate</w:t>
            </w:r>
          </w:p>
        </w:tc>
      </w:tr>
      <w:tr w:rsidR="000645BF" w:rsidTr="004E444C">
        <w:trPr>
          <w:jc w:val="center"/>
        </w:trPr>
        <w:tc>
          <w:tcPr>
            <w:tcW w:w="2830" w:type="dxa"/>
            <w:shd w:val="clear" w:color="auto" w:fill="FDE9D9" w:themeFill="accent6" w:themeFillTint="33"/>
          </w:tcPr>
          <w:p w:rsidR="000645BF" w:rsidRPr="00361E77" w:rsidRDefault="000645BF" w:rsidP="004E444C">
            <w:pPr>
              <w:pStyle w:val="ListParagraph"/>
              <w:jc w:val="center"/>
            </w:pPr>
            <w:r>
              <w:t>&gt;150.000 l.e.</w:t>
            </w:r>
          </w:p>
        </w:tc>
        <w:tc>
          <w:tcPr>
            <w:tcW w:w="1701" w:type="dxa"/>
            <w:shd w:val="clear" w:color="auto" w:fill="FDE9D9" w:themeFill="accent6" w:themeFillTint="33"/>
          </w:tcPr>
          <w:p w:rsidR="000645BF" w:rsidRDefault="000645BF" w:rsidP="004E444C">
            <w:pPr>
              <w:jc w:val="center"/>
              <w:rPr>
                <w:sz w:val="24"/>
                <w:szCs w:val="24"/>
              </w:rPr>
            </w:pPr>
            <w:r>
              <w:rPr>
                <w:sz w:val="24"/>
                <w:szCs w:val="24"/>
              </w:rPr>
              <w:t>1</w:t>
            </w:r>
          </w:p>
        </w:tc>
        <w:tc>
          <w:tcPr>
            <w:tcW w:w="1701" w:type="dxa"/>
            <w:shd w:val="clear" w:color="auto" w:fill="FDE9D9" w:themeFill="accent6" w:themeFillTint="33"/>
          </w:tcPr>
          <w:p w:rsidR="000645BF" w:rsidRDefault="000645BF" w:rsidP="004E444C">
            <w:pPr>
              <w:jc w:val="center"/>
              <w:rPr>
                <w:sz w:val="24"/>
                <w:szCs w:val="24"/>
              </w:rPr>
            </w:pPr>
            <w:r>
              <w:rPr>
                <w:sz w:val="24"/>
                <w:szCs w:val="24"/>
              </w:rPr>
              <w:t>180.370</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UAT Braila</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r>
              <w:rPr>
                <w:sz w:val="24"/>
                <w:szCs w:val="24"/>
              </w:rPr>
              <w:t>10.000 – 150.000 l.e.</w:t>
            </w:r>
          </w:p>
        </w:tc>
        <w:tc>
          <w:tcPr>
            <w:tcW w:w="1701" w:type="dxa"/>
            <w:shd w:val="clear" w:color="auto" w:fill="FDE9D9" w:themeFill="accent6" w:themeFillTint="33"/>
          </w:tcPr>
          <w:p w:rsidR="000645BF" w:rsidRDefault="000645BF" w:rsidP="004E444C">
            <w:pPr>
              <w:jc w:val="center"/>
              <w:rPr>
                <w:sz w:val="24"/>
                <w:szCs w:val="24"/>
              </w:rPr>
            </w:pPr>
            <w:r>
              <w:rPr>
                <w:sz w:val="24"/>
                <w:szCs w:val="24"/>
              </w:rPr>
              <w:t>-</w:t>
            </w:r>
          </w:p>
        </w:tc>
        <w:tc>
          <w:tcPr>
            <w:tcW w:w="1701" w:type="dxa"/>
            <w:shd w:val="clear" w:color="auto" w:fill="FDE9D9" w:themeFill="accent6" w:themeFillTint="33"/>
          </w:tcPr>
          <w:p w:rsidR="000645BF" w:rsidRDefault="000645BF" w:rsidP="004E444C">
            <w:pPr>
              <w:jc w:val="center"/>
              <w:rPr>
                <w:sz w:val="24"/>
                <w:szCs w:val="24"/>
              </w:rPr>
            </w:pPr>
            <w:r>
              <w:rPr>
                <w:sz w:val="24"/>
                <w:szCs w:val="24"/>
              </w:rPr>
              <w:t>-</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r>
              <w:rPr>
                <w:sz w:val="24"/>
                <w:szCs w:val="24"/>
              </w:rPr>
              <w:t>2000 – 10.000 l.e.</w:t>
            </w:r>
          </w:p>
        </w:tc>
        <w:tc>
          <w:tcPr>
            <w:tcW w:w="1701" w:type="dxa"/>
            <w:shd w:val="clear" w:color="auto" w:fill="FDE9D9" w:themeFill="accent6" w:themeFillTint="33"/>
          </w:tcPr>
          <w:p w:rsidR="000645BF" w:rsidRDefault="000645BF" w:rsidP="004E444C">
            <w:pPr>
              <w:jc w:val="center"/>
              <w:rPr>
                <w:sz w:val="24"/>
                <w:szCs w:val="24"/>
              </w:rPr>
            </w:pPr>
            <w:r>
              <w:rPr>
                <w:sz w:val="24"/>
                <w:szCs w:val="24"/>
              </w:rPr>
              <w:t>6</w:t>
            </w:r>
          </w:p>
        </w:tc>
        <w:tc>
          <w:tcPr>
            <w:tcW w:w="1701" w:type="dxa"/>
            <w:shd w:val="clear" w:color="auto" w:fill="FDE9D9" w:themeFill="accent6" w:themeFillTint="33"/>
          </w:tcPr>
          <w:p w:rsidR="000645BF" w:rsidRDefault="000645BF" w:rsidP="004E444C">
            <w:pPr>
              <w:jc w:val="center"/>
              <w:rPr>
                <w:sz w:val="24"/>
                <w:szCs w:val="24"/>
              </w:rPr>
            </w:pPr>
            <w:r>
              <w:rPr>
                <w:sz w:val="24"/>
                <w:szCs w:val="24"/>
              </w:rPr>
              <w:t>2828</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Movila Miresii</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r>
              <w:rPr>
                <w:sz w:val="24"/>
                <w:szCs w:val="24"/>
              </w:rPr>
              <w:t>3101</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Faurei</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r>
              <w:rPr>
                <w:sz w:val="24"/>
                <w:szCs w:val="24"/>
              </w:rPr>
              <w:t>4684</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Ianca</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r>
              <w:rPr>
                <w:sz w:val="24"/>
                <w:szCs w:val="24"/>
              </w:rPr>
              <w:t>3624</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Insuratei</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r>
              <w:rPr>
                <w:sz w:val="24"/>
                <w:szCs w:val="24"/>
              </w:rPr>
              <w:t>3773</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Tufesti</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p>
        </w:tc>
        <w:tc>
          <w:tcPr>
            <w:tcW w:w="1701" w:type="dxa"/>
            <w:shd w:val="clear" w:color="auto" w:fill="FDE9D9" w:themeFill="accent6" w:themeFillTint="33"/>
          </w:tcPr>
          <w:p w:rsidR="000645BF" w:rsidRDefault="000645BF" w:rsidP="004E444C">
            <w:pPr>
              <w:jc w:val="center"/>
              <w:rPr>
                <w:sz w:val="24"/>
                <w:szCs w:val="24"/>
              </w:rPr>
            </w:pPr>
            <w:r>
              <w:rPr>
                <w:sz w:val="24"/>
                <w:szCs w:val="24"/>
              </w:rPr>
              <w:t>3249</w:t>
            </w:r>
          </w:p>
        </w:tc>
        <w:tc>
          <w:tcPr>
            <w:tcW w:w="2830" w:type="dxa"/>
            <w:shd w:val="clear" w:color="auto" w:fill="FDE9D9" w:themeFill="accent6" w:themeFillTint="33"/>
          </w:tcPr>
          <w:p w:rsidR="000645BF" w:rsidRPr="002E4809" w:rsidRDefault="000645BF" w:rsidP="004E444C">
            <w:pPr>
              <w:jc w:val="center"/>
              <w:rPr>
                <w:sz w:val="24"/>
                <w:szCs w:val="24"/>
              </w:rPr>
            </w:pPr>
            <w:r w:rsidRPr="002E4809">
              <w:rPr>
                <w:sz w:val="24"/>
                <w:szCs w:val="24"/>
              </w:rPr>
              <w:t>Viziru</w:t>
            </w:r>
          </w:p>
        </w:tc>
      </w:tr>
      <w:tr w:rsidR="000645BF" w:rsidTr="004E444C">
        <w:trPr>
          <w:jc w:val="center"/>
        </w:trPr>
        <w:tc>
          <w:tcPr>
            <w:tcW w:w="2830" w:type="dxa"/>
            <w:shd w:val="clear" w:color="auto" w:fill="FDE9D9" w:themeFill="accent6" w:themeFillTint="33"/>
          </w:tcPr>
          <w:p w:rsidR="000645BF" w:rsidRDefault="000645BF" w:rsidP="004E444C">
            <w:pPr>
              <w:jc w:val="center"/>
              <w:rPr>
                <w:sz w:val="24"/>
                <w:szCs w:val="24"/>
              </w:rPr>
            </w:pPr>
            <w:r>
              <w:rPr>
                <w:sz w:val="24"/>
                <w:szCs w:val="24"/>
              </w:rPr>
              <w:t>Total</w:t>
            </w:r>
          </w:p>
        </w:tc>
        <w:tc>
          <w:tcPr>
            <w:tcW w:w="1701" w:type="dxa"/>
            <w:shd w:val="clear" w:color="auto" w:fill="FDE9D9" w:themeFill="accent6" w:themeFillTint="33"/>
          </w:tcPr>
          <w:p w:rsidR="000645BF" w:rsidRDefault="000645BF" w:rsidP="004E444C">
            <w:pPr>
              <w:jc w:val="center"/>
              <w:rPr>
                <w:sz w:val="24"/>
                <w:szCs w:val="24"/>
              </w:rPr>
            </w:pPr>
            <w:r>
              <w:rPr>
                <w:sz w:val="24"/>
                <w:szCs w:val="24"/>
              </w:rPr>
              <w:t>7</w:t>
            </w:r>
          </w:p>
        </w:tc>
        <w:tc>
          <w:tcPr>
            <w:tcW w:w="1701" w:type="dxa"/>
            <w:shd w:val="clear" w:color="auto" w:fill="FDE9D9" w:themeFill="accent6" w:themeFillTint="33"/>
          </w:tcPr>
          <w:p w:rsidR="000645BF" w:rsidRPr="008E67B6" w:rsidRDefault="000645BF" w:rsidP="004E444C">
            <w:pPr>
              <w:jc w:val="center"/>
              <w:rPr>
                <w:b/>
                <w:sz w:val="24"/>
                <w:szCs w:val="24"/>
              </w:rPr>
            </w:pPr>
            <w:r w:rsidRPr="008E67B6">
              <w:rPr>
                <w:b/>
                <w:sz w:val="24"/>
                <w:szCs w:val="24"/>
              </w:rPr>
              <w:t>201629</w:t>
            </w:r>
          </w:p>
        </w:tc>
        <w:tc>
          <w:tcPr>
            <w:tcW w:w="2830" w:type="dxa"/>
            <w:shd w:val="clear" w:color="auto" w:fill="FDE9D9" w:themeFill="accent6" w:themeFillTint="33"/>
          </w:tcPr>
          <w:p w:rsidR="000645BF" w:rsidRPr="002E4809" w:rsidRDefault="000645BF" w:rsidP="004E444C">
            <w:pPr>
              <w:jc w:val="center"/>
              <w:rPr>
                <w:sz w:val="24"/>
                <w:szCs w:val="24"/>
              </w:rPr>
            </w:pPr>
            <w:r>
              <w:rPr>
                <w:sz w:val="24"/>
                <w:szCs w:val="24"/>
              </w:rPr>
              <w:t>-</w:t>
            </w:r>
          </w:p>
        </w:tc>
      </w:tr>
    </w:tbl>
    <w:p w:rsidR="000645BF" w:rsidRPr="003208A3" w:rsidRDefault="000645BF" w:rsidP="000645BF">
      <w:pPr>
        <w:spacing w:after="0" w:line="240" w:lineRule="auto"/>
        <w:jc w:val="both"/>
        <w:rPr>
          <w:rFonts w:ascii="Arial" w:hAnsi="Arial" w:cs="Arial"/>
          <w:color w:val="00B0F0"/>
          <w:sz w:val="24"/>
          <w:szCs w:val="24"/>
        </w:rPr>
      </w:pPr>
    </w:p>
    <w:p w:rsidR="000645BF" w:rsidRPr="00F84D07" w:rsidRDefault="000645BF" w:rsidP="000645BF">
      <w:pPr>
        <w:spacing w:after="0" w:line="240" w:lineRule="auto"/>
        <w:jc w:val="both"/>
        <w:rPr>
          <w:rFonts w:ascii="Arial" w:hAnsi="Arial" w:cs="Arial"/>
          <w:b/>
          <w:i/>
          <w:sz w:val="20"/>
          <w:szCs w:val="20"/>
        </w:rPr>
      </w:pPr>
      <w:r>
        <w:rPr>
          <w:rFonts w:ascii="Arial" w:hAnsi="Arial" w:cs="Arial"/>
          <w:b/>
          <w:sz w:val="20"/>
          <w:szCs w:val="20"/>
        </w:rPr>
        <w:t xml:space="preserve">           </w:t>
      </w:r>
      <w:r w:rsidRPr="009A1552">
        <w:rPr>
          <w:rFonts w:ascii="Arial" w:hAnsi="Arial" w:cs="Arial"/>
          <w:b/>
          <w:sz w:val="20"/>
          <w:szCs w:val="20"/>
        </w:rPr>
        <w:t xml:space="preserve">Sursă date : </w:t>
      </w:r>
      <w:r w:rsidRPr="00F84D07">
        <w:rPr>
          <w:rFonts w:ascii="Arial" w:hAnsi="Arial" w:cs="Arial"/>
          <w:b/>
          <w:i/>
          <w:sz w:val="20"/>
          <w:szCs w:val="20"/>
        </w:rPr>
        <w:t>Compania de Utilități Publice Dunărea Brăila SA</w:t>
      </w:r>
    </w:p>
    <w:p w:rsidR="000645BF" w:rsidRDefault="000645BF" w:rsidP="000645BF">
      <w:pPr>
        <w:spacing w:after="0" w:line="240" w:lineRule="auto"/>
        <w:jc w:val="both"/>
        <w:rPr>
          <w:rFonts w:ascii="Arial" w:hAnsi="Arial" w:cs="Arial"/>
          <w:b/>
          <w:sz w:val="20"/>
          <w:szCs w:val="20"/>
        </w:rPr>
      </w:pPr>
    </w:p>
    <w:p w:rsidR="000645BF" w:rsidRDefault="000645BF" w:rsidP="000645BF">
      <w:pPr>
        <w:spacing w:after="0" w:line="240" w:lineRule="auto"/>
        <w:jc w:val="both"/>
        <w:rPr>
          <w:rFonts w:ascii="Arial" w:eastAsia="Calibri" w:hAnsi="Arial" w:cs="Arial"/>
          <w:sz w:val="24"/>
          <w:szCs w:val="24"/>
          <w:lang w:eastAsia="ar-SA"/>
        </w:rPr>
      </w:pPr>
      <w:r w:rsidRPr="008E67B6">
        <w:rPr>
          <w:rFonts w:ascii="Arial" w:eastAsia="Calibri" w:hAnsi="Arial" w:cs="Arial"/>
          <w:b/>
          <w:sz w:val="24"/>
          <w:szCs w:val="24"/>
          <w:lang w:eastAsia="ar-SA"/>
        </w:rPr>
        <w:t>Tabel 2.2.2 -</w:t>
      </w:r>
      <w:r>
        <w:rPr>
          <w:rFonts w:ascii="Arial" w:eastAsia="Calibri" w:hAnsi="Arial" w:cs="Arial"/>
          <w:b/>
          <w:sz w:val="24"/>
          <w:szCs w:val="24"/>
          <w:lang w:eastAsia="ar-SA"/>
        </w:rPr>
        <w:t xml:space="preserve"> </w:t>
      </w:r>
      <w:r w:rsidRPr="008E67B6">
        <w:rPr>
          <w:rFonts w:ascii="Arial" w:eastAsia="Calibri" w:hAnsi="Arial" w:cs="Arial"/>
          <w:b/>
          <w:sz w:val="24"/>
          <w:szCs w:val="24"/>
          <w:lang w:eastAsia="ar-SA"/>
        </w:rPr>
        <w:t>2</w:t>
      </w:r>
      <w:r w:rsidRPr="009209C1">
        <w:rPr>
          <w:rFonts w:ascii="Arial" w:eastAsia="Calibri" w:hAnsi="Arial" w:cs="Arial"/>
          <w:sz w:val="24"/>
          <w:szCs w:val="24"/>
          <w:lang w:eastAsia="ar-SA"/>
        </w:rPr>
        <w:t xml:space="preserve"> - Evoluţia gradului de epurare  la sistemele de colectare şi epurare a apelor uzate funcționale</w:t>
      </w:r>
      <w:r w:rsidRPr="00FF09F1">
        <w:rPr>
          <w:rFonts w:ascii="Arial" w:eastAsia="Calibri" w:hAnsi="Arial" w:cs="Arial"/>
          <w:sz w:val="24"/>
          <w:szCs w:val="24"/>
          <w:lang w:eastAsia="ar-SA"/>
        </w:rPr>
        <w:t xml:space="preserve"> deservite de CUP în jud. </w:t>
      </w:r>
      <w:r>
        <w:rPr>
          <w:rFonts w:ascii="Arial" w:eastAsia="Calibri" w:hAnsi="Arial" w:cs="Arial"/>
          <w:sz w:val="24"/>
          <w:szCs w:val="24"/>
          <w:lang w:eastAsia="ar-SA"/>
        </w:rPr>
        <w:t>Brăila</w:t>
      </w:r>
      <w:r w:rsidRPr="00FF09F1">
        <w:rPr>
          <w:rFonts w:ascii="Arial" w:eastAsia="Calibri" w:hAnsi="Arial" w:cs="Arial"/>
          <w:sz w:val="24"/>
          <w:szCs w:val="24"/>
          <w:lang w:eastAsia="ar-SA"/>
        </w:rPr>
        <w:t xml:space="preserve"> -  numărul de stații de epurare în funcțiune pe anii de referință și pe grad de epurare ( terțiară, secundară , primară</w:t>
      </w:r>
      <w:r>
        <w:rPr>
          <w:rFonts w:ascii="Arial" w:eastAsia="Calibri" w:hAnsi="Arial" w:cs="Arial"/>
          <w:sz w:val="24"/>
          <w:szCs w:val="24"/>
          <w:lang w:eastAsia="ar-SA"/>
        </w:rPr>
        <w:t>)</w:t>
      </w:r>
    </w:p>
    <w:p w:rsidR="004E444C" w:rsidRPr="00FF09F1" w:rsidRDefault="004E444C" w:rsidP="000645BF">
      <w:pPr>
        <w:spacing w:after="0" w:line="240" w:lineRule="auto"/>
        <w:jc w:val="both"/>
        <w:rPr>
          <w:rFonts w:ascii="Arial" w:hAnsi="Arial" w:cs="Arial"/>
          <w:sz w:val="24"/>
          <w:szCs w:val="24"/>
        </w:rPr>
      </w:pPr>
    </w:p>
    <w:tbl>
      <w:tblPr>
        <w:tblW w:w="8449" w:type="dxa"/>
        <w:jc w:val="center"/>
        <w:tblInd w:w="-5" w:type="dxa"/>
        <w:tblLayout w:type="fixed"/>
        <w:tblLook w:val="0000"/>
      </w:tblPr>
      <w:tblGrid>
        <w:gridCol w:w="3388"/>
        <w:gridCol w:w="787"/>
        <w:gridCol w:w="836"/>
        <w:gridCol w:w="923"/>
        <w:gridCol w:w="869"/>
        <w:gridCol w:w="823"/>
        <w:gridCol w:w="823"/>
      </w:tblGrid>
      <w:tr w:rsidR="000645BF" w:rsidRPr="00FF09F1" w:rsidTr="004E444C">
        <w:trPr>
          <w:jc w:val="center"/>
        </w:trPr>
        <w:tc>
          <w:tcPr>
            <w:tcW w:w="3388" w:type="dxa"/>
            <w:tcBorders>
              <w:top w:val="single" w:sz="4" w:space="0" w:color="000000"/>
              <w:left w:val="single" w:sz="4" w:space="0" w:color="000000"/>
              <w:bottom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hAnsi="Arial" w:cs="Arial"/>
                <w:b/>
                <w:sz w:val="24"/>
                <w:szCs w:val="24"/>
              </w:rPr>
              <w:t xml:space="preserve">Județul </w:t>
            </w:r>
            <w:r>
              <w:rPr>
                <w:rFonts w:ascii="Arial" w:hAnsi="Arial" w:cs="Arial"/>
                <w:b/>
                <w:sz w:val="24"/>
                <w:szCs w:val="24"/>
              </w:rPr>
              <w:t>Brăila</w:t>
            </w:r>
            <w:r w:rsidRPr="00FF09F1">
              <w:rPr>
                <w:rFonts w:ascii="Arial" w:hAnsi="Arial" w:cs="Arial"/>
                <w:sz w:val="24"/>
                <w:szCs w:val="24"/>
              </w:rPr>
              <w:tab/>
            </w:r>
            <w:r w:rsidRPr="00FF09F1">
              <w:rPr>
                <w:rFonts w:ascii="Arial" w:eastAsia="Calibri" w:hAnsi="Arial" w:cs="Arial"/>
                <w:b/>
                <w:sz w:val="24"/>
                <w:szCs w:val="24"/>
                <w:lang w:eastAsia="ar-SA"/>
              </w:rPr>
              <w:t xml:space="preserve">Județul </w:t>
            </w:r>
            <w:r>
              <w:rPr>
                <w:rFonts w:ascii="Arial" w:eastAsia="Calibri" w:hAnsi="Arial" w:cs="Arial"/>
                <w:b/>
                <w:sz w:val="24"/>
                <w:szCs w:val="24"/>
                <w:lang w:eastAsia="ar-SA"/>
              </w:rPr>
              <w:t>Brăila</w:t>
            </w:r>
          </w:p>
        </w:tc>
        <w:tc>
          <w:tcPr>
            <w:tcW w:w="787" w:type="dxa"/>
            <w:tcBorders>
              <w:top w:val="single" w:sz="4" w:space="0" w:color="000000"/>
              <w:left w:val="single" w:sz="4" w:space="0" w:color="000000"/>
              <w:bottom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eastAsia="Calibri" w:hAnsi="Arial" w:cs="Arial"/>
                <w:b/>
                <w:sz w:val="24"/>
                <w:szCs w:val="24"/>
                <w:lang w:eastAsia="ar-SA"/>
              </w:rPr>
              <w:t>2012</w:t>
            </w:r>
          </w:p>
        </w:tc>
        <w:tc>
          <w:tcPr>
            <w:tcW w:w="836" w:type="dxa"/>
            <w:tcBorders>
              <w:top w:val="single" w:sz="4" w:space="0" w:color="000000"/>
              <w:left w:val="single" w:sz="4" w:space="0" w:color="000000"/>
              <w:bottom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eastAsia="Calibri" w:hAnsi="Arial" w:cs="Arial"/>
                <w:b/>
                <w:sz w:val="24"/>
                <w:szCs w:val="24"/>
                <w:lang w:eastAsia="ar-SA"/>
              </w:rPr>
              <w:t>2013</w:t>
            </w:r>
          </w:p>
        </w:tc>
        <w:tc>
          <w:tcPr>
            <w:tcW w:w="923" w:type="dxa"/>
            <w:tcBorders>
              <w:top w:val="single" w:sz="4" w:space="0" w:color="000000"/>
              <w:left w:val="single" w:sz="4" w:space="0" w:color="000000"/>
              <w:bottom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eastAsia="Calibri" w:hAnsi="Arial" w:cs="Arial"/>
                <w:b/>
                <w:sz w:val="24"/>
                <w:szCs w:val="24"/>
                <w:lang w:eastAsia="ar-SA"/>
              </w:rPr>
              <w:t>2014</w:t>
            </w:r>
          </w:p>
        </w:tc>
        <w:tc>
          <w:tcPr>
            <w:tcW w:w="869" w:type="dxa"/>
            <w:tcBorders>
              <w:top w:val="single" w:sz="4" w:space="0" w:color="000000"/>
              <w:left w:val="single" w:sz="4" w:space="0" w:color="000000"/>
              <w:bottom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eastAsia="Calibri" w:hAnsi="Arial" w:cs="Arial"/>
                <w:b/>
                <w:sz w:val="24"/>
                <w:szCs w:val="24"/>
                <w:lang w:eastAsia="ar-SA"/>
              </w:rPr>
              <w:t>2015</w:t>
            </w:r>
          </w:p>
        </w:tc>
        <w:tc>
          <w:tcPr>
            <w:tcW w:w="82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sidRPr="00FF09F1">
              <w:rPr>
                <w:rFonts w:ascii="Arial" w:eastAsia="Calibri" w:hAnsi="Arial" w:cs="Arial"/>
                <w:b/>
                <w:sz w:val="24"/>
                <w:szCs w:val="24"/>
                <w:lang w:eastAsia="ar-SA"/>
              </w:rPr>
              <w:t>2016</w:t>
            </w:r>
          </w:p>
        </w:tc>
        <w:tc>
          <w:tcPr>
            <w:tcW w:w="82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sz w:val="24"/>
                <w:szCs w:val="24"/>
                <w:lang w:eastAsia="ar-SA"/>
              </w:rPr>
            </w:pPr>
            <w:r>
              <w:rPr>
                <w:rFonts w:ascii="Arial" w:eastAsia="Calibri" w:hAnsi="Arial" w:cs="Arial"/>
                <w:b/>
                <w:sz w:val="24"/>
                <w:szCs w:val="24"/>
                <w:lang w:eastAsia="ar-SA"/>
              </w:rPr>
              <w:t>2017</w:t>
            </w:r>
          </w:p>
        </w:tc>
      </w:tr>
      <w:tr w:rsidR="000645BF" w:rsidRPr="00FF09F1" w:rsidTr="004E444C">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b/>
                <w:i/>
                <w:sz w:val="24"/>
                <w:szCs w:val="24"/>
                <w:lang w:eastAsia="ar-SA"/>
              </w:rPr>
            </w:pPr>
            <w:r w:rsidRPr="00FF09F1">
              <w:rPr>
                <w:rFonts w:ascii="Arial" w:eastAsia="Calibri" w:hAnsi="Arial" w:cs="Arial"/>
                <w:sz w:val="24"/>
                <w:szCs w:val="24"/>
                <w:lang w:eastAsia="ar-SA"/>
              </w:rPr>
              <w:t>Colectare cu epurare terţiară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2</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Pr>
                <w:rFonts w:ascii="Arial" w:eastAsia="Calibri" w:hAnsi="Arial" w:cs="Arial"/>
                <w:sz w:val="24"/>
                <w:szCs w:val="24"/>
                <w:lang w:eastAsia="ar-SA"/>
              </w:rPr>
              <w:t>2</w:t>
            </w:r>
          </w:p>
        </w:tc>
      </w:tr>
      <w:tr w:rsidR="000645BF" w:rsidRPr="00FF09F1" w:rsidTr="004E444C">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rPr>
                <w:rFonts w:ascii="Arial" w:eastAsia="Calibri" w:hAnsi="Arial" w:cs="Arial"/>
                <w:b/>
                <w:i/>
                <w:sz w:val="24"/>
                <w:szCs w:val="24"/>
                <w:lang w:eastAsia="ar-SA"/>
              </w:rPr>
            </w:pPr>
            <w:r w:rsidRPr="00FF09F1">
              <w:rPr>
                <w:rFonts w:ascii="Arial" w:eastAsia="Calibri" w:hAnsi="Arial" w:cs="Arial"/>
                <w:sz w:val="24"/>
                <w:szCs w:val="24"/>
                <w:lang w:eastAsia="ar-SA"/>
              </w:rPr>
              <w:t>Colectarecu epurare secundară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Pr>
                <w:rFonts w:ascii="Arial" w:eastAsia="Calibri" w:hAnsi="Arial" w:cs="Arial"/>
                <w:sz w:val="24"/>
                <w:szCs w:val="24"/>
                <w:lang w:eastAsia="ar-SA"/>
              </w:rPr>
              <w:t>2</w:t>
            </w:r>
          </w:p>
        </w:tc>
      </w:tr>
      <w:tr w:rsidR="000645BF" w:rsidRPr="00FF09F1" w:rsidTr="004E444C">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rPr>
                <w:rFonts w:ascii="Arial" w:eastAsia="Calibri" w:hAnsi="Arial" w:cs="Arial"/>
                <w:b/>
                <w:i/>
                <w:sz w:val="24"/>
                <w:szCs w:val="24"/>
                <w:lang w:eastAsia="ar-SA"/>
              </w:rPr>
            </w:pPr>
            <w:r w:rsidRPr="00FF09F1">
              <w:rPr>
                <w:rFonts w:ascii="Arial" w:eastAsia="Calibri" w:hAnsi="Arial" w:cs="Arial"/>
                <w:sz w:val="24"/>
                <w:szCs w:val="24"/>
                <w:lang w:eastAsia="ar-SA"/>
              </w:rPr>
              <w:t>Colectare cu epurare primară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Pr>
                <w:rFonts w:ascii="Arial" w:eastAsia="Calibri" w:hAnsi="Arial" w:cs="Arial"/>
                <w:sz w:val="24"/>
                <w:szCs w:val="24"/>
                <w:lang w:eastAsia="ar-SA"/>
              </w:rPr>
              <w:t>-</w:t>
            </w:r>
          </w:p>
        </w:tc>
      </w:tr>
      <w:tr w:rsidR="000645BF" w:rsidRPr="00FF09F1" w:rsidTr="004E444C">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Colectare fără epurare</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645BF" w:rsidRPr="00FF09F1" w:rsidRDefault="000645BF" w:rsidP="004E444C">
            <w:pPr>
              <w:tabs>
                <w:tab w:val="center" w:pos="4680"/>
                <w:tab w:val="right" w:pos="9360"/>
              </w:tabs>
              <w:suppressAutoHyphens/>
              <w:spacing w:after="0" w:line="240" w:lineRule="auto"/>
              <w:jc w:val="both"/>
              <w:rPr>
                <w:rFonts w:ascii="Arial" w:eastAsia="Calibri" w:hAnsi="Arial" w:cs="Arial"/>
                <w:sz w:val="24"/>
                <w:szCs w:val="24"/>
                <w:lang w:eastAsia="ar-SA"/>
              </w:rPr>
            </w:pPr>
            <w:r>
              <w:rPr>
                <w:rFonts w:ascii="Arial" w:eastAsia="Calibri" w:hAnsi="Arial" w:cs="Arial"/>
                <w:sz w:val="24"/>
                <w:szCs w:val="24"/>
                <w:lang w:eastAsia="ar-SA"/>
              </w:rPr>
              <w:t>-</w:t>
            </w:r>
          </w:p>
        </w:tc>
      </w:tr>
    </w:tbl>
    <w:p w:rsidR="000645BF" w:rsidRPr="004B2D7D" w:rsidRDefault="000645BF" w:rsidP="000645BF">
      <w:pPr>
        <w:spacing w:after="0" w:line="240" w:lineRule="auto"/>
        <w:jc w:val="both"/>
        <w:rPr>
          <w:rFonts w:ascii="Arial" w:hAnsi="Arial" w:cs="Arial"/>
          <w:b/>
          <w:i/>
          <w:sz w:val="20"/>
          <w:szCs w:val="20"/>
        </w:rPr>
      </w:pPr>
      <w:r>
        <w:rPr>
          <w:rFonts w:ascii="Arial" w:hAnsi="Arial" w:cs="Arial"/>
          <w:b/>
          <w:sz w:val="20"/>
          <w:szCs w:val="20"/>
        </w:rPr>
        <w:t xml:space="preserve">        </w:t>
      </w:r>
      <w:r w:rsidRPr="009A1552">
        <w:rPr>
          <w:rFonts w:ascii="Arial" w:hAnsi="Arial" w:cs="Arial"/>
          <w:b/>
          <w:sz w:val="20"/>
          <w:szCs w:val="20"/>
        </w:rPr>
        <w:t xml:space="preserve">Sursă date : </w:t>
      </w:r>
      <w:r w:rsidRPr="004B2D7D">
        <w:rPr>
          <w:rFonts w:ascii="Arial" w:hAnsi="Arial" w:cs="Arial"/>
          <w:b/>
          <w:i/>
          <w:sz w:val="20"/>
          <w:szCs w:val="20"/>
        </w:rPr>
        <w:t>Compania de Utilități Publice Dunărea Brăila SA</w:t>
      </w:r>
    </w:p>
    <w:p w:rsidR="000645BF" w:rsidRPr="009A1552" w:rsidRDefault="000645BF" w:rsidP="000645BF">
      <w:pPr>
        <w:spacing w:after="0" w:line="240" w:lineRule="auto"/>
        <w:jc w:val="both"/>
        <w:rPr>
          <w:rFonts w:ascii="Arial" w:hAnsi="Arial" w:cs="Arial"/>
          <w:b/>
          <w:sz w:val="20"/>
          <w:szCs w:val="20"/>
        </w:rPr>
      </w:pPr>
    </w:p>
    <w:p w:rsidR="000645BF" w:rsidRPr="004F0797" w:rsidRDefault="000645BF" w:rsidP="000645BF">
      <w:pPr>
        <w:spacing w:after="0" w:line="240" w:lineRule="auto"/>
        <w:jc w:val="both"/>
      </w:pPr>
      <w:r w:rsidRPr="00F170A7">
        <w:rPr>
          <w:rFonts w:ascii="Arial" w:eastAsia="Calibri" w:hAnsi="Arial" w:cs="Arial"/>
          <w:b/>
          <w:sz w:val="24"/>
          <w:szCs w:val="24"/>
          <w:lang w:eastAsia="ar-SA"/>
        </w:rPr>
        <w:t>Tabel 2.2.2 – 3</w:t>
      </w:r>
      <w:r>
        <w:rPr>
          <w:rFonts w:ascii="Arial" w:eastAsia="Calibri" w:hAnsi="Arial" w:cs="Arial"/>
          <w:sz w:val="24"/>
          <w:szCs w:val="24"/>
          <w:lang w:eastAsia="ar-SA"/>
        </w:rPr>
        <w:t xml:space="preserve"> </w:t>
      </w:r>
      <w:r w:rsidRPr="004161A1">
        <w:rPr>
          <w:rFonts w:ascii="Arial" w:hAnsi="Arial" w:cs="Arial"/>
          <w:sz w:val="24"/>
          <w:szCs w:val="24"/>
        </w:rPr>
        <w:t>Popula</w:t>
      </w:r>
      <w:r>
        <w:rPr>
          <w:rFonts w:ascii="Arial" w:hAnsi="Arial" w:cs="Arial"/>
          <w:sz w:val="24"/>
          <w:szCs w:val="24"/>
        </w:rPr>
        <w:t>ț</w:t>
      </w:r>
      <w:r w:rsidRPr="004161A1">
        <w:rPr>
          <w:rFonts w:ascii="Arial" w:hAnsi="Arial" w:cs="Arial"/>
          <w:sz w:val="24"/>
          <w:szCs w:val="24"/>
        </w:rPr>
        <w:t>ia conectat</w:t>
      </w:r>
      <w:r>
        <w:rPr>
          <w:rFonts w:ascii="Arial" w:hAnsi="Arial" w:cs="Arial"/>
          <w:sz w:val="24"/>
          <w:szCs w:val="24"/>
        </w:rPr>
        <w:t>ă</w:t>
      </w:r>
      <w:r w:rsidRPr="004161A1">
        <w:rPr>
          <w:rFonts w:ascii="Arial" w:hAnsi="Arial" w:cs="Arial"/>
          <w:sz w:val="24"/>
          <w:szCs w:val="24"/>
        </w:rPr>
        <w:t xml:space="preserve"> la sta</w:t>
      </w:r>
      <w:r>
        <w:rPr>
          <w:rFonts w:ascii="Arial" w:hAnsi="Arial" w:cs="Arial"/>
          <w:sz w:val="24"/>
          <w:szCs w:val="24"/>
        </w:rPr>
        <w:t>ț</w:t>
      </w:r>
      <w:r w:rsidRPr="004161A1">
        <w:rPr>
          <w:rFonts w:ascii="Arial" w:hAnsi="Arial" w:cs="Arial"/>
          <w:sz w:val="24"/>
          <w:szCs w:val="24"/>
        </w:rPr>
        <w:t>iile de epurare a apelor</w:t>
      </w:r>
      <w:r>
        <w:rPr>
          <w:rFonts w:ascii="Arial" w:hAnsi="Arial" w:cs="Arial"/>
          <w:sz w:val="24"/>
          <w:szCs w:val="24"/>
        </w:rPr>
        <w:t xml:space="preserve"> </w:t>
      </w:r>
      <w:r w:rsidRPr="004161A1">
        <w:rPr>
          <w:rFonts w:ascii="Arial" w:hAnsi="Arial" w:cs="Arial"/>
          <w:sz w:val="24"/>
          <w:szCs w:val="24"/>
        </w:rPr>
        <w:t>uzate</w:t>
      </w:r>
    </w:p>
    <w:tbl>
      <w:tblPr>
        <w:tblStyle w:val="TableGrid"/>
        <w:tblW w:w="7999" w:type="dxa"/>
        <w:jc w:val="center"/>
        <w:tblLook w:val="04A0"/>
      </w:tblPr>
      <w:tblGrid>
        <w:gridCol w:w="1670"/>
        <w:gridCol w:w="1017"/>
        <w:gridCol w:w="1017"/>
        <w:gridCol w:w="1017"/>
        <w:gridCol w:w="1017"/>
        <w:gridCol w:w="1017"/>
        <w:gridCol w:w="1056"/>
        <w:gridCol w:w="222"/>
      </w:tblGrid>
      <w:tr w:rsidR="000645BF" w:rsidRPr="004161A1" w:rsidTr="004E444C">
        <w:trPr>
          <w:gridAfter w:val="1"/>
          <w:wAfter w:w="235" w:type="dxa"/>
          <w:jc w:val="center"/>
        </w:trPr>
        <w:tc>
          <w:tcPr>
            <w:tcW w:w="1670" w:type="dxa"/>
            <w:shd w:val="clear" w:color="auto" w:fill="B8CCE4" w:themeFill="accent1" w:themeFillTint="66"/>
          </w:tcPr>
          <w:p w:rsidR="000645BF" w:rsidRPr="004161A1" w:rsidRDefault="000645BF" w:rsidP="004E444C">
            <w:pPr>
              <w:jc w:val="both"/>
              <w:rPr>
                <w:rFonts w:ascii="Arial" w:hAnsi="Arial" w:cs="Arial"/>
                <w:sz w:val="24"/>
                <w:szCs w:val="24"/>
              </w:rPr>
            </w:pPr>
            <w:r w:rsidRPr="004161A1">
              <w:rPr>
                <w:rFonts w:ascii="Arial" w:hAnsi="Arial" w:cs="Arial"/>
                <w:sz w:val="24"/>
                <w:szCs w:val="24"/>
              </w:rPr>
              <w:t>Macroregiuni, regiuni de dezvoltare si jude</w:t>
            </w:r>
            <w:r>
              <w:rPr>
                <w:rFonts w:ascii="Arial" w:hAnsi="Arial" w:cs="Arial"/>
                <w:sz w:val="24"/>
                <w:szCs w:val="24"/>
              </w:rPr>
              <w:t>ț</w:t>
            </w:r>
            <w:r w:rsidRPr="004161A1">
              <w:rPr>
                <w:rFonts w:ascii="Arial" w:hAnsi="Arial" w:cs="Arial"/>
                <w:sz w:val="24"/>
                <w:szCs w:val="24"/>
              </w:rPr>
              <w:t>e</w:t>
            </w:r>
          </w:p>
        </w:tc>
        <w:tc>
          <w:tcPr>
            <w:tcW w:w="6094" w:type="dxa"/>
            <w:gridSpan w:val="6"/>
            <w:shd w:val="clear" w:color="auto" w:fill="B8CCE4" w:themeFill="accent1" w:themeFillTint="66"/>
          </w:tcPr>
          <w:p w:rsidR="000645BF" w:rsidRPr="004161A1" w:rsidRDefault="000645BF" w:rsidP="004E444C">
            <w:pPr>
              <w:jc w:val="both"/>
              <w:rPr>
                <w:rFonts w:ascii="Arial" w:hAnsi="Arial" w:cs="Arial"/>
                <w:sz w:val="24"/>
                <w:szCs w:val="24"/>
              </w:rPr>
            </w:pPr>
            <w:r w:rsidRPr="004161A1">
              <w:rPr>
                <w:rFonts w:ascii="Arial" w:hAnsi="Arial" w:cs="Arial"/>
                <w:sz w:val="24"/>
                <w:szCs w:val="24"/>
              </w:rPr>
              <w:t>Popula</w:t>
            </w:r>
            <w:r>
              <w:rPr>
                <w:rFonts w:ascii="Arial" w:hAnsi="Arial" w:cs="Arial"/>
                <w:sz w:val="24"/>
                <w:szCs w:val="24"/>
              </w:rPr>
              <w:t>ț</w:t>
            </w:r>
            <w:r w:rsidRPr="004161A1">
              <w:rPr>
                <w:rFonts w:ascii="Arial" w:hAnsi="Arial" w:cs="Arial"/>
                <w:sz w:val="24"/>
                <w:szCs w:val="24"/>
              </w:rPr>
              <w:t>ia conectat</w:t>
            </w:r>
            <w:r>
              <w:rPr>
                <w:rFonts w:ascii="Arial" w:hAnsi="Arial" w:cs="Arial"/>
                <w:sz w:val="24"/>
                <w:szCs w:val="24"/>
              </w:rPr>
              <w:t>ă</w:t>
            </w:r>
            <w:r w:rsidRPr="004161A1">
              <w:rPr>
                <w:rFonts w:ascii="Arial" w:hAnsi="Arial" w:cs="Arial"/>
                <w:sz w:val="24"/>
                <w:szCs w:val="24"/>
              </w:rPr>
              <w:t xml:space="preserve"> la sta</w:t>
            </w:r>
            <w:r>
              <w:rPr>
                <w:rFonts w:ascii="Arial" w:hAnsi="Arial" w:cs="Arial"/>
                <w:sz w:val="24"/>
                <w:szCs w:val="24"/>
              </w:rPr>
              <w:t>ț</w:t>
            </w:r>
            <w:r w:rsidRPr="004161A1">
              <w:rPr>
                <w:rFonts w:ascii="Arial" w:hAnsi="Arial" w:cs="Arial"/>
                <w:sz w:val="24"/>
                <w:szCs w:val="24"/>
              </w:rPr>
              <w:t>iile de epurare a apelor uzate</w:t>
            </w:r>
          </w:p>
          <w:p w:rsidR="000645BF" w:rsidRPr="004161A1" w:rsidRDefault="000645BF" w:rsidP="004E444C">
            <w:pPr>
              <w:jc w:val="both"/>
              <w:rPr>
                <w:rFonts w:ascii="Arial" w:hAnsi="Arial" w:cs="Arial"/>
                <w:sz w:val="24"/>
                <w:szCs w:val="24"/>
              </w:rPr>
            </w:pPr>
          </w:p>
          <w:p w:rsidR="000645BF" w:rsidRPr="004161A1" w:rsidRDefault="000645BF" w:rsidP="004E444C">
            <w:pPr>
              <w:jc w:val="both"/>
              <w:rPr>
                <w:rFonts w:ascii="Arial" w:hAnsi="Arial" w:cs="Arial"/>
                <w:sz w:val="24"/>
                <w:szCs w:val="24"/>
              </w:rPr>
            </w:pPr>
            <w:r>
              <w:rPr>
                <w:rFonts w:ascii="Arial" w:hAnsi="Arial" w:cs="Arial"/>
                <w:sz w:val="24"/>
                <w:szCs w:val="24"/>
              </w:rPr>
              <w:t xml:space="preserve">                       (</w:t>
            </w:r>
            <w:r w:rsidRPr="004161A1">
              <w:rPr>
                <w:rFonts w:ascii="Arial" w:hAnsi="Arial" w:cs="Arial"/>
                <w:sz w:val="24"/>
                <w:szCs w:val="24"/>
              </w:rPr>
              <w:t>Num</w:t>
            </w:r>
            <w:r>
              <w:rPr>
                <w:rFonts w:ascii="Arial" w:hAnsi="Arial" w:cs="Arial"/>
                <w:sz w:val="24"/>
                <w:szCs w:val="24"/>
              </w:rPr>
              <w:t>ă</w:t>
            </w:r>
            <w:r w:rsidRPr="004161A1">
              <w:rPr>
                <w:rFonts w:ascii="Arial" w:hAnsi="Arial" w:cs="Arial"/>
                <w:sz w:val="24"/>
                <w:szCs w:val="24"/>
              </w:rPr>
              <w:t>r persoane</w:t>
            </w:r>
            <w:r>
              <w:rPr>
                <w:rFonts w:ascii="Arial" w:hAnsi="Arial" w:cs="Arial"/>
                <w:sz w:val="24"/>
                <w:szCs w:val="24"/>
              </w:rPr>
              <w:t>)</w:t>
            </w:r>
          </w:p>
        </w:tc>
      </w:tr>
      <w:tr w:rsidR="000645BF" w:rsidRPr="004161A1" w:rsidTr="004E444C">
        <w:trPr>
          <w:jc w:val="center"/>
        </w:trPr>
        <w:tc>
          <w:tcPr>
            <w:tcW w:w="1670" w:type="dxa"/>
            <w:shd w:val="clear" w:color="auto" w:fill="EAF1DD" w:themeFill="accent3" w:themeFillTint="33"/>
          </w:tcPr>
          <w:p w:rsidR="000645BF" w:rsidRPr="004161A1" w:rsidRDefault="000645BF" w:rsidP="004E444C">
            <w:pPr>
              <w:jc w:val="both"/>
              <w:rPr>
                <w:rFonts w:ascii="Arial" w:hAnsi="Arial" w:cs="Arial"/>
                <w:sz w:val="24"/>
                <w:szCs w:val="24"/>
              </w:rPr>
            </w:pPr>
          </w:p>
        </w:tc>
        <w:tc>
          <w:tcPr>
            <w:tcW w:w="965" w:type="dxa"/>
            <w:shd w:val="clear" w:color="auto" w:fill="EAF1DD" w:themeFill="accent3" w:themeFillTint="33"/>
          </w:tcPr>
          <w:p w:rsidR="000645BF" w:rsidRPr="005C1C76" w:rsidRDefault="000645BF" w:rsidP="004E444C">
            <w:pPr>
              <w:jc w:val="both"/>
              <w:rPr>
                <w:rFonts w:ascii="Arial" w:hAnsi="Arial" w:cs="Arial"/>
                <w:b/>
                <w:sz w:val="24"/>
                <w:szCs w:val="24"/>
              </w:rPr>
            </w:pPr>
            <w:r w:rsidRPr="005C1C76">
              <w:rPr>
                <w:rFonts w:ascii="Arial" w:hAnsi="Arial" w:cs="Arial"/>
                <w:b/>
                <w:sz w:val="24"/>
                <w:szCs w:val="24"/>
              </w:rPr>
              <w:t>2012</w:t>
            </w:r>
          </w:p>
        </w:tc>
        <w:tc>
          <w:tcPr>
            <w:tcW w:w="1072" w:type="dxa"/>
            <w:shd w:val="clear" w:color="auto" w:fill="EAF1DD" w:themeFill="accent3" w:themeFillTint="33"/>
          </w:tcPr>
          <w:p w:rsidR="000645BF" w:rsidRPr="005C1C76" w:rsidRDefault="000645BF" w:rsidP="004E444C">
            <w:pPr>
              <w:jc w:val="both"/>
              <w:rPr>
                <w:rFonts w:ascii="Arial" w:hAnsi="Arial" w:cs="Arial"/>
                <w:b/>
                <w:sz w:val="24"/>
                <w:szCs w:val="24"/>
              </w:rPr>
            </w:pPr>
            <w:r w:rsidRPr="005C1C76">
              <w:rPr>
                <w:rFonts w:ascii="Arial" w:hAnsi="Arial" w:cs="Arial"/>
                <w:b/>
                <w:sz w:val="24"/>
                <w:szCs w:val="24"/>
              </w:rPr>
              <w:t>2013</w:t>
            </w:r>
          </w:p>
        </w:tc>
        <w:tc>
          <w:tcPr>
            <w:tcW w:w="1072" w:type="dxa"/>
            <w:shd w:val="clear" w:color="auto" w:fill="EAF1DD" w:themeFill="accent3" w:themeFillTint="33"/>
          </w:tcPr>
          <w:p w:rsidR="000645BF" w:rsidRPr="005C1C76" w:rsidRDefault="000645BF" w:rsidP="004E444C">
            <w:pPr>
              <w:jc w:val="both"/>
              <w:rPr>
                <w:rFonts w:ascii="Arial" w:hAnsi="Arial" w:cs="Arial"/>
                <w:b/>
                <w:sz w:val="24"/>
                <w:szCs w:val="24"/>
              </w:rPr>
            </w:pPr>
            <w:r w:rsidRPr="005C1C76">
              <w:rPr>
                <w:rFonts w:ascii="Arial" w:hAnsi="Arial" w:cs="Arial"/>
                <w:b/>
                <w:sz w:val="24"/>
                <w:szCs w:val="24"/>
              </w:rPr>
              <w:t>2014</w:t>
            </w:r>
          </w:p>
        </w:tc>
        <w:tc>
          <w:tcPr>
            <w:tcW w:w="1072" w:type="dxa"/>
            <w:shd w:val="clear" w:color="auto" w:fill="EAF1DD" w:themeFill="accent3" w:themeFillTint="33"/>
          </w:tcPr>
          <w:p w:rsidR="000645BF" w:rsidRPr="005C1C76" w:rsidRDefault="000645BF" w:rsidP="004E444C">
            <w:pPr>
              <w:jc w:val="both"/>
              <w:rPr>
                <w:rFonts w:ascii="Arial" w:hAnsi="Arial" w:cs="Arial"/>
                <w:b/>
                <w:sz w:val="24"/>
                <w:szCs w:val="24"/>
              </w:rPr>
            </w:pPr>
            <w:r w:rsidRPr="005C1C76">
              <w:rPr>
                <w:rFonts w:ascii="Arial" w:hAnsi="Arial" w:cs="Arial"/>
                <w:b/>
                <w:sz w:val="24"/>
                <w:szCs w:val="24"/>
              </w:rPr>
              <w:t>2015</w:t>
            </w:r>
          </w:p>
        </w:tc>
        <w:tc>
          <w:tcPr>
            <w:tcW w:w="952" w:type="dxa"/>
            <w:shd w:val="clear" w:color="auto" w:fill="EAF1DD" w:themeFill="accent3" w:themeFillTint="33"/>
          </w:tcPr>
          <w:p w:rsidR="000645BF" w:rsidRPr="005C1C76" w:rsidRDefault="000645BF" w:rsidP="004E444C">
            <w:pPr>
              <w:jc w:val="both"/>
              <w:rPr>
                <w:rFonts w:ascii="Arial" w:hAnsi="Arial" w:cs="Arial"/>
                <w:b/>
                <w:sz w:val="24"/>
                <w:szCs w:val="24"/>
              </w:rPr>
            </w:pPr>
            <w:r w:rsidRPr="005C1C76">
              <w:rPr>
                <w:rFonts w:ascii="Arial" w:hAnsi="Arial" w:cs="Arial"/>
                <w:b/>
                <w:sz w:val="24"/>
                <w:szCs w:val="24"/>
              </w:rPr>
              <w:t>2016</w:t>
            </w:r>
          </w:p>
        </w:tc>
        <w:tc>
          <w:tcPr>
            <w:tcW w:w="961" w:type="dxa"/>
            <w:tcBorders>
              <w:right w:val="single" w:sz="4" w:space="0" w:color="auto"/>
            </w:tcBorders>
            <w:shd w:val="clear" w:color="auto" w:fill="EAF1DD" w:themeFill="accent3" w:themeFillTint="33"/>
          </w:tcPr>
          <w:p w:rsidR="000645BF" w:rsidRPr="005C1C76" w:rsidRDefault="000645BF" w:rsidP="004E444C">
            <w:pPr>
              <w:jc w:val="both"/>
              <w:rPr>
                <w:rFonts w:ascii="Arial" w:hAnsi="Arial" w:cs="Arial"/>
                <w:b/>
                <w:sz w:val="24"/>
                <w:szCs w:val="24"/>
              </w:rPr>
            </w:pPr>
            <w:r>
              <w:rPr>
                <w:rFonts w:ascii="Arial" w:hAnsi="Arial" w:cs="Arial"/>
                <w:b/>
                <w:sz w:val="24"/>
                <w:szCs w:val="24"/>
              </w:rPr>
              <w:t>2017*</w:t>
            </w:r>
          </w:p>
        </w:tc>
        <w:tc>
          <w:tcPr>
            <w:tcW w:w="235" w:type="dxa"/>
            <w:vMerge w:val="restart"/>
            <w:tcBorders>
              <w:top w:val="nil"/>
              <w:left w:val="single" w:sz="4" w:space="0" w:color="auto"/>
              <w:bottom w:val="nil"/>
              <w:right w:val="nil"/>
            </w:tcBorders>
          </w:tcPr>
          <w:p w:rsidR="000645BF" w:rsidRPr="004161A1" w:rsidRDefault="000645BF" w:rsidP="004E444C">
            <w:pPr>
              <w:jc w:val="both"/>
              <w:rPr>
                <w:rFonts w:ascii="Arial" w:hAnsi="Arial" w:cs="Arial"/>
                <w:sz w:val="24"/>
                <w:szCs w:val="24"/>
              </w:rPr>
            </w:pPr>
          </w:p>
        </w:tc>
      </w:tr>
      <w:tr w:rsidR="000645BF" w:rsidRPr="004161A1" w:rsidTr="004E444C">
        <w:trPr>
          <w:trHeight w:val="756"/>
          <w:jc w:val="center"/>
        </w:trPr>
        <w:tc>
          <w:tcPr>
            <w:tcW w:w="1670" w:type="dxa"/>
            <w:shd w:val="clear" w:color="auto" w:fill="EAF1DD" w:themeFill="accent3" w:themeFillTint="33"/>
          </w:tcPr>
          <w:p w:rsidR="000645BF" w:rsidRPr="004161A1" w:rsidRDefault="000645BF" w:rsidP="004E444C">
            <w:pPr>
              <w:jc w:val="both"/>
              <w:rPr>
                <w:rFonts w:ascii="Arial" w:hAnsi="Arial" w:cs="Arial"/>
                <w:sz w:val="24"/>
                <w:szCs w:val="24"/>
              </w:rPr>
            </w:pPr>
            <w:r>
              <w:rPr>
                <w:rFonts w:ascii="Arial" w:hAnsi="Arial" w:cs="Arial"/>
                <w:sz w:val="24"/>
                <w:szCs w:val="24"/>
              </w:rPr>
              <w:t>Brăila</w:t>
            </w:r>
          </w:p>
        </w:tc>
        <w:tc>
          <w:tcPr>
            <w:tcW w:w="965" w:type="dxa"/>
            <w:shd w:val="clear" w:color="auto" w:fill="EAF1DD" w:themeFill="accent3" w:themeFillTint="33"/>
            <w:vAlign w:val="center"/>
          </w:tcPr>
          <w:p w:rsidR="000645BF" w:rsidRPr="004161A1" w:rsidRDefault="000645BF" w:rsidP="004E444C">
            <w:pPr>
              <w:jc w:val="both"/>
              <w:rPr>
                <w:rFonts w:ascii="Arial" w:hAnsi="Arial" w:cs="Arial"/>
                <w:sz w:val="24"/>
                <w:szCs w:val="24"/>
              </w:rPr>
            </w:pPr>
            <w:r w:rsidRPr="004161A1">
              <w:rPr>
                <w:rFonts w:ascii="Arial" w:hAnsi="Arial" w:cs="Arial"/>
                <w:sz w:val="24"/>
                <w:szCs w:val="24"/>
              </w:rPr>
              <w:t>148747</w:t>
            </w:r>
          </w:p>
        </w:tc>
        <w:tc>
          <w:tcPr>
            <w:tcW w:w="1072" w:type="dxa"/>
            <w:shd w:val="clear" w:color="auto" w:fill="EAF1DD" w:themeFill="accent3" w:themeFillTint="33"/>
            <w:vAlign w:val="center"/>
          </w:tcPr>
          <w:p w:rsidR="000645BF" w:rsidRPr="004161A1" w:rsidRDefault="000645BF" w:rsidP="004E444C">
            <w:pPr>
              <w:jc w:val="both"/>
              <w:rPr>
                <w:rFonts w:ascii="Arial" w:hAnsi="Arial" w:cs="Arial"/>
                <w:sz w:val="24"/>
                <w:szCs w:val="24"/>
              </w:rPr>
            </w:pPr>
            <w:r w:rsidRPr="004161A1">
              <w:rPr>
                <w:rFonts w:ascii="Arial" w:hAnsi="Arial" w:cs="Arial"/>
                <w:sz w:val="24"/>
                <w:szCs w:val="24"/>
              </w:rPr>
              <w:t>154610</w:t>
            </w:r>
          </w:p>
        </w:tc>
        <w:tc>
          <w:tcPr>
            <w:tcW w:w="1072" w:type="dxa"/>
            <w:shd w:val="clear" w:color="auto" w:fill="EAF1DD" w:themeFill="accent3" w:themeFillTint="33"/>
            <w:vAlign w:val="center"/>
          </w:tcPr>
          <w:p w:rsidR="000645BF" w:rsidRPr="004161A1" w:rsidRDefault="000645BF" w:rsidP="004E444C">
            <w:pPr>
              <w:jc w:val="both"/>
              <w:rPr>
                <w:rFonts w:ascii="Arial" w:hAnsi="Arial" w:cs="Arial"/>
                <w:sz w:val="24"/>
                <w:szCs w:val="24"/>
              </w:rPr>
            </w:pPr>
            <w:r w:rsidRPr="004161A1">
              <w:rPr>
                <w:rFonts w:ascii="Arial" w:hAnsi="Arial" w:cs="Arial"/>
                <w:sz w:val="24"/>
                <w:szCs w:val="24"/>
              </w:rPr>
              <w:t>157770</w:t>
            </w:r>
          </w:p>
        </w:tc>
        <w:tc>
          <w:tcPr>
            <w:tcW w:w="1072" w:type="dxa"/>
            <w:shd w:val="clear" w:color="auto" w:fill="EAF1DD" w:themeFill="accent3" w:themeFillTint="33"/>
            <w:vAlign w:val="center"/>
          </w:tcPr>
          <w:p w:rsidR="000645BF" w:rsidRPr="004161A1" w:rsidRDefault="000645BF" w:rsidP="004E444C">
            <w:pPr>
              <w:jc w:val="both"/>
              <w:rPr>
                <w:rFonts w:ascii="Arial" w:hAnsi="Arial" w:cs="Arial"/>
                <w:sz w:val="24"/>
                <w:szCs w:val="24"/>
              </w:rPr>
            </w:pPr>
            <w:r w:rsidRPr="004161A1">
              <w:rPr>
                <w:rFonts w:ascii="Arial" w:hAnsi="Arial" w:cs="Arial"/>
                <w:sz w:val="24"/>
                <w:szCs w:val="24"/>
              </w:rPr>
              <w:t>160634</w:t>
            </w:r>
          </w:p>
        </w:tc>
        <w:tc>
          <w:tcPr>
            <w:tcW w:w="952" w:type="dxa"/>
            <w:shd w:val="clear" w:color="auto" w:fill="EAF1DD" w:themeFill="accent3" w:themeFillTint="33"/>
            <w:vAlign w:val="center"/>
          </w:tcPr>
          <w:p w:rsidR="000645BF" w:rsidRPr="004161A1" w:rsidRDefault="000645BF" w:rsidP="004E444C">
            <w:pPr>
              <w:jc w:val="both"/>
              <w:rPr>
                <w:rFonts w:ascii="Arial" w:hAnsi="Arial" w:cs="Arial"/>
                <w:sz w:val="24"/>
                <w:szCs w:val="24"/>
              </w:rPr>
            </w:pPr>
            <w:r w:rsidRPr="004161A1">
              <w:rPr>
                <w:rFonts w:ascii="Arial" w:hAnsi="Arial" w:cs="Arial"/>
                <w:sz w:val="24"/>
                <w:szCs w:val="24"/>
              </w:rPr>
              <w:t>167805</w:t>
            </w:r>
          </w:p>
        </w:tc>
        <w:tc>
          <w:tcPr>
            <w:tcW w:w="961" w:type="dxa"/>
            <w:tcBorders>
              <w:right w:val="single" w:sz="4" w:space="0" w:color="auto"/>
            </w:tcBorders>
            <w:shd w:val="clear" w:color="auto" w:fill="EAF1DD" w:themeFill="accent3" w:themeFillTint="33"/>
            <w:vAlign w:val="center"/>
          </w:tcPr>
          <w:p w:rsidR="000645BF" w:rsidRPr="00F509DB" w:rsidRDefault="000645BF" w:rsidP="004E444C">
            <w:pPr>
              <w:jc w:val="both"/>
              <w:rPr>
                <w:rFonts w:ascii="Arial" w:hAnsi="Arial" w:cs="Arial"/>
                <w:sz w:val="24"/>
                <w:szCs w:val="24"/>
              </w:rPr>
            </w:pPr>
            <w:r w:rsidRPr="00F509DB">
              <w:rPr>
                <w:sz w:val="24"/>
                <w:szCs w:val="24"/>
              </w:rPr>
              <w:t>201629*</w:t>
            </w:r>
          </w:p>
        </w:tc>
        <w:tc>
          <w:tcPr>
            <w:tcW w:w="235" w:type="dxa"/>
            <w:vMerge/>
            <w:tcBorders>
              <w:top w:val="nil"/>
              <w:left w:val="single" w:sz="4" w:space="0" w:color="auto"/>
              <w:bottom w:val="nil"/>
              <w:right w:val="nil"/>
            </w:tcBorders>
            <w:vAlign w:val="center"/>
          </w:tcPr>
          <w:p w:rsidR="000645BF" w:rsidRPr="004161A1" w:rsidRDefault="000645BF" w:rsidP="004E444C">
            <w:pPr>
              <w:jc w:val="both"/>
              <w:rPr>
                <w:rFonts w:ascii="Arial" w:hAnsi="Arial" w:cs="Arial"/>
                <w:sz w:val="24"/>
                <w:szCs w:val="24"/>
              </w:rPr>
            </w:pPr>
          </w:p>
        </w:tc>
      </w:tr>
    </w:tbl>
    <w:p w:rsidR="000645BF" w:rsidRPr="009209C1" w:rsidRDefault="000645BF" w:rsidP="000645BF">
      <w:pPr>
        <w:spacing w:after="0" w:line="240" w:lineRule="auto"/>
        <w:jc w:val="both"/>
        <w:rPr>
          <w:rFonts w:ascii="Arial" w:hAnsi="Arial" w:cs="Arial"/>
          <w:b/>
        </w:rPr>
      </w:pPr>
      <w:r w:rsidRPr="009209C1">
        <w:rPr>
          <w:rFonts w:ascii="Arial" w:hAnsi="Arial" w:cs="Arial"/>
          <w:b/>
        </w:rPr>
        <w:t xml:space="preserve">                    Sursa : </w:t>
      </w:r>
      <w:r w:rsidRPr="004B2D7D">
        <w:rPr>
          <w:rFonts w:ascii="Arial" w:hAnsi="Arial" w:cs="Arial"/>
          <w:b/>
          <w:i/>
        </w:rPr>
        <w:t>INSSE – indicatori dezvoltare durabi</w:t>
      </w:r>
      <w:r>
        <w:rPr>
          <w:rFonts w:ascii="Arial" w:hAnsi="Arial" w:cs="Arial"/>
          <w:b/>
          <w:i/>
        </w:rPr>
        <w:t>l</w:t>
      </w:r>
      <w:r w:rsidRPr="004B2D7D">
        <w:rPr>
          <w:rFonts w:ascii="Arial" w:hAnsi="Arial" w:cs="Arial"/>
          <w:b/>
          <w:i/>
        </w:rPr>
        <w:t xml:space="preserve">ă; * date CUP </w:t>
      </w:r>
      <w:r w:rsidRPr="004B2D7D">
        <w:rPr>
          <w:rFonts w:ascii="Arial" w:hAnsi="Arial" w:cs="Arial"/>
          <w:b/>
          <w:i/>
          <w:sz w:val="20"/>
          <w:szCs w:val="20"/>
        </w:rPr>
        <w:t>Dunărea</w:t>
      </w:r>
      <w:r w:rsidRPr="004B2D7D">
        <w:rPr>
          <w:rFonts w:ascii="Arial" w:hAnsi="Arial" w:cs="Arial"/>
          <w:b/>
          <w:i/>
        </w:rPr>
        <w:t xml:space="preserve"> Brăila</w:t>
      </w:r>
    </w:p>
    <w:p w:rsidR="000645BF" w:rsidRDefault="000645BF" w:rsidP="000645BF">
      <w:pPr>
        <w:spacing w:after="0" w:line="240" w:lineRule="auto"/>
        <w:jc w:val="both"/>
      </w:pPr>
    </w:p>
    <w:p w:rsidR="000645BF" w:rsidRDefault="000645BF" w:rsidP="000645BF">
      <w:pPr>
        <w:spacing w:after="0" w:line="240" w:lineRule="auto"/>
        <w:jc w:val="both"/>
      </w:pPr>
    </w:p>
    <w:p w:rsidR="000645BF" w:rsidRDefault="000645BF" w:rsidP="000645BF">
      <w:pPr>
        <w:spacing w:after="0" w:line="240" w:lineRule="auto"/>
        <w:jc w:val="center"/>
        <w:rPr>
          <w:rFonts w:ascii="Arial" w:hAnsi="Arial" w:cs="Arial"/>
          <w:b/>
          <w:sz w:val="24"/>
          <w:szCs w:val="24"/>
        </w:rPr>
      </w:pPr>
      <w:r w:rsidRPr="00AE3633">
        <w:rPr>
          <w:rFonts w:ascii="Arial" w:hAnsi="Arial" w:cs="Arial"/>
          <w:b/>
          <w:noProof/>
          <w:sz w:val="24"/>
          <w:szCs w:val="24"/>
        </w:rPr>
        <w:lastRenderedPageBreak/>
        <w:drawing>
          <wp:inline distT="0" distB="0" distL="0" distR="0">
            <wp:extent cx="4210050" cy="2371725"/>
            <wp:effectExtent l="19050" t="0" r="19050" b="0"/>
            <wp:docPr id="20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45BF" w:rsidRDefault="000645BF" w:rsidP="000645BF">
      <w:pPr>
        <w:spacing w:after="0" w:line="240" w:lineRule="auto"/>
        <w:jc w:val="center"/>
        <w:rPr>
          <w:rFonts w:ascii="Arial" w:hAnsi="Arial" w:cs="Arial"/>
          <w:b/>
          <w:sz w:val="24"/>
          <w:szCs w:val="24"/>
        </w:rPr>
      </w:pPr>
    </w:p>
    <w:p w:rsidR="000645BF" w:rsidRPr="00DB5A63" w:rsidRDefault="000645BF" w:rsidP="000645BF">
      <w:pPr>
        <w:spacing w:after="0" w:line="240" w:lineRule="auto"/>
        <w:jc w:val="both"/>
        <w:rPr>
          <w:rFonts w:ascii="Arial" w:hAnsi="Arial" w:cs="Arial"/>
          <w:b/>
          <w:sz w:val="24"/>
          <w:szCs w:val="24"/>
        </w:rPr>
      </w:pPr>
      <w:r w:rsidRPr="00DB5A63">
        <w:rPr>
          <w:rFonts w:ascii="Arial" w:hAnsi="Arial" w:cs="Arial"/>
          <w:b/>
          <w:sz w:val="24"/>
          <w:szCs w:val="24"/>
        </w:rPr>
        <w:t>Fig 2.2.2 - 1 Evoluția conectării populației</w:t>
      </w:r>
      <w:r>
        <w:rPr>
          <w:rFonts w:ascii="Arial" w:hAnsi="Arial" w:cs="Arial"/>
          <w:b/>
          <w:sz w:val="24"/>
          <w:szCs w:val="24"/>
        </w:rPr>
        <w:t xml:space="preserve"> </w:t>
      </w:r>
      <w:r w:rsidRPr="004D39AD">
        <w:rPr>
          <w:rFonts w:ascii="Arial" w:eastAsia="Calibri" w:hAnsi="Arial" w:cs="Arial"/>
          <w:b/>
          <w:sz w:val="24"/>
          <w:szCs w:val="24"/>
          <w:lang w:eastAsia="ar-SA"/>
        </w:rPr>
        <w:t>jud. Brăila</w:t>
      </w:r>
      <w:r w:rsidRPr="00DB5A63">
        <w:rPr>
          <w:rFonts w:ascii="Arial" w:hAnsi="Arial" w:cs="Arial"/>
          <w:b/>
          <w:sz w:val="24"/>
          <w:szCs w:val="24"/>
        </w:rPr>
        <w:t xml:space="preserve"> la stațiile de epurare a apelor uzate în perioada 2012 – 2017</w:t>
      </w:r>
    </w:p>
    <w:p w:rsidR="000645BF" w:rsidRDefault="000645BF" w:rsidP="000645BF">
      <w:pPr>
        <w:pStyle w:val="Default"/>
        <w:jc w:val="both"/>
        <w:rPr>
          <w:rFonts w:ascii="Arial" w:hAnsi="Arial" w:cs="Arial"/>
          <w:b/>
          <w:bCs/>
          <w:iCs/>
          <w:color w:val="auto"/>
        </w:rPr>
      </w:pPr>
    </w:p>
    <w:p w:rsidR="000645BF" w:rsidRPr="006525E5" w:rsidRDefault="000645BF" w:rsidP="000645BF">
      <w:pPr>
        <w:pStyle w:val="Default"/>
        <w:jc w:val="both"/>
        <w:rPr>
          <w:rFonts w:ascii="Arial" w:hAnsi="Arial" w:cs="Arial"/>
          <w:color w:val="FF0000"/>
        </w:rPr>
      </w:pPr>
      <w:r w:rsidRPr="00E92120">
        <w:rPr>
          <w:rFonts w:ascii="Arial" w:hAnsi="Arial" w:cs="Arial"/>
          <w:b/>
          <w:bCs/>
          <w:iCs/>
          <w:color w:val="auto"/>
        </w:rPr>
        <w:t xml:space="preserve">II. 2.3. Tendinţe şi prognoze privind calitatea apei  </w:t>
      </w:r>
    </w:p>
    <w:p w:rsidR="000645BF" w:rsidRDefault="000645BF" w:rsidP="000645BF">
      <w:pPr>
        <w:spacing w:after="0" w:line="240" w:lineRule="auto"/>
        <w:ind w:firstLine="708"/>
        <w:jc w:val="both"/>
        <w:rPr>
          <w:rFonts w:ascii="Arial" w:hAnsi="Arial" w:cs="Arial"/>
          <w:sz w:val="24"/>
          <w:szCs w:val="24"/>
          <w:lang w:val="it-IT"/>
        </w:rPr>
      </w:pPr>
      <w:r w:rsidRPr="00AC6AAC">
        <w:rPr>
          <w:rFonts w:ascii="Arial" w:hAnsi="Arial" w:cs="Arial"/>
          <w:sz w:val="24"/>
          <w:szCs w:val="24"/>
          <w:lang w:val="it-IT"/>
        </w:rPr>
        <w:t xml:space="preserve">Având în vedere natura substanţelor poluante din apele uzate, cât şi sursele de poluare aferente,gospodărirea apelor uzate se realizează în acord cu prevederile europene în domeniul apelor, în special cu celeale Directivei Cadru a Apei (Directiva 2000/60/CE), care stabileşte cadrul politic de gestionare a apelor înUniunea Europeană, bazat pe principiile dezvoltării durabile şi care integrează toate problemele apei. </w:t>
      </w:r>
    </w:p>
    <w:p w:rsidR="000645BF" w:rsidRDefault="000645BF" w:rsidP="000645BF">
      <w:pPr>
        <w:spacing w:after="0" w:line="240" w:lineRule="auto"/>
        <w:ind w:firstLine="708"/>
        <w:jc w:val="both"/>
        <w:rPr>
          <w:rFonts w:ascii="Arial" w:hAnsi="Arial" w:cs="Arial"/>
          <w:sz w:val="24"/>
          <w:szCs w:val="24"/>
          <w:lang w:val="it-IT"/>
        </w:rPr>
      </w:pPr>
      <w:r>
        <w:rPr>
          <w:rFonts w:ascii="Arial" w:hAnsi="Arial" w:cs="Arial"/>
          <w:sz w:val="24"/>
          <w:szCs w:val="24"/>
          <w:lang w:val="it-IT"/>
        </w:rPr>
        <w:t>U</w:t>
      </w:r>
      <w:r w:rsidRPr="00464DEA">
        <w:rPr>
          <w:rFonts w:ascii="Arial" w:hAnsi="Arial" w:cs="Arial"/>
          <w:sz w:val="24"/>
          <w:szCs w:val="24"/>
          <w:lang w:val="it-IT"/>
        </w:rPr>
        <w:t>rmătoarele problematici importante privind gospodărirea apelor care afectează în mod direct sau indirect starea apelor de suprafaţă şi apelor subterane, cu impact major în gestiunea resurselor de apă</w:t>
      </w:r>
      <w:r>
        <w:rPr>
          <w:rFonts w:ascii="Arial" w:hAnsi="Arial" w:cs="Arial"/>
          <w:sz w:val="24"/>
          <w:szCs w:val="24"/>
          <w:lang w:val="it-IT"/>
        </w:rPr>
        <w:t xml:space="preserve"> au fost identificate</w:t>
      </w:r>
      <w:r w:rsidRPr="00464DEA">
        <w:rPr>
          <w:rFonts w:ascii="Arial" w:hAnsi="Arial" w:cs="Arial"/>
          <w:sz w:val="24"/>
          <w:szCs w:val="24"/>
          <w:lang w:val="it-IT"/>
        </w:rPr>
        <w:t>:</w:t>
      </w:r>
      <w:r>
        <w:rPr>
          <w:rFonts w:ascii="Arial" w:hAnsi="Arial" w:cs="Arial"/>
          <w:sz w:val="24"/>
          <w:szCs w:val="24"/>
          <w:lang w:val="it-IT"/>
        </w:rPr>
        <w:t xml:space="preserve"> poluarea cu substanţe organice, poluarea cu nutrienţi, p</w:t>
      </w:r>
      <w:r w:rsidRPr="00464DEA">
        <w:rPr>
          <w:rFonts w:ascii="Arial" w:hAnsi="Arial" w:cs="Arial"/>
          <w:sz w:val="24"/>
          <w:szCs w:val="24"/>
          <w:lang w:val="it-IT"/>
        </w:rPr>
        <w:t>oluarea cu substanţe periculoase</w:t>
      </w:r>
      <w:r>
        <w:rPr>
          <w:rFonts w:ascii="Arial" w:hAnsi="Arial" w:cs="Arial"/>
          <w:sz w:val="24"/>
          <w:szCs w:val="24"/>
          <w:lang w:val="it-IT"/>
        </w:rPr>
        <w:t xml:space="preserve"> și a</w:t>
      </w:r>
      <w:r w:rsidRPr="00464DEA">
        <w:rPr>
          <w:rFonts w:ascii="Arial" w:hAnsi="Arial" w:cs="Arial"/>
          <w:sz w:val="24"/>
          <w:szCs w:val="24"/>
          <w:lang w:val="it-IT"/>
        </w:rPr>
        <w:t>lterări</w:t>
      </w:r>
      <w:r>
        <w:rPr>
          <w:rFonts w:ascii="Arial" w:hAnsi="Arial" w:cs="Arial"/>
          <w:sz w:val="24"/>
          <w:szCs w:val="24"/>
          <w:lang w:val="it-IT"/>
        </w:rPr>
        <w:t xml:space="preserve">le hidromorfologice. </w:t>
      </w:r>
    </w:p>
    <w:p w:rsidR="000645BF" w:rsidRDefault="000645BF" w:rsidP="000645BF">
      <w:pPr>
        <w:spacing w:after="0" w:line="240" w:lineRule="auto"/>
        <w:ind w:firstLine="708"/>
        <w:jc w:val="both"/>
        <w:rPr>
          <w:rFonts w:ascii="Arial" w:hAnsi="Arial" w:cs="Arial"/>
          <w:sz w:val="24"/>
          <w:szCs w:val="24"/>
          <w:lang w:val="it-IT"/>
        </w:rPr>
      </w:pPr>
      <w:r w:rsidRPr="00DB5A67">
        <w:rPr>
          <w:rFonts w:ascii="Arial" w:hAnsi="Arial" w:cs="Arial"/>
          <w:b/>
          <w:i/>
          <w:sz w:val="24"/>
          <w:szCs w:val="24"/>
          <w:lang w:val="it-IT"/>
        </w:rPr>
        <w:t>Poluarea cu substanţe organice</w:t>
      </w:r>
      <w:r w:rsidRPr="005841B6">
        <w:rPr>
          <w:rFonts w:ascii="Arial" w:hAnsi="Arial" w:cs="Arial"/>
          <w:sz w:val="24"/>
          <w:szCs w:val="24"/>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0645BF" w:rsidRDefault="000645BF" w:rsidP="000645BF">
      <w:pPr>
        <w:spacing w:after="0" w:line="240" w:lineRule="auto"/>
        <w:ind w:firstLine="708"/>
        <w:jc w:val="both"/>
        <w:rPr>
          <w:rFonts w:ascii="Arial" w:hAnsi="Arial" w:cs="Arial"/>
          <w:sz w:val="24"/>
          <w:szCs w:val="24"/>
          <w:lang w:val="it-IT"/>
        </w:rPr>
      </w:pPr>
      <w:r w:rsidRPr="005841B6">
        <w:rPr>
          <w:rFonts w:ascii="Arial" w:hAnsi="Arial" w:cs="Arial"/>
          <w:sz w:val="24"/>
          <w:szCs w:val="24"/>
          <w:lang w:val="it-IT"/>
        </w:rPr>
        <w:t xml:space="preserve">O problemă importantă de gospodărirea apelor este </w:t>
      </w:r>
      <w:r w:rsidRPr="00DB5A67">
        <w:rPr>
          <w:rFonts w:ascii="Arial" w:hAnsi="Arial" w:cs="Arial"/>
          <w:b/>
          <w:i/>
          <w:sz w:val="24"/>
          <w:szCs w:val="24"/>
          <w:lang w:val="it-IT"/>
        </w:rPr>
        <w:t>poluarea cu nutrienți</w:t>
      </w:r>
      <w:r w:rsidRPr="005841B6">
        <w:rPr>
          <w:rFonts w:ascii="Arial" w:hAnsi="Arial" w:cs="Arial"/>
          <w:sz w:val="24"/>
          <w:szCs w:val="24"/>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0645BF" w:rsidRDefault="000645BF" w:rsidP="000645BF">
      <w:pPr>
        <w:spacing w:after="0" w:line="240" w:lineRule="auto"/>
        <w:ind w:firstLine="708"/>
        <w:jc w:val="both"/>
        <w:rPr>
          <w:rFonts w:ascii="Arial" w:hAnsi="Arial" w:cs="Arial"/>
          <w:sz w:val="24"/>
          <w:szCs w:val="24"/>
          <w:lang w:val="it-IT"/>
        </w:rPr>
      </w:pPr>
      <w:r w:rsidRPr="00A2288C">
        <w:rPr>
          <w:rFonts w:ascii="Arial" w:hAnsi="Arial" w:cs="Arial"/>
          <w:sz w:val="24"/>
          <w:szCs w:val="24"/>
          <w:lang w:val="it-IT"/>
        </w:rPr>
        <w:t xml:space="preserve">Directiva </w:t>
      </w:r>
      <w:r w:rsidRPr="002E0F1D">
        <w:rPr>
          <w:rFonts w:ascii="Arial" w:hAnsi="Arial" w:cs="Arial"/>
          <w:i/>
          <w:sz w:val="24"/>
          <w:szCs w:val="24"/>
          <w:lang w:val="it-IT"/>
        </w:rPr>
        <w:t>Consiliului 91/676/EEC privind Protecţia apelor împotriva poluării cu nitraţi din surse agricole</w:t>
      </w:r>
      <w:r w:rsidRPr="00A2288C">
        <w:rPr>
          <w:rFonts w:ascii="Arial" w:hAnsi="Arial" w:cs="Arial"/>
          <w:sz w:val="24"/>
          <w:szCs w:val="24"/>
          <w:lang w:val="it-IT"/>
        </w:rPr>
        <w:t xml:space="preserve"> este principalul instrument comunitar care reglementează poluarea cu nitrați provenită din agricultură. 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w:t>
      </w:r>
      <w:r>
        <w:rPr>
          <w:rFonts w:ascii="Arial" w:hAnsi="Arial" w:cs="Arial"/>
          <w:sz w:val="24"/>
          <w:szCs w:val="24"/>
          <w:lang w:val="it-IT"/>
        </w:rPr>
        <w:t>.</w:t>
      </w:r>
    </w:p>
    <w:p w:rsidR="000645BF" w:rsidRPr="00CE5F1E" w:rsidRDefault="000645BF" w:rsidP="000645BF">
      <w:pPr>
        <w:pStyle w:val="Default"/>
        <w:ind w:firstLine="708"/>
        <w:jc w:val="both"/>
        <w:rPr>
          <w:rFonts w:ascii="Arial" w:hAnsi="Arial" w:cs="Arial"/>
        </w:rPr>
      </w:pPr>
      <w:r w:rsidRPr="00CE5F1E">
        <w:rPr>
          <w:rFonts w:ascii="Arial" w:hAnsi="Arial" w:cs="Arial"/>
          <w:bCs/>
        </w:rPr>
        <w:t>Obiectivul principal al Directivei Cadru 2000/60 a Uniunii Europene pentru apă îl reprezintă atingerea “stării bune” a apelor pentru Statele Mem</w:t>
      </w:r>
      <w:r>
        <w:rPr>
          <w:rFonts w:ascii="Arial" w:hAnsi="Arial" w:cs="Arial"/>
          <w:bCs/>
        </w:rPr>
        <w:t>br</w:t>
      </w:r>
      <w:r w:rsidRPr="00CE5F1E">
        <w:rPr>
          <w:rFonts w:ascii="Arial" w:hAnsi="Arial" w:cs="Arial"/>
          <w:bCs/>
        </w:rPr>
        <w:t xml:space="preserve">e până în anul 2015. În vederea atingerii “stării bune” a apelor se elaborează diferite </w:t>
      </w:r>
      <w:r w:rsidRPr="00CE5F1E">
        <w:rPr>
          <w:rFonts w:ascii="Arial" w:hAnsi="Arial" w:cs="Arial"/>
          <w:b/>
          <w:bCs/>
        </w:rPr>
        <w:t>scenarii de prognoză a calității apelor</w:t>
      </w:r>
      <w:r w:rsidRPr="00CE5F1E">
        <w:rPr>
          <w:rFonts w:ascii="Arial" w:hAnsi="Arial" w:cs="Arial"/>
          <w:bCs/>
        </w:rPr>
        <w:t xml:space="preserve"> pe ciclu de planificare (2015, 2021 și 2027) care prevăd o serie de măsuri pentru reducerea poluării. În vederea evaluării prognozei privind calitatea apei la nivel de bazin/spaţiu hidrografic,  se au în vedere </w:t>
      </w:r>
      <w:r w:rsidRPr="00CE5F1E">
        <w:rPr>
          <w:rFonts w:ascii="Arial" w:hAnsi="Arial" w:cs="Arial"/>
        </w:rPr>
        <w:t xml:space="preserve">două scenarii, şi anume: </w:t>
      </w:r>
    </w:p>
    <w:p w:rsidR="000645BF" w:rsidRPr="00CE5F1E" w:rsidRDefault="000645BF" w:rsidP="000645BF">
      <w:pPr>
        <w:pStyle w:val="Default"/>
        <w:ind w:left="708"/>
        <w:jc w:val="both"/>
        <w:rPr>
          <w:rFonts w:ascii="Arial" w:hAnsi="Arial" w:cs="Arial"/>
        </w:rPr>
      </w:pPr>
      <w:r w:rsidRPr="00CE5F1E">
        <w:rPr>
          <w:rFonts w:ascii="Arial" w:hAnsi="Arial" w:cs="Arial"/>
        </w:rPr>
        <w:t>–</w:t>
      </w:r>
      <w:r w:rsidRPr="00CE5F1E">
        <w:rPr>
          <w:rFonts w:ascii="Arial" w:hAnsi="Arial" w:cs="Arial"/>
          <w:b/>
          <w:bCs/>
          <w:i/>
          <w:iCs/>
        </w:rPr>
        <w:t xml:space="preserve">Scenariul de bază </w:t>
      </w:r>
      <w:r w:rsidRPr="00CE5F1E">
        <w:rPr>
          <w:rFonts w:ascii="Arial" w:hAnsi="Arial" w:cs="Arial"/>
          <w:i/>
          <w:iCs/>
        </w:rPr>
        <w:t xml:space="preserve">ce presupune luarea de măsuri pentru implementarea Directivelor europene din domeniul calităţii apei în conformitate cu prevederile a cel puțin fiecărei Directive menționate în Anexa VI A a DCA; </w:t>
      </w:r>
    </w:p>
    <w:p w:rsidR="000645BF" w:rsidRPr="00CE5F1E" w:rsidRDefault="000645BF" w:rsidP="000645BF">
      <w:pPr>
        <w:pStyle w:val="Default"/>
        <w:ind w:left="708"/>
        <w:jc w:val="both"/>
        <w:rPr>
          <w:rFonts w:ascii="Arial" w:hAnsi="Arial" w:cs="Arial"/>
          <w:i/>
          <w:iCs/>
        </w:rPr>
      </w:pPr>
      <w:r w:rsidRPr="00CE5F1E">
        <w:rPr>
          <w:rFonts w:ascii="Arial" w:hAnsi="Arial" w:cs="Arial"/>
        </w:rPr>
        <w:lastRenderedPageBreak/>
        <w:t xml:space="preserve">– </w:t>
      </w:r>
      <w:r w:rsidRPr="00CE5F1E">
        <w:rPr>
          <w:rFonts w:ascii="Arial" w:hAnsi="Arial" w:cs="Arial"/>
          <w:b/>
          <w:bCs/>
          <w:i/>
          <w:iCs/>
        </w:rPr>
        <w:t xml:space="preserve">Scenariul optim </w:t>
      </w:r>
      <w:r w:rsidRPr="00CE5F1E">
        <w:rPr>
          <w:rFonts w:ascii="Arial" w:hAnsi="Arial" w:cs="Arial"/>
          <w:i/>
          <w:iCs/>
        </w:rPr>
        <w:t xml:space="preserve">ce presupune măsuri suplimentare faţă de măsurile din scenariul de bază pentru atingerea în 2015 a stării bune sau a potenţialului ecologic bun al apelor în conformitate cu prevederile Directivei Cadru pentru Apă (Anexa VI B). </w:t>
      </w:r>
    </w:p>
    <w:p w:rsidR="000645BF" w:rsidRDefault="000645BF" w:rsidP="000645BF">
      <w:pPr>
        <w:spacing w:after="0" w:line="240" w:lineRule="auto"/>
        <w:jc w:val="both"/>
        <w:rPr>
          <w:rFonts w:ascii="Arial" w:hAnsi="Arial" w:cs="Arial"/>
          <w:iCs/>
          <w:sz w:val="24"/>
          <w:szCs w:val="24"/>
          <w:lang w:val="it-IT"/>
        </w:rPr>
      </w:pPr>
      <w:r w:rsidRPr="001A18CA">
        <w:rPr>
          <w:rFonts w:ascii="Arial" w:hAnsi="Arial" w:cs="Arial"/>
          <w:b/>
          <w:iCs/>
          <w:sz w:val="24"/>
          <w:szCs w:val="24"/>
          <w:lang w:val="it-IT"/>
        </w:rPr>
        <w:t>Modelul de prognoză a calității apelor WAQ în ceea ce privește nutrienții - azot total și fosfor total</w:t>
      </w:r>
      <w:r w:rsidRPr="001A18CA">
        <w:rPr>
          <w:rFonts w:ascii="Arial" w:hAnsi="Arial" w:cs="Arial"/>
          <w:iCs/>
          <w:sz w:val="24"/>
          <w:szCs w:val="24"/>
          <w:lang w:val="it-IT"/>
        </w:rPr>
        <w:t xml:space="preserve"> se utilizează pentru analiza caracterizării bazinelor hidrografice (presiuni semnificative, impact, riscși stabilirea măsurilor de bază (scenariu de bază) și suplimentare (scenariu optim) pentru atingerea obiectivelor de mediu ale corpurilor de apă.</w:t>
      </w:r>
    </w:p>
    <w:p w:rsidR="000645BF" w:rsidRDefault="000645BF" w:rsidP="000645BF">
      <w:pPr>
        <w:spacing w:after="0" w:line="240" w:lineRule="auto"/>
        <w:ind w:firstLine="708"/>
        <w:jc w:val="both"/>
        <w:rPr>
          <w:rFonts w:ascii="Arial" w:hAnsi="Arial" w:cs="Arial"/>
          <w:sz w:val="24"/>
          <w:szCs w:val="24"/>
          <w:lang w:val="it-IT"/>
        </w:rPr>
      </w:pPr>
      <w:r>
        <w:rPr>
          <w:rFonts w:ascii="Arial" w:hAnsi="Arial" w:cs="Arial"/>
          <w:sz w:val="24"/>
          <w:szCs w:val="24"/>
          <w:lang w:val="it-IT"/>
        </w:rPr>
        <w:t xml:space="preserve">Potrivit Planului Național de management actualizat aprobat prin HG nr. 859/2016 </w:t>
      </w:r>
      <w:r w:rsidRPr="00315527">
        <w:rPr>
          <w:rFonts w:ascii="Arial" w:hAnsi="Arial" w:cs="Arial"/>
          <w:sz w:val="24"/>
          <w:szCs w:val="24"/>
          <w:lang w:val="it-IT"/>
        </w:rPr>
        <w:t>pentru aprobarea Planului naţional de management actualizat aferent porţiunii din bazinul hidrografic internaţional al fluviului Dunărea care este cuprinsă în teritoriul României</w:t>
      </w:r>
      <w:r>
        <w:rPr>
          <w:rFonts w:ascii="Arial" w:hAnsi="Arial" w:cs="Arial"/>
          <w:sz w:val="24"/>
          <w:szCs w:val="24"/>
          <w:lang w:val="it-IT"/>
        </w:rPr>
        <w:t xml:space="preserve">, prin aplicarea </w:t>
      </w:r>
      <w:r w:rsidRPr="00B941F5">
        <w:rPr>
          <w:rFonts w:ascii="Arial" w:hAnsi="Arial" w:cs="Arial"/>
          <w:b/>
          <w:sz w:val="24"/>
          <w:szCs w:val="24"/>
          <w:lang w:val="it-IT"/>
        </w:rPr>
        <w:t>modelului MONERIS</w:t>
      </w:r>
      <w:r w:rsidRPr="00AA0D5E">
        <w:rPr>
          <w:rFonts w:ascii="Arial" w:hAnsi="Arial" w:cs="Arial"/>
          <w:sz w:val="24"/>
          <w:szCs w:val="24"/>
          <w:lang w:val="it-IT"/>
        </w:rPr>
        <w:t>(</w:t>
      </w:r>
      <w:r w:rsidRPr="00AA0D5E">
        <w:rPr>
          <w:rFonts w:ascii="Arial" w:hAnsi="Arial" w:cs="Arial"/>
          <w:b/>
          <w:sz w:val="24"/>
          <w:szCs w:val="24"/>
          <w:lang w:val="it-IT"/>
        </w:rPr>
        <w:t>MO</w:t>
      </w:r>
      <w:r w:rsidRPr="00AA0D5E">
        <w:rPr>
          <w:rFonts w:ascii="Arial" w:hAnsi="Arial" w:cs="Arial"/>
          <w:sz w:val="24"/>
          <w:szCs w:val="24"/>
          <w:lang w:val="it-IT"/>
        </w:rPr>
        <w:t xml:space="preserve">delling </w:t>
      </w:r>
      <w:r w:rsidRPr="00AA0D5E">
        <w:rPr>
          <w:rFonts w:ascii="Arial" w:hAnsi="Arial" w:cs="Arial"/>
          <w:b/>
          <w:sz w:val="24"/>
          <w:szCs w:val="24"/>
          <w:lang w:val="it-IT"/>
        </w:rPr>
        <w:t>N</w:t>
      </w:r>
      <w:r w:rsidRPr="00AA0D5E">
        <w:rPr>
          <w:rFonts w:ascii="Arial" w:hAnsi="Arial" w:cs="Arial"/>
          <w:sz w:val="24"/>
          <w:szCs w:val="24"/>
          <w:lang w:val="it-IT"/>
        </w:rPr>
        <w:t xml:space="preserve">utrient </w:t>
      </w:r>
      <w:r w:rsidRPr="00AA0D5E">
        <w:rPr>
          <w:rFonts w:ascii="Arial" w:hAnsi="Arial" w:cs="Arial"/>
          <w:b/>
          <w:sz w:val="24"/>
          <w:szCs w:val="24"/>
          <w:lang w:val="it-IT"/>
        </w:rPr>
        <w:t>E</w:t>
      </w:r>
      <w:r w:rsidRPr="00AA0D5E">
        <w:rPr>
          <w:rFonts w:ascii="Arial" w:hAnsi="Arial" w:cs="Arial"/>
          <w:sz w:val="24"/>
          <w:szCs w:val="24"/>
          <w:lang w:val="it-IT"/>
        </w:rPr>
        <w:t xml:space="preserve">missions in </w:t>
      </w:r>
      <w:r w:rsidRPr="00AA0D5E">
        <w:rPr>
          <w:rFonts w:ascii="Arial" w:hAnsi="Arial" w:cs="Arial"/>
          <w:b/>
          <w:sz w:val="24"/>
          <w:szCs w:val="24"/>
          <w:lang w:val="it-IT"/>
        </w:rPr>
        <w:t>RI</w:t>
      </w:r>
      <w:r w:rsidRPr="00AA0D5E">
        <w:rPr>
          <w:rFonts w:ascii="Arial" w:hAnsi="Arial" w:cs="Arial"/>
          <w:sz w:val="24"/>
          <w:szCs w:val="24"/>
          <w:lang w:val="it-IT"/>
        </w:rPr>
        <w:t xml:space="preserve">ver </w:t>
      </w:r>
      <w:r w:rsidRPr="00AA0D5E">
        <w:rPr>
          <w:rFonts w:ascii="Arial" w:hAnsi="Arial" w:cs="Arial"/>
          <w:b/>
          <w:sz w:val="24"/>
          <w:szCs w:val="24"/>
          <w:lang w:val="it-IT"/>
        </w:rPr>
        <w:t>S</w:t>
      </w:r>
      <w:r w:rsidRPr="00AA0D5E">
        <w:rPr>
          <w:rFonts w:ascii="Arial" w:hAnsi="Arial" w:cs="Arial"/>
          <w:sz w:val="24"/>
          <w:szCs w:val="24"/>
          <w:lang w:val="it-IT"/>
        </w:rPr>
        <w:t xml:space="preserve">ystems) </w:t>
      </w:r>
      <w:r>
        <w:rPr>
          <w:rFonts w:ascii="Arial" w:hAnsi="Arial" w:cs="Arial"/>
          <w:sz w:val="24"/>
          <w:szCs w:val="24"/>
          <w:lang w:val="it-IT"/>
        </w:rPr>
        <w:t xml:space="preserve">se pot realiza scenarii privind prognoza calității apelor, respectiv evaluarea emisiilor de nutrienți și a  potențialul și efectului măsurilor de bază și suplimentare de reducere a nutrienților. </w:t>
      </w:r>
    </w:p>
    <w:p w:rsidR="000645BF" w:rsidRPr="00AA0D5E" w:rsidRDefault="000645BF" w:rsidP="000645BF">
      <w:pPr>
        <w:spacing w:after="0" w:line="240" w:lineRule="auto"/>
        <w:ind w:firstLine="708"/>
        <w:jc w:val="both"/>
        <w:rPr>
          <w:rFonts w:ascii="Arial" w:hAnsi="Arial" w:cs="Arial"/>
          <w:sz w:val="24"/>
          <w:szCs w:val="24"/>
          <w:lang w:val="it-IT"/>
        </w:rPr>
      </w:pPr>
      <w:r w:rsidRPr="00AA0D5E">
        <w:rPr>
          <w:rFonts w:ascii="Arial" w:hAnsi="Arial" w:cs="Arial"/>
          <w:sz w:val="24"/>
          <w:szCs w:val="24"/>
          <w:lang w:val="it-IT"/>
        </w:rPr>
        <w:t xml:space="preserve">Comparativ cu evaluarea emisiilor totale (difuze și punctiforme) din Planul Național de Management aprobat prin H.G. nr.80/2011, în perioada 2009-2012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0645BF" w:rsidRPr="00AA0D5E" w:rsidRDefault="000645BF" w:rsidP="000645BF">
      <w:pPr>
        <w:spacing w:after="0" w:line="240" w:lineRule="auto"/>
        <w:ind w:firstLine="708"/>
        <w:jc w:val="both"/>
        <w:rPr>
          <w:rFonts w:ascii="Arial" w:hAnsi="Arial" w:cs="Arial"/>
          <w:sz w:val="24"/>
          <w:szCs w:val="24"/>
          <w:lang w:val="it-IT"/>
        </w:rPr>
      </w:pPr>
      <w:r w:rsidRPr="00AA0D5E">
        <w:rPr>
          <w:rFonts w:ascii="Arial" w:hAnsi="Arial" w:cs="Arial"/>
          <w:sz w:val="24"/>
          <w:szCs w:val="24"/>
          <w:lang w:val="it-IT"/>
        </w:rPr>
        <w:t>Li</w:t>
      </w:r>
      <w:r>
        <w:rPr>
          <w:rFonts w:ascii="Arial" w:hAnsi="Arial" w:cs="Arial"/>
          <w:sz w:val="24"/>
          <w:szCs w:val="24"/>
          <w:lang w:val="it-IT"/>
        </w:rPr>
        <w:t>mitarea conținutului de fosfor î</w:t>
      </w:r>
      <w:r w:rsidRPr="00AA0D5E">
        <w:rPr>
          <w:rFonts w:ascii="Arial" w:hAnsi="Arial" w:cs="Arial"/>
          <w:sz w:val="24"/>
          <w:szCs w:val="24"/>
          <w:lang w:val="it-IT"/>
        </w:rPr>
        <w:t xml:space="preserve">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0645BF" w:rsidRDefault="000645BF" w:rsidP="000645BF">
      <w:pPr>
        <w:spacing w:after="0" w:line="240" w:lineRule="auto"/>
        <w:jc w:val="both"/>
        <w:rPr>
          <w:rFonts w:ascii="Arial" w:hAnsi="Arial" w:cs="Arial"/>
          <w:sz w:val="24"/>
          <w:szCs w:val="24"/>
          <w:lang w:val="it-IT"/>
        </w:rPr>
      </w:pPr>
      <w:r w:rsidRPr="00AA0D5E">
        <w:rPr>
          <w:rFonts w:ascii="Arial" w:hAnsi="Arial" w:cs="Arial"/>
          <w:sz w:val="24"/>
          <w:szCs w:val="24"/>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modificări ale utilizării terenurilor, îmbunătățirea practicilor de rotație a culturilor și schimbarea emisiilor specifice de fosfor pe locuitor.  </w:t>
      </w:r>
    </w:p>
    <w:p w:rsidR="000645BF" w:rsidRDefault="000645BF" w:rsidP="000645BF">
      <w:pPr>
        <w:spacing w:after="0" w:line="240" w:lineRule="auto"/>
        <w:ind w:firstLine="708"/>
        <w:jc w:val="both"/>
        <w:rPr>
          <w:rFonts w:ascii="Arial" w:hAnsi="Arial" w:cs="Arial"/>
          <w:sz w:val="24"/>
          <w:szCs w:val="24"/>
          <w:lang w:val="it-IT"/>
        </w:rPr>
      </w:pPr>
      <w:r>
        <w:rPr>
          <w:rFonts w:ascii="Arial" w:hAnsi="Arial" w:cs="Arial"/>
          <w:sz w:val="24"/>
          <w:szCs w:val="24"/>
          <w:lang w:val="it-IT"/>
        </w:rPr>
        <w:t xml:space="preserve">În ceea ce privește </w:t>
      </w:r>
      <w:r w:rsidRPr="00AA0D5E">
        <w:rPr>
          <w:rFonts w:ascii="Arial" w:hAnsi="Arial" w:cs="Arial"/>
          <w:sz w:val="24"/>
          <w:szCs w:val="24"/>
          <w:lang w:val="it-IT"/>
        </w:rPr>
        <w:t>evoluția privind căile de producere a emisiilor totale de azot în perioada 2012-2021</w:t>
      </w:r>
      <w:r>
        <w:rPr>
          <w:rFonts w:ascii="Arial" w:hAnsi="Arial" w:cs="Arial"/>
          <w:sz w:val="24"/>
          <w:szCs w:val="24"/>
          <w:lang w:val="it-IT"/>
        </w:rPr>
        <w:t xml:space="preserve">,reprezentată în figurile II.2.3.1 și II.2.3.2,  rezultatele modelării au arătat că </w:t>
      </w:r>
      <w:r w:rsidRPr="00AA0D5E">
        <w:rPr>
          <w:rFonts w:ascii="Arial" w:hAnsi="Arial" w:cs="Arial"/>
          <w:sz w:val="24"/>
          <w:szCs w:val="24"/>
          <w:lang w:val="it-IT"/>
        </w:rPr>
        <w:t>depunerile atmosferice s</w:t>
      </w:r>
      <w:r>
        <w:rPr>
          <w:rFonts w:ascii="Arial" w:hAnsi="Arial" w:cs="Arial"/>
          <w:sz w:val="24"/>
          <w:szCs w:val="24"/>
          <w:lang w:val="it-IT"/>
        </w:rPr>
        <w:t>-au redus</w:t>
      </w:r>
      <w:r w:rsidRPr="00AA0D5E">
        <w:rPr>
          <w:rFonts w:ascii="Arial" w:hAnsi="Arial" w:cs="Arial"/>
          <w:sz w:val="24"/>
          <w:szCs w:val="24"/>
          <w:lang w:val="it-IT"/>
        </w:rPr>
        <w:t xml:space="preserve"> cu 5,44%, scurgerea de suprafață </w:t>
      </w:r>
      <w:r>
        <w:rPr>
          <w:rFonts w:ascii="Arial" w:hAnsi="Arial" w:cs="Arial"/>
          <w:sz w:val="24"/>
          <w:szCs w:val="24"/>
          <w:lang w:val="it-IT"/>
        </w:rPr>
        <w:t xml:space="preserve">a crescut </w:t>
      </w:r>
      <w:r w:rsidRPr="00AA0D5E">
        <w:rPr>
          <w:rFonts w:ascii="Arial" w:hAnsi="Arial" w:cs="Arial"/>
          <w:sz w:val="24"/>
          <w:szCs w:val="24"/>
          <w:lang w:val="it-IT"/>
        </w:rPr>
        <w:t xml:space="preserve">cu 4,04%, iar scurgerea subterană </w:t>
      </w:r>
      <w:r>
        <w:rPr>
          <w:rFonts w:ascii="Arial" w:hAnsi="Arial" w:cs="Arial"/>
          <w:sz w:val="24"/>
          <w:szCs w:val="24"/>
          <w:lang w:val="it-IT"/>
        </w:rPr>
        <w:t xml:space="preserve">a crescut ușor </w:t>
      </w:r>
      <w:r w:rsidRPr="00AA0D5E">
        <w:rPr>
          <w:rFonts w:ascii="Arial" w:hAnsi="Arial" w:cs="Arial"/>
          <w:sz w:val="24"/>
          <w:szCs w:val="24"/>
          <w:lang w:val="it-IT"/>
        </w:rPr>
        <w:t>cu cca. 2%. Restul de căi de producere a emisiilor totale de azot s</w:t>
      </w:r>
      <w:r>
        <w:rPr>
          <w:rFonts w:ascii="Arial" w:hAnsi="Arial" w:cs="Arial"/>
          <w:sz w:val="24"/>
          <w:szCs w:val="24"/>
          <w:lang w:val="it-IT"/>
        </w:rPr>
        <w:t>-au</w:t>
      </w:r>
      <w:r w:rsidRPr="00AA0D5E">
        <w:rPr>
          <w:rFonts w:ascii="Arial" w:hAnsi="Arial" w:cs="Arial"/>
          <w:sz w:val="24"/>
          <w:szCs w:val="24"/>
          <w:lang w:val="it-IT"/>
        </w:rPr>
        <w:t xml:space="preserve"> modific</w:t>
      </w:r>
      <w:r>
        <w:rPr>
          <w:rFonts w:ascii="Arial" w:hAnsi="Arial" w:cs="Arial"/>
          <w:sz w:val="24"/>
          <w:szCs w:val="24"/>
          <w:lang w:val="it-IT"/>
        </w:rPr>
        <w:t>at</w:t>
      </w:r>
      <w:r w:rsidRPr="00AA0D5E">
        <w:rPr>
          <w:rFonts w:ascii="Arial" w:hAnsi="Arial" w:cs="Arial"/>
          <w:sz w:val="24"/>
          <w:szCs w:val="24"/>
          <w:lang w:val="it-IT"/>
        </w:rPr>
        <w:t xml:space="preserve"> foarte puțin. De asemenea, </w:t>
      </w:r>
      <w:r>
        <w:rPr>
          <w:rFonts w:ascii="Arial" w:hAnsi="Arial" w:cs="Arial"/>
          <w:sz w:val="24"/>
          <w:szCs w:val="24"/>
          <w:lang w:val="it-IT"/>
        </w:rPr>
        <w:t xml:space="preserve">în figurile </w:t>
      </w:r>
      <w:r w:rsidRPr="00AA0D5E">
        <w:rPr>
          <w:rFonts w:ascii="Arial" w:hAnsi="Arial" w:cs="Arial"/>
          <w:sz w:val="24"/>
          <w:szCs w:val="24"/>
          <w:lang w:val="it-IT"/>
        </w:rPr>
        <w:t>II.2.3.</w:t>
      </w:r>
      <w:r>
        <w:rPr>
          <w:rFonts w:ascii="Arial" w:hAnsi="Arial" w:cs="Arial"/>
          <w:sz w:val="24"/>
          <w:szCs w:val="24"/>
          <w:lang w:val="it-IT"/>
        </w:rPr>
        <w:t xml:space="preserve">3 și </w:t>
      </w:r>
      <w:r w:rsidRPr="00AA0D5E">
        <w:rPr>
          <w:rFonts w:ascii="Arial" w:hAnsi="Arial" w:cs="Arial"/>
          <w:sz w:val="24"/>
          <w:szCs w:val="24"/>
          <w:lang w:val="it-IT"/>
        </w:rPr>
        <w:t>II.2.3.</w:t>
      </w:r>
      <w:r>
        <w:rPr>
          <w:rFonts w:ascii="Arial" w:hAnsi="Arial" w:cs="Arial"/>
          <w:sz w:val="24"/>
          <w:szCs w:val="24"/>
          <w:lang w:val="it-IT"/>
        </w:rPr>
        <w:t>4 este redată</w:t>
      </w:r>
      <w:r w:rsidRPr="00AA0D5E">
        <w:rPr>
          <w:rFonts w:ascii="Arial" w:hAnsi="Arial" w:cs="Arial"/>
          <w:sz w:val="24"/>
          <w:szCs w:val="24"/>
          <w:lang w:val="it-IT"/>
        </w:rPr>
        <w:t xml:space="preserve"> evoluția privind sursele de emisii totale ale azotului și fosforului în perioada 2012-</w:t>
      </w:r>
      <w:r>
        <w:rPr>
          <w:rFonts w:ascii="Arial" w:hAnsi="Arial" w:cs="Arial"/>
          <w:sz w:val="24"/>
          <w:szCs w:val="24"/>
          <w:lang w:val="it-IT"/>
        </w:rPr>
        <w:tab/>
      </w:r>
      <w:r w:rsidRPr="00AA0D5E">
        <w:rPr>
          <w:rFonts w:ascii="Arial" w:hAnsi="Arial" w:cs="Arial"/>
          <w:sz w:val="24"/>
          <w:szCs w:val="24"/>
          <w:lang w:val="it-IT"/>
        </w:rPr>
        <w:t>2021.</w:t>
      </w:r>
      <w:r>
        <w:rPr>
          <w:rFonts w:ascii="Arial" w:hAnsi="Arial" w:cs="Arial"/>
          <w:sz w:val="24"/>
          <w:szCs w:val="24"/>
          <w:lang w:val="it-IT"/>
        </w:rPr>
        <w:tab/>
      </w:r>
    </w:p>
    <w:p w:rsidR="000645BF" w:rsidRDefault="000645BF" w:rsidP="000645BF">
      <w:pPr>
        <w:spacing w:after="0" w:line="240" w:lineRule="auto"/>
        <w:ind w:firstLine="708"/>
        <w:jc w:val="both"/>
        <w:rPr>
          <w:rFonts w:ascii="Arial" w:hAnsi="Arial" w:cs="Arial"/>
          <w:sz w:val="24"/>
          <w:szCs w:val="24"/>
          <w:lang w:val="it-IT"/>
        </w:rPr>
      </w:pPr>
      <w:r>
        <w:rPr>
          <w:rFonts w:ascii="Arial" w:hAnsi="Arial" w:cs="Arial"/>
          <w:sz w:val="24"/>
          <w:szCs w:val="24"/>
          <w:lang w:val="it-IT"/>
        </w:rPr>
        <w:tab/>
      </w:r>
    </w:p>
    <w:p w:rsidR="000645BF" w:rsidRDefault="000645BF" w:rsidP="000645BF">
      <w:pPr>
        <w:spacing w:after="0" w:line="240" w:lineRule="auto"/>
        <w:jc w:val="both"/>
        <w:rPr>
          <w:rFonts w:ascii="Arial" w:hAnsi="Arial" w:cs="Arial"/>
          <w:b/>
          <w:i/>
          <w:sz w:val="24"/>
          <w:szCs w:val="24"/>
          <w:lang w:val="it-IT"/>
        </w:rPr>
      </w:pPr>
      <w:r w:rsidRPr="00AA0D5E">
        <w:rPr>
          <w:rFonts w:ascii="Arial" w:hAnsi="Arial" w:cs="Arial"/>
          <w:b/>
          <w:i/>
          <w:sz w:val="24"/>
          <w:szCs w:val="24"/>
          <w:lang w:val="it-IT"/>
        </w:rPr>
        <w:t>Rezultatele aplicării scenariului de bază  pentru căile de producere a emisiilor de azot în anul 2012 (stânga) și anul 2021  (dreapta)</w:t>
      </w:r>
    </w:p>
    <w:p w:rsidR="000645BF" w:rsidRDefault="000645BF" w:rsidP="000645BF">
      <w:pPr>
        <w:spacing w:after="0" w:line="240" w:lineRule="auto"/>
        <w:jc w:val="both"/>
        <w:rPr>
          <w:rFonts w:ascii="Arial" w:hAnsi="Arial" w:cs="Arial"/>
          <w:b/>
          <w:i/>
          <w:sz w:val="24"/>
          <w:szCs w:val="24"/>
          <w:lang w:val="it-IT"/>
        </w:rPr>
      </w:pPr>
    </w:p>
    <w:p w:rsidR="000645BF" w:rsidRDefault="000645BF" w:rsidP="000645BF">
      <w:pPr>
        <w:spacing w:after="0" w:line="240" w:lineRule="auto"/>
        <w:jc w:val="both"/>
        <w:rPr>
          <w:rFonts w:ascii="Arial" w:hAnsi="Arial" w:cs="Arial"/>
          <w:b/>
          <w:sz w:val="24"/>
          <w:szCs w:val="24"/>
          <w:lang w:val="it-IT"/>
        </w:rPr>
      </w:pPr>
      <w:r w:rsidRPr="00AA0D5E">
        <w:rPr>
          <w:rFonts w:ascii="Arial" w:hAnsi="Arial" w:cs="Arial"/>
          <w:b/>
          <w:sz w:val="24"/>
          <w:szCs w:val="24"/>
          <w:lang w:val="it-IT"/>
        </w:rPr>
        <w:t>Figura II.2.3.1</w:t>
      </w:r>
      <w:r>
        <w:rPr>
          <w:rFonts w:ascii="Arial" w:hAnsi="Arial" w:cs="Arial"/>
          <w:b/>
          <w:sz w:val="24"/>
          <w:szCs w:val="24"/>
          <w:lang w:val="it-IT"/>
        </w:rPr>
        <w:t xml:space="preserve"> </w:t>
      </w:r>
    </w:p>
    <w:tbl>
      <w:tblPr>
        <w:tblW w:w="0" w:type="auto"/>
        <w:jc w:val="center"/>
        <w:tblLayout w:type="fixed"/>
        <w:tblLook w:val="04A0"/>
      </w:tblPr>
      <w:tblGrid>
        <w:gridCol w:w="4786"/>
        <w:gridCol w:w="4784"/>
      </w:tblGrid>
      <w:tr w:rsidR="000645BF" w:rsidRPr="000C1ABE" w:rsidTr="004E444C">
        <w:trPr>
          <w:jc w:val="center"/>
        </w:trPr>
        <w:tc>
          <w:tcPr>
            <w:tcW w:w="4786"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drawing>
                <wp:inline distT="0" distB="0" distL="0" distR="0">
                  <wp:extent cx="2838450" cy="1885950"/>
                  <wp:effectExtent l="19050" t="0" r="0" b="0"/>
                  <wp:docPr id="2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tc>
        <w:tc>
          <w:tcPr>
            <w:tcW w:w="4784"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drawing>
                <wp:inline distT="0" distB="0" distL="0" distR="0">
                  <wp:extent cx="2819400" cy="1876425"/>
                  <wp:effectExtent l="19050" t="0" r="0" b="0"/>
                  <wp:docPr id="23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tc>
      </w:tr>
    </w:tbl>
    <w:p w:rsidR="000645BF" w:rsidRDefault="000645BF" w:rsidP="000645BF">
      <w:pPr>
        <w:spacing w:after="0" w:line="240" w:lineRule="auto"/>
        <w:jc w:val="both"/>
        <w:rPr>
          <w:rFonts w:ascii="Arial" w:hAnsi="Arial" w:cs="Arial"/>
          <w:b/>
          <w:sz w:val="24"/>
          <w:szCs w:val="24"/>
          <w:lang w:val="it-IT"/>
        </w:rPr>
      </w:pPr>
    </w:p>
    <w:p w:rsidR="000645BF" w:rsidRDefault="000645BF" w:rsidP="000645BF">
      <w:pPr>
        <w:spacing w:after="0" w:line="240" w:lineRule="auto"/>
        <w:jc w:val="both"/>
        <w:rPr>
          <w:rFonts w:ascii="Arial" w:hAnsi="Arial" w:cs="Arial"/>
          <w:b/>
          <w:i/>
          <w:sz w:val="24"/>
          <w:szCs w:val="24"/>
          <w:lang w:val="it-IT"/>
        </w:rPr>
      </w:pPr>
      <w:r w:rsidRPr="00AA0D5E">
        <w:rPr>
          <w:rFonts w:ascii="Arial" w:hAnsi="Arial" w:cs="Arial"/>
          <w:b/>
          <w:i/>
          <w:sz w:val="24"/>
          <w:szCs w:val="24"/>
          <w:lang w:val="it-IT"/>
        </w:rPr>
        <w:t>Rezultatele aplicării scenariului de bază  pentru căile de producere a emisiilor de azot în anul 2012 (stânga) și anul 2021  (dreapta)</w:t>
      </w:r>
    </w:p>
    <w:p w:rsidR="000645BF" w:rsidRPr="002B0972" w:rsidRDefault="000645BF" w:rsidP="000645BF">
      <w:pPr>
        <w:spacing w:after="0" w:line="240" w:lineRule="auto"/>
        <w:jc w:val="both"/>
        <w:rPr>
          <w:rFonts w:ascii="Arial" w:hAnsi="Arial" w:cs="Arial"/>
          <w:b/>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2</w:t>
      </w:r>
    </w:p>
    <w:p w:rsidR="000645BF" w:rsidRPr="00AA0D5E" w:rsidRDefault="000645BF" w:rsidP="000645BF">
      <w:pPr>
        <w:spacing w:after="0" w:line="240" w:lineRule="auto"/>
        <w:jc w:val="both"/>
        <w:rPr>
          <w:rFonts w:ascii="Arial" w:hAnsi="Arial" w:cs="Arial"/>
          <w:sz w:val="24"/>
          <w:szCs w:val="24"/>
          <w:lang w:val="it-IT"/>
        </w:rPr>
      </w:pPr>
    </w:p>
    <w:tbl>
      <w:tblPr>
        <w:tblW w:w="0" w:type="auto"/>
        <w:jc w:val="center"/>
        <w:tblLook w:val="04A0"/>
      </w:tblPr>
      <w:tblGrid>
        <w:gridCol w:w="4866"/>
        <w:gridCol w:w="4756"/>
      </w:tblGrid>
      <w:tr w:rsidR="000645BF" w:rsidRPr="000C1ABE" w:rsidTr="004E444C">
        <w:trPr>
          <w:jc w:val="center"/>
        </w:trPr>
        <w:tc>
          <w:tcPr>
            <w:tcW w:w="4814"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lastRenderedPageBreak/>
              <w:drawing>
                <wp:inline distT="0" distB="0" distL="0" distR="0">
                  <wp:extent cx="2933700" cy="1866900"/>
                  <wp:effectExtent l="19050" t="0" r="0" b="0"/>
                  <wp:docPr id="1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srcRect/>
                          <a:stretch>
                            <a:fillRect/>
                          </a:stretch>
                        </pic:blipFill>
                        <pic:spPr bwMode="auto">
                          <a:xfrm>
                            <a:off x="0" y="0"/>
                            <a:ext cx="2933700" cy="1866900"/>
                          </a:xfrm>
                          <a:prstGeom prst="rect">
                            <a:avLst/>
                          </a:prstGeom>
                          <a:noFill/>
                          <a:ln w="9525">
                            <a:noFill/>
                            <a:miter lim="800000"/>
                            <a:headEnd/>
                            <a:tailEnd/>
                          </a:ln>
                        </pic:spPr>
                      </pic:pic>
                    </a:graphicData>
                  </a:graphic>
                </wp:inline>
              </w:drawing>
            </w:r>
          </w:p>
        </w:tc>
        <w:tc>
          <w:tcPr>
            <w:tcW w:w="4756"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drawing>
                <wp:inline distT="0" distB="0" distL="0" distR="0">
                  <wp:extent cx="2838450" cy="1857375"/>
                  <wp:effectExtent l="19050" t="0" r="0" b="0"/>
                  <wp:docPr id="1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srcRect/>
                          <a:stretch>
                            <a:fillRect/>
                          </a:stretch>
                        </pic:blipFill>
                        <pic:spPr bwMode="auto">
                          <a:xfrm>
                            <a:off x="0" y="0"/>
                            <a:ext cx="2838450" cy="1857375"/>
                          </a:xfrm>
                          <a:prstGeom prst="rect">
                            <a:avLst/>
                          </a:prstGeom>
                          <a:noFill/>
                          <a:ln w="9525">
                            <a:noFill/>
                            <a:miter lim="800000"/>
                            <a:headEnd/>
                            <a:tailEnd/>
                          </a:ln>
                        </pic:spPr>
                      </pic:pic>
                    </a:graphicData>
                  </a:graphic>
                </wp:inline>
              </w:drawing>
            </w:r>
          </w:p>
        </w:tc>
      </w:tr>
    </w:tbl>
    <w:p w:rsidR="000645BF" w:rsidRDefault="000645BF" w:rsidP="000645BF">
      <w:pPr>
        <w:spacing w:after="0" w:line="240" w:lineRule="auto"/>
        <w:jc w:val="both"/>
        <w:rPr>
          <w:rFonts w:ascii="Arial" w:hAnsi="Arial" w:cs="Arial"/>
          <w:b/>
          <w:sz w:val="24"/>
          <w:szCs w:val="24"/>
          <w:lang w:val="it-IT"/>
        </w:rPr>
      </w:pPr>
    </w:p>
    <w:p w:rsidR="000645BF" w:rsidRDefault="000645BF" w:rsidP="000645BF">
      <w:pPr>
        <w:spacing w:after="0" w:line="240" w:lineRule="auto"/>
        <w:jc w:val="both"/>
        <w:rPr>
          <w:rFonts w:ascii="Arial" w:hAnsi="Arial" w:cs="Arial"/>
          <w:sz w:val="24"/>
          <w:szCs w:val="24"/>
          <w:lang w:val="it-IT"/>
        </w:rPr>
      </w:pPr>
      <w:r w:rsidRPr="00DB5DBA">
        <w:rPr>
          <w:rFonts w:ascii="Arial" w:hAnsi="Arial" w:cs="Arial"/>
          <w:sz w:val="24"/>
          <w:szCs w:val="24"/>
          <w:lang w:val="it-IT"/>
        </w:rPr>
        <w:t>Rezultatele aplicării scenariului de bază  pentru sursele de emisii ale azotului (punctiforme și difuze)  în anul  2012 (stânga) și anul 2021 (dreapta)</w:t>
      </w:r>
    </w:p>
    <w:p w:rsidR="000645BF" w:rsidRPr="00DB5DBA" w:rsidRDefault="000645BF" w:rsidP="000645BF">
      <w:pPr>
        <w:spacing w:after="0" w:line="240" w:lineRule="auto"/>
        <w:jc w:val="both"/>
        <w:rPr>
          <w:rFonts w:ascii="Arial" w:hAnsi="Arial" w:cs="Arial"/>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3</w:t>
      </w:r>
    </w:p>
    <w:tbl>
      <w:tblPr>
        <w:tblW w:w="0" w:type="auto"/>
        <w:jc w:val="center"/>
        <w:tblLook w:val="04A0"/>
      </w:tblPr>
      <w:tblGrid>
        <w:gridCol w:w="4866"/>
        <w:gridCol w:w="4809"/>
      </w:tblGrid>
      <w:tr w:rsidR="000645BF" w:rsidRPr="000C1ABE" w:rsidTr="004E444C">
        <w:trPr>
          <w:jc w:val="center"/>
        </w:trPr>
        <w:tc>
          <w:tcPr>
            <w:tcW w:w="4761"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rFonts w:ascii="Arial" w:hAnsi="Arial" w:cs="Arial"/>
                <w:noProof/>
                <w:sz w:val="24"/>
                <w:szCs w:val="24"/>
              </w:rPr>
              <w:drawing>
                <wp:inline distT="0" distB="0" distL="0" distR="0">
                  <wp:extent cx="2933700" cy="1819275"/>
                  <wp:effectExtent l="19050" t="0" r="0" b="0"/>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2934970" cy="1820063"/>
                          </a:xfrm>
                          <a:prstGeom prst="rect">
                            <a:avLst/>
                          </a:prstGeom>
                          <a:noFill/>
                        </pic:spPr>
                      </pic:pic>
                    </a:graphicData>
                  </a:graphic>
                </wp:inline>
              </w:drawing>
            </w:r>
          </w:p>
        </w:tc>
        <w:tc>
          <w:tcPr>
            <w:tcW w:w="4809"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rFonts w:ascii="Arial" w:hAnsi="Arial" w:cs="Arial"/>
                <w:noProof/>
                <w:sz w:val="24"/>
                <w:szCs w:val="24"/>
              </w:rPr>
              <w:drawing>
                <wp:inline distT="0" distB="0" distL="0" distR="0">
                  <wp:extent cx="2780665" cy="1819275"/>
                  <wp:effectExtent l="19050" t="0" r="635" b="0"/>
                  <wp:docPr id="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2780665" cy="1819275"/>
                          </a:xfrm>
                          <a:prstGeom prst="rect">
                            <a:avLst/>
                          </a:prstGeom>
                          <a:noFill/>
                        </pic:spPr>
                      </pic:pic>
                    </a:graphicData>
                  </a:graphic>
                </wp:inline>
              </w:drawing>
            </w:r>
          </w:p>
        </w:tc>
      </w:tr>
    </w:tbl>
    <w:p w:rsidR="000645BF" w:rsidRDefault="000645BF" w:rsidP="000645BF">
      <w:pPr>
        <w:spacing w:after="0" w:line="240" w:lineRule="auto"/>
        <w:jc w:val="both"/>
        <w:rPr>
          <w:rFonts w:ascii="Arial" w:hAnsi="Arial" w:cs="Arial"/>
          <w:b/>
          <w:sz w:val="24"/>
          <w:szCs w:val="24"/>
          <w:lang w:val="it-IT"/>
        </w:rPr>
      </w:pPr>
    </w:p>
    <w:p w:rsidR="000645BF" w:rsidRPr="00DB5DBA" w:rsidRDefault="000645BF" w:rsidP="000645BF">
      <w:pPr>
        <w:spacing w:after="0" w:line="240" w:lineRule="auto"/>
        <w:jc w:val="both"/>
        <w:rPr>
          <w:rFonts w:ascii="Arial" w:hAnsi="Arial" w:cs="Arial"/>
          <w:sz w:val="24"/>
          <w:szCs w:val="24"/>
          <w:lang w:val="it-IT"/>
        </w:rPr>
      </w:pPr>
      <w:r w:rsidRPr="00DB5DBA">
        <w:rPr>
          <w:rFonts w:ascii="Arial" w:hAnsi="Arial" w:cs="Arial"/>
          <w:sz w:val="24"/>
          <w:szCs w:val="24"/>
          <w:lang w:val="it-IT"/>
        </w:rPr>
        <w:t>Rezultatele aplicării scenariului de bază  pentru sursele de emisii ale fosforului (punctiforme și difuze)  în anul  2012 (stânga) și anul 2021 (dreapta)</w:t>
      </w:r>
    </w:p>
    <w:p w:rsidR="000645BF" w:rsidRDefault="000645BF" w:rsidP="000645BF">
      <w:pPr>
        <w:spacing w:after="0" w:line="240" w:lineRule="auto"/>
        <w:jc w:val="both"/>
        <w:rPr>
          <w:rFonts w:ascii="Arial" w:hAnsi="Arial" w:cs="Arial"/>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4</w:t>
      </w:r>
    </w:p>
    <w:p w:rsidR="000645BF" w:rsidRPr="00AA0D5E" w:rsidRDefault="000645BF" w:rsidP="000645BF">
      <w:pPr>
        <w:spacing w:after="0" w:line="240" w:lineRule="auto"/>
        <w:jc w:val="both"/>
        <w:rPr>
          <w:rFonts w:ascii="Arial" w:hAnsi="Arial" w:cs="Arial"/>
          <w:b/>
          <w:sz w:val="24"/>
          <w:szCs w:val="24"/>
          <w:lang w:val="it-IT"/>
        </w:rPr>
      </w:pPr>
    </w:p>
    <w:tbl>
      <w:tblPr>
        <w:tblW w:w="0" w:type="auto"/>
        <w:jc w:val="center"/>
        <w:tblLook w:val="04A0"/>
      </w:tblPr>
      <w:tblGrid>
        <w:gridCol w:w="4806"/>
        <w:gridCol w:w="4956"/>
      </w:tblGrid>
      <w:tr w:rsidR="000645BF" w:rsidRPr="000C1ABE" w:rsidTr="004E444C">
        <w:trPr>
          <w:jc w:val="center"/>
        </w:trPr>
        <w:tc>
          <w:tcPr>
            <w:tcW w:w="4714"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drawing>
                <wp:inline distT="0" distB="0" distL="0" distR="0">
                  <wp:extent cx="2895600" cy="1809750"/>
                  <wp:effectExtent l="19050" t="0" r="0" b="0"/>
                  <wp:docPr id="20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srcRect/>
                          <a:stretch>
                            <a:fillRect/>
                          </a:stretch>
                        </pic:blipFill>
                        <pic:spPr bwMode="auto">
                          <a:xfrm>
                            <a:off x="0" y="0"/>
                            <a:ext cx="2895600" cy="1809750"/>
                          </a:xfrm>
                          <a:prstGeom prst="rect">
                            <a:avLst/>
                          </a:prstGeom>
                          <a:noFill/>
                          <a:ln w="9525">
                            <a:noFill/>
                            <a:miter lim="800000"/>
                            <a:headEnd/>
                            <a:tailEnd/>
                          </a:ln>
                        </pic:spPr>
                      </pic:pic>
                    </a:graphicData>
                  </a:graphic>
                </wp:inline>
              </w:drawing>
            </w:r>
          </w:p>
        </w:tc>
        <w:tc>
          <w:tcPr>
            <w:tcW w:w="4856" w:type="dxa"/>
            <w:shd w:val="clear" w:color="auto" w:fill="auto"/>
          </w:tcPr>
          <w:p w:rsidR="000645BF" w:rsidRPr="000C1ABE" w:rsidRDefault="000645BF" w:rsidP="004E444C">
            <w:pPr>
              <w:spacing w:after="0" w:line="240" w:lineRule="auto"/>
              <w:jc w:val="both"/>
              <w:rPr>
                <w:rFonts w:ascii="Arial" w:hAnsi="Arial" w:cs="Arial"/>
                <w:sz w:val="24"/>
                <w:szCs w:val="24"/>
                <w:lang w:val="it-IT"/>
              </w:rPr>
            </w:pPr>
            <w:r>
              <w:rPr>
                <w:noProof/>
              </w:rPr>
              <w:drawing>
                <wp:inline distT="0" distB="0" distL="0" distR="0">
                  <wp:extent cx="2990850" cy="1809750"/>
                  <wp:effectExtent l="19050" t="0" r="0" b="0"/>
                  <wp:docPr id="20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srcRect/>
                          <a:stretch>
                            <a:fillRect/>
                          </a:stretch>
                        </pic:blipFill>
                        <pic:spPr bwMode="auto">
                          <a:xfrm>
                            <a:off x="0" y="0"/>
                            <a:ext cx="2990850" cy="1809750"/>
                          </a:xfrm>
                          <a:prstGeom prst="rect">
                            <a:avLst/>
                          </a:prstGeom>
                          <a:noFill/>
                          <a:ln w="9525">
                            <a:noFill/>
                            <a:miter lim="800000"/>
                            <a:headEnd/>
                            <a:tailEnd/>
                          </a:ln>
                        </pic:spPr>
                      </pic:pic>
                    </a:graphicData>
                  </a:graphic>
                </wp:inline>
              </w:drawing>
            </w:r>
          </w:p>
        </w:tc>
      </w:tr>
    </w:tbl>
    <w:p w:rsidR="000645BF" w:rsidRDefault="000645BF" w:rsidP="000645BF">
      <w:pPr>
        <w:spacing w:after="0" w:line="240" w:lineRule="auto"/>
        <w:jc w:val="both"/>
        <w:rPr>
          <w:rFonts w:ascii="Arial" w:hAnsi="Arial" w:cs="Arial"/>
          <w:i/>
          <w:sz w:val="24"/>
          <w:szCs w:val="24"/>
        </w:rPr>
      </w:pP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3008E5">
        <w:rPr>
          <w:rFonts w:ascii="Arial" w:hAnsi="Arial" w:cs="Arial"/>
          <w:i/>
          <w:sz w:val="24"/>
          <w:szCs w:val="24"/>
        </w:rPr>
        <w:t>Plan</w:t>
      </w:r>
      <w:r>
        <w:rPr>
          <w:rFonts w:ascii="Arial" w:hAnsi="Arial" w:cs="Arial"/>
          <w:i/>
          <w:sz w:val="24"/>
          <w:szCs w:val="24"/>
        </w:rPr>
        <w:t>ul</w:t>
      </w:r>
      <w:r w:rsidRPr="003008E5">
        <w:rPr>
          <w:rFonts w:ascii="Arial" w:hAnsi="Arial" w:cs="Arial"/>
          <w:i/>
          <w:sz w:val="24"/>
          <w:szCs w:val="24"/>
        </w:rPr>
        <w:t xml:space="preserve"> Național de Management</w:t>
      </w:r>
      <w:r>
        <w:rPr>
          <w:rFonts w:ascii="Arial" w:hAnsi="Arial" w:cs="Arial"/>
          <w:i/>
          <w:sz w:val="24"/>
          <w:szCs w:val="24"/>
        </w:rPr>
        <w:t xml:space="preserve"> actualizat aprobat prin HG nr. 859/2016 </w:t>
      </w:r>
      <w:r w:rsidRPr="00A52B63">
        <w:rPr>
          <w:rFonts w:ascii="Arial" w:hAnsi="Arial" w:cs="Arial"/>
          <w:i/>
          <w:sz w:val="24"/>
          <w:szCs w:val="24"/>
        </w:rPr>
        <w:t>pentru aprobarea Planului naţional de management actualizat aferent porţiunii din bazinul hidrografic internaţional al fluviului Dunărea care este cuprinsă în teritoriul României</w:t>
      </w:r>
      <w:r w:rsidRPr="002E19F4">
        <w:rPr>
          <w:rFonts w:ascii="Arial" w:hAnsi="Arial" w:cs="Arial"/>
          <w:i/>
          <w:sz w:val="24"/>
          <w:szCs w:val="24"/>
        </w:rPr>
        <w:t>)</w:t>
      </w:r>
    </w:p>
    <w:p w:rsidR="000645BF" w:rsidRDefault="000645BF" w:rsidP="000645BF">
      <w:pPr>
        <w:spacing w:after="0" w:line="240" w:lineRule="auto"/>
        <w:jc w:val="both"/>
        <w:rPr>
          <w:rFonts w:ascii="Arial" w:hAnsi="Arial" w:cs="Arial"/>
          <w:sz w:val="24"/>
          <w:szCs w:val="24"/>
        </w:rPr>
      </w:pPr>
    </w:p>
    <w:p w:rsidR="000645BF" w:rsidRPr="005841B6" w:rsidRDefault="000645BF" w:rsidP="000645BF">
      <w:pPr>
        <w:spacing w:after="0" w:line="240" w:lineRule="auto"/>
        <w:jc w:val="both"/>
        <w:rPr>
          <w:rFonts w:ascii="Arial" w:hAnsi="Arial" w:cs="Arial"/>
          <w:sz w:val="24"/>
          <w:szCs w:val="24"/>
          <w:lang w:val="it-IT"/>
        </w:rPr>
      </w:pPr>
      <w:r w:rsidRPr="00DB5A67">
        <w:rPr>
          <w:rFonts w:ascii="Arial" w:hAnsi="Arial" w:cs="Arial"/>
          <w:b/>
          <w:i/>
          <w:sz w:val="24"/>
          <w:szCs w:val="24"/>
          <w:lang w:val="it-IT"/>
        </w:rPr>
        <w:t>Poluarea cu substanțe chimice periculoase</w:t>
      </w:r>
      <w:r w:rsidRPr="005841B6">
        <w:rPr>
          <w:rFonts w:ascii="Arial"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apelor,există 3 tipuri de substanțe chimice periculoase, și anume:</w:t>
      </w:r>
    </w:p>
    <w:p w:rsidR="000645BF" w:rsidRPr="00DB5DBA" w:rsidRDefault="000645BF" w:rsidP="00EF3940">
      <w:pPr>
        <w:pStyle w:val="ListParagraph"/>
        <w:numPr>
          <w:ilvl w:val="0"/>
          <w:numId w:val="23"/>
        </w:numPr>
        <w:jc w:val="both"/>
        <w:rPr>
          <w:rFonts w:ascii="Arial" w:hAnsi="Arial" w:cs="Arial"/>
          <w:lang w:val="it-IT"/>
        </w:rPr>
      </w:pPr>
      <w:r w:rsidRPr="00DB5DBA">
        <w:rPr>
          <w:rFonts w:ascii="Arial" w:hAnsi="Arial" w:cs="Arial"/>
          <w:lang w:val="it-IT"/>
        </w:rPr>
        <w:t>substanțe prioritare – poluanți sau grupe de poluanți care prezintă risc semnificativ asupra mediului acvatic, incluzând și apele utilizate pentru captarea apei potabile;</w:t>
      </w:r>
    </w:p>
    <w:p w:rsidR="000645BF" w:rsidRPr="00DB5DBA" w:rsidRDefault="000645BF" w:rsidP="00EF3940">
      <w:pPr>
        <w:pStyle w:val="ListParagraph"/>
        <w:numPr>
          <w:ilvl w:val="0"/>
          <w:numId w:val="23"/>
        </w:numPr>
        <w:jc w:val="both"/>
        <w:rPr>
          <w:rFonts w:ascii="Arial" w:hAnsi="Arial" w:cs="Arial"/>
          <w:lang w:val="it-IT"/>
        </w:rPr>
      </w:pPr>
      <w:r w:rsidRPr="00DB5DBA">
        <w:rPr>
          <w:rFonts w:ascii="Arial" w:hAnsi="Arial" w:cs="Arial"/>
          <w:lang w:val="it-IT"/>
        </w:rPr>
        <w:t>substanțe prioritare periculoase – poluanți sau grupe de poluanți care prezintă același risc ca și cele precedente și în plus sunte toxice, persistente și bioacumulabile;</w:t>
      </w:r>
    </w:p>
    <w:p w:rsidR="000645BF" w:rsidRPr="00DB5DBA" w:rsidRDefault="000645BF" w:rsidP="00EF3940">
      <w:pPr>
        <w:pStyle w:val="ListParagraph"/>
        <w:numPr>
          <w:ilvl w:val="0"/>
          <w:numId w:val="23"/>
        </w:numPr>
        <w:jc w:val="both"/>
        <w:rPr>
          <w:rFonts w:ascii="Arial" w:hAnsi="Arial" w:cs="Arial"/>
          <w:lang w:val="it-IT"/>
        </w:rPr>
      </w:pPr>
      <w:r w:rsidRPr="00DB5DBA">
        <w:rPr>
          <w:rFonts w:ascii="Arial" w:hAnsi="Arial" w:cs="Arial"/>
          <w:lang w:val="it-IT"/>
        </w:rPr>
        <w:t>poluanți specifici la nivel de bazin hidrografic - poluanți sau grupe de poluanți specifice unui anumit bazin hidrografic.</w:t>
      </w:r>
    </w:p>
    <w:p w:rsidR="000645BF" w:rsidRDefault="000645BF" w:rsidP="000645BF">
      <w:pPr>
        <w:spacing w:after="0" w:line="240" w:lineRule="auto"/>
        <w:jc w:val="both"/>
        <w:rPr>
          <w:rFonts w:ascii="Arial" w:hAnsi="Arial" w:cs="Arial"/>
          <w:sz w:val="24"/>
          <w:szCs w:val="24"/>
          <w:lang w:val="it-IT"/>
        </w:rPr>
      </w:pPr>
      <w:r w:rsidRPr="005841B6">
        <w:rPr>
          <w:rFonts w:ascii="Arial" w:hAnsi="Arial" w:cs="Arial"/>
          <w:sz w:val="24"/>
          <w:szCs w:val="24"/>
          <w:lang w:val="it-IT"/>
        </w:rPr>
        <w:lastRenderedPageBreak/>
        <w:t>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w:t>
      </w:r>
      <w:r>
        <w:rPr>
          <w:rFonts w:ascii="Arial" w:hAnsi="Arial" w:cs="Arial"/>
          <w:sz w:val="24"/>
          <w:szCs w:val="24"/>
          <w:lang w:val="it-IT"/>
        </w:rPr>
        <w:t xml:space="preserve"> (</w:t>
      </w:r>
      <w:r w:rsidRPr="00B941F5">
        <w:rPr>
          <w:rFonts w:ascii="Arial" w:hAnsi="Arial" w:cs="Arial"/>
          <w:sz w:val="24"/>
          <w:szCs w:val="24"/>
          <w:lang w:val="it-IT"/>
        </w:rPr>
        <w:t>Directiva 2013/39/CE</w:t>
      </w:r>
      <w:r>
        <w:rPr>
          <w:rFonts w:ascii="Arial" w:hAnsi="Arial" w:cs="Arial"/>
          <w:sz w:val="24"/>
          <w:szCs w:val="24"/>
          <w:lang w:val="it-IT"/>
        </w:rPr>
        <w:t>)</w:t>
      </w:r>
      <w:r w:rsidRPr="005841B6">
        <w:rPr>
          <w:rFonts w:ascii="Arial" w:hAnsi="Arial" w:cs="Arial"/>
          <w:sz w:val="24"/>
          <w:szCs w:val="24"/>
          <w:lang w:val="it-IT"/>
        </w:rPr>
        <w:t>, reducerea progresivă a poluării cauzate de substanțele prioritare și de poluanții specifici, cât și stoparea sau eliminarea emisiilor, descărcărilor și pierderilor de substanțe prioritare periculoase.</w:t>
      </w:r>
    </w:p>
    <w:p w:rsidR="000645BF" w:rsidRDefault="000645BF" w:rsidP="000645BF">
      <w:pPr>
        <w:spacing w:after="0" w:line="240" w:lineRule="auto"/>
        <w:ind w:firstLine="708"/>
        <w:jc w:val="both"/>
        <w:rPr>
          <w:rFonts w:ascii="Arial" w:hAnsi="Arial" w:cs="Arial"/>
          <w:b/>
          <w:sz w:val="24"/>
          <w:szCs w:val="24"/>
        </w:rPr>
      </w:pPr>
      <w:r w:rsidRPr="000D3364">
        <w:rPr>
          <w:rFonts w:ascii="Arial" w:hAnsi="Arial" w:cs="Arial"/>
          <w:sz w:val="24"/>
          <w:szCs w:val="24"/>
          <w:lang w:val="it-IT"/>
        </w:rPr>
        <w:t xml:space="preserve">În </w:t>
      </w:r>
      <w:r w:rsidRPr="000D3364">
        <w:rPr>
          <w:rFonts w:ascii="Arial" w:hAnsi="Arial" w:cs="Arial"/>
          <w:i/>
          <w:sz w:val="24"/>
          <w:szCs w:val="24"/>
          <w:lang w:val="it-IT"/>
        </w:rPr>
        <w:t>Figura II.2.3.</w:t>
      </w:r>
      <w:r>
        <w:rPr>
          <w:rFonts w:ascii="Arial" w:hAnsi="Arial" w:cs="Arial"/>
          <w:i/>
          <w:sz w:val="24"/>
          <w:szCs w:val="24"/>
          <w:lang w:val="it-IT"/>
        </w:rPr>
        <w:t xml:space="preserve">5 </w:t>
      </w:r>
      <w:r w:rsidRPr="000D3364">
        <w:rPr>
          <w:rFonts w:ascii="Arial" w:hAnsi="Arial" w:cs="Arial"/>
          <w:sz w:val="24"/>
          <w:szCs w:val="24"/>
          <w:lang w:val="it-IT"/>
        </w:rPr>
        <w:t xml:space="preserve">este ilustrată evoluţia stării ecologice/potenţialului ecologic al corpurilor de apă cuprinse în </w:t>
      </w:r>
      <w:r>
        <w:rPr>
          <w:rFonts w:ascii="Arial" w:hAnsi="Arial" w:cs="Arial"/>
          <w:sz w:val="24"/>
          <w:szCs w:val="24"/>
          <w:lang w:val="it-IT"/>
        </w:rPr>
        <w:t xml:space="preserve">cel de-al doilea </w:t>
      </w:r>
      <w:r w:rsidRPr="000D3364">
        <w:rPr>
          <w:rFonts w:ascii="Arial" w:hAnsi="Arial" w:cs="Arial"/>
          <w:sz w:val="24"/>
          <w:szCs w:val="24"/>
          <w:lang w:val="it-IT"/>
        </w:rPr>
        <w:t>Plan de Management, comparativ cu primul Plan de Management</w:t>
      </w:r>
      <w:r>
        <w:rPr>
          <w:rFonts w:ascii="Arial" w:hAnsi="Arial" w:cs="Arial"/>
          <w:sz w:val="24"/>
          <w:szCs w:val="24"/>
          <w:lang w:val="it-IT"/>
        </w:rPr>
        <w:t>, pentru cele două cicluri de planificare la 6 ani aferente.</w:t>
      </w:r>
    </w:p>
    <w:p w:rsidR="000645BF" w:rsidRPr="002B0972" w:rsidRDefault="000645BF" w:rsidP="000645BF">
      <w:pPr>
        <w:spacing w:after="0" w:line="240" w:lineRule="auto"/>
        <w:jc w:val="both"/>
        <w:rPr>
          <w:rFonts w:ascii="Arial" w:hAnsi="Arial" w:cs="Arial"/>
          <w:sz w:val="24"/>
          <w:szCs w:val="24"/>
        </w:rPr>
      </w:pPr>
      <w:r w:rsidRPr="002B0972">
        <w:rPr>
          <w:rFonts w:ascii="Arial" w:hAnsi="Arial" w:cs="Arial"/>
          <w:sz w:val="24"/>
          <w:szCs w:val="24"/>
        </w:rPr>
        <w:t>Evoluţia stării ecologice/potenţialului ecologic al corpurilor de apă de suprafaţă –cel de al 2-lea Plan de Management (2021) şi primul Plan de Management (2015)</w:t>
      </w:r>
    </w:p>
    <w:p w:rsidR="000645BF" w:rsidRDefault="000645BF" w:rsidP="000645BF">
      <w:pPr>
        <w:spacing w:after="0" w:line="240" w:lineRule="auto"/>
        <w:jc w:val="center"/>
        <w:rPr>
          <w:rFonts w:ascii="Arial" w:hAnsi="Arial" w:cs="Arial"/>
          <w:sz w:val="24"/>
          <w:szCs w:val="24"/>
          <w:lang w:val="it-IT"/>
        </w:rPr>
      </w:pPr>
      <w:r>
        <w:rPr>
          <w:rFonts w:ascii="Arial" w:hAnsi="Arial" w:cs="Arial"/>
          <w:noProof/>
          <w:sz w:val="24"/>
          <w:szCs w:val="24"/>
        </w:rPr>
        <w:drawing>
          <wp:inline distT="0" distB="0" distL="0" distR="0">
            <wp:extent cx="5438775" cy="3020572"/>
            <wp:effectExtent l="19050" t="0" r="9525" b="0"/>
            <wp:docPr id="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srcRect/>
                    <a:stretch>
                      <a:fillRect/>
                    </a:stretch>
                  </pic:blipFill>
                  <pic:spPr bwMode="auto">
                    <a:xfrm>
                      <a:off x="0" y="0"/>
                      <a:ext cx="5438775" cy="3020572"/>
                    </a:xfrm>
                    <a:prstGeom prst="rect">
                      <a:avLst/>
                    </a:prstGeom>
                    <a:solidFill>
                      <a:schemeClr val="tx2">
                        <a:lumMod val="20000"/>
                        <a:lumOff val="80000"/>
                      </a:schemeClr>
                    </a:solidFill>
                    <a:ln w="9525">
                      <a:noFill/>
                      <a:miter lim="800000"/>
                      <a:headEnd/>
                      <a:tailEnd/>
                    </a:ln>
                  </pic:spPr>
                </pic:pic>
              </a:graphicData>
            </a:graphic>
          </wp:inline>
        </w:drawing>
      </w:r>
    </w:p>
    <w:p w:rsidR="000645BF" w:rsidRPr="000D3364" w:rsidRDefault="000645BF" w:rsidP="000645BF">
      <w:pPr>
        <w:spacing w:after="0" w:line="240" w:lineRule="auto"/>
        <w:jc w:val="both"/>
        <w:rPr>
          <w:rFonts w:ascii="Arial" w:hAnsi="Arial" w:cs="Arial"/>
          <w:b/>
          <w:sz w:val="24"/>
          <w:szCs w:val="24"/>
          <w:lang w:val="it-IT"/>
        </w:rPr>
      </w:pPr>
      <w:r w:rsidRPr="000D3364">
        <w:rPr>
          <w:rFonts w:ascii="Arial" w:hAnsi="Arial" w:cs="Arial"/>
          <w:b/>
          <w:sz w:val="24"/>
          <w:szCs w:val="24"/>
          <w:lang w:val="it-IT"/>
        </w:rPr>
        <w:t>Figura II.2.3.</w:t>
      </w:r>
      <w:r>
        <w:rPr>
          <w:rFonts w:ascii="Arial" w:hAnsi="Arial" w:cs="Arial"/>
          <w:b/>
          <w:sz w:val="24"/>
          <w:szCs w:val="24"/>
          <w:lang w:val="it-IT"/>
        </w:rPr>
        <w:t>5</w:t>
      </w:r>
    </w:p>
    <w:p w:rsidR="000645BF" w:rsidRPr="002E19F4" w:rsidRDefault="000645BF" w:rsidP="000645BF">
      <w:pPr>
        <w:spacing w:after="0" w:line="240" w:lineRule="auto"/>
        <w:jc w:val="both"/>
        <w:rPr>
          <w:rFonts w:ascii="Arial" w:hAnsi="Arial" w:cs="Arial"/>
          <w:i/>
          <w:sz w:val="24"/>
          <w:szCs w:val="24"/>
        </w:rPr>
      </w:pPr>
      <w:r>
        <w:rPr>
          <w:rFonts w:ascii="Arial" w:hAnsi="Arial" w:cs="Arial"/>
          <w:i/>
          <w:sz w:val="24"/>
          <w:szCs w:val="24"/>
        </w:rPr>
        <w:t>(</w:t>
      </w: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3008E5">
        <w:rPr>
          <w:rFonts w:ascii="Arial" w:hAnsi="Arial" w:cs="Arial"/>
          <w:i/>
          <w:sz w:val="24"/>
          <w:szCs w:val="24"/>
        </w:rPr>
        <w:t>Plan</w:t>
      </w:r>
      <w:r>
        <w:rPr>
          <w:rFonts w:ascii="Arial" w:hAnsi="Arial" w:cs="Arial"/>
          <w:i/>
          <w:sz w:val="24"/>
          <w:szCs w:val="24"/>
        </w:rPr>
        <w:t>ul</w:t>
      </w:r>
      <w:r w:rsidRPr="003008E5">
        <w:rPr>
          <w:rFonts w:ascii="Arial" w:hAnsi="Arial" w:cs="Arial"/>
          <w:i/>
          <w:sz w:val="24"/>
          <w:szCs w:val="24"/>
        </w:rPr>
        <w:t xml:space="preserve"> Național de Management </w:t>
      </w:r>
      <w:r>
        <w:rPr>
          <w:rFonts w:ascii="Arial" w:hAnsi="Arial" w:cs="Arial"/>
          <w:i/>
          <w:sz w:val="24"/>
          <w:szCs w:val="24"/>
        </w:rPr>
        <w:t>actualizat apobat prin HG nr. 859/2016 pentru aprobarea Planului N</w:t>
      </w:r>
      <w:r w:rsidRPr="00315527">
        <w:rPr>
          <w:rFonts w:ascii="Arial" w:hAnsi="Arial" w:cs="Arial"/>
          <w:i/>
          <w:sz w:val="24"/>
          <w:szCs w:val="24"/>
        </w:rPr>
        <w:t>aţional de management actualizat aferent porţiunii din bazinul hidrografic internaţional al fluviului Dunărea care este cuprinsă în teritoriul României</w:t>
      </w:r>
      <w:r w:rsidRPr="002E19F4">
        <w:rPr>
          <w:rFonts w:ascii="Arial" w:hAnsi="Arial" w:cs="Arial"/>
          <w:i/>
          <w:sz w:val="24"/>
          <w:szCs w:val="24"/>
        </w:rPr>
        <w:t>)</w:t>
      </w:r>
    </w:p>
    <w:p w:rsidR="000645BF" w:rsidRDefault="000645BF" w:rsidP="000645BF">
      <w:pPr>
        <w:spacing w:after="0" w:line="240" w:lineRule="auto"/>
        <w:ind w:firstLine="708"/>
        <w:jc w:val="both"/>
        <w:rPr>
          <w:rFonts w:ascii="Arial" w:hAnsi="Arial" w:cs="Arial"/>
          <w:sz w:val="24"/>
          <w:szCs w:val="24"/>
          <w:lang w:val="it-IT"/>
        </w:rPr>
      </w:pPr>
    </w:p>
    <w:p w:rsidR="000645BF" w:rsidRDefault="000645BF" w:rsidP="000645BF">
      <w:pPr>
        <w:spacing w:after="0" w:line="240" w:lineRule="auto"/>
        <w:ind w:firstLine="708"/>
        <w:jc w:val="both"/>
        <w:rPr>
          <w:rFonts w:ascii="Arial" w:hAnsi="Arial" w:cs="Arial"/>
          <w:sz w:val="24"/>
          <w:szCs w:val="24"/>
          <w:lang w:val="it-IT"/>
        </w:rPr>
      </w:pPr>
      <w:r w:rsidRPr="00BA2365">
        <w:rPr>
          <w:rFonts w:ascii="Arial" w:hAnsi="Arial" w:cs="Arial"/>
          <w:sz w:val="24"/>
          <w:szCs w:val="24"/>
          <w:lang w:val="it-IT"/>
        </w:rPr>
        <w:t>În cadrul Plan</w:t>
      </w:r>
      <w:r>
        <w:rPr>
          <w:rFonts w:ascii="Arial" w:hAnsi="Arial" w:cs="Arial"/>
          <w:sz w:val="24"/>
          <w:szCs w:val="24"/>
          <w:lang w:val="it-IT"/>
        </w:rPr>
        <w:t xml:space="preserve">ului Național </w:t>
      </w:r>
      <w:r w:rsidRPr="00BA2365">
        <w:rPr>
          <w:rFonts w:ascii="Arial" w:hAnsi="Arial" w:cs="Arial"/>
          <w:sz w:val="24"/>
          <w:szCs w:val="24"/>
          <w:lang w:val="it-IT"/>
        </w:rPr>
        <w:t xml:space="preserve">de management </w:t>
      </w:r>
      <w:r>
        <w:rPr>
          <w:rFonts w:ascii="Arial" w:hAnsi="Arial" w:cs="Arial"/>
          <w:sz w:val="24"/>
          <w:szCs w:val="24"/>
          <w:lang w:val="it-IT"/>
        </w:rPr>
        <w:t xml:space="preserve">aprobat prin HG nr. 859/2016 </w:t>
      </w:r>
      <w:r w:rsidRPr="00315527">
        <w:rPr>
          <w:rFonts w:ascii="Arial" w:hAnsi="Arial" w:cs="Arial"/>
          <w:sz w:val="24"/>
          <w:szCs w:val="24"/>
          <w:lang w:val="it-IT"/>
        </w:rPr>
        <w:t>pentru aprobarea Planului naţional de management actualizat aferent porţiunii din bazinul hidrografic internaţional al fluviului Dunărea care este cuprinsă în teritoriul României</w:t>
      </w:r>
      <w:r w:rsidRPr="00BA2365">
        <w:rPr>
          <w:rFonts w:ascii="Arial" w:hAnsi="Arial" w:cs="Arial"/>
          <w:sz w:val="24"/>
          <w:szCs w:val="24"/>
          <w:lang w:val="it-IT"/>
        </w:rPr>
        <w:t xml:space="preserve">, </w:t>
      </w:r>
      <w:r>
        <w:rPr>
          <w:rFonts w:ascii="Arial" w:hAnsi="Arial" w:cs="Arial"/>
          <w:sz w:val="24"/>
          <w:szCs w:val="24"/>
          <w:lang w:val="it-IT"/>
        </w:rPr>
        <w:t>s-au</w:t>
      </w:r>
      <w:r w:rsidRPr="00BA2365">
        <w:rPr>
          <w:rFonts w:ascii="Arial" w:hAnsi="Arial" w:cs="Arial"/>
          <w:sz w:val="24"/>
          <w:szCs w:val="24"/>
          <w:lang w:val="it-IT"/>
        </w:rPr>
        <w:t xml:space="preserve">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w:t>
      </w:r>
      <w:r>
        <w:rPr>
          <w:rFonts w:ascii="Arial" w:hAnsi="Arial" w:cs="Arial"/>
          <w:sz w:val="24"/>
          <w:szCs w:val="24"/>
          <w:lang w:val="it-IT"/>
        </w:rPr>
        <w:t xml:space="preserve">sunt </w:t>
      </w:r>
      <w:r w:rsidRPr="00BA2365">
        <w:rPr>
          <w:rFonts w:ascii="Arial" w:hAnsi="Arial" w:cs="Arial"/>
          <w:sz w:val="24"/>
          <w:szCs w:val="24"/>
          <w:lang w:val="it-IT"/>
        </w:rPr>
        <w:t>stabilite, dacă este cazul, și măsuri pentru următorul ciclu de planificare pentru anul 2027, în vederea atingerii obiectivelor de mediu ale corpurilor de apă.</w:t>
      </w:r>
    </w:p>
    <w:p w:rsidR="000645BF" w:rsidRPr="00611F31" w:rsidRDefault="000645BF" w:rsidP="000645BF">
      <w:pPr>
        <w:pStyle w:val="Default"/>
        <w:jc w:val="both"/>
        <w:rPr>
          <w:rFonts w:ascii="Arial" w:hAnsi="Arial" w:cs="Arial"/>
          <w:b/>
          <w:bCs/>
          <w:iCs/>
          <w:color w:val="auto"/>
          <w:u w:val="single"/>
        </w:rPr>
      </w:pPr>
    </w:p>
    <w:p w:rsidR="000645BF" w:rsidRPr="002B3939" w:rsidRDefault="000645BF" w:rsidP="000645BF">
      <w:pPr>
        <w:pStyle w:val="Default"/>
        <w:jc w:val="both"/>
        <w:rPr>
          <w:rFonts w:ascii="Arial" w:hAnsi="Arial" w:cs="Arial"/>
          <w:i/>
          <w:iCs/>
          <w:color w:val="auto"/>
        </w:rPr>
      </w:pPr>
      <w:r w:rsidRPr="00DB5A63">
        <w:rPr>
          <w:rFonts w:ascii="Arial" w:hAnsi="Arial" w:cs="Arial"/>
          <w:b/>
          <w:bCs/>
          <w:i/>
          <w:iCs/>
          <w:color w:val="auto"/>
        </w:rPr>
        <w:t xml:space="preserve">II.2.4. </w:t>
      </w:r>
      <w:r w:rsidRPr="0030030B">
        <w:rPr>
          <w:rFonts w:ascii="Arial" w:hAnsi="Arial" w:cs="Arial"/>
          <w:b/>
          <w:bCs/>
          <w:iCs/>
          <w:color w:val="auto"/>
        </w:rPr>
        <w:t>Politici, acţiuni şi măsuri privind îmbunătăţirea stării de calitate a apelor</w:t>
      </w:r>
      <w:r w:rsidRPr="00DB5A63">
        <w:rPr>
          <w:rFonts w:ascii="Arial" w:hAnsi="Arial" w:cs="Arial"/>
          <w:b/>
          <w:bCs/>
          <w:i/>
          <w:iCs/>
          <w:color w:val="auto"/>
        </w:rPr>
        <w:t xml:space="preserve"> – </w:t>
      </w:r>
      <w:r w:rsidRPr="002B3939">
        <w:rPr>
          <w:rFonts w:ascii="Arial" w:hAnsi="Arial" w:cs="Arial"/>
          <w:bCs/>
          <w:i/>
          <w:iCs/>
          <w:color w:val="auto"/>
        </w:rPr>
        <w:t>date de la INHGA - 2017</w:t>
      </w:r>
    </w:p>
    <w:p w:rsidR="000645BF" w:rsidRDefault="000645BF" w:rsidP="000645BF">
      <w:pPr>
        <w:spacing w:before="120" w:after="120" w:line="240" w:lineRule="auto"/>
        <w:ind w:firstLine="567"/>
        <w:jc w:val="both"/>
        <w:rPr>
          <w:rFonts w:ascii="Arial" w:hAnsi="Arial" w:cs="Arial"/>
          <w:sz w:val="24"/>
          <w:szCs w:val="24"/>
        </w:rPr>
      </w:pPr>
      <w:r w:rsidRPr="00425061">
        <w:rPr>
          <w:rFonts w:ascii="Arial" w:hAnsi="Arial" w:cs="Arial"/>
          <w:sz w:val="24"/>
          <w:szCs w:val="24"/>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0645BF"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lastRenderedPageBreak/>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0645BF" w:rsidRPr="00D0578F"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0645BF" w:rsidRDefault="000645BF" w:rsidP="000645BF">
      <w:pPr>
        <w:spacing w:before="120" w:after="120" w:line="240" w:lineRule="auto"/>
        <w:ind w:firstLine="567"/>
        <w:jc w:val="both"/>
        <w:rPr>
          <w:rFonts w:ascii="Arial" w:hAnsi="Arial" w:cs="Arial"/>
          <w:sz w:val="24"/>
          <w:szCs w:val="24"/>
        </w:rPr>
      </w:pPr>
      <w:r w:rsidRPr="00AC6AAC">
        <w:rPr>
          <w:rFonts w:ascii="Arial" w:hAnsi="Arial" w:cs="Arial"/>
          <w:sz w:val="24"/>
          <w:szCs w:val="24"/>
        </w:rPr>
        <w:t xml:space="preserve">În România, elaborarea strategiei şi politicii naţionale în domeniul gospodăririi apelor, asigurareacoordonării pentru aplicarea reglementărilor interne și internaţionale din acest domeniu se realizează de </w:t>
      </w:r>
      <w:r>
        <w:rPr>
          <w:rFonts w:ascii="Arial" w:hAnsi="Arial" w:cs="Arial"/>
          <w:sz w:val="24"/>
          <w:szCs w:val="24"/>
        </w:rPr>
        <w:t>către Ministerul Mediului, Apelor și Pădurilor – Direcția Managementul Resurselor de Apă. G</w:t>
      </w:r>
      <w:r w:rsidRPr="00AC6AAC">
        <w:rPr>
          <w:rFonts w:ascii="Arial" w:hAnsi="Arial" w:cs="Arial"/>
          <w:sz w:val="24"/>
          <w:szCs w:val="24"/>
        </w:rPr>
        <w:t xml:space="preserve">estionareacantitativă și calitativă a resurselor de apă, administrarea lucrărilor de gospodărire a apelor, precum și aplicareastrategiei şi politicii naţionale, cu respectarea reglementărilor naţionale în domeniu, se realizează deAdministraţia Naţională "Apele Române", prin </w:t>
      </w:r>
      <w:r>
        <w:rPr>
          <w:rFonts w:ascii="Arial" w:hAnsi="Arial" w:cs="Arial"/>
          <w:sz w:val="24"/>
          <w:szCs w:val="24"/>
        </w:rPr>
        <w:t>A</w:t>
      </w:r>
      <w:r w:rsidRPr="00AC6AAC">
        <w:rPr>
          <w:rFonts w:ascii="Arial" w:hAnsi="Arial" w:cs="Arial"/>
          <w:sz w:val="24"/>
          <w:szCs w:val="24"/>
        </w:rPr>
        <w:t xml:space="preserve">dministraţiile </w:t>
      </w:r>
      <w:r>
        <w:rPr>
          <w:rFonts w:ascii="Arial" w:hAnsi="Arial" w:cs="Arial"/>
          <w:sz w:val="24"/>
          <w:szCs w:val="24"/>
        </w:rPr>
        <w:t>B</w:t>
      </w:r>
      <w:r w:rsidRPr="00AC6AAC">
        <w:rPr>
          <w:rFonts w:ascii="Arial" w:hAnsi="Arial" w:cs="Arial"/>
          <w:sz w:val="24"/>
          <w:szCs w:val="24"/>
        </w:rPr>
        <w:t xml:space="preserve">azinale de </w:t>
      </w:r>
      <w:r>
        <w:rPr>
          <w:rFonts w:ascii="Arial" w:hAnsi="Arial" w:cs="Arial"/>
          <w:sz w:val="24"/>
          <w:szCs w:val="24"/>
        </w:rPr>
        <w:t>A</w:t>
      </w:r>
      <w:r w:rsidRPr="00AC6AAC">
        <w:rPr>
          <w:rFonts w:ascii="Arial" w:hAnsi="Arial" w:cs="Arial"/>
          <w:sz w:val="24"/>
          <w:szCs w:val="24"/>
        </w:rPr>
        <w:t>pă din subordinea acesteia.</w:t>
      </w:r>
      <w:r>
        <w:rPr>
          <w:rFonts w:ascii="Arial" w:hAnsi="Arial" w:cs="Arial"/>
          <w:sz w:val="24"/>
          <w:szCs w:val="24"/>
        </w:rPr>
        <w:t xml:space="preserve"> Cadrul </w:t>
      </w:r>
      <w:r w:rsidRPr="00AC6AAC">
        <w:rPr>
          <w:rFonts w:ascii="Arial" w:hAnsi="Arial" w:cs="Arial"/>
          <w:sz w:val="24"/>
          <w:szCs w:val="24"/>
        </w:rPr>
        <w:t>legislativ pentru gestionarea durabilă a resurselor de apă este asigurat prin Legea Apelornr.107/1996, cu modificările și completările ulterioare.</w:t>
      </w:r>
    </w:p>
    <w:p w:rsidR="000645BF" w:rsidRPr="00AC6AAC" w:rsidRDefault="000645BF" w:rsidP="000645BF">
      <w:pPr>
        <w:spacing w:before="120" w:after="120" w:line="240" w:lineRule="auto"/>
        <w:ind w:firstLine="567"/>
        <w:jc w:val="both"/>
        <w:rPr>
          <w:rFonts w:ascii="Arial" w:hAnsi="Arial" w:cs="Arial"/>
          <w:sz w:val="24"/>
          <w:szCs w:val="24"/>
        </w:rPr>
      </w:pPr>
      <w:r w:rsidRPr="00702D49">
        <w:rPr>
          <w:rFonts w:ascii="Arial" w:hAnsi="Arial" w:cs="Arial"/>
          <w:sz w:val="24"/>
          <w:szCs w:val="24"/>
        </w:rPr>
        <w:t xml:space="preserve">În România conform Legii </w:t>
      </w:r>
      <w:r>
        <w:rPr>
          <w:rFonts w:ascii="Arial" w:hAnsi="Arial" w:cs="Arial"/>
          <w:sz w:val="24"/>
          <w:szCs w:val="24"/>
        </w:rPr>
        <w:t>a</w:t>
      </w:r>
      <w:r w:rsidRPr="00702D49">
        <w:rPr>
          <w:rFonts w:ascii="Arial" w:hAnsi="Arial" w:cs="Arial"/>
          <w:sz w:val="24"/>
          <w:szCs w:val="24"/>
        </w:rPr>
        <w:t xml:space="preserve">pelor, Schema Directoare de Amenajare și Management </w:t>
      </w:r>
      <w:r>
        <w:rPr>
          <w:rFonts w:ascii="Arial" w:hAnsi="Arial" w:cs="Arial"/>
          <w:sz w:val="24"/>
          <w:szCs w:val="24"/>
        </w:rPr>
        <w:t xml:space="preserve">ale Bazinelor Hidrografice </w:t>
      </w:r>
      <w:r w:rsidRPr="00702D49">
        <w:rPr>
          <w:rFonts w:ascii="Arial" w:hAnsi="Arial" w:cs="Arial"/>
          <w:sz w:val="24"/>
          <w:szCs w:val="24"/>
        </w:rPr>
        <w:t xml:space="preserve">este instrumentul principal de planificare, dezvoltare şi gestionare a resurselor de apă la nivelul districtului de bazin hidrografic şi este alcatuită din </w:t>
      </w:r>
      <w:r>
        <w:rPr>
          <w:rFonts w:ascii="Arial" w:hAnsi="Arial" w:cs="Arial"/>
          <w:sz w:val="24"/>
          <w:szCs w:val="24"/>
        </w:rPr>
        <w:t>P</w:t>
      </w:r>
      <w:r w:rsidRPr="00702D49">
        <w:rPr>
          <w:rFonts w:ascii="Arial" w:hAnsi="Arial" w:cs="Arial"/>
          <w:sz w:val="24"/>
          <w:szCs w:val="24"/>
        </w:rPr>
        <w:t xml:space="preserve">lanul de amenajare a bazinului hidrografic (PABH) - componentă de gospodarire cantitativă şi </w:t>
      </w:r>
      <w:r>
        <w:rPr>
          <w:rFonts w:ascii="Arial" w:hAnsi="Arial" w:cs="Arial"/>
          <w:sz w:val="24"/>
          <w:szCs w:val="24"/>
        </w:rPr>
        <w:t>P</w:t>
      </w:r>
      <w:r w:rsidRPr="00702D49">
        <w:rPr>
          <w:rFonts w:ascii="Arial" w:hAnsi="Arial" w:cs="Arial"/>
          <w:sz w:val="24"/>
          <w:szCs w:val="24"/>
        </w:rPr>
        <w:t>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0645BF" w:rsidRPr="00AC6AAC" w:rsidRDefault="000645BF" w:rsidP="000645BF">
      <w:pPr>
        <w:spacing w:before="120" w:after="120" w:line="240" w:lineRule="auto"/>
        <w:ind w:firstLine="567"/>
        <w:jc w:val="both"/>
        <w:rPr>
          <w:rFonts w:ascii="Arial" w:hAnsi="Arial" w:cs="Arial"/>
          <w:sz w:val="24"/>
          <w:szCs w:val="24"/>
        </w:rPr>
      </w:pPr>
      <w:r w:rsidRPr="00AC6AAC">
        <w:rPr>
          <w:rFonts w:ascii="Arial" w:hAnsi="Arial" w:cs="Arial"/>
          <w:sz w:val="24"/>
          <w:szCs w:val="24"/>
        </w:rPr>
        <w:t>Strategia şi politica naţională în domeniul gospodăririi apelor are drept scop realizarea unei politici degospodărire durabilă a apelor prin asigurarea protecţiei cantitativă și calitativă a apelor, apărarea împotrivaacţiunilor distructive ale apelor, precum și valorificarea potenţialului apelor în raport cu cerinţele dezvoltăriidurabile a societăţii şi în acord cu directivele europene în domeniul apelor.Pentru realizarea acestei politici se au în vedere următoarele obiective specifice:</w:t>
      </w:r>
    </w:p>
    <w:p w:rsidR="000645BF" w:rsidRPr="00967987" w:rsidRDefault="000645BF" w:rsidP="00EF3940">
      <w:pPr>
        <w:numPr>
          <w:ilvl w:val="0"/>
          <w:numId w:val="24"/>
        </w:numPr>
        <w:spacing w:before="120" w:after="120" w:line="240" w:lineRule="auto"/>
        <w:ind w:left="360"/>
        <w:jc w:val="both"/>
        <w:rPr>
          <w:rFonts w:ascii="Arial" w:hAnsi="Arial" w:cs="Arial"/>
          <w:sz w:val="24"/>
          <w:szCs w:val="24"/>
        </w:rPr>
      </w:pPr>
      <w:r w:rsidRPr="00967987">
        <w:rPr>
          <w:rFonts w:ascii="Arial" w:hAnsi="Arial" w:cs="Arial"/>
          <w:sz w:val="24"/>
          <w:szCs w:val="24"/>
        </w:rPr>
        <w:t>Îmbunătăţirea stării apelor de suprafaţă şi a apelor subterane prin implementarea planurilor de management ale bazinelor hidrografice, în conformitate cu prevederile Directivei Cadru Ap</w:t>
      </w:r>
      <w:r>
        <w:rPr>
          <w:rFonts w:ascii="Arial" w:hAnsi="Arial" w:cs="Arial"/>
          <w:sz w:val="24"/>
          <w:szCs w:val="24"/>
        </w:rPr>
        <w:t>ă</w:t>
      </w:r>
      <w:r w:rsidRPr="00967987">
        <w:rPr>
          <w:rFonts w:ascii="Arial" w:hAnsi="Arial" w:cs="Arial"/>
          <w:sz w:val="24"/>
          <w:szCs w:val="24"/>
        </w:rPr>
        <w:t xml:space="preserve"> a Uniunii Europene;</w:t>
      </w:r>
    </w:p>
    <w:p w:rsidR="000645BF" w:rsidRPr="00AC6AAC" w:rsidRDefault="000645BF" w:rsidP="00EF3940">
      <w:pPr>
        <w:numPr>
          <w:ilvl w:val="0"/>
          <w:numId w:val="24"/>
        </w:numPr>
        <w:spacing w:before="120" w:after="120" w:line="240" w:lineRule="auto"/>
        <w:ind w:left="360"/>
        <w:jc w:val="both"/>
        <w:rPr>
          <w:rFonts w:ascii="Arial" w:hAnsi="Arial" w:cs="Arial"/>
          <w:sz w:val="24"/>
          <w:szCs w:val="24"/>
        </w:rPr>
      </w:pPr>
      <w:r w:rsidRPr="00AC6AAC">
        <w:rPr>
          <w:rFonts w:ascii="Arial" w:hAnsi="Arial" w:cs="Arial"/>
          <w:sz w:val="24"/>
          <w:szCs w:val="24"/>
        </w:rPr>
        <w:t>Implementarea Strategiei Naționale de Management al Riscului la Inundaţii, a planurilor şi programelornecesare şi realizarea măsurilor ce derivă din acestea, în concordanţă cu prevederile legislaţiei europene îndomeniu;</w:t>
      </w:r>
    </w:p>
    <w:p w:rsidR="000645BF" w:rsidRPr="00AC6AAC" w:rsidRDefault="000645BF" w:rsidP="00EF3940">
      <w:pPr>
        <w:numPr>
          <w:ilvl w:val="0"/>
          <w:numId w:val="24"/>
        </w:numPr>
        <w:spacing w:before="120" w:after="120" w:line="240" w:lineRule="auto"/>
        <w:ind w:left="360"/>
        <w:jc w:val="both"/>
        <w:rPr>
          <w:rFonts w:ascii="Arial" w:hAnsi="Arial" w:cs="Arial"/>
          <w:sz w:val="24"/>
          <w:szCs w:val="24"/>
        </w:rPr>
      </w:pPr>
      <w:r w:rsidRPr="00AC6AAC">
        <w:rPr>
          <w:rFonts w:ascii="Arial" w:hAnsi="Arial" w:cs="Arial"/>
          <w:sz w:val="24"/>
          <w:szCs w:val="24"/>
        </w:rPr>
        <w:t>Elaborarea Schemelor Directoare de Amenajare a Bazinelor Hidrografice pentru folosinţele de apă, în scopuldiminuării efectelor negative ale fenomenelor naturale asupra vieţii, bunurilor şi activităţilor umane încorelare cu dezvoltarea economică şi socială a ţării;</w:t>
      </w:r>
    </w:p>
    <w:p w:rsidR="000645BF" w:rsidRPr="00AC6AAC" w:rsidRDefault="000645BF" w:rsidP="00EF3940">
      <w:pPr>
        <w:numPr>
          <w:ilvl w:val="0"/>
          <w:numId w:val="24"/>
        </w:numPr>
        <w:spacing w:before="120" w:after="120" w:line="240" w:lineRule="auto"/>
        <w:ind w:left="360"/>
        <w:jc w:val="both"/>
        <w:rPr>
          <w:rFonts w:ascii="Arial" w:hAnsi="Arial" w:cs="Arial"/>
          <w:sz w:val="24"/>
          <w:szCs w:val="24"/>
        </w:rPr>
      </w:pPr>
      <w:r w:rsidRPr="00AC6AAC">
        <w:rPr>
          <w:rFonts w:ascii="Arial" w:hAnsi="Arial" w:cs="Arial"/>
          <w:sz w:val="24"/>
          <w:szCs w:val="24"/>
        </w:rPr>
        <w:t>Implementarea Planului de protecţie şi reabilitate a ţărmului românesc al Mării Negre împotriva eroziunii şipromovarea unui management integrat al zonei costiere, conform recomandărilor europene în domeniu,inclusiv implementarea prevederilor Master Planului ― Protecţia şi reabilitarea zonei costiere;</w:t>
      </w:r>
    </w:p>
    <w:p w:rsidR="000645BF" w:rsidRPr="00AC6AAC" w:rsidRDefault="000645BF" w:rsidP="00EF3940">
      <w:pPr>
        <w:numPr>
          <w:ilvl w:val="0"/>
          <w:numId w:val="24"/>
        </w:numPr>
        <w:spacing w:before="120" w:after="120" w:line="240" w:lineRule="auto"/>
        <w:ind w:left="360"/>
        <w:jc w:val="both"/>
        <w:rPr>
          <w:rFonts w:ascii="Arial" w:hAnsi="Arial" w:cs="Arial"/>
          <w:sz w:val="24"/>
          <w:szCs w:val="24"/>
        </w:rPr>
      </w:pPr>
      <w:r w:rsidRPr="00AC6AAC">
        <w:rPr>
          <w:rFonts w:ascii="Arial" w:hAnsi="Arial" w:cs="Arial"/>
          <w:sz w:val="24"/>
          <w:szCs w:val="24"/>
        </w:rPr>
        <w:t>Întărirea parteneriatului transfrontalier şi internaţional cu instituţii similare din alte ţări, în scopulmonitorizării stadiului de implementare al înţelegerilor internaţionale şi promovării de proiecte comune.</w:t>
      </w:r>
    </w:p>
    <w:p w:rsidR="000645BF" w:rsidRPr="00AC6AAC" w:rsidRDefault="000645BF" w:rsidP="000645BF">
      <w:pPr>
        <w:spacing w:before="120" w:after="120" w:line="240" w:lineRule="auto"/>
        <w:ind w:firstLine="567"/>
        <w:jc w:val="both"/>
        <w:rPr>
          <w:rFonts w:ascii="Arial" w:hAnsi="Arial" w:cs="Arial"/>
          <w:sz w:val="24"/>
          <w:szCs w:val="24"/>
        </w:rPr>
      </w:pPr>
      <w:r w:rsidRPr="00AC6AAC">
        <w:rPr>
          <w:rFonts w:ascii="Arial" w:hAnsi="Arial" w:cs="Arial"/>
          <w:sz w:val="24"/>
          <w:szCs w:val="24"/>
        </w:rPr>
        <w:t xml:space="preserve">În prezent se urmăreşte gospodărirea durabilă a apelor pe baza aplicării legislaţiei Uniunii Europene şi înspecial a principiilor Directivei Cadru pentru Apă și Directivei Inundaţii, care au </w:t>
      </w:r>
      <w:r w:rsidRPr="00AC6AAC">
        <w:rPr>
          <w:rFonts w:ascii="Arial" w:hAnsi="Arial" w:cs="Arial"/>
          <w:sz w:val="24"/>
          <w:szCs w:val="24"/>
        </w:rPr>
        <w:lastRenderedPageBreak/>
        <w:t xml:space="preserve">fost transpuse prin Legea Apelor107/1996 cu modificările și completările ulterioare. În acest context, instrumentele de realizare a politicii şistrategiei în domeniul apelor includ </w:t>
      </w:r>
      <w:r>
        <w:rPr>
          <w:rFonts w:ascii="Arial" w:hAnsi="Arial" w:cs="Arial"/>
          <w:sz w:val="24"/>
          <w:szCs w:val="24"/>
        </w:rPr>
        <w:t>S</w:t>
      </w:r>
      <w:r w:rsidRPr="00AC6AAC">
        <w:rPr>
          <w:rFonts w:ascii="Arial" w:hAnsi="Arial" w:cs="Arial"/>
          <w:sz w:val="24"/>
          <w:szCs w:val="24"/>
        </w:rPr>
        <w:t xml:space="preserve">chema </w:t>
      </w:r>
      <w:r>
        <w:rPr>
          <w:rFonts w:ascii="Arial" w:hAnsi="Arial" w:cs="Arial"/>
          <w:sz w:val="24"/>
          <w:szCs w:val="24"/>
        </w:rPr>
        <w:t>D</w:t>
      </w:r>
      <w:r w:rsidRPr="00AC6AAC">
        <w:rPr>
          <w:rFonts w:ascii="Arial" w:hAnsi="Arial" w:cs="Arial"/>
          <w:sz w:val="24"/>
          <w:szCs w:val="24"/>
        </w:rPr>
        <w:t xml:space="preserve">irectoare de </w:t>
      </w:r>
      <w:r>
        <w:rPr>
          <w:rFonts w:ascii="Arial" w:hAnsi="Arial" w:cs="Arial"/>
          <w:sz w:val="24"/>
          <w:szCs w:val="24"/>
        </w:rPr>
        <w:t>Amenajare şi M</w:t>
      </w:r>
      <w:r w:rsidRPr="00AC6AAC">
        <w:rPr>
          <w:rFonts w:ascii="Arial" w:hAnsi="Arial" w:cs="Arial"/>
          <w:sz w:val="24"/>
          <w:szCs w:val="24"/>
        </w:rPr>
        <w:t>anagement a</w:t>
      </w:r>
      <w:r>
        <w:rPr>
          <w:rFonts w:ascii="Arial" w:hAnsi="Arial" w:cs="Arial"/>
          <w:sz w:val="24"/>
          <w:szCs w:val="24"/>
        </w:rPr>
        <w:t>leBazinelor H</w:t>
      </w:r>
      <w:r w:rsidRPr="00AC6AAC">
        <w:rPr>
          <w:rFonts w:ascii="Arial" w:hAnsi="Arial" w:cs="Arial"/>
          <w:sz w:val="24"/>
          <w:szCs w:val="24"/>
        </w:rPr>
        <w:t>idrografice,managementul integrat al apelor pe bazine hidrografice și adaptarea capacităţii instituţionale la cerinţelemanagementului integrat. Pentru realizarea fiecărui obiectiv specific propus au fost planificate numeroaseacţiuni. Unele dintre acestea au fost realizate până în prezent, altele sunt în curs de realizare sau vor fi realizateîn etapa următoare.</w:t>
      </w:r>
    </w:p>
    <w:p w:rsidR="000645BF" w:rsidRDefault="000645BF" w:rsidP="000645BF">
      <w:pPr>
        <w:spacing w:before="120" w:after="120" w:line="240" w:lineRule="auto"/>
        <w:ind w:firstLine="567"/>
        <w:jc w:val="both"/>
        <w:rPr>
          <w:rFonts w:ascii="Arial" w:hAnsi="Arial" w:cs="Arial"/>
          <w:sz w:val="24"/>
          <w:szCs w:val="24"/>
        </w:rPr>
      </w:pPr>
      <w:r w:rsidRPr="00702D49">
        <w:rPr>
          <w:rFonts w:ascii="Arial" w:hAnsi="Arial" w:cs="Arial"/>
          <w:sz w:val="24"/>
          <w:szCs w:val="24"/>
        </w:rPr>
        <w:t>Acţiunile necesare pentru îmbunătăţirea stării apelor de suprafaţă şi a apelor subterane au fost stabilite în cadrul Planurilor de Management ale Bazinelor Hidrografice</w:t>
      </w:r>
      <w:r>
        <w:rPr>
          <w:rFonts w:ascii="Arial" w:hAnsi="Arial" w:cs="Arial"/>
          <w:sz w:val="24"/>
          <w:szCs w:val="24"/>
        </w:rPr>
        <w:t>,</w:t>
      </w:r>
      <w:r w:rsidRPr="00702D49">
        <w:rPr>
          <w:rFonts w:ascii="Arial" w:hAnsi="Arial" w:cs="Arial"/>
          <w:sz w:val="24"/>
          <w:szCs w:val="24"/>
        </w:rPr>
        <w:t xml:space="preserve"> ca parte a Planului de Management al districtului internaţional al Dunării, întocmit în conformitate cu prevederile Directivei Cadru Apa. </w:t>
      </w:r>
      <w:r>
        <w:rPr>
          <w:rFonts w:ascii="Arial" w:hAnsi="Arial" w:cs="Arial"/>
          <w:sz w:val="24"/>
          <w:szCs w:val="24"/>
        </w:rPr>
        <w:t xml:space="preserve">Primele </w:t>
      </w:r>
      <w:r w:rsidRPr="00702D49">
        <w:rPr>
          <w:rFonts w:ascii="Arial" w:hAnsi="Arial" w:cs="Arial"/>
          <w:sz w:val="24"/>
          <w:szCs w:val="24"/>
        </w:rPr>
        <w:t xml:space="preserve">Planuri de Management </w:t>
      </w:r>
      <w:r>
        <w:rPr>
          <w:rFonts w:ascii="Arial" w:hAnsi="Arial" w:cs="Arial"/>
          <w:sz w:val="24"/>
          <w:szCs w:val="24"/>
        </w:rPr>
        <w:t>ale bazinelor/spațiilor hidrografice</w:t>
      </w:r>
      <w:r w:rsidRPr="00702D49">
        <w:rPr>
          <w:rFonts w:ascii="Arial" w:hAnsi="Arial" w:cs="Arial"/>
          <w:sz w:val="24"/>
          <w:szCs w:val="24"/>
        </w:rPr>
        <w:t>, precum și Planul Naţional de Management</w:t>
      </w:r>
      <w:r>
        <w:rPr>
          <w:rFonts w:ascii="Arial" w:hAnsi="Arial" w:cs="Arial"/>
          <w:sz w:val="24"/>
          <w:szCs w:val="24"/>
        </w:rPr>
        <w:t>,</w:t>
      </w:r>
      <w:r w:rsidRPr="00702D49">
        <w:rPr>
          <w:rFonts w:ascii="Arial" w:hAnsi="Arial" w:cs="Arial"/>
          <w:sz w:val="24"/>
          <w:szCs w:val="24"/>
        </w:rPr>
        <w:t xml:space="preserve"> au fost aprobate prin H.G. nr. 80/26.01.2011 </w:t>
      </w:r>
      <w:r w:rsidRPr="006822C0">
        <w:rPr>
          <w:rFonts w:ascii="Arial" w:hAnsi="Arial" w:cs="Arial"/>
          <w:i/>
          <w:sz w:val="24"/>
          <w:szCs w:val="24"/>
        </w:rPr>
        <w:t>pentru aprobarea Planului naţional de management aferent porţiunii din bazinul hidrografic internaţional al fluviului Dunărea care este cuprinsă în teritoriul României</w:t>
      </w:r>
      <w:r>
        <w:rPr>
          <w:rFonts w:ascii="Arial" w:hAnsi="Arial" w:cs="Arial"/>
          <w:i/>
          <w:sz w:val="24"/>
          <w:szCs w:val="24"/>
        </w:rPr>
        <w:t xml:space="preserve">. </w:t>
      </w:r>
      <w:r>
        <w:rPr>
          <w:rFonts w:ascii="Arial" w:hAnsi="Arial" w:cs="Arial"/>
          <w:sz w:val="24"/>
          <w:szCs w:val="24"/>
        </w:rPr>
        <w:t xml:space="preserve">Conform ciclului de planificare următor de 6 ani, România a elaborat și făcut public la 22 decembrie 2014 </w:t>
      </w:r>
      <w:r w:rsidRPr="002F6417">
        <w:rPr>
          <w:rFonts w:ascii="Arial" w:hAnsi="Arial" w:cs="Arial"/>
          <w:sz w:val="24"/>
          <w:szCs w:val="24"/>
        </w:rPr>
        <w:t>proiectul Planului Național de Management aferent porţiunii din bazinul hidrografic internaţional al fluviului Dunărea care este cuprinsă în teritoriul României</w:t>
      </w:r>
      <w:r w:rsidRPr="00906ED9">
        <w:rPr>
          <w:rFonts w:ascii="Arial" w:hAnsi="Arial" w:cs="Arial"/>
          <w:sz w:val="24"/>
          <w:szCs w:val="24"/>
        </w:rPr>
        <w:t>,</w:t>
      </w:r>
      <w:r w:rsidRPr="00702D49">
        <w:rPr>
          <w:rFonts w:ascii="Arial" w:hAnsi="Arial" w:cs="Arial"/>
          <w:sz w:val="24"/>
          <w:szCs w:val="24"/>
        </w:rPr>
        <w:t>pentru perioada 2016-2021. Ca și în cazul primului ciclu de planificare</w:t>
      </w:r>
      <w:r>
        <w:rPr>
          <w:rFonts w:ascii="Arial" w:hAnsi="Arial" w:cs="Arial"/>
          <w:sz w:val="24"/>
          <w:szCs w:val="24"/>
        </w:rPr>
        <w:t xml:space="preserve"> 2009-2015</w:t>
      </w:r>
      <w:r w:rsidRPr="00702D49">
        <w:rPr>
          <w:rFonts w:ascii="Arial" w:hAnsi="Arial" w:cs="Arial"/>
          <w:sz w:val="24"/>
          <w:szCs w:val="24"/>
        </w:rPr>
        <w:t>, în elaborarea proiectelor Planurilor de Management la nivel bazinal și național s-au luat în considerare recomandările ghidurilor și documentelor dezvoltate în cadrul Strategiei Comune de Implementare a Directivei Cadru Apă</w:t>
      </w:r>
      <w:r>
        <w:rPr>
          <w:rFonts w:ascii="Arial" w:hAnsi="Arial" w:cs="Arial"/>
          <w:sz w:val="24"/>
          <w:szCs w:val="24"/>
        </w:rPr>
        <w:t>, precum și</w:t>
      </w:r>
      <w:r w:rsidRPr="00702D49">
        <w:rPr>
          <w:rFonts w:ascii="Arial" w:hAnsi="Arial" w:cs="Arial"/>
          <w:sz w:val="24"/>
          <w:szCs w:val="24"/>
        </w:rPr>
        <w:t xml:space="preserve"> cerințele formulate în Ghidul de raportare a Directivei Cadru Apă 2016, elaborat de Comisia Europeană împreună cu Statele Membre în anul 2014.</w:t>
      </w:r>
    </w:p>
    <w:p w:rsidR="000645BF" w:rsidRDefault="000645BF" w:rsidP="000645BF">
      <w:pPr>
        <w:spacing w:before="120" w:after="120" w:line="240" w:lineRule="auto"/>
        <w:ind w:firstLine="567"/>
        <w:jc w:val="both"/>
        <w:rPr>
          <w:rFonts w:ascii="Arial" w:hAnsi="Arial" w:cs="Arial"/>
          <w:sz w:val="24"/>
          <w:szCs w:val="24"/>
        </w:rPr>
      </w:pPr>
      <w:r w:rsidRPr="00702D49">
        <w:rPr>
          <w:rFonts w:ascii="Arial" w:hAnsi="Arial" w:cs="Arial"/>
          <w:sz w:val="24"/>
          <w:szCs w:val="24"/>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w:t>
      </w:r>
      <w:r>
        <w:rPr>
          <w:rFonts w:ascii="Arial" w:hAnsi="Arial" w:cs="Arial"/>
          <w:sz w:val="24"/>
          <w:szCs w:val="24"/>
        </w:rPr>
        <w:t>au fost</w:t>
      </w:r>
      <w:r w:rsidRPr="00702D49">
        <w:rPr>
          <w:rFonts w:ascii="Arial" w:hAnsi="Arial" w:cs="Arial"/>
          <w:sz w:val="24"/>
          <w:szCs w:val="24"/>
        </w:rPr>
        <w:t xml:space="preserve"> publicate pe website-urile Administrației Naționale </w:t>
      </w:r>
      <w:r>
        <w:rPr>
          <w:rFonts w:ascii="Arial" w:hAnsi="Arial" w:cs="Arial"/>
          <w:sz w:val="24"/>
          <w:szCs w:val="24"/>
        </w:rPr>
        <w:t>„</w:t>
      </w:r>
      <w:r w:rsidRPr="00702D49">
        <w:rPr>
          <w:rFonts w:ascii="Arial" w:hAnsi="Arial" w:cs="Arial"/>
          <w:sz w:val="24"/>
          <w:szCs w:val="24"/>
        </w:rPr>
        <w:t>Apele Române</w:t>
      </w:r>
      <w:r>
        <w:rPr>
          <w:rFonts w:ascii="Arial" w:hAnsi="Arial" w:cs="Arial"/>
          <w:sz w:val="24"/>
          <w:szCs w:val="24"/>
        </w:rPr>
        <w:t xml:space="preserve">” </w:t>
      </w:r>
      <w:r w:rsidRPr="00702D49">
        <w:rPr>
          <w:rFonts w:ascii="Arial" w:hAnsi="Arial" w:cs="Arial"/>
          <w:sz w:val="24"/>
          <w:szCs w:val="24"/>
        </w:rPr>
        <w:t xml:space="preserve">și ale  Administrațiilor Bazinale de Ape şi </w:t>
      </w:r>
      <w:r>
        <w:rPr>
          <w:rFonts w:ascii="Arial" w:hAnsi="Arial" w:cs="Arial"/>
          <w:sz w:val="24"/>
          <w:szCs w:val="24"/>
        </w:rPr>
        <w:t xml:space="preserve">au fost </w:t>
      </w:r>
      <w:r w:rsidRPr="00702D49">
        <w:rPr>
          <w:rFonts w:ascii="Arial" w:hAnsi="Arial" w:cs="Arial"/>
          <w:sz w:val="24"/>
          <w:szCs w:val="24"/>
        </w:rPr>
        <w:t xml:space="preserve"> supuse consultării publice pentru cel puțin o perioadă de 6 luni (22 iunie 2015).</w:t>
      </w:r>
    </w:p>
    <w:p w:rsidR="000645BF" w:rsidRDefault="000645BF" w:rsidP="000645BF">
      <w:pPr>
        <w:spacing w:before="120" w:after="120" w:line="240" w:lineRule="auto"/>
        <w:ind w:firstLine="567"/>
        <w:jc w:val="both"/>
        <w:rPr>
          <w:rFonts w:ascii="Arial" w:hAnsi="Arial" w:cs="Arial"/>
          <w:sz w:val="24"/>
          <w:szCs w:val="24"/>
        </w:rPr>
      </w:pPr>
      <w:r w:rsidRPr="00906ED9">
        <w:rPr>
          <w:rFonts w:ascii="Arial" w:hAnsi="Arial" w:cs="Arial"/>
          <w:sz w:val="24"/>
          <w:szCs w:val="24"/>
        </w:rPr>
        <w:t>La sfârşitul anului 2015, cele 11 Planuri de Management Bazinale, au fost avizate de către Comitetel</w:t>
      </w:r>
      <w:r>
        <w:rPr>
          <w:rFonts w:ascii="Arial" w:hAnsi="Arial" w:cs="Arial"/>
          <w:sz w:val="24"/>
          <w:szCs w:val="24"/>
        </w:rPr>
        <w:t>e</w:t>
      </w:r>
      <w:r w:rsidRPr="00906ED9">
        <w:rPr>
          <w:rFonts w:ascii="Arial" w:hAnsi="Arial" w:cs="Arial"/>
          <w:sz w:val="24"/>
          <w:szCs w:val="24"/>
        </w:rPr>
        <w:t xml:space="preserve"> de Bazin, și au fost publicate la 22 decembrie 2015 pe website-urile Administraţiilor Bazinale de Apă și al Administrației Naționale ”Apele Române”, în conformitate cu prevederile D</w:t>
      </w:r>
      <w:r>
        <w:rPr>
          <w:rFonts w:ascii="Arial" w:hAnsi="Arial" w:cs="Arial"/>
          <w:sz w:val="24"/>
          <w:szCs w:val="24"/>
        </w:rPr>
        <w:t>irectivei Cadru Apă</w:t>
      </w:r>
      <w:r w:rsidRPr="00906ED9">
        <w:rPr>
          <w:rFonts w:ascii="Arial" w:hAnsi="Arial" w:cs="Arial"/>
          <w:sz w:val="24"/>
          <w:szCs w:val="24"/>
        </w:rPr>
        <w:t>.</w:t>
      </w:r>
    </w:p>
    <w:p w:rsidR="000645BF" w:rsidRDefault="000645BF" w:rsidP="000645BF">
      <w:pPr>
        <w:spacing w:before="120" w:after="120" w:line="240" w:lineRule="auto"/>
        <w:ind w:firstLine="567"/>
        <w:jc w:val="both"/>
        <w:rPr>
          <w:rFonts w:ascii="Arial" w:hAnsi="Arial" w:cs="Arial"/>
          <w:i/>
          <w:sz w:val="24"/>
          <w:szCs w:val="24"/>
        </w:rPr>
      </w:pPr>
      <w:r>
        <w:rPr>
          <w:rFonts w:ascii="Arial" w:hAnsi="Arial" w:cs="Arial"/>
          <w:sz w:val="24"/>
          <w:szCs w:val="24"/>
        </w:rPr>
        <w:t xml:space="preserve">În  cadrul procesului de evaluare strategică de mediu, </w:t>
      </w:r>
      <w:r w:rsidRPr="00906ED9">
        <w:rPr>
          <w:rFonts w:ascii="Arial" w:hAnsi="Arial" w:cs="Arial"/>
          <w:sz w:val="24"/>
          <w:szCs w:val="24"/>
        </w:rPr>
        <w:t xml:space="preserve">în conformitate cu prevederile HG nr. 1076/2004 privind stabilirea procedurii de realizare a evaluării de mediu pentru planuri şi programe, </w:t>
      </w:r>
      <w:r>
        <w:rPr>
          <w:rFonts w:ascii="Arial" w:hAnsi="Arial" w:cs="Arial"/>
          <w:sz w:val="24"/>
          <w:szCs w:val="24"/>
        </w:rPr>
        <w:t xml:space="preserve">s-a stabilit </w:t>
      </w:r>
      <w:r w:rsidRPr="002F6417">
        <w:rPr>
          <w:rFonts w:ascii="Arial" w:hAnsi="Arial" w:cs="Arial"/>
          <w:sz w:val="24"/>
          <w:szCs w:val="24"/>
        </w:rPr>
        <w:t>că Planul Național de Management aferent porțiunii din Bazinul Hidrografic Internațional al fluviului Dunărea care este cuprinsă în teritoriul României pentru perioada 2016 – 2021</w:t>
      </w:r>
      <w:r w:rsidRPr="00942FE7">
        <w:rPr>
          <w:rFonts w:ascii="Arial" w:hAnsi="Arial" w:cs="Arial"/>
          <w:sz w:val="24"/>
          <w:szCs w:val="24"/>
        </w:rPr>
        <w:t xml:space="preserve"> nu are efecte semnificative asupra mediului</w:t>
      </w:r>
      <w:r>
        <w:rPr>
          <w:rFonts w:ascii="Arial" w:hAnsi="Arial" w:cs="Arial"/>
          <w:sz w:val="24"/>
          <w:szCs w:val="24"/>
        </w:rPr>
        <w:t>, nu necesită evaluare de mediu și</w:t>
      </w:r>
      <w:r w:rsidRPr="00942FE7">
        <w:rPr>
          <w:rFonts w:ascii="Arial" w:hAnsi="Arial" w:cs="Arial"/>
          <w:sz w:val="24"/>
          <w:szCs w:val="24"/>
        </w:rPr>
        <w:t xml:space="preserve"> poate fi supus procedurii de adoptare fără aviz de mediu.</w:t>
      </w:r>
    </w:p>
    <w:p w:rsidR="000645BF" w:rsidRPr="003E0BE1" w:rsidRDefault="000645BF" w:rsidP="000645BF">
      <w:pPr>
        <w:spacing w:before="120" w:after="120" w:line="240" w:lineRule="auto"/>
        <w:ind w:firstLine="567"/>
        <w:jc w:val="both"/>
        <w:rPr>
          <w:rFonts w:ascii="Arial" w:hAnsi="Arial" w:cs="Arial"/>
          <w:sz w:val="24"/>
          <w:szCs w:val="24"/>
        </w:rPr>
      </w:pPr>
      <w:r w:rsidRPr="00A41C40">
        <w:rPr>
          <w:rFonts w:ascii="Arial" w:hAnsi="Arial" w:cs="Arial"/>
          <w:sz w:val="24"/>
          <w:szCs w:val="24"/>
        </w:rPr>
        <w:t>Planul Naţional de Management aferent porţiunii româneşti a bazinului hidrografic internaţional al fluviului Dunărea</w:t>
      </w:r>
      <w:r>
        <w:rPr>
          <w:rFonts w:ascii="Arial" w:hAnsi="Arial" w:cs="Arial"/>
          <w:sz w:val="24"/>
          <w:szCs w:val="24"/>
        </w:rPr>
        <w:t>, precum și</w:t>
      </w:r>
      <w:r w:rsidRPr="00A41C40">
        <w:rPr>
          <w:rFonts w:ascii="Arial" w:hAnsi="Arial" w:cs="Arial"/>
          <w:sz w:val="24"/>
          <w:szCs w:val="24"/>
        </w:rPr>
        <w:t xml:space="preserve"> cele 11 Planuri de management ale bazinelor hidrografice, </w:t>
      </w:r>
      <w:r>
        <w:rPr>
          <w:rFonts w:ascii="Arial" w:hAnsi="Arial" w:cs="Arial"/>
          <w:sz w:val="24"/>
          <w:szCs w:val="24"/>
        </w:rPr>
        <w:t xml:space="preserve">elaborate </w:t>
      </w:r>
      <w:r w:rsidRPr="00A41C40">
        <w:rPr>
          <w:rFonts w:ascii="Arial" w:hAnsi="Arial" w:cs="Arial"/>
          <w:sz w:val="24"/>
          <w:szCs w:val="24"/>
        </w:rPr>
        <w:t>în conformitate cu cerinţele art. 13 al  Directivei Cadru Apă 2000/60/CE</w:t>
      </w:r>
      <w:r>
        <w:rPr>
          <w:rFonts w:ascii="Arial" w:hAnsi="Arial" w:cs="Arial"/>
          <w:sz w:val="24"/>
          <w:szCs w:val="24"/>
        </w:rPr>
        <w:t xml:space="preserve">, au </w:t>
      </w:r>
      <w:r w:rsidRPr="00A41C40">
        <w:rPr>
          <w:rFonts w:ascii="Arial" w:hAnsi="Arial" w:cs="Arial"/>
          <w:sz w:val="24"/>
          <w:szCs w:val="24"/>
        </w:rPr>
        <w:t xml:space="preserve">fost </w:t>
      </w:r>
      <w:r>
        <w:rPr>
          <w:rFonts w:ascii="Arial" w:hAnsi="Arial" w:cs="Arial"/>
          <w:sz w:val="24"/>
          <w:szCs w:val="24"/>
        </w:rPr>
        <w:t xml:space="preserve">actualizate și </w:t>
      </w:r>
      <w:r w:rsidRPr="00A41C40">
        <w:rPr>
          <w:rFonts w:ascii="Arial" w:hAnsi="Arial" w:cs="Arial"/>
          <w:sz w:val="24"/>
          <w:szCs w:val="24"/>
        </w:rPr>
        <w:t>aprobat</w:t>
      </w:r>
      <w:r>
        <w:rPr>
          <w:rFonts w:ascii="Arial" w:hAnsi="Arial" w:cs="Arial"/>
          <w:sz w:val="24"/>
          <w:szCs w:val="24"/>
        </w:rPr>
        <w:t>e</w:t>
      </w:r>
      <w:r w:rsidRPr="00A41C40">
        <w:rPr>
          <w:rFonts w:ascii="Arial" w:hAnsi="Arial" w:cs="Arial"/>
          <w:sz w:val="24"/>
          <w:szCs w:val="24"/>
        </w:rPr>
        <w:t xml:space="preserve"> prin </w:t>
      </w:r>
      <w:r w:rsidRPr="00A41C40">
        <w:rPr>
          <w:rFonts w:ascii="Arial" w:hAnsi="Arial" w:cs="Arial"/>
          <w:b/>
          <w:i/>
          <w:sz w:val="24"/>
          <w:szCs w:val="24"/>
        </w:rPr>
        <w:t>H</w:t>
      </w:r>
      <w:r>
        <w:rPr>
          <w:rFonts w:ascii="Arial" w:hAnsi="Arial" w:cs="Arial"/>
          <w:b/>
          <w:i/>
          <w:sz w:val="24"/>
          <w:szCs w:val="24"/>
        </w:rPr>
        <w:t>otărârea de Guvern</w:t>
      </w:r>
      <w:r w:rsidRPr="00A41C40">
        <w:rPr>
          <w:rFonts w:ascii="Arial" w:hAnsi="Arial" w:cs="Arial"/>
          <w:b/>
          <w:i/>
          <w:sz w:val="24"/>
          <w:szCs w:val="24"/>
        </w:rPr>
        <w:t xml:space="preserve">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w:t>
      </w:r>
      <w:r>
        <w:rPr>
          <w:rFonts w:ascii="Arial" w:hAnsi="Arial" w:cs="Arial"/>
          <w:b/>
          <w:i/>
          <w:sz w:val="24"/>
          <w:szCs w:val="24"/>
        </w:rPr>
        <w:t xml:space="preserve">.  </w:t>
      </w:r>
      <w:r w:rsidRPr="003E0BE1">
        <w:rPr>
          <w:rFonts w:ascii="Arial" w:hAnsi="Arial" w:cs="Arial"/>
          <w:sz w:val="24"/>
          <w:szCs w:val="24"/>
        </w:rPr>
        <w:t xml:space="preserve">Planul Naţional de Management actualizat aferent porţiunii româneşti a bazinului hidrografic internaţional al fluviului Dunărea </w:t>
      </w:r>
      <w:r>
        <w:rPr>
          <w:rFonts w:ascii="Arial" w:hAnsi="Arial" w:cs="Arial"/>
          <w:sz w:val="24"/>
          <w:szCs w:val="24"/>
        </w:rPr>
        <w:t xml:space="preserve">a fost raportat în </w:t>
      </w:r>
      <w:r w:rsidRPr="003E0BE1">
        <w:rPr>
          <w:rFonts w:ascii="Arial" w:hAnsi="Arial" w:cs="Arial"/>
          <w:sz w:val="24"/>
          <w:szCs w:val="24"/>
        </w:rPr>
        <w:t xml:space="preserve"> Sistemul European Informatic pentru Apă (WISE) și anvelopa de raportare a fost închisă (via Agenţia Europeană de Mediu - Reportnet) la data de 16 decembrie 2016</w:t>
      </w:r>
      <w:r>
        <w:rPr>
          <w:rFonts w:ascii="Arial" w:hAnsi="Arial" w:cs="Arial"/>
          <w:sz w:val="24"/>
          <w:szCs w:val="24"/>
        </w:rPr>
        <w:t>.</w:t>
      </w:r>
    </w:p>
    <w:p w:rsidR="000645BF" w:rsidRDefault="000645BF" w:rsidP="000645BF">
      <w:pPr>
        <w:spacing w:before="120" w:after="120" w:line="240" w:lineRule="auto"/>
        <w:ind w:firstLine="567"/>
        <w:jc w:val="both"/>
        <w:rPr>
          <w:rFonts w:ascii="Arial" w:hAnsi="Arial" w:cs="Arial"/>
          <w:sz w:val="24"/>
          <w:szCs w:val="24"/>
        </w:rPr>
      </w:pPr>
      <w:r w:rsidRPr="00702D49">
        <w:rPr>
          <w:rFonts w:ascii="Arial" w:hAnsi="Arial" w:cs="Arial"/>
          <w:sz w:val="24"/>
          <w:szCs w:val="24"/>
        </w:rPr>
        <w:t xml:space="preserve">Prin implementarea şi monitorizarea programelor de măsuri se vor atinge obiectivele de mediu pentru corpurile de apă, respectiv starea </w:t>
      </w:r>
      <w:r>
        <w:rPr>
          <w:rFonts w:ascii="Arial" w:hAnsi="Arial" w:cs="Arial"/>
          <w:sz w:val="24"/>
          <w:szCs w:val="24"/>
        </w:rPr>
        <w:t xml:space="preserve">ecologică </w:t>
      </w:r>
      <w:r w:rsidRPr="00702D49">
        <w:rPr>
          <w:rFonts w:ascii="Arial" w:hAnsi="Arial" w:cs="Arial"/>
          <w:sz w:val="24"/>
          <w:szCs w:val="24"/>
        </w:rPr>
        <w:t xml:space="preserve">bună și potenţialul ecologic bun. </w:t>
      </w:r>
      <w:r w:rsidRPr="001E757B">
        <w:rPr>
          <w:rFonts w:ascii="Arial" w:hAnsi="Arial" w:cs="Arial"/>
          <w:sz w:val="24"/>
          <w:szCs w:val="24"/>
        </w:rPr>
        <w:t xml:space="preserve">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w:t>
      </w:r>
      <w:r w:rsidRPr="001E757B">
        <w:rPr>
          <w:rFonts w:ascii="Arial" w:hAnsi="Arial" w:cs="Arial"/>
          <w:sz w:val="24"/>
          <w:szCs w:val="24"/>
        </w:rPr>
        <w:lastRenderedPageBreak/>
        <w:t xml:space="preserve">termene de implementare se încadrează în perioada 2009-2015. De asemenea, au fost luate în considerare și măsurile din primul Plan de management care erau planificate să se realizeze după anul 2015, dar care au început să se implementeze în avans.În perioada 2009-2015 </w:t>
      </w:r>
      <w:r>
        <w:rPr>
          <w:rFonts w:ascii="Arial" w:hAnsi="Arial" w:cs="Arial"/>
          <w:sz w:val="24"/>
          <w:szCs w:val="24"/>
        </w:rPr>
        <w:t xml:space="preserve">sunt </w:t>
      </w:r>
      <w:r w:rsidRPr="001E757B">
        <w:rPr>
          <w:rFonts w:ascii="Arial" w:hAnsi="Arial" w:cs="Arial"/>
          <w:sz w:val="24"/>
          <w:szCs w:val="24"/>
        </w:rPr>
        <w:t>implement</w:t>
      </w:r>
      <w:r>
        <w:rPr>
          <w:rFonts w:ascii="Arial" w:hAnsi="Arial" w:cs="Arial"/>
          <w:sz w:val="24"/>
          <w:szCs w:val="24"/>
        </w:rPr>
        <w:t xml:space="preserve">ateși se vor realiza </w:t>
      </w:r>
      <w:r w:rsidRPr="001E757B">
        <w:rPr>
          <w:rFonts w:ascii="Arial" w:hAnsi="Arial" w:cs="Arial"/>
          <w:sz w:val="24"/>
          <w:szCs w:val="24"/>
        </w:rPr>
        <w:t xml:space="preserve">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w:t>
      </w:r>
      <w:r>
        <w:rPr>
          <w:rFonts w:ascii="Arial" w:hAnsi="Arial" w:cs="Arial"/>
          <w:sz w:val="24"/>
          <w:szCs w:val="24"/>
        </w:rPr>
        <w:t>surselor</w:t>
      </w:r>
      <w:r w:rsidRPr="001E757B">
        <w:rPr>
          <w:rFonts w:ascii="Arial" w:hAnsi="Arial" w:cs="Arial"/>
          <w:sz w:val="24"/>
          <w:szCs w:val="24"/>
        </w:rPr>
        <w:t xml:space="preserve"> de poluare </w:t>
      </w:r>
      <w:r>
        <w:rPr>
          <w:rFonts w:ascii="Arial" w:hAnsi="Arial" w:cs="Arial"/>
          <w:sz w:val="24"/>
          <w:szCs w:val="24"/>
        </w:rPr>
        <w:t xml:space="preserve">punctiforme și difuze </w:t>
      </w:r>
      <w:r w:rsidRPr="001E757B">
        <w:rPr>
          <w:rFonts w:ascii="Arial" w:hAnsi="Arial" w:cs="Arial"/>
          <w:sz w:val="24"/>
          <w:szCs w:val="24"/>
        </w:rPr>
        <w:t>și alterarilor hidromorfologice. De asemenea, o serie de măsuri suplimentare planificate au fost realizate sau sunt in curs de implementare până la sfârșitul anului 2015.</w:t>
      </w:r>
    </w:p>
    <w:p w:rsidR="000645BF" w:rsidRDefault="000645BF" w:rsidP="000645BF">
      <w:pPr>
        <w:spacing w:before="120" w:after="120" w:line="240" w:lineRule="auto"/>
        <w:ind w:firstLine="567"/>
        <w:jc w:val="both"/>
        <w:rPr>
          <w:rFonts w:ascii="Arial" w:hAnsi="Arial" w:cs="Arial"/>
          <w:sz w:val="24"/>
          <w:szCs w:val="24"/>
        </w:rPr>
      </w:pPr>
      <w:r w:rsidRPr="00906ED9">
        <w:rPr>
          <w:rFonts w:ascii="Arial" w:hAnsi="Arial" w:cs="Arial"/>
          <w:sz w:val="24"/>
          <w:szCs w:val="24"/>
        </w:rPr>
        <w:t xml:space="preserve">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w:t>
      </w:r>
      <w:r>
        <w:rPr>
          <w:rFonts w:ascii="Arial" w:hAnsi="Arial" w:cs="Arial"/>
          <w:sz w:val="24"/>
          <w:szCs w:val="24"/>
        </w:rPr>
        <w:t xml:space="preserve">Strategiei comune pentru implementarea Directivei cadru Apă ( </w:t>
      </w:r>
      <w:r w:rsidRPr="00906ED9">
        <w:rPr>
          <w:rFonts w:ascii="Arial" w:hAnsi="Arial" w:cs="Arial"/>
          <w:sz w:val="24"/>
          <w:szCs w:val="24"/>
        </w:rPr>
        <w:t>CIS WFD</w:t>
      </w:r>
      <w:r>
        <w:rPr>
          <w:rFonts w:ascii="Arial" w:hAnsi="Arial" w:cs="Arial"/>
          <w:sz w:val="24"/>
          <w:szCs w:val="24"/>
        </w:rPr>
        <w:t>)</w:t>
      </w:r>
      <w:r w:rsidRPr="00906ED9">
        <w:rPr>
          <w:rFonts w:ascii="Arial" w:hAnsi="Arial" w:cs="Arial"/>
          <w:sz w:val="24"/>
          <w:szCs w:val="24"/>
        </w:rPr>
        <w:t xml:space="preserve"> măsuri de stocare naturală a apelor (NWRM), măsuri de reducere a pierderilor de apă, măsuri de reutilizare a apelor, măsuri în contextul schimbărilor climatice, etc.</w:t>
      </w:r>
    </w:p>
    <w:p w:rsidR="000645BF"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t>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w:t>
      </w:r>
      <w:r>
        <w:rPr>
          <w:rFonts w:ascii="Arial" w:hAnsi="Arial" w:cs="Arial"/>
          <w:sz w:val="24"/>
          <w:szCs w:val="24"/>
        </w:rPr>
        <w:t xml:space="preserve">irectivei Cadru Apă </w:t>
      </w:r>
      <w:r w:rsidRPr="00D0578F">
        <w:rPr>
          <w:rFonts w:ascii="Arial" w:hAnsi="Arial" w:cs="Arial"/>
          <w:sz w:val="24"/>
          <w:szCs w:val="24"/>
        </w:rPr>
        <w:t xml:space="preserve">(de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0645BF"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0645BF"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 xml:space="preserve">De asemenea, Strategia naţională de management al riscului la inundaţii pe termen mediu </w:t>
      </w:r>
      <w:r>
        <w:rPr>
          <w:rFonts w:ascii="Arial" w:hAnsi="Arial" w:cs="Arial"/>
          <w:sz w:val="24"/>
          <w:szCs w:val="24"/>
        </w:rPr>
        <w:t>ș</w:t>
      </w:r>
      <w:r w:rsidRPr="00B821D3">
        <w:rPr>
          <w:rFonts w:ascii="Arial" w:hAnsi="Arial" w:cs="Arial"/>
          <w:sz w:val="24"/>
          <w:szCs w:val="24"/>
        </w:rPr>
        <w:t>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0645BF" w:rsidRPr="00B821D3"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 xml:space="preserve">La nivel național, măsurile propuse în cadrul </w:t>
      </w:r>
      <w:r w:rsidRPr="00B821D3">
        <w:rPr>
          <w:rFonts w:ascii="Arial" w:hAnsi="Arial" w:cs="Arial"/>
          <w:i/>
          <w:sz w:val="24"/>
          <w:szCs w:val="24"/>
        </w:rPr>
        <w:t xml:space="preserve">Planului de Management al </w:t>
      </w:r>
      <w:r w:rsidRPr="00B821D3">
        <w:rPr>
          <w:rFonts w:ascii="Arial" w:hAnsi="Arial" w:cs="Arial"/>
          <w:bCs/>
          <w:i/>
          <w:iCs/>
          <w:sz w:val="24"/>
          <w:szCs w:val="24"/>
        </w:rPr>
        <w:t>fluviului Dunărea, Deltei Dunării, Spaţiului hidrografic Dobrogea şi Apelor Costiere</w:t>
      </w:r>
      <w:r w:rsidRPr="00B821D3">
        <w:rPr>
          <w:rFonts w:ascii="Arial" w:hAnsi="Arial" w:cs="Arial"/>
          <w:sz w:val="24"/>
          <w:szCs w:val="24"/>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B821D3">
        <w:rPr>
          <w:rFonts w:ascii="Arial" w:hAnsi="Arial" w:cs="Arial"/>
          <w:i/>
          <w:sz w:val="24"/>
          <w:szCs w:val="24"/>
        </w:rPr>
        <w:t>Programul de Măsuri aferent</w:t>
      </w:r>
      <w:r w:rsidRPr="00B821D3">
        <w:rPr>
          <w:rFonts w:ascii="Arial" w:hAnsi="Arial" w:cs="Arial"/>
          <w:sz w:val="24"/>
          <w:szCs w:val="24"/>
        </w:rPr>
        <w:t xml:space="preserve"> implementării Directivei Cadru Strategia pentru Mediul Marin.</w:t>
      </w:r>
    </w:p>
    <w:p w:rsidR="000645BF"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 xml:space="preserve">La nivel internațional, măsurile propuse în cadrul </w:t>
      </w:r>
      <w:r w:rsidRPr="00B821D3">
        <w:rPr>
          <w:rFonts w:ascii="Arial" w:hAnsi="Arial" w:cs="Arial"/>
          <w:i/>
          <w:sz w:val="24"/>
          <w:szCs w:val="24"/>
        </w:rPr>
        <w:t>Planului de Management al Districtului Internațional al Dunării</w:t>
      </w:r>
      <w:r w:rsidRPr="00B821D3">
        <w:rPr>
          <w:rFonts w:ascii="Arial" w:hAnsi="Arial" w:cs="Arial"/>
          <w:sz w:val="24"/>
          <w:szCs w:val="24"/>
        </w:rPr>
        <w:t xml:space="preserve"> vor contribui în cea mai mare parte la reducerea aportului poluării zonei costiere și marine și vor fi luate în considerare la stabilirea </w:t>
      </w:r>
      <w:r w:rsidRPr="00B821D3">
        <w:rPr>
          <w:rFonts w:ascii="Arial" w:hAnsi="Arial" w:cs="Arial"/>
          <w:i/>
          <w:sz w:val="24"/>
          <w:szCs w:val="24"/>
        </w:rPr>
        <w:t xml:space="preserve">Programul de Măsuri </w:t>
      </w:r>
      <w:r w:rsidRPr="00B821D3">
        <w:rPr>
          <w:rFonts w:ascii="Arial" w:hAnsi="Arial" w:cs="Arial"/>
          <w:sz w:val="24"/>
          <w:szCs w:val="24"/>
        </w:rPr>
        <w:t>aferent implementării Directivei Cadru Strategia pentru Mediul Marin.</w:t>
      </w:r>
      <w:r w:rsidRPr="00D0578F">
        <w:rPr>
          <w:rFonts w:ascii="Arial" w:hAnsi="Arial" w:cs="Arial"/>
          <w:sz w:val="24"/>
          <w:szCs w:val="24"/>
        </w:rPr>
        <w:t>În decembrie 2012, Strategia</w:t>
      </w:r>
      <w:r>
        <w:rPr>
          <w:rFonts w:ascii="Arial" w:hAnsi="Arial" w:cs="Arial"/>
          <w:sz w:val="24"/>
          <w:szCs w:val="24"/>
        </w:rPr>
        <w:t xml:space="preserve"> </w:t>
      </w:r>
      <w:r>
        <w:rPr>
          <w:rFonts w:ascii="Arial" w:hAnsi="Arial" w:cs="Arial"/>
          <w:sz w:val="24"/>
          <w:szCs w:val="24"/>
        </w:rPr>
        <w:lastRenderedPageBreak/>
        <w:t xml:space="preserve">Comisiei Internaționale pentru Protecția Fluviului Dunărea (ICPDR) </w:t>
      </w:r>
      <w:r w:rsidRPr="00D0578F">
        <w:rPr>
          <w:rFonts w:ascii="Arial" w:hAnsi="Arial" w:cs="Arial"/>
          <w:sz w:val="24"/>
          <w:szCs w:val="24"/>
        </w:rPr>
        <w:t>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spre integrarea adaptării la schimbări climatice în activitățile ICPDR și în următoarele cicluri de planificare. În România, Strategia naţională privind schimbările climatice a fost adoptată prin Hotărârea Guvernului nr.</w:t>
      </w:r>
      <w:r w:rsidRPr="00985C00">
        <w:rPr>
          <w:rFonts w:ascii="Arial" w:hAnsi="Arial" w:cs="Arial"/>
          <w:sz w:val="24"/>
          <w:szCs w:val="24"/>
        </w:rPr>
        <w:t xml:space="preserve"> 529/2013 pentru aprobarea Strategiei naţionale a României privind schimbările climatice 2013-2020</w:t>
      </w:r>
      <w:r>
        <w:rPr>
          <w:rFonts w:ascii="Arial" w:hAnsi="Arial" w:cs="Arial"/>
          <w:sz w:val="24"/>
          <w:szCs w:val="24"/>
        </w:rPr>
        <w:t>,</w:t>
      </w:r>
      <w:r w:rsidRPr="00985C00">
        <w:rPr>
          <w:rFonts w:ascii="Arial" w:hAnsi="Arial" w:cs="Arial"/>
          <w:sz w:val="24"/>
          <w:szCs w:val="24"/>
        </w:rPr>
        <w:t xml:space="preserve"> prin </w:t>
      </w:r>
      <w:r>
        <w:rPr>
          <w:rFonts w:ascii="Arial" w:hAnsi="Arial" w:cs="Arial"/>
          <w:sz w:val="24"/>
          <w:szCs w:val="24"/>
        </w:rPr>
        <w:t xml:space="preserve">implementarea acesteia </w:t>
      </w:r>
      <w:r w:rsidRPr="00985C00">
        <w:rPr>
          <w:rFonts w:ascii="Arial" w:hAnsi="Arial" w:cs="Arial"/>
          <w:sz w:val="24"/>
          <w:szCs w:val="24"/>
        </w:rPr>
        <w:t>urmărindu-se reducerea emisiilor de gaze cu efect de seră și adaptarea la efectele negative, inevitabile ale schimbărilor climatice asupra sistemelor naturale și antropice</w:t>
      </w:r>
      <w:r w:rsidRPr="00D0578F">
        <w:rPr>
          <w:rFonts w:ascii="Arial" w:hAnsi="Arial" w:cs="Arial"/>
          <w:sz w:val="24"/>
          <w:szCs w:val="24"/>
        </w:rPr>
        <w:t>.</w:t>
      </w:r>
    </w:p>
    <w:p w:rsidR="000645BF"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w:t>
      </w:r>
      <w:r>
        <w:rPr>
          <w:rFonts w:ascii="Arial" w:hAnsi="Arial" w:cs="Arial"/>
          <w:sz w:val="24"/>
          <w:szCs w:val="24"/>
        </w:rPr>
        <w:t xml:space="preserve"> În România, potrivit datelor EUROSTAT, indicele de exploatare al apei WEI+ pentru România se află sub limita de 20% care constituie pragul de vertizare pentru deficitul de apă și cu mult sub 40% care constituie limita pentru deficitul sever de apă.</w:t>
      </w:r>
    </w:p>
    <w:p w:rsidR="000645BF" w:rsidRDefault="000645BF" w:rsidP="000645BF">
      <w:pPr>
        <w:spacing w:before="120" w:after="120" w:line="240" w:lineRule="auto"/>
        <w:ind w:firstLine="567"/>
        <w:jc w:val="both"/>
        <w:rPr>
          <w:rFonts w:ascii="Arial" w:hAnsi="Arial" w:cs="Arial"/>
          <w:sz w:val="24"/>
          <w:szCs w:val="24"/>
        </w:rPr>
      </w:pPr>
      <w:r>
        <w:rPr>
          <w:rFonts w:ascii="Arial" w:hAnsi="Arial" w:cs="Arial"/>
          <w:sz w:val="24"/>
          <w:szCs w:val="24"/>
        </w:rPr>
        <w:t xml:space="preserve">În raportul tehnic </w:t>
      </w:r>
      <w:r w:rsidRPr="00C767DA">
        <w:rPr>
          <w:rFonts w:ascii="Arial" w:hAnsi="Arial" w:cs="Arial"/>
          <w:b/>
          <w:i/>
          <w:sz w:val="24"/>
          <w:szCs w:val="24"/>
        </w:rPr>
        <w:t xml:space="preserve">„Utilizarea resurselor de apă în </w:t>
      </w:r>
      <w:r>
        <w:rPr>
          <w:rFonts w:ascii="Arial" w:hAnsi="Arial" w:cs="Arial"/>
          <w:b/>
          <w:i/>
          <w:sz w:val="24"/>
          <w:szCs w:val="24"/>
        </w:rPr>
        <w:t>E</w:t>
      </w:r>
      <w:r w:rsidRPr="00C767DA">
        <w:rPr>
          <w:rFonts w:ascii="Arial" w:hAnsi="Arial" w:cs="Arial"/>
          <w:b/>
          <w:i/>
          <w:sz w:val="24"/>
          <w:szCs w:val="24"/>
        </w:rPr>
        <w:t xml:space="preserve">uropa în perioda 2002-2012 – Document adițional pentru setul de indicatori </w:t>
      </w:r>
      <w:r>
        <w:rPr>
          <w:rFonts w:ascii="Arial" w:hAnsi="Arial" w:cs="Arial"/>
          <w:b/>
          <w:i/>
          <w:sz w:val="24"/>
          <w:szCs w:val="24"/>
        </w:rPr>
        <w:t>EEA CSI 018</w:t>
      </w:r>
      <w:r w:rsidRPr="00C767DA">
        <w:rPr>
          <w:rFonts w:ascii="Arial" w:hAnsi="Arial" w:cs="Arial"/>
          <w:b/>
          <w:i/>
          <w:sz w:val="24"/>
          <w:szCs w:val="24"/>
        </w:rPr>
        <w:t>”</w:t>
      </w:r>
      <w:r>
        <w:rPr>
          <w:rFonts w:ascii="Arial" w:hAnsi="Arial" w:cs="Arial"/>
          <w:sz w:val="24"/>
          <w:szCs w:val="24"/>
        </w:rPr>
        <w:t xml:space="preserve"> elaborat de Centrul European pentru Ape Interioare, Costiere și Marineeste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w:t>
      </w:r>
      <w:r w:rsidRPr="00495488">
        <w:rPr>
          <w:rFonts w:ascii="Arial" w:hAnsi="Arial" w:cs="Arial"/>
          <w:sz w:val="24"/>
          <w:szCs w:val="24"/>
        </w:rPr>
        <w:t>indicel</w:t>
      </w:r>
      <w:r>
        <w:rPr>
          <w:rFonts w:ascii="Arial" w:hAnsi="Arial" w:cs="Arial"/>
          <w:sz w:val="24"/>
          <w:szCs w:val="24"/>
        </w:rPr>
        <w:t>ui</w:t>
      </w:r>
      <w:r w:rsidRPr="00495488">
        <w:rPr>
          <w:rFonts w:ascii="Arial" w:hAnsi="Arial" w:cs="Arial"/>
          <w:sz w:val="24"/>
          <w:szCs w:val="24"/>
        </w:rPr>
        <w:t xml:space="preserve"> de exploatare al apei WEI+</w:t>
      </w:r>
      <w:r>
        <w:rPr>
          <w:rFonts w:ascii="Arial" w:hAnsi="Arial" w:cs="Arial"/>
          <w:sz w:val="24"/>
          <w:szCs w:val="24"/>
        </w:rPr>
        <w:t xml:space="preserve">. Și potrivit acestui raport, România a avut în perioada 2002-2012 o valoare a </w:t>
      </w:r>
      <w:r w:rsidRPr="00057A87">
        <w:rPr>
          <w:rFonts w:ascii="Arial" w:hAnsi="Arial" w:cs="Arial"/>
          <w:sz w:val="24"/>
          <w:szCs w:val="24"/>
        </w:rPr>
        <w:t>WEI+</w:t>
      </w:r>
      <w:r>
        <w:rPr>
          <w:rFonts w:ascii="Arial" w:hAnsi="Arial" w:cs="Arial"/>
          <w:sz w:val="24"/>
          <w:szCs w:val="24"/>
        </w:rPr>
        <w:t xml:space="preserve"> sub 20%.</w:t>
      </w:r>
    </w:p>
    <w:p w:rsidR="000645BF" w:rsidRDefault="000645BF" w:rsidP="000645BF">
      <w:pPr>
        <w:spacing w:before="120" w:after="120" w:line="240" w:lineRule="auto"/>
        <w:ind w:firstLine="567"/>
        <w:jc w:val="both"/>
        <w:rPr>
          <w:rFonts w:ascii="Arial" w:hAnsi="Arial" w:cs="Arial"/>
          <w:sz w:val="24"/>
          <w:szCs w:val="24"/>
        </w:rPr>
      </w:pPr>
      <w:r>
        <w:rPr>
          <w:rFonts w:ascii="Arial" w:hAnsi="Arial" w:cs="Arial"/>
          <w:sz w:val="24"/>
          <w:szCs w:val="24"/>
        </w:rPr>
        <w:t>De asemenea, c</w:t>
      </w:r>
      <w:r w:rsidRPr="00F44FA9">
        <w:rPr>
          <w:rFonts w:ascii="Arial" w:hAnsi="Arial" w:cs="Arial"/>
          <w:sz w:val="24"/>
          <w:szCs w:val="24"/>
        </w:rPr>
        <w:t>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w:t>
      </w:r>
    </w:p>
    <w:p w:rsidR="000645BF" w:rsidRPr="00B821D3"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1422/192/2012,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0645BF" w:rsidRDefault="000645BF" w:rsidP="000645BF">
      <w:pPr>
        <w:spacing w:before="120" w:after="120" w:line="240" w:lineRule="auto"/>
        <w:ind w:firstLine="567"/>
        <w:jc w:val="both"/>
        <w:rPr>
          <w:rFonts w:ascii="Arial" w:hAnsi="Arial" w:cs="Arial"/>
          <w:sz w:val="24"/>
          <w:szCs w:val="24"/>
        </w:rPr>
      </w:pPr>
      <w:r w:rsidRPr="00B821D3">
        <w:rPr>
          <w:rFonts w:ascii="Arial" w:hAnsi="Arial" w:cs="Arial"/>
          <w:sz w:val="24"/>
          <w:szCs w:val="24"/>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0645BF"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t>La nivelul  bazinului hidrografic al Dunării, cât și în România, sunt planificate sau sunt deja în curs de implementare măsuri specifice</w:t>
      </w:r>
      <w:r>
        <w:rPr>
          <w:rFonts w:ascii="Arial" w:hAnsi="Arial" w:cs="Arial"/>
          <w:sz w:val="24"/>
          <w:szCs w:val="24"/>
        </w:rPr>
        <w:t xml:space="preserve"> pentru adaptarea la schimbările climatice referitoare la </w:t>
      </w:r>
      <w:r>
        <w:rPr>
          <w:rFonts w:ascii="Arial" w:hAnsi="Arial" w:cs="Arial"/>
          <w:sz w:val="24"/>
          <w:szCs w:val="24"/>
        </w:rPr>
        <w:lastRenderedPageBreak/>
        <w:t>deficitul de apă</w:t>
      </w:r>
      <w:r w:rsidRPr="00D0578F">
        <w:rPr>
          <w:rFonts w:ascii="Arial" w:hAnsi="Arial" w:cs="Arial"/>
          <w:sz w:val="24"/>
          <w:szCs w:val="24"/>
        </w:rPr>
        <w:t>, cum ar fi: creșterea eficienței irigării, reducerea pierderilor din rețelele de distribuție a apei, cartografierea episoadelor de secetă și prognoză, educarea publicului cu privire la măsurile de economisire a apei, instrumente economice pentru plăți, reutilizarea apelor uzate, etc.</w:t>
      </w:r>
    </w:p>
    <w:p w:rsidR="000645BF" w:rsidRDefault="000645BF" w:rsidP="000645BF">
      <w:pPr>
        <w:spacing w:before="120" w:after="120" w:line="240" w:lineRule="auto"/>
        <w:ind w:firstLine="567"/>
        <w:jc w:val="both"/>
        <w:rPr>
          <w:rFonts w:ascii="Arial" w:hAnsi="Arial" w:cs="Arial"/>
          <w:sz w:val="24"/>
          <w:szCs w:val="24"/>
        </w:rPr>
      </w:pPr>
      <w:r>
        <w:rPr>
          <w:rFonts w:ascii="Arial" w:hAnsi="Arial" w:cs="Arial"/>
          <w:sz w:val="24"/>
          <w:szCs w:val="24"/>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0645BF" w:rsidRDefault="000645BF" w:rsidP="00EF3940">
      <w:pPr>
        <w:numPr>
          <w:ilvl w:val="0"/>
          <w:numId w:val="25"/>
        </w:numPr>
        <w:spacing w:before="120" w:after="120" w:line="240" w:lineRule="auto"/>
        <w:ind w:left="270" w:hanging="270"/>
        <w:jc w:val="both"/>
        <w:rPr>
          <w:rFonts w:ascii="Arial" w:hAnsi="Arial" w:cs="Arial"/>
          <w:sz w:val="24"/>
          <w:szCs w:val="24"/>
        </w:rPr>
      </w:pPr>
      <w:r>
        <w:rPr>
          <w:rFonts w:ascii="Arial" w:hAnsi="Arial" w:cs="Arial"/>
          <w:sz w:val="24"/>
          <w:szCs w:val="24"/>
        </w:rPr>
        <w:t>m</w:t>
      </w:r>
      <w:r w:rsidRPr="00BC3161">
        <w:rPr>
          <w:rFonts w:ascii="Arial" w:hAnsi="Arial" w:cs="Arial"/>
          <w:sz w:val="24"/>
          <w:szCs w:val="24"/>
        </w:rPr>
        <w:t>odificarea și completarea Legii nr. 241/2006 a serviciului de alimentare cu apă și canalizare</w:t>
      </w:r>
      <w:r>
        <w:rPr>
          <w:rFonts w:ascii="Arial" w:hAnsi="Arial" w:cs="Arial"/>
          <w:sz w:val="24"/>
          <w:szCs w:val="24"/>
        </w:rPr>
        <w:t xml:space="preserve"> și a </w:t>
      </w:r>
      <w:r w:rsidRPr="00BC3161">
        <w:rPr>
          <w:rFonts w:ascii="Arial" w:hAnsi="Arial" w:cs="Arial"/>
          <w:sz w:val="24"/>
          <w:szCs w:val="24"/>
        </w:rPr>
        <w:t>Legii nr. 51/2006serviciilor comunitare de utilități publice,</w:t>
      </w:r>
      <w:r w:rsidRPr="00EB7A5F">
        <w:rPr>
          <w:rFonts w:ascii="Arial" w:hAnsi="Arial" w:cs="Arial"/>
        </w:rPr>
        <w:t xml:space="preserve">în principal </w:t>
      </w:r>
      <w:r w:rsidRPr="00216E42">
        <w:rPr>
          <w:rFonts w:ascii="Arial" w:hAnsi="Arial" w:cs="Arial"/>
          <w:sz w:val="24"/>
          <w:szCs w:val="24"/>
        </w:rPr>
        <w:t>în</w:t>
      </w:r>
      <w:r w:rsidRPr="00BC3161">
        <w:rPr>
          <w:rFonts w:ascii="Arial" w:hAnsi="Arial" w:cs="Arial"/>
          <w:sz w:val="24"/>
          <w:szCs w:val="24"/>
        </w:rPr>
        <w:t xml:space="preserve"> sensul monitorizării de către autoritățile locale a populației neconectate la rețeau</w:t>
      </w:r>
      <w:r>
        <w:rPr>
          <w:rFonts w:ascii="Arial" w:hAnsi="Arial" w:cs="Arial"/>
          <w:sz w:val="24"/>
          <w:szCs w:val="24"/>
        </w:rPr>
        <w:t>a</w:t>
      </w:r>
      <w:r w:rsidRPr="00BC3161">
        <w:rPr>
          <w:rFonts w:ascii="Arial" w:hAnsi="Arial" w:cs="Arial"/>
          <w:sz w:val="24"/>
          <w:szCs w:val="24"/>
        </w:rPr>
        <w:t xml:space="preserve"> de canalizare și pentru acordarea de ajutoare sociale</w:t>
      </w:r>
      <w:r>
        <w:rPr>
          <w:rFonts w:ascii="Arial" w:hAnsi="Arial" w:cs="Arial"/>
          <w:sz w:val="24"/>
          <w:szCs w:val="24"/>
        </w:rPr>
        <w:t>;</w:t>
      </w:r>
    </w:p>
    <w:p w:rsidR="000645BF" w:rsidRDefault="000645BF" w:rsidP="00EF3940">
      <w:pPr>
        <w:numPr>
          <w:ilvl w:val="0"/>
          <w:numId w:val="25"/>
        </w:numPr>
        <w:spacing w:before="120" w:after="120" w:line="240" w:lineRule="auto"/>
        <w:ind w:left="270" w:hanging="270"/>
        <w:jc w:val="both"/>
        <w:rPr>
          <w:rFonts w:ascii="Arial" w:hAnsi="Arial" w:cs="Arial"/>
          <w:sz w:val="24"/>
          <w:szCs w:val="24"/>
        </w:rPr>
      </w:pPr>
      <w:r>
        <w:rPr>
          <w:rFonts w:ascii="Arial" w:hAnsi="Arial" w:cs="Arial"/>
          <w:sz w:val="24"/>
          <w:szCs w:val="24"/>
        </w:rPr>
        <w:t>r</w:t>
      </w:r>
      <w:r w:rsidRPr="009D174F">
        <w:rPr>
          <w:rFonts w:ascii="Arial" w:hAnsi="Arial" w:cs="Arial"/>
          <w:sz w:val="24"/>
          <w:szCs w:val="24"/>
        </w:rPr>
        <w:t>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0645BF" w:rsidRPr="009D174F" w:rsidRDefault="000645BF" w:rsidP="00EF3940">
      <w:pPr>
        <w:numPr>
          <w:ilvl w:val="0"/>
          <w:numId w:val="25"/>
        </w:numPr>
        <w:spacing w:before="120" w:after="120" w:line="240" w:lineRule="auto"/>
        <w:ind w:left="270" w:hanging="270"/>
        <w:jc w:val="both"/>
        <w:rPr>
          <w:rFonts w:ascii="Arial" w:hAnsi="Arial" w:cs="Arial"/>
          <w:sz w:val="24"/>
          <w:szCs w:val="24"/>
        </w:rPr>
      </w:pPr>
      <w:r>
        <w:rPr>
          <w:rFonts w:ascii="Arial" w:hAnsi="Arial" w:cs="Arial"/>
          <w:sz w:val="24"/>
          <w:szCs w:val="24"/>
        </w:rPr>
        <w:t>r</w:t>
      </w:r>
      <w:r w:rsidRPr="009D174F">
        <w:rPr>
          <w:rFonts w:ascii="Arial" w:hAnsi="Arial" w:cs="Arial"/>
          <w:sz w:val="24"/>
          <w:szCs w:val="24"/>
        </w:rPr>
        <w:t>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0645BF" w:rsidRDefault="000645BF" w:rsidP="000645BF">
      <w:pPr>
        <w:spacing w:before="120" w:after="120" w:line="240" w:lineRule="auto"/>
        <w:ind w:firstLine="567"/>
        <w:jc w:val="both"/>
        <w:rPr>
          <w:rFonts w:ascii="Arial" w:hAnsi="Arial" w:cs="Arial"/>
          <w:sz w:val="24"/>
          <w:szCs w:val="24"/>
        </w:rPr>
      </w:pPr>
      <w:r>
        <w:rPr>
          <w:rFonts w:ascii="Arial" w:hAnsi="Arial" w:cs="Arial"/>
          <w:sz w:val="24"/>
          <w:szCs w:val="24"/>
        </w:rPr>
        <w:t>Se menționează că investițiile pentru realizarea infrastructurii de apă și apă uzată sprijină îmbunătățirea accesului populației la servicii bune de apă, însă contribuie și la atingerea țintelor de dezvoltare durabilă (</w:t>
      </w:r>
      <w:r w:rsidRPr="00033A7C">
        <w:rPr>
          <w:rFonts w:ascii="Arial" w:hAnsi="Arial" w:cs="Arial"/>
          <w:sz w:val="24"/>
          <w:szCs w:val="24"/>
        </w:rPr>
        <w:t xml:space="preserve">Sustainable Development Goals </w:t>
      </w:r>
      <w:r>
        <w:rPr>
          <w:rFonts w:ascii="Arial" w:hAnsi="Arial" w:cs="Arial"/>
          <w:sz w:val="24"/>
          <w:szCs w:val="24"/>
        </w:rPr>
        <w:t xml:space="preserve"> - </w:t>
      </w:r>
      <w:r w:rsidRPr="00033A7C">
        <w:rPr>
          <w:rFonts w:ascii="Arial" w:hAnsi="Arial" w:cs="Arial"/>
          <w:sz w:val="24"/>
          <w:szCs w:val="24"/>
        </w:rPr>
        <w:t>SDGs)</w:t>
      </w:r>
      <w:r>
        <w:rPr>
          <w:rFonts w:ascii="Arial" w:hAnsi="Arial" w:cs="Arial"/>
          <w:sz w:val="24"/>
          <w:szCs w:val="24"/>
        </w:rPr>
        <w:t xml:space="preserve"> stabilite de Natiunile Unite. SDG 6 se adresează întregului ciclu al apei, accesului universal și echitabil pentru toți cetățenii la apă potabilă de calitate sigură și la costuri suportabile, eficienței de utilizare a apei în diferite sectoare economice, 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0645BF" w:rsidRPr="00AC6AAC" w:rsidRDefault="000645BF" w:rsidP="000645BF">
      <w:pPr>
        <w:spacing w:before="120" w:after="120" w:line="240" w:lineRule="auto"/>
        <w:ind w:firstLine="567"/>
        <w:jc w:val="both"/>
        <w:rPr>
          <w:rFonts w:ascii="Arial" w:hAnsi="Arial" w:cs="Arial"/>
          <w:sz w:val="24"/>
          <w:szCs w:val="24"/>
        </w:rPr>
      </w:pPr>
      <w:r w:rsidRPr="00D0578F">
        <w:rPr>
          <w:rFonts w:ascii="Arial" w:hAnsi="Arial" w:cs="Arial"/>
          <w:sz w:val="24"/>
          <w:szCs w:val="24"/>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comunitar.Pornind de la abordarea integrată a tuturor aspectelor relevante pentru resursele de apă, D</w:t>
      </w:r>
      <w:r>
        <w:rPr>
          <w:rFonts w:ascii="Arial" w:hAnsi="Arial" w:cs="Arial"/>
          <w:sz w:val="24"/>
          <w:szCs w:val="24"/>
        </w:rPr>
        <w:t xml:space="preserve">irectiva Cadru Apă </w:t>
      </w:r>
      <w:r w:rsidRPr="00D0578F">
        <w:rPr>
          <w:rFonts w:ascii="Arial" w:hAnsi="Arial" w:cs="Arial"/>
          <w:sz w:val="24"/>
          <w:szCs w:val="24"/>
        </w:rPr>
        <w:t xml:space="preserve">menționează în cuprinsul său relația cu habitatele și speciile unde menținerea sau îmbunătățirea stării apei este un factor important în protecția lor. În acest sens, </w:t>
      </w:r>
      <w:r>
        <w:rPr>
          <w:rFonts w:ascii="Arial" w:hAnsi="Arial" w:cs="Arial"/>
          <w:sz w:val="24"/>
          <w:szCs w:val="24"/>
        </w:rPr>
        <w:t>se</w:t>
      </w:r>
      <w:r w:rsidRPr="00D0578F">
        <w:rPr>
          <w:rFonts w:ascii="Arial" w:hAnsi="Arial" w:cs="Arial"/>
          <w:sz w:val="24"/>
          <w:szCs w:val="24"/>
        </w:rPr>
        <w:t xml:space="preserve"> prevede obligativitatea realizării și actualizării unui registru al zonelor protejate care să includă și această categorie de habitate și specii.</w:t>
      </w:r>
    </w:p>
    <w:p w:rsidR="000645BF" w:rsidRPr="00702D49" w:rsidRDefault="000645BF" w:rsidP="000645BF">
      <w:pPr>
        <w:spacing w:before="120" w:after="120" w:line="240" w:lineRule="auto"/>
        <w:ind w:firstLine="567"/>
        <w:jc w:val="both"/>
        <w:rPr>
          <w:rFonts w:ascii="Arial" w:hAnsi="Arial" w:cs="Arial"/>
          <w:sz w:val="24"/>
          <w:szCs w:val="24"/>
        </w:rPr>
      </w:pPr>
      <w:r w:rsidRPr="00327277">
        <w:rPr>
          <w:rFonts w:ascii="Arial" w:hAnsi="Arial" w:cs="Arial"/>
          <w:sz w:val="24"/>
          <w:szCs w:val="24"/>
        </w:rPr>
        <w:t xml:space="preserve">Efortul comun al utilizatorilor de apă, al factorilor interesaţi şi publicului larg, al autorităților de gospodărirea apelor, prin aplicarea măsurilor prevăzute în </w:t>
      </w:r>
      <w:r>
        <w:rPr>
          <w:rFonts w:ascii="Arial" w:hAnsi="Arial" w:cs="Arial"/>
          <w:sz w:val="24"/>
          <w:szCs w:val="24"/>
        </w:rPr>
        <w:t xml:space="preserve">strategiile și planurile pentru gospodărirea integrată a resurselor de apă, </w:t>
      </w:r>
      <w:r w:rsidRPr="00327277">
        <w:rPr>
          <w:rFonts w:ascii="Arial" w:hAnsi="Arial" w:cs="Arial"/>
          <w:sz w:val="24"/>
          <w:szCs w:val="24"/>
        </w:rPr>
        <w:t>va conduce la atingerea obiectivelor de mediu ale corpurilor de apă</w:t>
      </w:r>
      <w:r>
        <w:rPr>
          <w:rFonts w:ascii="Arial" w:hAnsi="Arial" w:cs="Arial"/>
          <w:sz w:val="24"/>
          <w:szCs w:val="24"/>
        </w:rPr>
        <w:t xml:space="preserve">, fiind în același timp </w:t>
      </w:r>
      <w:r w:rsidRPr="00327277">
        <w:rPr>
          <w:rFonts w:ascii="Arial" w:hAnsi="Arial" w:cs="Arial"/>
          <w:sz w:val="24"/>
          <w:szCs w:val="24"/>
        </w:rPr>
        <w:t>o oportunitate pentru aceast</w:t>
      </w:r>
      <w:r>
        <w:rPr>
          <w:rFonts w:ascii="Arial" w:hAnsi="Arial" w:cs="Arial"/>
          <w:sz w:val="24"/>
          <w:szCs w:val="24"/>
        </w:rPr>
        <w:t>ă</w:t>
      </w:r>
      <w:r w:rsidRPr="00327277">
        <w:rPr>
          <w:rFonts w:ascii="Arial" w:hAnsi="Arial" w:cs="Arial"/>
          <w:sz w:val="24"/>
          <w:szCs w:val="24"/>
        </w:rPr>
        <w:t xml:space="preserve"> generație, pentru oameni și organizații, de a lucra împreună în scopul îmbunătățirii mediului acvatic în toate aspectele lui.</w:t>
      </w:r>
    </w:p>
    <w:p w:rsidR="000645BF" w:rsidRDefault="000645BF"/>
    <w:p w:rsidR="006B2FD4" w:rsidRPr="007652A5" w:rsidRDefault="006B2FD4" w:rsidP="006B2FD4">
      <w:pPr>
        <w:spacing w:after="0" w:line="240" w:lineRule="auto"/>
        <w:rPr>
          <w:rFonts w:ascii="Arial" w:hAnsi="Arial" w:cs="Arial"/>
          <w:b/>
          <w:sz w:val="24"/>
          <w:szCs w:val="24"/>
        </w:rPr>
      </w:pPr>
      <w:r w:rsidRPr="007652A5">
        <w:rPr>
          <w:rFonts w:ascii="Arial" w:hAnsi="Arial" w:cs="Arial"/>
          <w:b/>
          <w:sz w:val="24"/>
          <w:szCs w:val="24"/>
        </w:rPr>
        <w:t>III. SOLUL</w:t>
      </w:r>
    </w:p>
    <w:p w:rsidR="006B2FD4" w:rsidRPr="007652A5" w:rsidRDefault="006B2FD4" w:rsidP="006B2FD4">
      <w:pPr>
        <w:spacing w:after="0" w:line="240" w:lineRule="auto"/>
        <w:rPr>
          <w:rFonts w:ascii="Arial" w:hAnsi="Arial" w:cs="Arial"/>
          <w:b/>
          <w:sz w:val="24"/>
          <w:szCs w:val="24"/>
        </w:rPr>
      </w:pPr>
    </w:p>
    <w:p w:rsidR="006B2FD4"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r>
        <w:rPr>
          <w:rFonts w:ascii="Arial" w:hAnsi="Arial" w:cs="Arial"/>
          <w:sz w:val="24"/>
          <w:szCs w:val="24"/>
        </w:rPr>
        <w:t xml:space="preserve"> </w:t>
      </w:r>
      <w:r w:rsidRPr="007652A5">
        <w:rPr>
          <w:rFonts w:ascii="Arial" w:hAnsi="Arial" w:cs="Arial"/>
          <w:sz w:val="24"/>
          <w:szCs w:val="24"/>
        </w:rPr>
        <w:t xml:space="preserve">Calitatea solului este </w:t>
      </w:r>
      <w:r w:rsidRPr="007652A5">
        <w:rPr>
          <w:rFonts w:ascii="Arial" w:hAnsi="Arial" w:cs="Arial"/>
          <w:sz w:val="24"/>
          <w:szCs w:val="24"/>
        </w:rPr>
        <w:lastRenderedPageBreak/>
        <w:t>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p>
    <w:p w:rsidR="006B2FD4" w:rsidRPr="007652A5"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7652A5">
        <w:rPr>
          <w:rFonts w:ascii="Arial" w:hAnsi="Arial" w:cs="Arial"/>
          <w:b/>
          <w:sz w:val="24"/>
          <w:szCs w:val="24"/>
          <w:lang w:val="ro-RO"/>
        </w:rPr>
        <w:t xml:space="preserve">    III.1.Calitatea solurilor: stare și tendințe</w:t>
      </w:r>
    </w:p>
    <w:p w:rsidR="006B2FD4" w:rsidRPr="007652A5" w:rsidRDefault="006B2FD4" w:rsidP="006B2FD4">
      <w:pPr>
        <w:pStyle w:val="BodyTextIndent"/>
        <w:spacing w:after="0" w:line="240" w:lineRule="auto"/>
        <w:ind w:left="0" w:firstLine="709"/>
        <w:jc w:val="both"/>
        <w:rPr>
          <w:rFonts w:ascii="Arial" w:hAnsi="Arial" w:cs="Arial"/>
          <w:b/>
          <w:sz w:val="24"/>
          <w:szCs w:val="24"/>
          <w:lang w:val="ro-RO"/>
        </w:rPr>
      </w:pPr>
      <w:r w:rsidRPr="007652A5">
        <w:rPr>
          <w:rFonts w:ascii="Arial" w:hAnsi="Arial" w:cs="Arial"/>
          <w:b/>
          <w:sz w:val="24"/>
          <w:szCs w:val="24"/>
          <w:lang w:val="ro-RO"/>
        </w:rPr>
        <w:t>III.1.1.</w:t>
      </w:r>
      <w:r w:rsidRPr="007652A5">
        <w:rPr>
          <w:rFonts w:ascii="Arial" w:hAnsi="Arial" w:cs="Arial"/>
          <w:b/>
          <w:i/>
          <w:sz w:val="24"/>
          <w:szCs w:val="24"/>
          <w:lang w:val="ro-RO"/>
        </w:rPr>
        <w:t xml:space="preserve"> Repartiția terenurilor pe clase de calitate </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Condiţiile pedoclimatice din judeţul </w:t>
      </w:r>
      <w:r>
        <w:rPr>
          <w:rFonts w:ascii="Arial" w:hAnsi="Arial" w:cs="Arial"/>
          <w:sz w:val="24"/>
          <w:szCs w:val="24"/>
        </w:rPr>
        <w:t>Brăila</w:t>
      </w:r>
      <w:r w:rsidRPr="007652A5">
        <w:rPr>
          <w:rFonts w:ascii="Arial" w:hAnsi="Arial" w:cs="Arial"/>
          <w:sz w:val="24"/>
          <w:szCs w:val="24"/>
        </w:rPr>
        <w:t xml:space="preserve"> au determinat apariţia şi evoluţia unei cuverturi de soluri, diversă, dominată de solurile zonale de tip cernoziom, soluri azonale, soluri aluvionare, coluviale, neevoluate, psamosoluri, lăcovişti etc.</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sz w:val="24"/>
          <w:szCs w:val="24"/>
        </w:rPr>
        <w:t xml:space="preserve">Tipurile de sol caracteristice judeţului </w:t>
      </w:r>
      <w:r>
        <w:rPr>
          <w:rFonts w:ascii="Arial" w:hAnsi="Arial" w:cs="Arial"/>
          <w:sz w:val="24"/>
          <w:szCs w:val="24"/>
        </w:rPr>
        <w:t>Brăila</w:t>
      </w:r>
      <w:r w:rsidRPr="007652A5">
        <w:rPr>
          <w:rFonts w:ascii="Arial" w:hAnsi="Arial" w:cs="Arial"/>
          <w:sz w:val="24"/>
          <w:szCs w:val="24"/>
        </w:rPr>
        <w:t xml:space="preserve"> sunt prezentate în tabelul de mai jos:</w:t>
      </w:r>
    </w:p>
    <w:p w:rsidR="006B2FD4" w:rsidRPr="004346D5" w:rsidRDefault="006B2FD4" w:rsidP="006B2FD4">
      <w:pPr>
        <w:spacing w:after="0" w:line="240" w:lineRule="auto"/>
        <w:jc w:val="both"/>
        <w:rPr>
          <w:rFonts w:ascii="Arial" w:hAnsi="Arial" w:cs="Arial"/>
          <w:sz w:val="24"/>
          <w:szCs w:val="24"/>
        </w:rPr>
      </w:pPr>
      <w:r w:rsidRPr="004346D5">
        <w:rPr>
          <w:rFonts w:ascii="Arial" w:hAnsi="Arial" w:cs="Arial"/>
          <w:sz w:val="24"/>
          <w:szCs w:val="24"/>
        </w:rPr>
        <w:t>Tabelul III.1.1-1. Tipurile de sol caracteristice judeţului 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964"/>
        <w:gridCol w:w="2030"/>
      </w:tblGrid>
      <w:tr w:rsidR="006B2FD4" w:rsidRPr="007652A5" w:rsidTr="004E444C">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pStyle w:val="Heading4"/>
              <w:spacing w:before="0" w:after="0"/>
              <w:jc w:val="both"/>
              <w:rPr>
                <w:rFonts w:ascii="Arial" w:hAnsi="Arial" w:cs="Arial"/>
                <w:bCs w:val="0"/>
                <w:sz w:val="24"/>
                <w:szCs w:val="24"/>
              </w:rPr>
            </w:pPr>
            <w:r w:rsidRPr="007652A5">
              <w:rPr>
                <w:rFonts w:ascii="Arial" w:hAnsi="Arial" w:cs="Arial"/>
                <w:bCs w:val="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Procentual (%)</w:t>
            </w:r>
          </w:p>
        </w:tc>
      </w:tr>
      <w:tr w:rsidR="006B2FD4" w:rsidRPr="007652A5" w:rsidTr="004E444C">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Protisoluri</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135.686,75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34,65</w:t>
            </w:r>
          </w:p>
        </w:tc>
      </w:tr>
      <w:tr w:rsidR="006B2FD4" w:rsidRPr="007652A5" w:rsidTr="004E444C">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 xml:space="preserve">Cernisoluri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203.552,00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51,98</w:t>
            </w:r>
          </w:p>
        </w:tc>
      </w:tr>
      <w:tr w:rsidR="006B2FD4" w:rsidRPr="007652A5" w:rsidTr="004E444C">
        <w:trPr>
          <w:trHeight w:val="245"/>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 xml:space="preserve">Hidrisoluri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36.477,00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9,31</w:t>
            </w:r>
          </w:p>
        </w:tc>
      </w:tr>
      <w:tr w:rsidR="006B2FD4" w:rsidRPr="007652A5" w:rsidTr="004E444C">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 xml:space="preserve">Salsodisoluri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15.863,00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4,05</w:t>
            </w:r>
          </w:p>
        </w:tc>
      </w:tr>
      <w:tr w:rsidR="006B2FD4" w:rsidRPr="007652A5" w:rsidTr="004E444C">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rPr>
                <w:rFonts w:ascii="Arial" w:hAnsi="Arial" w:cs="Arial"/>
                <w:sz w:val="24"/>
                <w:szCs w:val="24"/>
              </w:rPr>
            </w:pPr>
            <w:r w:rsidRPr="007652A5">
              <w:rPr>
                <w:rFonts w:ascii="Arial" w:hAnsi="Arial" w:cs="Arial"/>
                <w:sz w:val="24"/>
                <w:szCs w:val="24"/>
              </w:rPr>
              <w:t xml:space="preserve">Antrisoluri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w:t>
            </w:r>
          </w:p>
        </w:tc>
      </w:tr>
      <w:tr w:rsidR="006B2FD4" w:rsidRPr="007652A5" w:rsidTr="004E444C">
        <w:trPr>
          <w:trHeight w:val="287"/>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 xml:space="preserve">TOTAL JUDEŢ </w:t>
            </w:r>
            <w:r>
              <w:rPr>
                <w:rFonts w:ascii="Arial" w:hAnsi="Arial" w:cs="Arial"/>
                <w:b/>
                <w:sz w:val="24"/>
                <w:szCs w:val="24"/>
              </w:rPr>
              <w:t>BRĂILA</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b/>
                <w:sz w:val="24"/>
                <w:szCs w:val="24"/>
              </w:rPr>
            </w:pPr>
            <w:r w:rsidRPr="007652A5">
              <w:rPr>
                <w:rFonts w:ascii="Arial" w:hAnsi="Arial" w:cs="Arial"/>
                <w:b/>
                <w:sz w:val="24"/>
                <w:szCs w:val="24"/>
              </w:rPr>
              <w:t>391.578,75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B2FD4" w:rsidRPr="007652A5" w:rsidRDefault="006B2FD4" w:rsidP="004E444C">
            <w:pPr>
              <w:spacing w:after="0" w:line="240" w:lineRule="auto"/>
              <w:jc w:val="right"/>
              <w:rPr>
                <w:rFonts w:ascii="Arial" w:hAnsi="Arial" w:cs="Arial"/>
                <w:b/>
                <w:sz w:val="24"/>
                <w:szCs w:val="24"/>
              </w:rPr>
            </w:pPr>
            <w:r w:rsidRPr="007652A5">
              <w:rPr>
                <w:rFonts w:ascii="Arial" w:hAnsi="Arial" w:cs="Arial"/>
                <w:b/>
                <w:sz w:val="24"/>
                <w:szCs w:val="24"/>
              </w:rPr>
              <w:t>100</w:t>
            </w:r>
          </w:p>
        </w:tc>
      </w:tr>
    </w:tbl>
    <w:p w:rsidR="006B2FD4" w:rsidRPr="007652A5" w:rsidRDefault="006B2FD4" w:rsidP="006B2FD4">
      <w:pPr>
        <w:spacing w:after="0" w:line="240" w:lineRule="auto"/>
        <w:jc w:val="both"/>
        <w:rPr>
          <w:rFonts w:ascii="Arial" w:hAnsi="Arial" w:cs="Arial"/>
          <w:sz w:val="24"/>
          <w:szCs w:val="24"/>
        </w:rPr>
      </w:pP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Unitatea de pretabilitate reprezintă arealul rezultat din gruparea unităţilor de teren conform unui anumit set de caracteristici specifice, în vederea stabilirii categoriilor de folosinţă.</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Calitatea terenurilor agricole este determinată atât de fertilitatea solului cât şi de modul de manifestare al celorlalţi factori de mediu faţă de plante. 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Din punct de vedere al calităţii, pe baza notelor de bonitare, încadrarea terenurilor agricole din judeţul </w:t>
      </w:r>
      <w:r>
        <w:rPr>
          <w:rFonts w:ascii="Arial" w:hAnsi="Arial" w:cs="Arial"/>
          <w:sz w:val="24"/>
          <w:szCs w:val="24"/>
        </w:rPr>
        <w:t>Brăila</w:t>
      </w:r>
      <w:r w:rsidRPr="007652A5">
        <w:rPr>
          <w:rFonts w:ascii="Arial" w:hAnsi="Arial" w:cs="Arial"/>
          <w:sz w:val="24"/>
          <w:szCs w:val="24"/>
        </w:rPr>
        <w:t xml:space="preserve">, pe clase de pretabilitate, se prezintă astfel (conform informaţiilor transmise de Oficiul Județean de Studii Pedologice și Agrochimice </w:t>
      </w:r>
      <w:r>
        <w:rPr>
          <w:rFonts w:ascii="Arial" w:hAnsi="Arial" w:cs="Arial"/>
          <w:sz w:val="24"/>
          <w:szCs w:val="24"/>
        </w:rPr>
        <w:t>Brăila</w:t>
      </w:r>
      <w:r w:rsidRPr="007652A5">
        <w:rPr>
          <w:rFonts w:ascii="Arial" w:hAnsi="Arial" w:cs="Arial"/>
          <w:sz w:val="24"/>
          <w:szCs w:val="24"/>
        </w:rPr>
        <w:t xml:space="preserve">):    </w:t>
      </w:r>
    </w:p>
    <w:p w:rsidR="006B2FD4" w:rsidRDefault="006B2FD4" w:rsidP="006B2FD4">
      <w:pPr>
        <w:pStyle w:val="BodyTextIndent"/>
        <w:spacing w:after="0" w:line="240" w:lineRule="auto"/>
        <w:jc w:val="both"/>
        <w:rPr>
          <w:rFonts w:ascii="Arial" w:hAnsi="Arial" w:cs="Arial"/>
          <w:b/>
          <w:sz w:val="24"/>
          <w:szCs w:val="24"/>
        </w:rPr>
      </w:pPr>
    </w:p>
    <w:p w:rsidR="006B2FD4" w:rsidRPr="004346D5" w:rsidRDefault="006B2FD4" w:rsidP="006B2FD4">
      <w:pPr>
        <w:pStyle w:val="BodyTextIndent"/>
        <w:spacing w:after="0" w:line="240" w:lineRule="auto"/>
        <w:ind w:firstLine="425"/>
        <w:jc w:val="both"/>
        <w:rPr>
          <w:rFonts w:ascii="Arial" w:hAnsi="Arial" w:cs="Arial"/>
          <w:sz w:val="24"/>
          <w:szCs w:val="24"/>
        </w:rPr>
      </w:pPr>
      <w:r w:rsidRPr="004346D5">
        <w:rPr>
          <w:rFonts w:ascii="Arial" w:hAnsi="Arial" w:cs="Arial"/>
          <w:sz w:val="24"/>
          <w:szCs w:val="24"/>
        </w:rPr>
        <w:t>Tabelul III.1.1- 2 Repartiţia terenurilor pe clase de pretabilitate în judeţul Brăila</w:t>
      </w:r>
    </w:p>
    <w:p w:rsidR="006B2FD4" w:rsidRPr="007652A5" w:rsidRDefault="006B2FD4" w:rsidP="006B2FD4">
      <w:pPr>
        <w:pStyle w:val="BodyTextIndent"/>
        <w:spacing w:after="0" w:line="240" w:lineRule="auto"/>
        <w:jc w:val="both"/>
        <w:rPr>
          <w:rFonts w:ascii="Arial" w:hAnsi="Arial" w:cs="Arial"/>
          <w:b/>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1003"/>
        <w:gridCol w:w="723"/>
        <w:gridCol w:w="884"/>
        <w:gridCol w:w="1017"/>
        <w:gridCol w:w="1364"/>
        <w:gridCol w:w="884"/>
        <w:gridCol w:w="884"/>
        <w:gridCol w:w="236"/>
      </w:tblGrid>
      <w:tr w:rsidR="006B2FD4" w:rsidRPr="007652A5" w:rsidTr="004E444C">
        <w:trP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U.M.</w:t>
            </w:r>
          </w:p>
        </w:tc>
        <w:tc>
          <w:tcPr>
            <w:tcW w:w="526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Clase de bonitate ale solurilor</w:t>
            </w:r>
          </w:p>
        </w:tc>
      </w:tr>
      <w:tr w:rsidR="006B2FD4" w:rsidRPr="007652A5" w:rsidTr="004E444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II</w:t>
            </w:r>
          </w:p>
        </w:tc>
        <w:tc>
          <w:tcPr>
            <w:tcW w:w="136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IV</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V</w:t>
            </w:r>
          </w:p>
        </w:tc>
        <w:tc>
          <w:tcPr>
            <w:tcW w:w="236"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center"/>
              <w:rPr>
                <w:rFonts w:ascii="Arial" w:hAnsi="Arial" w:cs="Arial"/>
                <w:b/>
                <w:sz w:val="24"/>
                <w:szCs w:val="24"/>
              </w:rPr>
            </w:pPr>
          </w:p>
        </w:tc>
      </w:tr>
      <w:tr w:rsidR="006B2FD4" w:rsidRPr="007652A5" w:rsidTr="004E444C">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Arabil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24230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146194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131086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35734</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13920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right"/>
              <w:rPr>
                <w:rFonts w:ascii="Arial" w:hAnsi="Arial" w:cs="Arial"/>
                <w:sz w:val="24"/>
                <w:szCs w:val="24"/>
              </w:rPr>
            </w:pPr>
          </w:p>
        </w:tc>
      </w:tr>
      <w:tr w:rsidR="006B2FD4" w:rsidRPr="007652A5" w:rsidTr="004E444C">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Păşuni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2347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11417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1611</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7336</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right"/>
              <w:rPr>
                <w:rFonts w:ascii="Arial" w:hAnsi="Arial" w:cs="Arial"/>
                <w:sz w:val="24"/>
                <w:szCs w:val="24"/>
              </w:rPr>
            </w:pPr>
          </w:p>
        </w:tc>
      </w:tr>
      <w:tr w:rsidR="006B2FD4" w:rsidRPr="007652A5" w:rsidTr="004E444C">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Vii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1715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1437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3312</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right"/>
              <w:rPr>
                <w:rFonts w:ascii="Arial" w:hAnsi="Arial" w:cs="Arial"/>
                <w:sz w:val="24"/>
                <w:szCs w:val="24"/>
              </w:rPr>
            </w:pPr>
          </w:p>
        </w:tc>
      </w:tr>
      <w:tr w:rsidR="006B2FD4" w:rsidRPr="007652A5" w:rsidTr="004E444C">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Livezi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293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315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339</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right"/>
              <w:rPr>
                <w:rFonts w:ascii="Arial" w:hAnsi="Arial" w:cs="Arial"/>
                <w:sz w:val="24"/>
                <w:szCs w:val="24"/>
              </w:rPr>
            </w:pPr>
          </w:p>
        </w:tc>
      </w:tr>
      <w:tr w:rsidR="006B2FD4" w:rsidRPr="007652A5" w:rsidTr="004E444C">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tcPr>
          <w:p w:rsidR="006B2FD4" w:rsidRPr="007652A5" w:rsidRDefault="006B2FD4" w:rsidP="004E444C">
            <w:pPr>
              <w:spacing w:after="0" w:line="240" w:lineRule="auto"/>
              <w:jc w:val="both"/>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24489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150549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144255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40996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rPr>
                <w:rFonts w:ascii="Arial" w:hAnsi="Arial" w:cs="Arial"/>
                <w:b/>
                <w:sz w:val="24"/>
                <w:szCs w:val="24"/>
              </w:rPr>
            </w:pPr>
            <w:r w:rsidRPr="007652A5">
              <w:rPr>
                <w:rFonts w:ascii="Arial" w:hAnsi="Arial" w:cs="Arial"/>
                <w:b/>
                <w:sz w:val="24"/>
                <w:szCs w:val="24"/>
              </w:rPr>
              <w:t>21287</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6B2FD4" w:rsidRPr="007652A5" w:rsidRDefault="006B2FD4" w:rsidP="004E444C">
            <w:pPr>
              <w:spacing w:after="0" w:line="240" w:lineRule="auto"/>
              <w:jc w:val="right"/>
              <w:rPr>
                <w:rFonts w:ascii="Arial" w:hAnsi="Arial" w:cs="Arial"/>
                <w:b/>
                <w:sz w:val="24"/>
                <w:szCs w:val="24"/>
              </w:rPr>
            </w:pPr>
          </w:p>
        </w:tc>
      </w:tr>
    </w:tbl>
    <w:p w:rsidR="006B2FD4" w:rsidRPr="007652A5" w:rsidRDefault="006B2FD4" w:rsidP="006B2FD4">
      <w:pPr>
        <w:tabs>
          <w:tab w:val="left" w:pos="2160"/>
          <w:tab w:val="left" w:leader="dot" w:pos="8820"/>
        </w:tabs>
        <w:spacing w:after="0" w:line="240" w:lineRule="auto"/>
        <w:ind w:left="1980" w:right="360"/>
        <w:jc w:val="both"/>
        <w:rPr>
          <w:rFonts w:ascii="Arial" w:hAnsi="Arial" w:cs="Arial"/>
          <w:sz w:val="24"/>
          <w:szCs w:val="24"/>
        </w:rPr>
      </w:pPr>
    </w:p>
    <w:p w:rsidR="006B2FD4" w:rsidRPr="007652A5" w:rsidRDefault="006B2FD4" w:rsidP="006B2FD4">
      <w:pPr>
        <w:tabs>
          <w:tab w:val="left" w:leader="dot" w:pos="9072"/>
        </w:tabs>
        <w:spacing w:after="0" w:line="240" w:lineRule="auto"/>
        <w:jc w:val="both"/>
        <w:rPr>
          <w:rFonts w:ascii="Arial" w:hAnsi="Arial" w:cs="Arial"/>
          <w:sz w:val="24"/>
          <w:szCs w:val="24"/>
          <w:lang w:val="it-IT"/>
        </w:rPr>
      </w:pPr>
    </w:p>
    <w:p w:rsidR="006B2FD4" w:rsidRPr="007652A5" w:rsidRDefault="006B2FD4" w:rsidP="006B2FD4">
      <w:pPr>
        <w:tabs>
          <w:tab w:val="left" w:leader="dot" w:pos="9072"/>
        </w:tabs>
        <w:spacing w:after="0" w:line="240" w:lineRule="auto"/>
        <w:jc w:val="both"/>
        <w:rPr>
          <w:rFonts w:ascii="Arial" w:hAnsi="Arial" w:cs="Arial"/>
          <w:sz w:val="24"/>
          <w:szCs w:val="24"/>
          <w:lang w:val="it-IT"/>
        </w:rPr>
      </w:pPr>
    </w:p>
    <w:p w:rsidR="006B2FD4" w:rsidRPr="007652A5" w:rsidRDefault="006B2FD4" w:rsidP="006B2FD4">
      <w:pPr>
        <w:tabs>
          <w:tab w:val="left" w:leader="dot" w:pos="9072"/>
        </w:tabs>
        <w:spacing w:after="0" w:line="240" w:lineRule="auto"/>
        <w:jc w:val="center"/>
        <w:rPr>
          <w:rFonts w:ascii="Arial" w:hAnsi="Arial" w:cs="Arial"/>
          <w:sz w:val="24"/>
          <w:szCs w:val="24"/>
          <w:lang w:val="it-IT"/>
        </w:rPr>
      </w:pPr>
      <w:r w:rsidRPr="007652A5">
        <w:rPr>
          <w:rFonts w:ascii="Arial" w:hAnsi="Arial" w:cs="Arial"/>
          <w:noProof/>
          <w:sz w:val="24"/>
          <w:szCs w:val="24"/>
        </w:rPr>
        <w:lastRenderedPageBreak/>
        <w:drawing>
          <wp:inline distT="0" distB="0" distL="0" distR="0">
            <wp:extent cx="5064125" cy="1800225"/>
            <wp:effectExtent l="0" t="0" r="3175" b="0"/>
            <wp:docPr id="236"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B2FD4" w:rsidRPr="007652A5" w:rsidRDefault="006B2FD4" w:rsidP="006B2FD4">
      <w:pPr>
        <w:tabs>
          <w:tab w:val="left" w:leader="dot" w:pos="9072"/>
        </w:tabs>
        <w:spacing w:after="0" w:line="240" w:lineRule="auto"/>
        <w:jc w:val="both"/>
        <w:rPr>
          <w:rFonts w:ascii="Arial" w:hAnsi="Arial" w:cs="Arial"/>
          <w:sz w:val="24"/>
          <w:szCs w:val="24"/>
          <w:lang w:val="it-IT"/>
        </w:rPr>
      </w:pPr>
    </w:p>
    <w:p w:rsidR="006B2FD4" w:rsidRPr="007652A5" w:rsidRDefault="006B2FD4" w:rsidP="006B2FD4">
      <w:pPr>
        <w:tabs>
          <w:tab w:val="left" w:leader="dot" w:pos="9072"/>
        </w:tabs>
        <w:spacing w:after="0" w:line="240" w:lineRule="auto"/>
        <w:jc w:val="both"/>
        <w:rPr>
          <w:rFonts w:ascii="Arial" w:hAnsi="Arial" w:cs="Arial"/>
          <w:sz w:val="24"/>
          <w:szCs w:val="24"/>
          <w:lang w:val="it-IT"/>
        </w:rPr>
      </w:pPr>
    </w:p>
    <w:p w:rsidR="006B2FD4" w:rsidRPr="007652A5" w:rsidRDefault="006B2FD4" w:rsidP="006B2FD4">
      <w:pPr>
        <w:tabs>
          <w:tab w:val="left" w:leader="dot" w:pos="9072"/>
        </w:tabs>
        <w:spacing w:after="0" w:line="240" w:lineRule="auto"/>
        <w:jc w:val="both"/>
        <w:rPr>
          <w:rFonts w:ascii="Arial" w:hAnsi="Arial" w:cs="Arial"/>
          <w:sz w:val="24"/>
          <w:szCs w:val="24"/>
          <w:lang w:val="it-IT"/>
        </w:rPr>
      </w:pPr>
      <w:r w:rsidRPr="00202088">
        <w:rPr>
          <w:rFonts w:ascii="Arial" w:hAnsi="Arial" w:cs="Arial"/>
          <w:sz w:val="24"/>
          <w:szCs w:val="24"/>
          <w:lang w:val="it-IT"/>
        </w:rPr>
        <w:t>Figura III.1.1-1</w:t>
      </w:r>
      <w:r w:rsidRPr="007652A5">
        <w:rPr>
          <w:rFonts w:ascii="Arial" w:hAnsi="Arial" w:cs="Arial"/>
          <w:sz w:val="24"/>
          <w:szCs w:val="24"/>
          <w:lang w:val="it-IT"/>
        </w:rPr>
        <w:t xml:space="preserve">:Ponderea tipurilor de folosințe din totalul agricol la nivelul anului 2016 </w:t>
      </w:r>
    </w:p>
    <w:p w:rsidR="006B2FD4" w:rsidRPr="007652A5" w:rsidRDefault="006B2FD4" w:rsidP="006B2FD4">
      <w:pPr>
        <w:tabs>
          <w:tab w:val="left" w:pos="2160"/>
          <w:tab w:val="left" w:leader="dot" w:pos="8820"/>
        </w:tabs>
        <w:spacing w:after="0" w:line="240" w:lineRule="auto"/>
        <w:ind w:left="1134" w:right="360"/>
        <w:jc w:val="center"/>
        <w:rPr>
          <w:rFonts w:ascii="Arial" w:hAnsi="Arial" w:cs="Arial"/>
          <w:sz w:val="24"/>
          <w:szCs w:val="24"/>
        </w:rPr>
      </w:pP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Modificările în ponderea tipurilor de folosințe în perioada 2011- 201</w:t>
      </w:r>
      <w:r>
        <w:rPr>
          <w:rFonts w:ascii="Arial" w:hAnsi="Arial" w:cs="Arial"/>
          <w:sz w:val="24"/>
          <w:szCs w:val="24"/>
        </w:rPr>
        <w:t>7</w:t>
      </w:r>
      <w:r w:rsidRPr="007652A5">
        <w:rPr>
          <w:rFonts w:ascii="Arial" w:hAnsi="Arial" w:cs="Arial"/>
          <w:sz w:val="24"/>
          <w:szCs w:val="24"/>
        </w:rPr>
        <w:t xml:space="preserve"> au fost foarte mici, </w:t>
      </w:r>
      <w:r w:rsidRPr="007652A5">
        <w:rPr>
          <w:rFonts w:ascii="Arial" w:hAnsi="Arial" w:cs="Arial"/>
          <w:sz w:val="24"/>
          <w:szCs w:val="24"/>
          <w:lang w:val="it-IT"/>
        </w:rPr>
        <w:t>terenurile arabile având o ușoară scădere iar pășunile, livezile și viile o ușoară cre</w:t>
      </w:r>
      <w:r w:rsidRPr="007652A5">
        <w:rPr>
          <w:rFonts w:ascii="Arial" w:hAnsi="Arial" w:cs="Arial"/>
          <w:sz w:val="24"/>
          <w:szCs w:val="24"/>
        </w:rPr>
        <w:t xml:space="preserve">ștere. </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b/>
          <w:sz w:val="24"/>
          <w:szCs w:val="24"/>
        </w:rPr>
        <w:t xml:space="preserve">III.1.2. Terenuri afectate de diverși factori limitativi </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Restricţiile calităţii solurilor, cu referire la degradare şi potenţial productiv redus, se regăsesc în următoarele grupări de soluri:</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a) Soluri sărăturate sau afectate de sărăturare: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soluri halomorfe (solonceacuri, soloneţuri, complex de solonceacuri-soloneţuri), având un potenţial productiv foarte redus (pajişti foarte slabe);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cernozomuri sărăturate (salinizate şi alcalizate);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soluri aluviale sărăturate (salinizate şi alcalizate).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b) Soluri afectate de exces de umiditate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 Soluri afectate de compactare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d) Soluri afectate de eroziune eoliană</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e) Zone vulnerabile şi potenţial vulnerabile la poluarea cu nitraţi din surse agricole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La sfârşitul anului </w:t>
      </w:r>
      <w:smartTag w:uri="urn:schemas-microsoft-com:office:smarttags" w:element="metricconverter">
        <w:smartTagPr>
          <w:attr w:name="ProductID" w:val="2008 a"/>
        </w:smartTagPr>
        <w:r w:rsidRPr="007652A5">
          <w:rPr>
            <w:rFonts w:ascii="Arial" w:hAnsi="Arial" w:cs="Arial"/>
            <w:sz w:val="24"/>
            <w:szCs w:val="24"/>
          </w:rPr>
          <w:t>2008 a</w:t>
        </w:r>
      </w:smartTag>
      <w:r w:rsidRPr="007652A5">
        <w:rPr>
          <w:rFonts w:ascii="Arial" w:hAnsi="Arial" w:cs="Arial"/>
          <w:sz w:val="24"/>
          <w:szCs w:val="24"/>
        </w:rPr>
        <w:t xml:space="preserve"> fost emis Ordinul nr. 1.552/743  al Ministrului Mediului şi Dezvoltării Durabile şi al Ministrului Agriculturii şi Dezvoltării Rurale pentru aprobarea listei </w:t>
      </w:r>
      <w:r w:rsidRPr="007652A5">
        <w:rPr>
          <w:rFonts w:ascii="Arial" w:hAnsi="Arial" w:cs="Arial"/>
          <w:sz w:val="24"/>
          <w:szCs w:val="24"/>
        </w:rPr>
        <w:lastRenderedPageBreak/>
        <w:t xml:space="preserve">localităţilor, pe judeţe, unde există surse de nitraţi din activităţi agricole. În judeţul </w:t>
      </w:r>
      <w:r>
        <w:rPr>
          <w:rFonts w:ascii="Arial" w:hAnsi="Arial" w:cs="Arial"/>
          <w:sz w:val="24"/>
          <w:szCs w:val="24"/>
        </w:rPr>
        <w:t>Brăila</w:t>
      </w:r>
      <w:r w:rsidRPr="007652A5">
        <w:rPr>
          <w:rFonts w:ascii="Arial" w:hAnsi="Arial" w:cs="Arial"/>
          <w:sz w:val="24"/>
          <w:szCs w:val="24"/>
        </w:rPr>
        <w:t xml:space="preserve"> acestă listă cuprinde 40 de localităţi. </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exploataţiile agricole cu un număr de animale cuprins între 8 şi 100 UVM de pe raza localităţilor vulnerabile la poluarea cu nitraţi este obligatorie aplicarea măsurilor din Programul de acţiune pentru zonele vulnerabile la nitraţi din surse agricole. Consiliile locale au elaborat planuri de acţiune locale care cuprind măsuri pentru protecţia apelor şi solului împotriva poluării cu nitraţi pentru localităţile respective.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două comune – Vădeni și Chiscani - au fost realizate două platforme de depozitare și gospodărire a gunoiului de grajd în cadrul proiectului „Controlul Integrat al Poluării cu Nutrienţi,” derulat de autoritatea centrală pentru protecția mediului, lucrările fiind deja finalizate și recepționate în 2015.</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b/>
          <w:sz w:val="24"/>
          <w:szCs w:val="24"/>
        </w:rPr>
        <w:t>III.2. Zone critice sub aspectul deteriorării solurilor</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b/>
          <w:sz w:val="24"/>
          <w:szCs w:val="24"/>
        </w:rPr>
        <w:t>III.2.1 Zone afectate de procese naturale</w:t>
      </w:r>
    </w:p>
    <w:p w:rsidR="006B2FD4"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Din inventarierea efectuată de Oficiul Judeţean pentru Studii Pedologice şi Agrochimice </w:t>
      </w:r>
      <w:r>
        <w:rPr>
          <w:rFonts w:ascii="Arial" w:hAnsi="Arial" w:cs="Arial"/>
          <w:sz w:val="24"/>
          <w:szCs w:val="24"/>
        </w:rPr>
        <w:t>Brăila</w:t>
      </w:r>
      <w:r w:rsidRPr="007652A5">
        <w:rPr>
          <w:rFonts w:ascii="Arial" w:hAnsi="Arial" w:cs="Arial"/>
          <w:sz w:val="24"/>
          <w:szCs w:val="24"/>
        </w:rPr>
        <w:t>,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Inventarul terenurilor afectate de diferite procese este redat în tabelul de mai jos, conform informațiilor furnizate de OSPA </w:t>
      </w:r>
      <w:r>
        <w:rPr>
          <w:rFonts w:ascii="Arial" w:hAnsi="Arial" w:cs="Arial"/>
          <w:sz w:val="24"/>
          <w:szCs w:val="24"/>
        </w:rPr>
        <w:t>Brăila</w:t>
      </w:r>
      <w:r w:rsidRPr="007652A5">
        <w:rPr>
          <w:rFonts w:ascii="Arial" w:hAnsi="Arial" w:cs="Arial"/>
          <w:sz w:val="24"/>
          <w:szCs w:val="24"/>
        </w:rPr>
        <w:t xml:space="preserve"> pentru anul 2013 este redat în tabelul de mai jos:</w:t>
      </w:r>
    </w:p>
    <w:p w:rsidR="006B2FD4" w:rsidRPr="007652A5" w:rsidRDefault="006B2FD4" w:rsidP="006B2FD4">
      <w:pPr>
        <w:tabs>
          <w:tab w:val="left" w:pos="709"/>
          <w:tab w:val="left" w:pos="2160"/>
          <w:tab w:val="left" w:leader="dot" w:pos="8640"/>
        </w:tabs>
        <w:spacing w:after="0" w:line="240" w:lineRule="auto"/>
        <w:ind w:right="-38" w:firstLine="851"/>
        <w:jc w:val="both"/>
        <w:rPr>
          <w:rFonts w:ascii="Arial" w:hAnsi="Arial" w:cs="Arial"/>
          <w:sz w:val="24"/>
          <w:szCs w:val="24"/>
        </w:rPr>
      </w:pPr>
    </w:p>
    <w:p w:rsidR="006B2FD4" w:rsidRPr="00202088" w:rsidRDefault="006B2FD4" w:rsidP="006B2FD4">
      <w:pPr>
        <w:spacing w:after="0" w:line="240" w:lineRule="auto"/>
        <w:ind w:firstLine="709"/>
        <w:jc w:val="both"/>
        <w:rPr>
          <w:rFonts w:ascii="Arial" w:hAnsi="Arial" w:cs="Arial"/>
          <w:sz w:val="24"/>
          <w:szCs w:val="24"/>
        </w:rPr>
      </w:pPr>
      <w:r w:rsidRPr="00202088">
        <w:rPr>
          <w:rFonts w:ascii="Arial" w:hAnsi="Arial" w:cs="Arial"/>
          <w:sz w:val="24"/>
          <w:szCs w:val="24"/>
        </w:rPr>
        <w:t>Tabelul III.2.1-1 Inventarul terenurilor afectate de diferite procese</w:t>
      </w:r>
      <w:r w:rsidRPr="00202088">
        <w:rPr>
          <w:rFonts w:ascii="Arial" w:hAnsi="Arial" w:cs="Arial"/>
          <w:sz w:val="24"/>
          <w:szCs w:val="24"/>
          <w:lang w:val="it-IT"/>
        </w:rPr>
        <w:t xml:space="preserve"> naturale</w:t>
      </w:r>
    </w:p>
    <w:p w:rsidR="006B2FD4" w:rsidRPr="00202088" w:rsidRDefault="006B2FD4" w:rsidP="006B2FD4">
      <w:pPr>
        <w:pStyle w:val="BodyTextIndent2BodyTextIndent2Char"/>
        <w:ind w:left="0" w:firstLine="720"/>
        <w:rPr>
          <w:rFonts w:ascii="Arial" w:hAnsi="Arial"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1471"/>
        <w:gridCol w:w="1620"/>
        <w:gridCol w:w="1800"/>
      </w:tblGrid>
      <w:tr w:rsidR="006B2FD4" w:rsidRPr="007652A5" w:rsidTr="004E444C">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6B2FD4" w:rsidRPr="007652A5" w:rsidRDefault="006B2FD4" w:rsidP="004E444C">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6B2FD4" w:rsidRPr="007652A5" w:rsidRDefault="006B2FD4" w:rsidP="004E444C">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pStyle w:val="BodyTextIndent2BodyTextIndent2Char"/>
              <w:ind w:left="0"/>
              <w:jc w:val="center"/>
              <w:rPr>
                <w:rFonts w:ascii="Arial" w:hAnsi="Arial" w:cs="Arial"/>
                <w:b/>
                <w:sz w:val="24"/>
                <w:szCs w:val="24"/>
              </w:rPr>
            </w:pPr>
          </w:p>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w:t>
            </w:r>
          </w:p>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b/>
                <w:sz w:val="24"/>
                <w:szCs w:val="24"/>
              </w:rPr>
              <w:t>din totalul suprafeţei agricole</w:t>
            </w:r>
          </w:p>
        </w:tc>
      </w:tr>
      <w:tr w:rsidR="006B2FD4" w:rsidRPr="007652A5" w:rsidTr="004E444C">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eastAsia="Times New Roman" w:hAnsi="Arial" w:cs="Arial"/>
                <w:b/>
                <w:sz w:val="24"/>
                <w:szCs w:val="24"/>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bCs/>
                <w:sz w:val="24"/>
                <w:szCs w:val="24"/>
              </w:rPr>
            </w:pPr>
            <w:r w:rsidRPr="007652A5">
              <w:rPr>
                <w:rFonts w:ascii="Arial" w:hAnsi="Arial" w:cs="Arial"/>
                <w:b/>
                <w:bCs/>
                <w:sz w:val="24"/>
                <w:szCs w:val="24"/>
              </w:rPr>
              <w:t>Suprafață</w:t>
            </w:r>
          </w:p>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w:t>
            </w:r>
          </w:p>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b/>
                <w:sz w:val="24"/>
                <w:szCs w:val="24"/>
              </w:rPr>
              <w:t>din suprafaţa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eastAsia="Times New Roman" w:hAnsi="Arial" w:cs="Arial"/>
                <w:sz w:val="24"/>
                <w:szCs w:val="24"/>
              </w:rPr>
            </w:pP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Gleizare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8,70</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4,51</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1,56</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9,28</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Eroziune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0,20</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left"/>
              <w:rPr>
                <w:rFonts w:ascii="Arial" w:hAnsi="Arial" w:cs="Arial"/>
                <w:sz w:val="24"/>
                <w:szCs w:val="24"/>
              </w:rPr>
            </w:pPr>
            <w:r w:rsidRPr="007652A5">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sz w:val="24"/>
                <w:szCs w:val="24"/>
              </w:rPr>
            </w:pPr>
            <w:r w:rsidRPr="007652A5">
              <w:rPr>
                <w:rFonts w:ascii="Arial" w:hAnsi="Arial" w:cs="Arial"/>
                <w:sz w:val="24"/>
                <w:szCs w:val="24"/>
              </w:rPr>
              <w:t>5,60</w:t>
            </w:r>
          </w:p>
        </w:tc>
      </w:tr>
      <w:tr w:rsidR="006B2FD4" w:rsidRPr="007652A5" w:rsidTr="004E444C">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6B2FD4" w:rsidRPr="007652A5" w:rsidRDefault="006B2FD4" w:rsidP="004E444C">
            <w:pPr>
              <w:pStyle w:val="BodyTextIndent2BodyTextIndent2Char"/>
              <w:ind w:left="0"/>
              <w:jc w:val="center"/>
              <w:rPr>
                <w:rFonts w:ascii="Arial" w:hAnsi="Arial" w:cs="Arial"/>
                <w:b/>
                <w:sz w:val="24"/>
                <w:szCs w:val="24"/>
              </w:rPr>
            </w:pPr>
            <w:r w:rsidRPr="007652A5">
              <w:rPr>
                <w:rFonts w:ascii="Arial" w:hAnsi="Arial" w:cs="Arial"/>
                <w:b/>
                <w:sz w:val="24"/>
                <w:szCs w:val="24"/>
              </w:rPr>
              <w:t>29,82</w:t>
            </w:r>
          </w:p>
        </w:tc>
      </w:tr>
    </w:tbl>
    <w:p w:rsidR="006B2FD4" w:rsidRPr="007652A5" w:rsidRDefault="006B2FD4" w:rsidP="006B2FD4">
      <w:pPr>
        <w:tabs>
          <w:tab w:val="left" w:pos="2160"/>
          <w:tab w:val="left" w:leader="dot" w:pos="8820"/>
        </w:tabs>
        <w:spacing w:after="0" w:line="240" w:lineRule="auto"/>
        <w:ind w:right="360"/>
        <w:jc w:val="both"/>
        <w:rPr>
          <w:rFonts w:ascii="Arial" w:hAnsi="Arial" w:cs="Arial"/>
          <w:sz w:val="24"/>
          <w:szCs w:val="24"/>
        </w:rPr>
      </w:pPr>
    </w:p>
    <w:p w:rsidR="002A3AAE" w:rsidRDefault="002A3AAE" w:rsidP="006B2FD4">
      <w:pPr>
        <w:tabs>
          <w:tab w:val="left" w:leader="dot" w:pos="8820"/>
        </w:tabs>
        <w:spacing w:after="0" w:line="240" w:lineRule="auto"/>
        <w:ind w:right="360"/>
        <w:jc w:val="both"/>
        <w:rPr>
          <w:rFonts w:ascii="Arial" w:hAnsi="Arial" w:cs="Arial"/>
          <w:b/>
          <w:sz w:val="24"/>
          <w:szCs w:val="24"/>
          <w:lang w:val="it-IT"/>
        </w:rPr>
      </w:pPr>
    </w:p>
    <w:p w:rsidR="006B2FD4" w:rsidRPr="007652A5" w:rsidRDefault="006B2FD4" w:rsidP="006B2FD4">
      <w:pPr>
        <w:tabs>
          <w:tab w:val="left" w:leader="dot" w:pos="8820"/>
        </w:tabs>
        <w:spacing w:after="0" w:line="240" w:lineRule="auto"/>
        <w:ind w:right="360"/>
        <w:jc w:val="both"/>
        <w:rPr>
          <w:rFonts w:ascii="Arial" w:hAnsi="Arial" w:cs="Arial"/>
          <w:b/>
          <w:sz w:val="24"/>
          <w:szCs w:val="24"/>
          <w:lang w:val="it-IT"/>
        </w:rPr>
      </w:pPr>
      <w:r w:rsidRPr="007652A5">
        <w:rPr>
          <w:rFonts w:ascii="Arial" w:hAnsi="Arial" w:cs="Arial"/>
          <w:b/>
          <w:sz w:val="24"/>
          <w:szCs w:val="24"/>
          <w:lang w:val="it-IT"/>
        </w:rPr>
        <w:t xml:space="preserve">III.3. Presiuni ale unor factori asupra stării de calitate a solurilor din județul </w:t>
      </w:r>
      <w:r>
        <w:rPr>
          <w:rFonts w:ascii="Arial" w:hAnsi="Arial" w:cs="Arial"/>
          <w:b/>
          <w:sz w:val="24"/>
          <w:szCs w:val="24"/>
          <w:lang w:val="it-IT"/>
        </w:rPr>
        <w:t>Brăila</w:t>
      </w:r>
    </w:p>
    <w:p w:rsidR="002A3AAE" w:rsidRDefault="006B2FD4" w:rsidP="006B2FD4">
      <w:pPr>
        <w:spacing w:after="0" w:line="240" w:lineRule="auto"/>
        <w:jc w:val="both"/>
        <w:rPr>
          <w:rFonts w:ascii="Arial" w:hAnsi="Arial" w:cs="Arial"/>
          <w:b/>
          <w:sz w:val="24"/>
          <w:szCs w:val="24"/>
          <w:lang w:val="it-IT"/>
        </w:rPr>
      </w:pPr>
      <w:r w:rsidRPr="007652A5">
        <w:rPr>
          <w:rFonts w:ascii="Arial" w:hAnsi="Arial" w:cs="Arial"/>
          <w:b/>
          <w:sz w:val="24"/>
          <w:szCs w:val="24"/>
          <w:lang w:val="it-IT"/>
        </w:rPr>
        <w:t xml:space="preserve">      </w:t>
      </w:r>
    </w:p>
    <w:p w:rsidR="006B2FD4" w:rsidRPr="007652A5" w:rsidRDefault="002A3AAE" w:rsidP="006B2FD4">
      <w:pPr>
        <w:spacing w:after="0" w:line="240" w:lineRule="auto"/>
        <w:jc w:val="both"/>
        <w:rPr>
          <w:rFonts w:ascii="Arial" w:eastAsia="SimSun" w:hAnsi="Arial" w:cs="Arial"/>
          <w:b/>
          <w:sz w:val="24"/>
          <w:szCs w:val="24"/>
          <w:lang w:val="it-IT"/>
        </w:rPr>
      </w:pPr>
      <w:r>
        <w:rPr>
          <w:rFonts w:ascii="Arial" w:hAnsi="Arial" w:cs="Arial"/>
          <w:b/>
          <w:sz w:val="24"/>
          <w:szCs w:val="24"/>
          <w:lang w:val="it-IT"/>
        </w:rPr>
        <w:t xml:space="preserve">       </w:t>
      </w:r>
      <w:r w:rsidR="006B2FD4" w:rsidRPr="007652A5">
        <w:rPr>
          <w:rFonts w:ascii="Arial" w:hAnsi="Arial" w:cs="Arial"/>
          <w:b/>
          <w:sz w:val="24"/>
          <w:szCs w:val="24"/>
          <w:lang w:val="it-IT"/>
        </w:rPr>
        <w:t xml:space="preserve"> III.3.1. </w:t>
      </w:r>
      <w:r w:rsidR="006B2FD4" w:rsidRPr="007652A5">
        <w:rPr>
          <w:rFonts w:ascii="Arial" w:hAnsi="Arial" w:cs="Arial"/>
          <w:b/>
          <w:i/>
          <w:sz w:val="24"/>
          <w:szCs w:val="24"/>
          <w:lang w:val="it-IT"/>
        </w:rPr>
        <w:t>Utilizarea și consumul de îngrăşăminte</w:t>
      </w:r>
    </w:p>
    <w:p w:rsidR="006B2FD4" w:rsidRDefault="006B2FD4" w:rsidP="006B2FD4">
      <w:pPr>
        <w:pStyle w:val="BodyTextIndent2BodyTextIndent2Char"/>
        <w:ind w:left="0"/>
        <w:rPr>
          <w:rFonts w:ascii="Arial" w:hAnsi="Arial" w:cs="Arial"/>
          <w:sz w:val="24"/>
          <w:szCs w:val="24"/>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w:t>
      </w:r>
      <w:r>
        <w:rPr>
          <w:rFonts w:ascii="Arial" w:hAnsi="Arial" w:cs="Arial"/>
          <w:sz w:val="24"/>
          <w:szCs w:val="24"/>
        </w:rPr>
        <w:t>BR</w:t>
      </w:r>
      <w:r w:rsidRPr="007652A5">
        <w:rPr>
          <w:rFonts w:ascii="Arial" w:hAnsi="Arial" w:cs="Arial"/>
          <w:sz w:val="24"/>
          <w:szCs w:val="24"/>
        </w:rPr>
        <w:t>ului ecologic.</w:t>
      </w:r>
    </w:p>
    <w:p w:rsidR="006B2FD4" w:rsidRPr="007652A5" w:rsidRDefault="006B2FD4" w:rsidP="006B2FD4">
      <w:pPr>
        <w:spacing w:after="0" w:line="240" w:lineRule="auto"/>
        <w:jc w:val="both"/>
        <w:rPr>
          <w:rFonts w:ascii="Arial" w:hAnsi="Arial" w:cs="Arial"/>
          <w:sz w:val="24"/>
          <w:szCs w:val="24"/>
        </w:rPr>
      </w:pPr>
    </w:p>
    <w:p w:rsidR="006B2FD4" w:rsidRPr="007652A5" w:rsidRDefault="006B2FD4" w:rsidP="006B2FD4">
      <w:pPr>
        <w:spacing w:after="0" w:line="240" w:lineRule="auto"/>
        <w:jc w:val="both"/>
        <w:rPr>
          <w:rFonts w:ascii="Arial" w:hAnsi="Arial" w:cs="Arial"/>
          <w:b/>
          <w:sz w:val="24"/>
          <w:szCs w:val="24"/>
        </w:rPr>
      </w:pPr>
      <w:r w:rsidRPr="007652A5">
        <w:rPr>
          <w:rFonts w:ascii="Arial" w:hAnsi="Arial" w:cs="Arial"/>
          <w:b/>
          <w:sz w:val="24"/>
          <w:szCs w:val="24"/>
          <w:lang w:val="pt-BR"/>
        </w:rPr>
        <w:t>Utilizarea îngrăşămintelor în anii 2011-201</w:t>
      </w:r>
      <w:r>
        <w:rPr>
          <w:rFonts w:ascii="Arial" w:hAnsi="Arial" w:cs="Arial"/>
          <w:b/>
          <w:sz w:val="24"/>
          <w:szCs w:val="24"/>
          <w:lang w:val="pt-BR"/>
        </w:rPr>
        <w:t>7</w:t>
      </w:r>
      <w:r w:rsidRPr="007652A5">
        <w:rPr>
          <w:rFonts w:ascii="Arial" w:hAnsi="Arial" w:cs="Arial"/>
          <w:b/>
          <w:sz w:val="24"/>
          <w:szCs w:val="24"/>
          <w:lang w:val="pt-BR"/>
        </w:rPr>
        <w:t xml:space="preserve"> este redată în tabelul și graficele de mai jos.</w:t>
      </w:r>
    </w:p>
    <w:p w:rsidR="006B2FD4" w:rsidRPr="00202088" w:rsidRDefault="006B2FD4" w:rsidP="006B2FD4">
      <w:pPr>
        <w:spacing w:after="0" w:line="240" w:lineRule="auto"/>
        <w:rPr>
          <w:rFonts w:ascii="Arial" w:hAnsi="Arial" w:cs="Arial"/>
          <w:sz w:val="24"/>
          <w:szCs w:val="24"/>
          <w:lang w:val="pt-BR"/>
        </w:rPr>
      </w:pPr>
      <w:r w:rsidRPr="00202088">
        <w:rPr>
          <w:rFonts w:ascii="Arial" w:hAnsi="Arial" w:cs="Arial"/>
          <w:sz w:val="24"/>
          <w:szCs w:val="24"/>
          <w:lang w:val="pt-BR"/>
        </w:rPr>
        <w:t xml:space="preserve"> Tabelul III.3.1-1 </w:t>
      </w: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951"/>
        <w:gridCol w:w="951"/>
        <w:gridCol w:w="896"/>
        <w:gridCol w:w="1033"/>
        <w:gridCol w:w="1777"/>
        <w:gridCol w:w="1710"/>
      </w:tblGrid>
      <w:tr w:rsidR="006B2FD4" w:rsidRPr="007652A5" w:rsidTr="004E444C">
        <w:tc>
          <w:tcPr>
            <w:tcW w:w="8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Anul</w:t>
            </w:r>
          </w:p>
        </w:tc>
        <w:tc>
          <w:tcPr>
            <w:tcW w:w="3831" w:type="dxa"/>
            <w:gridSpan w:val="4"/>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Îngrăşăminte chimice folosite</w:t>
            </w:r>
          </w:p>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(tone substanţă activă)</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N+P2O5+K2O</w:t>
            </w:r>
          </w:p>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Îngrăşăminte</w:t>
            </w:r>
          </w:p>
          <w:p w:rsidR="006B2FD4" w:rsidRPr="007652A5" w:rsidRDefault="006B2FD4" w:rsidP="004E444C">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organice</w:t>
            </w:r>
          </w:p>
          <w:p w:rsidR="006B2FD4" w:rsidRPr="007652A5" w:rsidRDefault="006B2FD4" w:rsidP="004E444C">
            <w:pPr>
              <w:tabs>
                <w:tab w:val="left" w:pos="770"/>
                <w:tab w:val="left" w:pos="3801"/>
              </w:tabs>
              <w:spacing w:after="0" w:line="240" w:lineRule="auto"/>
              <w:jc w:val="both"/>
              <w:rPr>
                <w:rFonts w:ascii="Arial" w:hAnsi="Arial" w:cs="Arial"/>
                <w:sz w:val="24"/>
                <w:szCs w:val="24"/>
              </w:rPr>
            </w:pPr>
            <w:r w:rsidRPr="007652A5">
              <w:rPr>
                <w:rFonts w:ascii="Arial" w:hAnsi="Arial" w:cs="Arial"/>
                <w:b/>
                <w:sz w:val="24"/>
                <w:szCs w:val="24"/>
              </w:rPr>
              <w:t>(tone)</w:t>
            </w:r>
          </w:p>
        </w:tc>
      </w:tr>
      <w:tr w:rsidR="006B2FD4" w:rsidRPr="007652A5" w:rsidTr="004E444C">
        <w:tc>
          <w:tcPr>
            <w:tcW w:w="890"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N</w:t>
            </w: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P2O5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K2O</w:t>
            </w:r>
          </w:p>
        </w:tc>
        <w:tc>
          <w:tcPr>
            <w:tcW w:w="1033"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Total</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Arabil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sz w:val="24"/>
                <w:szCs w:val="24"/>
              </w:rPr>
            </w:pPr>
          </w:p>
        </w:tc>
      </w:tr>
      <w:tr w:rsidR="006B2FD4" w:rsidRPr="007652A5" w:rsidTr="004E444C">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2011</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8.177</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6.343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1.512</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16.032</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65,60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693.000</w:t>
            </w:r>
          </w:p>
        </w:tc>
      </w:tr>
      <w:tr w:rsidR="006B2FD4" w:rsidRPr="007652A5" w:rsidTr="004E444C">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2012</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8.575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6.723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1.285</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16.583</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67,60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693.000</w:t>
            </w:r>
          </w:p>
        </w:tc>
      </w:tr>
      <w:tr w:rsidR="006B2FD4" w:rsidRPr="007652A5" w:rsidTr="004E444C">
        <w:trPr>
          <w:trHeight w:val="260"/>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2013</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7.908</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6.150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571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14.629</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48,60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668.700</w:t>
            </w:r>
          </w:p>
        </w:tc>
      </w:tr>
      <w:tr w:rsidR="006B2FD4" w:rsidRPr="007652A5" w:rsidTr="004E444C">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2014</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8.085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6.290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429</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14.804</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62,40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668.700</w:t>
            </w:r>
          </w:p>
        </w:tc>
      </w:tr>
      <w:tr w:rsidR="006B2FD4" w:rsidRPr="007652A5" w:rsidTr="004E444C">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12005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9150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7131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27.701</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78,74</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668.700</w:t>
            </w:r>
          </w:p>
        </w:tc>
      </w:tr>
      <w:tr w:rsidR="006B2FD4" w:rsidRPr="007652A5" w:rsidTr="004E444C">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2016</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14.762</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11.437</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8.257</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34.456</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w:t>
            </w:r>
          </w:p>
        </w:tc>
      </w:tr>
      <w:tr w:rsidR="006B2FD4" w:rsidRPr="007652A5" w:rsidTr="004E444C">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both"/>
              <w:rPr>
                <w:rFonts w:ascii="Arial" w:hAnsi="Arial" w:cs="Arial"/>
                <w:sz w:val="24"/>
                <w:szCs w:val="24"/>
              </w:rPr>
            </w:pPr>
            <w:r>
              <w:rPr>
                <w:rFonts w:ascii="Arial" w:hAnsi="Arial" w:cs="Arial"/>
                <w:sz w:val="24"/>
                <w:szCs w:val="24"/>
              </w:rPr>
              <w:t>2017</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14.</w:t>
            </w:r>
            <w:r>
              <w:rPr>
                <w:rFonts w:ascii="Arial" w:hAnsi="Arial" w:cs="Arial"/>
                <w:sz w:val="24"/>
                <w:szCs w:val="24"/>
              </w:rPr>
              <w:t>98</w:t>
            </w:r>
            <w:r w:rsidRPr="007652A5">
              <w:rPr>
                <w:rFonts w:ascii="Arial" w:hAnsi="Arial" w:cs="Arial"/>
                <w:sz w:val="24"/>
                <w:szCs w:val="24"/>
              </w:rPr>
              <w:t>2</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right"/>
              <w:rPr>
                <w:rFonts w:ascii="Arial" w:hAnsi="Arial" w:cs="Arial"/>
                <w:sz w:val="24"/>
                <w:szCs w:val="24"/>
              </w:rPr>
            </w:pPr>
            <w:r w:rsidRPr="007652A5">
              <w:rPr>
                <w:rFonts w:ascii="Arial" w:hAnsi="Arial" w:cs="Arial"/>
                <w:sz w:val="24"/>
                <w:szCs w:val="24"/>
              </w:rPr>
              <w:t>11.</w:t>
            </w:r>
            <w:r>
              <w:rPr>
                <w:rFonts w:ascii="Arial" w:hAnsi="Arial" w:cs="Arial"/>
                <w:sz w:val="24"/>
                <w:szCs w:val="24"/>
              </w:rPr>
              <w:t>594</w:t>
            </w:r>
          </w:p>
        </w:tc>
        <w:tc>
          <w:tcPr>
            <w:tcW w:w="896"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1.542</w:t>
            </w:r>
          </w:p>
        </w:tc>
        <w:tc>
          <w:tcPr>
            <w:tcW w:w="1033"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28.118</w:t>
            </w:r>
          </w:p>
        </w:tc>
        <w:tc>
          <w:tcPr>
            <w:tcW w:w="1777"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w:t>
            </w:r>
          </w:p>
        </w:tc>
      </w:tr>
      <w:tr w:rsidR="006B2FD4" w:rsidRPr="007652A5" w:rsidTr="004E444C">
        <w:tc>
          <w:tcPr>
            <w:tcW w:w="890"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both"/>
              <w:rPr>
                <w:rFonts w:ascii="Arial" w:hAnsi="Arial" w:cs="Arial"/>
                <w:sz w:val="24"/>
                <w:szCs w:val="24"/>
              </w:rPr>
            </w:pPr>
          </w:p>
        </w:tc>
        <w:tc>
          <w:tcPr>
            <w:tcW w:w="951"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right"/>
              <w:rPr>
                <w:rFonts w:ascii="Arial" w:hAnsi="Arial" w:cs="Arial"/>
                <w:sz w:val="24"/>
                <w:szCs w:val="24"/>
              </w:rPr>
            </w:pPr>
          </w:p>
        </w:tc>
        <w:tc>
          <w:tcPr>
            <w:tcW w:w="951"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right"/>
              <w:rPr>
                <w:rFonts w:ascii="Arial" w:hAnsi="Arial" w:cs="Arial"/>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center"/>
              <w:rPr>
                <w:rFonts w:ascii="Arial" w:hAnsi="Arial" w:cs="Arial"/>
                <w:sz w:val="24"/>
                <w:szCs w:val="24"/>
              </w:rPr>
            </w:pPr>
          </w:p>
        </w:tc>
        <w:tc>
          <w:tcPr>
            <w:tcW w:w="1033"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center"/>
              <w:rPr>
                <w:rFonts w:ascii="Arial" w:hAnsi="Arial" w:cs="Arial"/>
                <w:sz w:val="24"/>
                <w:szCs w:val="24"/>
              </w:rPr>
            </w:pPr>
          </w:p>
        </w:tc>
        <w:tc>
          <w:tcPr>
            <w:tcW w:w="1777"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center"/>
              <w:rPr>
                <w:rFonts w:ascii="Arial" w:hAnsi="Arial" w:cs="Arial"/>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6B2FD4" w:rsidRPr="007652A5" w:rsidRDefault="006B2FD4" w:rsidP="004E444C">
            <w:pPr>
              <w:spacing w:after="0" w:line="240" w:lineRule="auto"/>
              <w:jc w:val="center"/>
              <w:rPr>
                <w:rFonts w:ascii="Arial" w:hAnsi="Arial" w:cs="Arial"/>
                <w:sz w:val="24"/>
                <w:szCs w:val="24"/>
              </w:rPr>
            </w:pPr>
          </w:p>
        </w:tc>
      </w:tr>
    </w:tbl>
    <w:p w:rsidR="006B2FD4" w:rsidRPr="007652A5" w:rsidRDefault="006B2FD4" w:rsidP="006B2FD4">
      <w:pPr>
        <w:spacing w:after="0" w:line="240" w:lineRule="auto"/>
        <w:jc w:val="both"/>
        <w:rPr>
          <w:rFonts w:ascii="Arial" w:hAnsi="Arial" w:cs="Arial"/>
        </w:rPr>
      </w:pPr>
    </w:p>
    <w:p w:rsidR="006B2FD4" w:rsidRPr="007652A5" w:rsidRDefault="006B2FD4" w:rsidP="006B2FD4">
      <w:pPr>
        <w:spacing w:after="0" w:line="240" w:lineRule="auto"/>
        <w:jc w:val="both"/>
        <w:rPr>
          <w:rFonts w:ascii="Arial" w:hAnsi="Arial" w:cs="Arial"/>
        </w:rPr>
      </w:pPr>
    </w:p>
    <w:p w:rsidR="006B2FD4" w:rsidRPr="007652A5" w:rsidRDefault="006B2FD4" w:rsidP="006B2FD4">
      <w:pPr>
        <w:spacing w:after="0" w:line="240" w:lineRule="auto"/>
        <w:jc w:val="both"/>
        <w:rPr>
          <w:rFonts w:ascii="Arial" w:hAnsi="Arial" w:cs="Arial"/>
        </w:rPr>
      </w:pPr>
    </w:p>
    <w:p w:rsidR="006B2FD4" w:rsidRPr="007652A5" w:rsidRDefault="006B2FD4" w:rsidP="006B2FD4">
      <w:pPr>
        <w:spacing w:after="0" w:line="240" w:lineRule="auto"/>
        <w:jc w:val="both"/>
        <w:rPr>
          <w:rFonts w:ascii="Arial" w:hAnsi="Arial" w:cs="Arial"/>
          <w:sz w:val="24"/>
          <w:szCs w:val="24"/>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p>
    <w:p w:rsidR="006B2FD4" w:rsidRPr="007652A5" w:rsidRDefault="006B2FD4" w:rsidP="006B2FD4">
      <w:pPr>
        <w:spacing w:after="0" w:line="240" w:lineRule="auto"/>
        <w:jc w:val="center"/>
        <w:rPr>
          <w:rFonts w:ascii="Arial" w:hAnsi="Arial" w:cs="Arial"/>
          <w:b/>
          <w:sz w:val="24"/>
          <w:szCs w:val="24"/>
          <w:lang w:val="pt-BR"/>
        </w:rPr>
      </w:pPr>
      <w:r w:rsidRPr="007652A5">
        <w:rPr>
          <w:rFonts w:ascii="Arial" w:hAnsi="Arial" w:cs="Arial"/>
          <w:b/>
          <w:noProof/>
          <w:sz w:val="24"/>
          <w:szCs w:val="24"/>
        </w:rPr>
        <w:drawing>
          <wp:inline distT="0" distB="0" distL="0" distR="0">
            <wp:extent cx="4724400" cy="1952625"/>
            <wp:effectExtent l="57150" t="0" r="57150" b="66675"/>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B2FD4" w:rsidRPr="00202088" w:rsidRDefault="006B2FD4" w:rsidP="006B2FD4">
      <w:pPr>
        <w:spacing w:after="0" w:line="240" w:lineRule="auto"/>
        <w:jc w:val="center"/>
        <w:rPr>
          <w:rFonts w:ascii="Arial" w:hAnsi="Arial" w:cs="Arial"/>
          <w:sz w:val="24"/>
          <w:szCs w:val="24"/>
          <w:lang w:val="pt-BR"/>
        </w:rPr>
      </w:pPr>
      <w:r w:rsidRPr="007636FD">
        <w:rPr>
          <w:rFonts w:ascii="Arial" w:hAnsi="Arial" w:cs="Arial"/>
          <w:sz w:val="24"/>
          <w:szCs w:val="24"/>
          <w:lang w:val="pt-BR"/>
        </w:rPr>
        <w:t>Fig. III.3.1-1Utilizarea îngrăşămintelor în anii 2013-2017</w:t>
      </w:r>
    </w:p>
    <w:p w:rsidR="00670925" w:rsidRDefault="00670925" w:rsidP="006B2FD4">
      <w:pPr>
        <w:spacing w:after="0" w:line="240" w:lineRule="auto"/>
        <w:jc w:val="center"/>
        <w:rPr>
          <w:rFonts w:ascii="Arial" w:hAnsi="Arial" w:cs="Arial"/>
          <w:b/>
          <w:sz w:val="24"/>
          <w:szCs w:val="24"/>
          <w:lang w:val="pt-BR"/>
        </w:rPr>
      </w:pPr>
    </w:p>
    <w:p w:rsidR="006B2FD4" w:rsidRDefault="006B2FD4" w:rsidP="006B2FD4">
      <w:pPr>
        <w:spacing w:after="0" w:line="240" w:lineRule="auto"/>
        <w:jc w:val="center"/>
        <w:rPr>
          <w:rFonts w:ascii="Arial" w:hAnsi="Arial" w:cs="Arial"/>
          <w:b/>
          <w:sz w:val="24"/>
          <w:szCs w:val="24"/>
          <w:lang w:val="pt-BR"/>
        </w:rPr>
      </w:pPr>
      <w:r w:rsidRPr="007652A5">
        <w:rPr>
          <w:rFonts w:ascii="Arial" w:hAnsi="Arial" w:cs="Arial"/>
          <w:b/>
          <w:noProof/>
          <w:sz w:val="24"/>
          <w:szCs w:val="24"/>
        </w:rPr>
        <w:drawing>
          <wp:inline distT="0" distB="0" distL="0" distR="0">
            <wp:extent cx="4924425" cy="2076450"/>
            <wp:effectExtent l="19050" t="0" r="9525" b="0"/>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70925" w:rsidRPr="007652A5" w:rsidRDefault="00670925" w:rsidP="006B2FD4">
      <w:pPr>
        <w:spacing w:after="0" w:line="240" w:lineRule="auto"/>
        <w:jc w:val="center"/>
        <w:rPr>
          <w:rFonts w:ascii="Arial" w:hAnsi="Arial" w:cs="Arial"/>
          <w:b/>
          <w:sz w:val="24"/>
          <w:szCs w:val="24"/>
          <w:lang w:val="pt-BR"/>
        </w:rPr>
      </w:pPr>
    </w:p>
    <w:p w:rsidR="006B2FD4" w:rsidRPr="00202088" w:rsidRDefault="006B2FD4" w:rsidP="006B2FD4">
      <w:pPr>
        <w:spacing w:after="0" w:line="240" w:lineRule="auto"/>
        <w:jc w:val="center"/>
        <w:rPr>
          <w:rFonts w:ascii="Arial" w:hAnsi="Arial" w:cs="Arial"/>
          <w:sz w:val="24"/>
          <w:szCs w:val="24"/>
          <w:lang w:val="pt-BR"/>
        </w:rPr>
      </w:pPr>
      <w:r w:rsidRPr="00202088">
        <w:rPr>
          <w:rFonts w:ascii="Arial" w:hAnsi="Arial" w:cs="Arial"/>
          <w:sz w:val="24"/>
          <w:szCs w:val="24"/>
          <w:lang w:val="pt-BR"/>
        </w:rPr>
        <w:t>Fig. III.3.1-2 Tendințele în utilizarea îngrășămintelor chimice în agicultură în perioada 201</w:t>
      </w:r>
      <w:r>
        <w:rPr>
          <w:rFonts w:ascii="Arial" w:hAnsi="Arial" w:cs="Arial"/>
          <w:sz w:val="24"/>
          <w:szCs w:val="24"/>
          <w:lang w:val="pt-BR"/>
        </w:rPr>
        <w:t>3</w:t>
      </w:r>
      <w:r w:rsidRPr="00202088">
        <w:rPr>
          <w:rFonts w:ascii="Arial" w:hAnsi="Arial" w:cs="Arial"/>
          <w:sz w:val="24"/>
          <w:szCs w:val="24"/>
          <w:lang w:val="pt-BR"/>
        </w:rPr>
        <w:t>-201</w:t>
      </w:r>
      <w:r>
        <w:rPr>
          <w:rFonts w:ascii="Arial" w:hAnsi="Arial" w:cs="Arial"/>
          <w:sz w:val="24"/>
          <w:szCs w:val="24"/>
          <w:lang w:val="pt-BR"/>
        </w:rPr>
        <w:t>7</w:t>
      </w:r>
    </w:p>
    <w:p w:rsidR="006B2FD4" w:rsidRPr="00202088" w:rsidRDefault="006B2FD4" w:rsidP="006B2FD4">
      <w:pPr>
        <w:spacing w:after="0" w:line="240" w:lineRule="auto"/>
        <w:rPr>
          <w:rFonts w:ascii="Arial" w:hAnsi="Arial" w:cs="Arial"/>
          <w:sz w:val="24"/>
          <w:szCs w:val="24"/>
          <w:lang w:val="pt-BR"/>
        </w:rPr>
      </w:pPr>
      <w:r w:rsidRPr="00202088">
        <w:rPr>
          <w:rFonts w:ascii="Arial" w:hAnsi="Arial" w:cs="Arial"/>
          <w:sz w:val="24"/>
          <w:szCs w:val="24"/>
          <w:lang w:val="pt-BR"/>
        </w:rPr>
        <w:t>Tabelul III.3.1- 2 Utilizarea îngrăşămintelor pe tipuri de culturi</w:t>
      </w:r>
    </w:p>
    <w:tbl>
      <w:tblPr>
        <w:tblpPr w:leftFromText="180" w:rightFromText="180" w:vertAnchor="text" w:horzAnchor="margin" w:tblpXSpec="center"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4174"/>
        <w:gridCol w:w="1360"/>
        <w:gridCol w:w="1134"/>
        <w:gridCol w:w="1050"/>
        <w:gridCol w:w="1134"/>
      </w:tblGrid>
      <w:tr w:rsidR="006B2FD4" w:rsidRPr="007652A5" w:rsidTr="004E444C">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Nr</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6B2FD4" w:rsidRPr="007652A5" w:rsidRDefault="006B2FD4" w:rsidP="004E444C">
            <w:pPr>
              <w:spacing w:after="0" w:line="240" w:lineRule="auto"/>
              <w:jc w:val="both"/>
              <w:rPr>
                <w:rFonts w:ascii="Arial" w:hAnsi="Arial" w:cs="Arial"/>
                <w:b/>
                <w:sz w:val="24"/>
                <w:szCs w:val="24"/>
              </w:rPr>
            </w:pPr>
          </w:p>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Suprafaţa</w:t>
            </w:r>
          </w:p>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 ha )</w:t>
            </w:r>
          </w:p>
        </w:tc>
        <w:tc>
          <w:tcPr>
            <w:tcW w:w="331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Îngrăşăminte chimice</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N</w:t>
            </w:r>
          </w:p>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(kg s.a./ha)</w:t>
            </w:r>
          </w:p>
        </w:tc>
        <w:tc>
          <w:tcPr>
            <w:tcW w:w="1050"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P2O5</w:t>
            </w:r>
          </w:p>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(kg s.a./ha)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K2O</w:t>
            </w:r>
          </w:p>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(kg s.a./ha)</w:t>
            </w:r>
          </w:p>
        </w:tc>
      </w:tr>
      <w:tr w:rsidR="006B2FD4" w:rsidRPr="007652A5" w:rsidTr="004E444C">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b/>
                <w:i/>
                <w:sz w:val="24"/>
                <w:szCs w:val="24"/>
              </w:rPr>
            </w:pPr>
            <w:r w:rsidRPr="007652A5">
              <w:rPr>
                <w:rFonts w:ascii="Arial" w:hAnsi="Arial" w:cs="Arial"/>
                <w:b/>
                <w:i/>
                <w:sz w:val="24"/>
                <w:szCs w:val="24"/>
              </w:rPr>
              <w:t>Cereale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Grâu</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61</w:t>
            </w:r>
            <w:r w:rsidRPr="007652A5">
              <w:rPr>
                <w:rFonts w:ascii="Arial" w:hAnsi="Arial" w:cs="Arial"/>
                <w:sz w:val="24"/>
                <w:szCs w:val="24"/>
              </w:rPr>
              <w:t>.</w:t>
            </w:r>
            <w:r>
              <w:rPr>
                <w:rFonts w:ascii="Arial" w:hAnsi="Arial" w:cs="Arial"/>
                <w:sz w:val="24"/>
                <w:szCs w:val="24"/>
              </w:rPr>
              <w:t>978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10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Porumb</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8</w:t>
            </w:r>
            <w:r>
              <w:rPr>
                <w:rFonts w:ascii="Arial" w:hAnsi="Arial" w:cs="Arial"/>
                <w:sz w:val="24"/>
                <w:szCs w:val="24"/>
              </w:rPr>
              <w:t>7</w:t>
            </w:r>
            <w:r w:rsidRPr="007652A5">
              <w:rPr>
                <w:rFonts w:ascii="Arial" w:hAnsi="Arial" w:cs="Arial"/>
                <w:sz w:val="24"/>
                <w:szCs w:val="24"/>
              </w:rPr>
              <w:t>.0</w:t>
            </w:r>
            <w:r>
              <w:rPr>
                <w:rFonts w:ascii="Arial" w:hAnsi="Arial" w:cs="Arial"/>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66</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Orz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w:t>
            </w:r>
            <w:r>
              <w:rPr>
                <w:rFonts w:ascii="Arial" w:hAnsi="Arial" w:cs="Arial"/>
                <w:sz w:val="24"/>
                <w:szCs w:val="24"/>
              </w:rPr>
              <w:t>0</w:t>
            </w:r>
            <w:r w:rsidRPr="007652A5">
              <w:rPr>
                <w:rFonts w:ascii="Arial" w:hAnsi="Arial" w:cs="Arial"/>
                <w:sz w:val="24"/>
                <w:szCs w:val="24"/>
              </w:rPr>
              <w:t>.</w:t>
            </w:r>
            <w:r>
              <w:rPr>
                <w:rFonts w:ascii="Arial" w:hAnsi="Arial" w:cs="Arial"/>
                <w:sz w:val="24"/>
                <w:szCs w:val="24"/>
              </w:rPr>
              <w:t>541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50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Orzoaică de toamnă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1.</w:t>
            </w:r>
            <w:r>
              <w:rPr>
                <w:rFonts w:ascii="Arial" w:hAnsi="Arial" w:cs="Arial"/>
                <w:sz w:val="24"/>
                <w:szCs w:val="24"/>
              </w:rPr>
              <w:t>928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Orzoaică de primăvară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1</w:t>
            </w:r>
            <w:r w:rsidRPr="007652A5">
              <w:rPr>
                <w:rFonts w:ascii="Arial" w:hAnsi="Arial" w:cs="Arial"/>
                <w:sz w:val="24"/>
                <w:szCs w:val="24"/>
              </w:rPr>
              <w:t>.</w:t>
            </w:r>
            <w:r>
              <w:rPr>
                <w:rFonts w:ascii="Arial" w:hAnsi="Arial" w:cs="Arial"/>
                <w:sz w:val="24"/>
                <w:szCs w:val="24"/>
              </w:rPr>
              <w:t>988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Ovăz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361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Sorg pentru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62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lastRenderedPageBreak/>
              <w:t>2.</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b/>
                <w:i/>
                <w:sz w:val="24"/>
                <w:szCs w:val="24"/>
              </w:rPr>
            </w:pPr>
            <w:r w:rsidRPr="007652A5">
              <w:rPr>
                <w:rFonts w:ascii="Arial" w:hAnsi="Arial" w:cs="Arial"/>
                <w:b/>
                <w:i/>
                <w:sz w:val="24"/>
                <w:szCs w:val="24"/>
              </w:rPr>
              <w:t>Plante uleioase: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Floarea soarelui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82</w:t>
            </w:r>
            <w:r w:rsidRPr="007652A5">
              <w:rPr>
                <w:rFonts w:ascii="Arial" w:hAnsi="Arial" w:cs="Arial"/>
                <w:sz w:val="24"/>
                <w:szCs w:val="24"/>
              </w:rPr>
              <w:t>.</w:t>
            </w:r>
            <w:r>
              <w:rPr>
                <w:rFonts w:ascii="Arial" w:hAnsi="Arial" w:cs="Arial"/>
                <w:sz w:val="24"/>
                <w:szCs w:val="24"/>
              </w:rPr>
              <w:t>362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30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Rapiţă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21</w:t>
            </w:r>
            <w:r w:rsidRPr="007652A5">
              <w:rPr>
                <w:rFonts w:ascii="Arial" w:hAnsi="Arial" w:cs="Arial"/>
                <w:sz w:val="24"/>
                <w:szCs w:val="24"/>
              </w:rPr>
              <w:t>.</w:t>
            </w:r>
            <w:r>
              <w:rPr>
                <w:rFonts w:ascii="Arial" w:hAnsi="Arial" w:cs="Arial"/>
                <w:sz w:val="24"/>
                <w:szCs w:val="24"/>
              </w:rPr>
              <w:t>831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Soia</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18.</w:t>
            </w:r>
            <w:r>
              <w:rPr>
                <w:rFonts w:ascii="Arial" w:hAnsi="Arial" w:cs="Arial"/>
                <w:sz w:val="24"/>
                <w:szCs w:val="24"/>
              </w:rPr>
              <w:t>965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r>
      <w:tr w:rsidR="006B2FD4" w:rsidRPr="007652A5" w:rsidTr="004E444C">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b/>
                <w:i/>
                <w:sz w:val="24"/>
                <w:szCs w:val="24"/>
              </w:rPr>
              <w:t>Leguminoase pentru boabe</w:t>
            </w:r>
            <w:r w:rsidRPr="007652A5">
              <w:rPr>
                <w:rFonts w:ascii="Arial" w:hAnsi="Arial" w:cs="Arial"/>
                <w:sz w:val="24"/>
                <w:szCs w:val="24"/>
              </w:rPr>
              <w:t>:</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Mazăre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w:t>
            </w:r>
            <w:r>
              <w:rPr>
                <w:rFonts w:ascii="Arial" w:hAnsi="Arial" w:cs="Arial"/>
                <w:sz w:val="24"/>
                <w:szCs w:val="24"/>
              </w:rPr>
              <w:t>393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15</w:t>
            </w:r>
          </w:p>
        </w:tc>
      </w:tr>
      <w:tr w:rsidR="006B2FD4" w:rsidRPr="007652A5" w:rsidTr="004E444C">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Fasole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183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15</w:t>
            </w:r>
          </w:p>
        </w:tc>
      </w:tr>
      <w:tr w:rsidR="006B2FD4" w:rsidRPr="007652A5" w:rsidTr="004E444C">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Cartofi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74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r>
      <w:tr w:rsidR="006B2FD4" w:rsidRPr="007652A5" w:rsidTr="004E444C">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Legume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752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r>
      <w:tr w:rsidR="006B2FD4" w:rsidRPr="007652A5" w:rsidTr="004E444C">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Plante medicinale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85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5</w:t>
            </w:r>
          </w:p>
        </w:tc>
      </w:tr>
      <w:tr w:rsidR="006B2FD4" w:rsidRPr="007652A5" w:rsidTr="004E444C">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Pepeni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Pr>
                <w:rFonts w:ascii="Arial" w:hAnsi="Arial" w:cs="Arial"/>
                <w:sz w:val="24"/>
                <w:szCs w:val="24"/>
              </w:rPr>
              <w:t>1</w:t>
            </w:r>
            <w:r w:rsidRPr="007652A5">
              <w:rPr>
                <w:rFonts w:ascii="Arial" w:hAnsi="Arial" w:cs="Arial"/>
                <w:sz w:val="24"/>
                <w:szCs w:val="24"/>
              </w:rPr>
              <w:t>.</w:t>
            </w:r>
            <w:r>
              <w:rPr>
                <w:rFonts w:ascii="Arial" w:hAnsi="Arial" w:cs="Arial"/>
                <w:sz w:val="24"/>
                <w:szCs w:val="24"/>
              </w:rPr>
              <w:t>458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6B2FD4" w:rsidRPr="007652A5" w:rsidTr="004E444C">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8.</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Plante de nutreţ</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7652A5" w:rsidRDefault="006B2FD4" w:rsidP="004E444C">
            <w:pPr>
              <w:tabs>
                <w:tab w:val="left" w:pos="3015"/>
              </w:tabs>
              <w:spacing w:after="0" w:line="240" w:lineRule="auto"/>
              <w:jc w:val="right"/>
              <w:rPr>
                <w:rFonts w:ascii="Arial" w:hAnsi="Arial" w:cs="Arial"/>
                <w:sz w:val="24"/>
                <w:szCs w:val="24"/>
              </w:rPr>
            </w:pPr>
            <w:r w:rsidRPr="007652A5">
              <w:rPr>
                <w:rFonts w:ascii="Arial" w:hAnsi="Arial" w:cs="Arial"/>
                <w:sz w:val="24"/>
                <w:szCs w:val="24"/>
              </w:rPr>
              <w:t>-</w:t>
            </w:r>
          </w:p>
        </w:tc>
      </w:tr>
    </w:tbl>
    <w:p w:rsidR="006B2FD4" w:rsidRPr="007652A5" w:rsidRDefault="006B2FD4" w:rsidP="006B2FD4">
      <w:pPr>
        <w:spacing w:after="0" w:line="240" w:lineRule="auto"/>
        <w:jc w:val="both"/>
        <w:rPr>
          <w:rFonts w:ascii="Arial" w:hAnsi="Arial" w:cs="Arial"/>
          <w:b/>
          <w:sz w:val="24"/>
          <w:szCs w:val="24"/>
          <w:lang w:val="pt-BR"/>
        </w:rPr>
      </w:pPr>
    </w:p>
    <w:p w:rsidR="006B2FD4" w:rsidRDefault="006B2FD4" w:rsidP="006B2FD4">
      <w:pPr>
        <w:spacing w:after="0" w:line="240" w:lineRule="auto"/>
        <w:jc w:val="both"/>
        <w:rPr>
          <w:rFonts w:ascii="Arial" w:hAnsi="Arial" w:cs="Arial"/>
          <w:sz w:val="24"/>
          <w:szCs w:val="24"/>
        </w:rPr>
      </w:pPr>
      <w:r w:rsidRPr="007652A5">
        <w:rPr>
          <w:rFonts w:ascii="Arial" w:hAnsi="Arial" w:cs="Arial"/>
          <w:b/>
          <w:sz w:val="24"/>
          <w:szCs w:val="24"/>
          <w:lang w:val="pt-BR"/>
        </w:rPr>
        <w:t xml:space="preserve">III.3.2. </w:t>
      </w:r>
      <w:r w:rsidRPr="007652A5">
        <w:rPr>
          <w:rFonts w:ascii="Arial" w:hAnsi="Arial" w:cs="Arial"/>
          <w:b/>
          <w:i/>
          <w:sz w:val="24"/>
          <w:szCs w:val="24"/>
          <w:lang w:val="pt-BR"/>
        </w:rPr>
        <w:t>Consumul de produse de protecţia plantelor</w:t>
      </w:r>
    </w:p>
    <w:p w:rsidR="006B2FD4" w:rsidRPr="007652A5" w:rsidRDefault="006B2FD4" w:rsidP="006B2FD4">
      <w:pPr>
        <w:spacing w:after="0" w:line="240" w:lineRule="auto"/>
        <w:ind w:firstLine="708"/>
        <w:jc w:val="both"/>
        <w:rPr>
          <w:rFonts w:ascii="Arial" w:hAnsi="Arial" w:cs="Arial"/>
          <w:sz w:val="24"/>
          <w:szCs w:val="24"/>
        </w:rPr>
      </w:pPr>
      <w:r w:rsidRPr="007652A5">
        <w:rPr>
          <w:rFonts w:ascii="Arial" w:hAnsi="Arial" w:cs="Arial"/>
          <w:sz w:val="24"/>
          <w:szCs w:val="24"/>
        </w:rPr>
        <w:t xml:space="preserve">Produsele fitosanitare includ următoarele categorii de substanţe chimice: </w:t>
      </w:r>
    </w:p>
    <w:p w:rsidR="006B2FD4" w:rsidRPr="007652A5" w:rsidRDefault="006B2FD4" w:rsidP="00EF3940">
      <w:pPr>
        <w:pStyle w:val="BodyTextIndent2BodyTextIndent2Char"/>
        <w:numPr>
          <w:ilvl w:val="0"/>
          <w:numId w:val="38"/>
        </w:numPr>
        <w:tabs>
          <w:tab w:val="num" w:pos="720"/>
        </w:tabs>
        <w:ind w:hanging="720"/>
        <w:rPr>
          <w:rFonts w:ascii="Arial" w:hAnsi="Arial" w:cs="Arial"/>
          <w:sz w:val="24"/>
          <w:szCs w:val="24"/>
        </w:rPr>
      </w:pPr>
      <w:r w:rsidRPr="007652A5">
        <w:rPr>
          <w:rFonts w:ascii="Arial" w:hAnsi="Arial" w:cs="Arial"/>
          <w:sz w:val="24"/>
          <w:szCs w:val="24"/>
        </w:rPr>
        <w:t>erbicidele – substanţe chimice utilizate pentru combaterea buruienilor;</w:t>
      </w:r>
    </w:p>
    <w:p w:rsidR="006B2FD4" w:rsidRPr="007652A5" w:rsidRDefault="006B2FD4" w:rsidP="00EF3940">
      <w:pPr>
        <w:pStyle w:val="BodyTextIndent2BodyTextIndent2Char"/>
        <w:numPr>
          <w:ilvl w:val="0"/>
          <w:numId w:val="38"/>
        </w:numPr>
        <w:tabs>
          <w:tab w:val="num" w:pos="720"/>
        </w:tabs>
        <w:ind w:hanging="720"/>
        <w:rPr>
          <w:rFonts w:ascii="Arial" w:hAnsi="Arial" w:cs="Arial"/>
          <w:sz w:val="24"/>
          <w:szCs w:val="24"/>
        </w:rPr>
      </w:pPr>
      <w:r w:rsidRPr="007652A5">
        <w:rPr>
          <w:rFonts w:ascii="Arial" w:hAnsi="Arial" w:cs="Arial"/>
          <w:sz w:val="24"/>
          <w:szCs w:val="24"/>
        </w:rPr>
        <w:t>insecticidele – utilizate pentru combaterea insectelor dăunătoare;</w:t>
      </w:r>
    </w:p>
    <w:p w:rsidR="006B2FD4" w:rsidRPr="007652A5" w:rsidRDefault="006B2FD4" w:rsidP="00EF3940">
      <w:pPr>
        <w:pStyle w:val="BodyTextIndent2BodyTextIndent2Char"/>
        <w:numPr>
          <w:ilvl w:val="0"/>
          <w:numId w:val="38"/>
        </w:numPr>
        <w:tabs>
          <w:tab w:val="num" w:pos="720"/>
        </w:tabs>
        <w:ind w:hanging="720"/>
        <w:rPr>
          <w:rFonts w:ascii="Arial" w:hAnsi="Arial" w:cs="Arial"/>
          <w:sz w:val="24"/>
          <w:szCs w:val="24"/>
        </w:rPr>
      </w:pPr>
      <w:r w:rsidRPr="007652A5">
        <w:rPr>
          <w:rFonts w:ascii="Arial" w:hAnsi="Arial" w:cs="Arial"/>
          <w:sz w:val="24"/>
          <w:szCs w:val="24"/>
        </w:rPr>
        <w:t xml:space="preserve">fungicidele, bactericidele şi virucidele. </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Monitorizarea activităţii operatorilor economici în ceea ce priveşte utilizarea substanţelor fitosanitare este realizată de Unitatea fitosanitară din cadrul Direcţiei pentru Agricultură Judeţeană </w:t>
      </w:r>
      <w:r>
        <w:rPr>
          <w:rFonts w:ascii="Arial" w:hAnsi="Arial" w:cs="Arial"/>
          <w:sz w:val="24"/>
          <w:szCs w:val="24"/>
        </w:rPr>
        <w:t>Brăila</w:t>
      </w:r>
      <w:r w:rsidRPr="007652A5">
        <w:rPr>
          <w:rFonts w:ascii="Arial" w:hAnsi="Arial" w:cs="Arial"/>
          <w:sz w:val="24"/>
          <w:szCs w:val="24"/>
        </w:rPr>
        <w:t>.</w:t>
      </w:r>
    </w:p>
    <w:p w:rsidR="006B2FD4" w:rsidRDefault="006B2FD4" w:rsidP="00670925">
      <w:pPr>
        <w:pStyle w:val="BodyTextIndent2BodyTextIndent2Char"/>
        <w:ind w:left="0" w:firstLine="708"/>
        <w:rPr>
          <w:rFonts w:ascii="Arial" w:hAnsi="Arial" w:cs="Arial"/>
          <w:b/>
          <w:sz w:val="24"/>
          <w:szCs w:val="24"/>
        </w:rPr>
      </w:pPr>
      <w:r w:rsidRPr="007652A5">
        <w:rPr>
          <w:rFonts w:ascii="Arial" w:hAnsi="Arial" w:cs="Arial"/>
          <w:sz w:val="24"/>
          <w:szCs w:val="24"/>
        </w:rPr>
        <w:t>Produsele fitosanitare aplicate în perioada 2011-201</w:t>
      </w:r>
      <w:r>
        <w:rPr>
          <w:rFonts w:ascii="Arial" w:hAnsi="Arial" w:cs="Arial"/>
          <w:sz w:val="24"/>
          <w:szCs w:val="24"/>
        </w:rPr>
        <w:t>7</w:t>
      </w:r>
      <w:r w:rsidRPr="007652A5">
        <w:rPr>
          <w:rFonts w:ascii="Arial" w:hAnsi="Arial" w:cs="Arial"/>
          <w:sz w:val="24"/>
          <w:szCs w:val="24"/>
        </w:rPr>
        <w:t xml:space="preserve"> sunt redate în tabelul de mai jos.</w:t>
      </w:r>
    </w:p>
    <w:p w:rsidR="006B2FD4" w:rsidRPr="00202088" w:rsidRDefault="006B2FD4" w:rsidP="006B2FD4">
      <w:pPr>
        <w:spacing w:after="0" w:line="240" w:lineRule="auto"/>
        <w:ind w:firstLine="708"/>
        <w:rPr>
          <w:rFonts w:ascii="Arial" w:hAnsi="Arial" w:cs="Arial"/>
          <w:sz w:val="24"/>
          <w:szCs w:val="24"/>
        </w:rPr>
      </w:pPr>
      <w:r w:rsidRPr="00202088">
        <w:rPr>
          <w:rFonts w:ascii="Arial" w:hAnsi="Arial" w:cs="Arial"/>
          <w:sz w:val="24"/>
          <w:szCs w:val="24"/>
        </w:rPr>
        <w:t xml:space="preserve">Tabelul III.3.2-1 </w:t>
      </w:r>
    </w:p>
    <w:tbl>
      <w:tblPr>
        <w:tblW w:w="8993"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750"/>
        <w:gridCol w:w="1772"/>
        <w:gridCol w:w="1649"/>
        <w:gridCol w:w="1560"/>
        <w:gridCol w:w="1284"/>
        <w:gridCol w:w="1323"/>
      </w:tblGrid>
      <w:tr w:rsidR="006B2FD4" w:rsidRPr="007652A5" w:rsidTr="004E444C">
        <w:trPr>
          <w:trHeight w:val="340"/>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Nr.</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Anul</w:t>
            </w:r>
          </w:p>
        </w:tc>
        <w:tc>
          <w:tcPr>
            <w:tcW w:w="51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Produs fitosanitar, tone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Total</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Suprafaţă</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(ha)</w:t>
            </w:r>
          </w:p>
        </w:tc>
      </w:tr>
      <w:tr w:rsidR="006B2FD4" w:rsidRPr="007652A5" w:rsidTr="004E444C">
        <w:trPr>
          <w:trHeight w:val="340"/>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Erbicide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Fungicide</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Insecticide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2011</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56,298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41,382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10,463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108,143</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528.372</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2012</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56,043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41,092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10,553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107,688</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368.722</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2013</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43,136</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38,737</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9,942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91,815</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444.131</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2014</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36.718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9,002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78,941</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486.206</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5.</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2015</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36,733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 xml:space="preserve">9,002     </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78,956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309.100</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2016</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636,160</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430,520</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111,530</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1193,870</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1476359</w:t>
            </w:r>
          </w:p>
        </w:tc>
      </w:tr>
      <w:tr w:rsidR="006B2FD4" w:rsidRPr="007652A5" w:rsidTr="004E444C">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7</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2017</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628,348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sidRPr="00D77426">
              <w:rPr>
                <w:rFonts w:ascii="Arial" w:hAnsi="Arial" w:cs="Arial"/>
                <w:sz w:val="24"/>
                <w:szCs w:val="24"/>
              </w:rPr>
              <w:t>423,336</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sidRPr="00D77426">
              <w:rPr>
                <w:rFonts w:ascii="Arial" w:hAnsi="Arial" w:cs="Arial"/>
                <w:sz w:val="24"/>
                <w:szCs w:val="24"/>
              </w:rPr>
              <w:t>149,448</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1.221,236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1200762</w:t>
            </w:r>
          </w:p>
        </w:tc>
      </w:tr>
    </w:tbl>
    <w:p w:rsidR="006B2FD4" w:rsidRPr="007652A5" w:rsidRDefault="006B2FD4" w:rsidP="006B2FD4">
      <w:pPr>
        <w:pStyle w:val="Footer"/>
        <w:jc w:val="both"/>
        <w:rPr>
          <w:rFonts w:ascii="Arial" w:hAnsi="Arial" w:cs="Arial"/>
          <w:sz w:val="24"/>
          <w:szCs w:val="24"/>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În cursul anului 201</w:t>
      </w:r>
      <w:r>
        <w:rPr>
          <w:rFonts w:ascii="Arial" w:hAnsi="Arial" w:cs="Arial"/>
          <w:sz w:val="24"/>
          <w:szCs w:val="24"/>
        </w:rPr>
        <w:t>7</w:t>
      </w:r>
      <w:r w:rsidRPr="007652A5">
        <w:rPr>
          <w:rFonts w:ascii="Arial" w:hAnsi="Arial" w:cs="Arial"/>
          <w:sz w:val="24"/>
          <w:szCs w:val="24"/>
        </w:rPr>
        <w:t xml:space="preserve"> s-au aplicat produse fitosanitare în cantitate totală de </w:t>
      </w:r>
      <w:r w:rsidRPr="00D77426">
        <w:rPr>
          <w:rFonts w:ascii="Arial" w:hAnsi="Arial" w:cs="Arial"/>
          <w:sz w:val="24"/>
          <w:szCs w:val="24"/>
        </w:rPr>
        <w:t>1.221,236</w:t>
      </w:r>
      <w:r>
        <w:rPr>
          <w:rFonts w:ascii="Arial" w:hAnsi="Arial" w:cs="Arial"/>
          <w:sz w:val="24"/>
          <w:szCs w:val="24"/>
        </w:rPr>
        <w:t xml:space="preserve"> </w:t>
      </w:r>
      <w:r w:rsidRPr="007652A5">
        <w:rPr>
          <w:rFonts w:ascii="Arial" w:hAnsi="Arial" w:cs="Arial"/>
          <w:sz w:val="24"/>
          <w:szCs w:val="24"/>
        </w:rPr>
        <w:t>tone substanţă activă.</w:t>
      </w:r>
      <w:r>
        <w:rPr>
          <w:rFonts w:ascii="Arial" w:hAnsi="Arial" w:cs="Arial"/>
          <w:sz w:val="24"/>
          <w:szCs w:val="24"/>
        </w:rPr>
        <w:t xml:space="preserve"> </w:t>
      </w:r>
      <w:r w:rsidRPr="007652A5">
        <w:rPr>
          <w:rFonts w:ascii="Arial" w:hAnsi="Arial" w:cs="Arial"/>
          <w:sz w:val="24"/>
          <w:szCs w:val="24"/>
        </w:rPr>
        <w:t xml:space="preserve">Se constată creșterea cantităţilor </w:t>
      </w:r>
      <w:r>
        <w:rPr>
          <w:rFonts w:ascii="Arial" w:hAnsi="Arial" w:cs="Arial"/>
          <w:sz w:val="24"/>
          <w:szCs w:val="24"/>
        </w:rPr>
        <w:t xml:space="preserve">totale </w:t>
      </w:r>
      <w:r w:rsidRPr="007652A5">
        <w:rPr>
          <w:rFonts w:ascii="Arial" w:hAnsi="Arial" w:cs="Arial"/>
          <w:sz w:val="24"/>
          <w:szCs w:val="24"/>
        </w:rPr>
        <w:t>de produse fitosanitare în 201</w:t>
      </w:r>
      <w:r>
        <w:rPr>
          <w:rFonts w:ascii="Arial" w:hAnsi="Arial" w:cs="Arial"/>
          <w:sz w:val="24"/>
          <w:szCs w:val="24"/>
        </w:rPr>
        <w:t>7</w:t>
      </w:r>
      <w:r w:rsidRPr="007652A5">
        <w:rPr>
          <w:rFonts w:ascii="Arial" w:hAnsi="Arial" w:cs="Arial"/>
          <w:sz w:val="24"/>
          <w:szCs w:val="24"/>
        </w:rPr>
        <w:t xml:space="preserve"> față de 2012 - 2015. Cele mai mari cerinţe de utilizare s-au înregistrat pentru combaterea buruienilor.</w:t>
      </w:r>
    </w:p>
    <w:p w:rsidR="00670925" w:rsidRPr="00202088" w:rsidRDefault="00670925" w:rsidP="00670925">
      <w:pPr>
        <w:spacing w:after="0" w:line="240" w:lineRule="auto"/>
        <w:rPr>
          <w:rFonts w:ascii="Arial" w:hAnsi="Arial" w:cs="Arial"/>
          <w:sz w:val="24"/>
          <w:szCs w:val="24"/>
          <w:lang w:val="pt-BR"/>
        </w:rPr>
      </w:pPr>
      <w:r w:rsidRPr="00202088">
        <w:rPr>
          <w:rFonts w:ascii="Arial" w:hAnsi="Arial" w:cs="Arial"/>
          <w:sz w:val="24"/>
          <w:szCs w:val="24"/>
          <w:lang w:val="pt-BR"/>
        </w:rPr>
        <w:t>Fig. III.3.2-1</w:t>
      </w:r>
      <w:r w:rsidRPr="00670925">
        <w:rPr>
          <w:rFonts w:ascii="Arial" w:hAnsi="Arial" w:cs="Arial"/>
          <w:sz w:val="24"/>
          <w:szCs w:val="24"/>
        </w:rPr>
        <w:t xml:space="preserve"> </w:t>
      </w:r>
      <w:r w:rsidRPr="007652A5">
        <w:rPr>
          <w:rFonts w:ascii="Arial" w:hAnsi="Arial" w:cs="Arial"/>
          <w:sz w:val="24"/>
          <w:szCs w:val="24"/>
        </w:rPr>
        <w:t xml:space="preserve">Variația anuală a consumului total de pesticide este redat în graficul de mai </w:t>
      </w:r>
      <w:r>
        <w:rPr>
          <w:rFonts w:ascii="Arial" w:hAnsi="Arial" w:cs="Arial"/>
          <w:sz w:val="24"/>
          <w:szCs w:val="24"/>
        </w:rPr>
        <w:t xml:space="preserve">jos </w:t>
      </w:r>
      <w:r w:rsidRPr="007652A5">
        <w:rPr>
          <w:rFonts w:ascii="Arial" w:hAnsi="Arial" w:cs="Arial"/>
          <w:sz w:val="24"/>
          <w:szCs w:val="24"/>
        </w:rPr>
        <w:t>(exprimat în kg/ha):</w:t>
      </w:r>
    </w:p>
    <w:p w:rsidR="00670925" w:rsidRDefault="00670925" w:rsidP="00670925">
      <w:pPr>
        <w:pStyle w:val="BodyTextIndent2BodyTextIndent2Char"/>
        <w:ind w:left="0" w:firstLine="708"/>
        <w:rPr>
          <w:rFonts w:ascii="Arial" w:hAnsi="Arial" w:cs="Arial"/>
          <w:sz w:val="24"/>
          <w:szCs w:val="24"/>
        </w:rPr>
      </w:pPr>
      <w:r w:rsidRPr="00317CEC">
        <w:rPr>
          <w:rFonts w:ascii="Arial" w:hAnsi="Arial" w:cs="Arial"/>
          <w:noProof/>
          <w:sz w:val="24"/>
          <w:szCs w:val="24"/>
          <w:lang w:val="ro-RO" w:eastAsia="ro-RO"/>
        </w:rPr>
        <w:drawing>
          <wp:anchor distT="0" distB="0" distL="114300" distR="114300" simplePos="0" relativeHeight="251670528" behindDoc="0" locked="0" layoutInCell="1" allowOverlap="1">
            <wp:simplePos x="0" y="0"/>
            <wp:positionH relativeFrom="column">
              <wp:posOffset>760095</wp:posOffset>
            </wp:positionH>
            <wp:positionV relativeFrom="paragraph">
              <wp:posOffset>116840</wp:posOffset>
            </wp:positionV>
            <wp:extent cx="4962525" cy="2076450"/>
            <wp:effectExtent l="0" t="0" r="9525" b="19050"/>
            <wp:wrapSquare wrapText="bothSides"/>
            <wp:docPr id="8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pStyle w:val="Footer"/>
        <w:tabs>
          <w:tab w:val="left" w:pos="567"/>
          <w:tab w:val="left" w:pos="851"/>
          <w:tab w:val="left" w:pos="993"/>
        </w:tabs>
        <w:rPr>
          <w:rFonts w:ascii="Arial" w:hAnsi="Arial" w:cs="Arial"/>
          <w:sz w:val="24"/>
          <w:szCs w:val="24"/>
        </w:rPr>
      </w:pPr>
    </w:p>
    <w:p w:rsidR="006B2FD4" w:rsidRPr="007652A5" w:rsidRDefault="006B2FD4" w:rsidP="006B2FD4">
      <w:pPr>
        <w:pStyle w:val="Footer"/>
        <w:tabs>
          <w:tab w:val="left" w:pos="567"/>
          <w:tab w:val="left" w:pos="851"/>
          <w:tab w:val="left" w:pos="993"/>
        </w:tabs>
        <w:rPr>
          <w:rFonts w:ascii="Arial" w:hAnsi="Arial" w:cs="Arial"/>
          <w:sz w:val="24"/>
          <w:szCs w:val="24"/>
        </w:rPr>
      </w:pPr>
    </w:p>
    <w:p w:rsidR="006B2FD4" w:rsidRDefault="006B2FD4" w:rsidP="006B2FD4">
      <w:pPr>
        <w:spacing w:after="0" w:line="240" w:lineRule="auto"/>
        <w:rPr>
          <w:rFonts w:ascii="Arial" w:hAnsi="Arial" w:cs="Arial"/>
          <w:sz w:val="24"/>
          <w:szCs w:val="24"/>
          <w:lang w:val="pt-BR"/>
        </w:rPr>
      </w:pPr>
    </w:p>
    <w:p w:rsidR="006B2FD4" w:rsidRPr="007652A5" w:rsidRDefault="006B2FD4" w:rsidP="006B2FD4">
      <w:pPr>
        <w:spacing w:after="0" w:line="240" w:lineRule="auto"/>
        <w:jc w:val="both"/>
        <w:rPr>
          <w:rFonts w:ascii="Arial" w:hAnsi="Arial" w:cs="Arial"/>
          <w:sz w:val="24"/>
          <w:szCs w:val="24"/>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lastRenderedPageBreak/>
        <w:t>Variația anuală a consumului pe sorturi de pesticide în perioada 201</w:t>
      </w:r>
      <w:r>
        <w:rPr>
          <w:rFonts w:ascii="Arial" w:hAnsi="Arial" w:cs="Arial"/>
          <w:sz w:val="24"/>
          <w:szCs w:val="24"/>
        </w:rPr>
        <w:t>3</w:t>
      </w:r>
      <w:r w:rsidRPr="007652A5">
        <w:rPr>
          <w:rFonts w:ascii="Arial" w:hAnsi="Arial" w:cs="Arial"/>
          <w:sz w:val="24"/>
          <w:szCs w:val="24"/>
        </w:rPr>
        <w:t>-2015 este redată în figura III.3.2-2. Se observă o creștere a consumurilor de pesticide în an</w:t>
      </w:r>
      <w:r>
        <w:rPr>
          <w:rFonts w:ascii="Arial" w:hAnsi="Arial" w:cs="Arial"/>
          <w:sz w:val="24"/>
          <w:szCs w:val="24"/>
        </w:rPr>
        <w:t>ii</w:t>
      </w:r>
      <w:r w:rsidRPr="007652A5">
        <w:rPr>
          <w:rFonts w:ascii="Arial" w:hAnsi="Arial" w:cs="Arial"/>
          <w:sz w:val="24"/>
          <w:szCs w:val="24"/>
        </w:rPr>
        <w:t xml:space="preserve"> 2016</w:t>
      </w:r>
      <w:r>
        <w:rPr>
          <w:rFonts w:ascii="Arial" w:hAnsi="Arial" w:cs="Arial"/>
          <w:sz w:val="24"/>
          <w:szCs w:val="24"/>
        </w:rPr>
        <w:t>-2017</w:t>
      </w:r>
      <w:r w:rsidRPr="007652A5">
        <w:rPr>
          <w:rFonts w:ascii="Arial" w:hAnsi="Arial" w:cs="Arial"/>
          <w:sz w:val="24"/>
          <w:szCs w:val="24"/>
        </w:rPr>
        <w:t xml:space="preserve"> față de perioada 2012-2015.</w:t>
      </w:r>
    </w:p>
    <w:p w:rsidR="006B2FD4" w:rsidRPr="00202088" w:rsidRDefault="006B2FD4" w:rsidP="006B2FD4">
      <w:pPr>
        <w:pStyle w:val="BodyTextIndent2BodyTextIndent2Char"/>
        <w:ind w:left="0" w:firstLine="708"/>
        <w:rPr>
          <w:rFonts w:ascii="Arial" w:hAnsi="Arial" w:cs="Arial"/>
          <w:sz w:val="24"/>
          <w:szCs w:val="24"/>
          <w:lang w:val="pt-BR"/>
        </w:rPr>
      </w:pPr>
      <w:r w:rsidRPr="007652A5">
        <w:rPr>
          <w:rFonts w:ascii="Arial" w:hAnsi="Arial" w:cs="Arial"/>
          <w:sz w:val="24"/>
          <w:szCs w:val="24"/>
        </w:rPr>
        <w:t>.</w:t>
      </w:r>
    </w:p>
    <w:p w:rsidR="006B2FD4" w:rsidRDefault="006B2FD4" w:rsidP="006B2FD4">
      <w:pPr>
        <w:spacing w:after="0" w:line="240" w:lineRule="auto"/>
        <w:jc w:val="center"/>
        <w:rPr>
          <w:rFonts w:ascii="Arial" w:hAnsi="Arial" w:cs="Arial"/>
          <w:sz w:val="24"/>
          <w:szCs w:val="24"/>
          <w:lang w:val="pt-BR"/>
        </w:rPr>
      </w:pPr>
    </w:p>
    <w:p w:rsidR="006B2FD4" w:rsidRDefault="006B2FD4" w:rsidP="006B2FD4">
      <w:pPr>
        <w:spacing w:after="0" w:line="240" w:lineRule="auto"/>
        <w:jc w:val="center"/>
        <w:rPr>
          <w:rFonts w:ascii="Arial" w:hAnsi="Arial" w:cs="Arial"/>
          <w:sz w:val="24"/>
          <w:szCs w:val="24"/>
          <w:lang w:val="pt-BR"/>
        </w:rPr>
      </w:pPr>
      <w:r w:rsidRPr="00317CEC">
        <w:rPr>
          <w:rFonts w:ascii="Arial" w:hAnsi="Arial" w:cs="Arial"/>
          <w:noProof/>
          <w:sz w:val="24"/>
          <w:szCs w:val="24"/>
        </w:rPr>
        <w:drawing>
          <wp:inline distT="0" distB="0" distL="0" distR="0">
            <wp:extent cx="4914900" cy="2260600"/>
            <wp:effectExtent l="0" t="0" r="19050" b="25400"/>
            <wp:docPr id="2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B2FD4" w:rsidRDefault="006B2FD4" w:rsidP="006B2FD4">
      <w:pPr>
        <w:spacing w:after="0" w:line="240" w:lineRule="auto"/>
        <w:jc w:val="center"/>
        <w:rPr>
          <w:rFonts w:ascii="Arial" w:hAnsi="Arial" w:cs="Arial"/>
          <w:sz w:val="24"/>
          <w:szCs w:val="24"/>
          <w:lang w:val="pt-BR"/>
        </w:rPr>
      </w:pPr>
    </w:p>
    <w:p w:rsidR="006B2FD4" w:rsidRPr="00202088" w:rsidRDefault="006B2FD4" w:rsidP="006B2FD4">
      <w:pPr>
        <w:spacing w:after="0" w:line="240" w:lineRule="auto"/>
        <w:jc w:val="center"/>
        <w:rPr>
          <w:rFonts w:ascii="Arial" w:hAnsi="Arial" w:cs="Arial"/>
          <w:sz w:val="24"/>
          <w:szCs w:val="24"/>
          <w:lang w:val="pt-BR"/>
        </w:rPr>
      </w:pPr>
      <w:r w:rsidRPr="00202088">
        <w:rPr>
          <w:rFonts w:ascii="Arial" w:hAnsi="Arial" w:cs="Arial"/>
          <w:sz w:val="24"/>
          <w:szCs w:val="24"/>
          <w:lang w:val="pt-BR"/>
        </w:rPr>
        <w:t>Fig. III.3.2-2</w:t>
      </w:r>
    </w:p>
    <w:p w:rsidR="006B2FD4" w:rsidRPr="007652A5" w:rsidRDefault="006B2FD4" w:rsidP="006B2FD4">
      <w:pPr>
        <w:spacing w:after="0" w:line="240" w:lineRule="auto"/>
        <w:jc w:val="both"/>
        <w:rPr>
          <w:rFonts w:ascii="Arial" w:hAnsi="Arial" w:cs="Arial"/>
          <w:b/>
          <w:sz w:val="24"/>
          <w:szCs w:val="24"/>
        </w:rPr>
      </w:pPr>
    </w:p>
    <w:p w:rsidR="006B2FD4" w:rsidRPr="007652A5" w:rsidRDefault="006B2FD4" w:rsidP="006B2FD4">
      <w:pPr>
        <w:spacing w:after="0" w:line="240" w:lineRule="auto"/>
        <w:jc w:val="both"/>
        <w:rPr>
          <w:rFonts w:ascii="Arial" w:hAnsi="Arial" w:cs="Arial"/>
          <w:b/>
          <w:sz w:val="24"/>
          <w:szCs w:val="24"/>
        </w:rPr>
      </w:pPr>
    </w:p>
    <w:p w:rsidR="006B2FD4" w:rsidRPr="007652A5" w:rsidRDefault="006B2FD4" w:rsidP="006B2FD4">
      <w:pPr>
        <w:spacing w:after="0" w:line="240" w:lineRule="auto"/>
        <w:jc w:val="both"/>
        <w:rPr>
          <w:rFonts w:ascii="Arial" w:hAnsi="Arial" w:cs="Arial"/>
          <w:sz w:val="24"/>
          <w:szCs w:val="24"/>
        </w:rPr>
      </w:pPr>
      <w:r w:rsidRPr="007652A5">
        <w:rPr>
          <w:rFonts w:ascii="Arial" w:hAnsi="Arial" w:cs="Arial"/>
          <w:b/>
          <w:sz w:val="24"/>
          <w:szCs w:val="24"/>
        </w:rPr>
        <w:t xml:space="preserve">III.3.3. </w:t>
      </w:r>
      <w:r w:rsidRPr="007652A5">
        <w:rPr>
          <w:rFonts w:ascii="Arial" w:hAnsi="Arial" w:cs="Arial"/>
          <w:b/>
          <w:i/>
          <w:sz w:val="24"/>
          <w:szCs w:val="24"/>
        </w:rPr>
        <w:t>Evoluția suprafețelor de îmbunătățiri funciare</w:t>
      </w:r>
    </w:p>
    <w:p w:rsidR="006B2FD4" w:rsidRDefault="006B2FD4" w:rsidP="006B2FD4">
      <w:pPr>
        <w:pStyle w:val="BodyTextIndent2BodyTextIndent2Char"/>
        <w:ind w:left="0" w:firstLine="708"/>
        <w:rPr>
          <w:rFonts w:ascii="Arial" w:hAnsi="Arial" w:cs="Arial"/>
          <w:sz w:val="24"/>
          <w:szCs w:val="24"/>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Utilizarea irigaţiilor a devenit indispensabilă în condiţiile climatului arid şi secetos specific judeţului </w:t>
      </w:r>
      <w:r>
        <w:rPr>
          <w:rFonts w:ascii="Arial" w:hAnsi="Arial" w:cs="Arial"/>
          <w:sz w:val="24"/>
          <w:szCs w:val="24"/>
        </w:rPr>
        <w:t>Brăila</w:t>
      </w:r>
      <w:r w:rsidRPr="007652A5">
        <w:rPr>
          <w:rFonts w:ascii="Arial" w:hAnsi="Arial" w:cs="Arial"/>
          <w:sz w:val="24"/>
          <w:szCs w:val="24"/>
        </w:rPr>
        <w:t>.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6B2FD4" w:rsidRPr="007652A5" w:rsidRDefault="006B2FD4" w:rsidP="006B2FD4">
      <w:pPr>
        <w:pStyle w:val="BodyTextIndent2BodyTextIndent2Char"/>
        <w:ind w:left="0" w:firstLine="708"/>
        <w:rPr>
          <w:rFonts w:ascii="Arial" w:hAnsi="Arial" w:cs="Arial"/>
          <w:sz w:val="24"/>
          <w:szCs w:val="24"/>
        </w:rPr>
      </w:pPr>
    </w:p>
    <w:p w:rsidR="006B2FD4" w:rsidRPr="00202088" w:rsidRDefault="006B2FD4" w:rsidP="006B2FD4">
      <w:pPr>
        <w:pStyle w:val="BodyText"/>
        <w:shd w:val="clear" w:color="auto" w:fill="FFFFFF"/>
        <w:spacing w:after="0" w:line="240" w:lineRule="auto"/>
        <w:jc w:val="both"/>
        <w:rPr>
          <w:rFonts w:ascii="Arial" w:hAnsi="Arial" w:cs="Arial"/>
          <w:sz w:val="24"/>
          <w:szCs w:val="24"/>
          <w:lang w:val="pt-BR"/>
        </w:rPr>
      </w:pPr>
      <w:r w:rsidRPr="00202088">
        <w:rPr>
          <w:rFonts w:ascii="Arial" w:hAnsi="Arial" w:cs="Arial"/>
          <w:sz w:val="24"/>
          <w:szCs w:val="24"/>
          <w:lang w:val="pt-BR"/>
        </w:rPr>
        <w:t>Tabel III.3.3-1  Suprafaţa irigată în anii 201</w:t>
      </w:r>
      <w:r>
        <w:rPr>
          <w:rFonts w:ascii="Arial" w:hAnsi="Arial" w:cs="Arial"/>
          <w:sz w:val="24"/>
          <w:szCs w:val="24"/>
          <w:lang w:val="pt-BR"/>
        </w:rPr>
        <w:t>3</w:t>
      </w:r>
      <w:r w:rsidRPr="00202088">
        <w:rPr>
          <w:rFonts w:ascii="Arial" w:hAnsi="Arial" w:cs="Arial"/>
          <w:sz w:val="24"/>
          <w:szCs w:val="24"/>
          <w:lang w:val="pt-BR"/>
        </w:rPr>
        <w:t>- 201</w:t>
      </w:r>
      <w:r>
        <w:rPr>
          <w:rFonts w:ascii="Arial" w:hAnsi="Arial" w:cs="Arial"/>
          <w:sz w:val="24"/>
          <w:szCs w:val="24"/>
          <w:lang w:val="pt-BR"/>
        </w:rPr>
        <w:t>7</w:t>
      </w:r>
      <w:r w:rsidRPr="00202088">
        <w:rPr>
          <w:rFonts w:ascii="Arial" w:hAnsi="Arial" w:cs="Arial"/>
          <w:sz w:val="24"/>
          <w:szCs w:val="24"/>
          <w:lang w:val="pt-BR"/>
        </w:rPr>
        <w:t>:</w:t>
      </w:r>
    </w:p>
    <w:p w:rsidR="006B2FD4" w:rsidRPr="007652A5" w:rsidRDefault="006B2FD4" w:rsidP="006B2FD4">
      <w:pPr>
        <w:pStyle w:val="BodyText"/>
        <w:shd w:val="clear" w:color="auto" w:fill="FFFFFF"/>
        <w:spacing w:after="0" w:line="240" w:lineRule="auto"/>
        <w:jc w:val="both"/>
        <w:rPr>
          <w:rFonts w:ascii="Arial" w:hAnsi="Arial" w:cs="Arial"/>
          <w:b/>
          <w:sz w:val="24"/>
          <w:szCs w:val="24"/>
          <w:lang w:val="pt-BR"/>
        </w:rPr>
      </w:pPr>
    </w:p>
    <w:tbl>
      <w:tblPr>
        <w:tblW w:w="8574"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6"/>
        <w:gridCol w:w="1134"/>
        <w:gridCol w:w="1275"/>
        <w:gridCol w:w="1134"/>
        <w:gridCol w:w="1276"/>
        <w:gridCol w:w="1239"/>
      </w:tblGrid>
      <w:tr w:rsidR="006B2FD4" w:rsidRPr="007652A5" w:rsidTr="004E444C">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7652A5" w:rsidRDefault="006B2FD4" w:rsidP="004E444C">
            <w:pPr>
              <w:pStyle w:val="BodyText"/>
              <w:spacing w:after="0" w:line="240" w:lineRule="auto"/>
              <w:jc w:val="both"/>
              <w:rPr>
                <w:rFonts w:ascii="Arial" w:hAnsi="Arial" w:cs="Arial"/>
                <w:b/>
                <w:sz w:val="24"/>
                <w:szCs w:val="24"/>
              </w:rPr>
            </w:pPr>
            <w:r w:rsidRPr="007652A5">
              <w:rPr>
                <w:rFonts w:ascii="Arial" w:hAnsi="Arial" w:cs="Arial"/>
                <w:b/>
                <w:sz w:val="24"/>
                <w:szCs w:val="24"/>
              </w:rPr>
              <w:t>Anul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2013</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2014</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2015</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spacing w:after="0" w:line="240" w:lineRule="auto"/>
              <w:jc w:val="both"/>
              <w:rPr>
                <w:rFonts w:ascii="Arial" w:hAnsi="Arial" w:cs="Arial"/>
                <w:b/>
                <w:sz w:val="24"/>
                <w:szCs w:val="24"/>
              </w:rPr>
            </w:pPr>
            <w:r w:rsidRPr="007652A5">
              <w:rPr>
                <w:rFonts w:ascii="Arial" w:hAnsi="Arial" w:cs="Arial"/>
                <w:b/>
                <w:sz w:val="24"/>
                <w:szCs w:val="24"/>
              </w:rPr>
              <w:t>2016</w:t>
            </w:r>
          </w:p>
        </w:tc>
        <w:tc>
          <w:tcPr>
            <w:tcW w:w="12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both"/>
              <w:rPr>
                <w:rFonts w:ascii="Arial" w:hAnsi="Arial" w:cs="Arial"/>
                <w:b/>
                <w:sz w:val="24"/>
                <w:szCs w:val="24"/>
              </w:rPr>
            </w:pPr>
            <w:r>
              <w:rPr>
                <w:rFonts w:ascii="Arial" w:hAnsi="Arial" w:cs="Arial"/>
                <w:b/>
                <w:sz w:val="24"/>
                <w:szCs w:val="24"/>
              </w:rPr>
              <w:t>2017</w:t>
            </w:r>
          </w:p>
        </w:tc>
      </w:tr>
      <w:tr w:rsidR="006B2FD4" w:rsidRPr="007652A5" w:rsidTr="004E444C">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hideMark/>
          </w:tcPr>
          <w:p w:rsidR="006B2FD4" w:rsidRPr="007652A5" w:rsidRDefault="006B2FD4" w:rsidP="004E444C">
            <w:pPr>
              <w:pStyle w:val="BodyText"/>
              <w:spacing w:after="0" w:line="240" w:lineRule="auto"/>
              <w:jc w:val="both"/>
              <w:rPr>
                <w:rFonts w:ascii="Arial" w:hAnsi="Arial" w:cs="Arial"/>
                <w:sz w:val="24"/>
                <w:szCs w:val="24"/>
              </w:rPr>
            </w:pPr>
            <w:r w:rsidRPr="007652A5">
              <w:rPr>
                <w:rFonts w:ascii="Arial" w:hAnsi="Arial" w:cs="Arial"/>
                <w:sz w:val="24"/>
                <w:szCs w:val="24"/>
              </w:rPr>
              <w:t>Suprafaţa irigată (ha)</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213.736</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168.237</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236.010</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161.310</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both"/>
              <w:rPr>
                <w:rFonts w:ascii="Arial" w:hAnsi="Arial" w:cs="Arial"/>
                <w:sz w:val="24"/>
                <w:szCs w:val="24"/>
              </w:rPr>
            </w:pPr>
            <w:r>
              <w:rPr>
                <w:rFonts w:ascii="Arial" w:hAnsi="Arial" w:cs="Arial"/>
                <w:sz w:val="24"/>
                <w:szCs w:val="24"/>
              </w:rPr>
              <w:t>202.576</w:t>
            </w:r>
          </w:p>
        </w:tc>
      </w:tr>
      <w:tr w:rsidR="006B2FD4" w:rsidRPr="007652A5" w:rsidTr="004E444C">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pStyle w:val="BodyText"/>
              <w:spacing w:after="0" w:line="240" w:lineRule="auto"/>
              <w:jc w:val="center"/>
              <w:rPr>
                <w:rFonts w:ascii="Arial" w:hAnsi="Arial" w:cs="Arial"/>
                <w:sz w:val="24"/>
                <w:szCs w:val="24"/>
              </w:rPr>
            </w:pPr>
            <w:r w:rsidRPr="007652A5">
              <w:rPr>
                <w:rFonts w:ascii="Arial" w:hAnsi="Arial" w:cs="Arial"/>
                <w:sz w:val="24"/>
                <w:szCs w:val="24"/>
              </w:rPr>
              <w:t>Volum de apă consumată (mii mc)</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207.269</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155.441</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201.791</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6B2FD4" w:rsidRPr="007652A5" w:rsidRDefault="006B2FD4" w:rsidP="004E444C">
            <w:pPr>
              <w:spacing w:after="0" w:line="240" w:lineRule="auto"/>
              <w:jc w:val="both"/>
              <w:rPr>
                <w:rFonts w:ascii="Arial" w:hAnsi="Arial" w:cs="Arial"/>
                <w:sz w:val="24"/>
                <w:szCs w:val="24"/>
              </w:rPr>
            </w:pPr>
            <w:r w:rsidRPr="007652A5">
              <w:rPr>
                <w:rFonts w:ascii="Arial" w:hAnsi="Arial" w:cs="Arial"/>
                <w:sz w:val="24"/>
                <w:szCs w:val="24"/>
              </w:rPr>
              <w:t>142.799</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both"/>
              <w:rPr>
                <w:rFonts w:ascii="Arial" w:hAnsi="Arial" w:cs="Arial"/>
                <w:sz w:val="24"/>
                <w:szCs w:val="24"/>
              </w:rPr>
            </w:pPr>
            <w:r>
              <w:rPr>
                <w:rFonts w:ascii="Arial" w:hAnsi="Arial" w:cs="Arial"/>
                <w:sz w:val="24"/>
                <w:szCs w:val="24"/>
              </w:rPr>
              <w:t>138.563</w:t>
            </w:r>
          </w:p>
        </w:tc>
      </w:tr>
    </w:tbl>
    <w:p w:rsidR="006B2FD4" w:rsidRPr="007652A5" w:rsidRDefault="006B2FD4" w:rsidP="006B2FD4">
      <w:pPr>
        <w:spacing w:after="0" w:line="240" w:lineRule="auto"/>
        <w:jc w:val="both"/>
        <w:rPr>
          <w:rFonts w:ascii="Arial" w:hAnsi="Arial" w:cs="Arial"/>
          <w:bCs/>
          <w:sz w:val="24"/>
          <w:szCs w:val="24"/>
        </w:rPr>
      </w:pPr>
    </w:p>
    <w:p w:rsidR="006B2FD4" w:rsidRPr="007652A5" w:rsidRDefault="006B2FD4" w:rsidP="006B2FD4">
      <w:pPr>
        <w:pStyle w:val="BodyTextIndent2BodyTextIndent2Char"/>
        <w:ind w:left="0" w:firstLine="426"/>
        <w:jc w:val="center"/>
        <w:rPr>
          <w:rFonts w:ascii="Arial" w:hAnsi="Arial" w:cs="Arial"/>
          <w:sz w:val="24"/>
          <w:szCs w:val="24"/>
        </w:rPr>
      </w:pPr>
      <w:r w:rsidRPr="007652A5">
        <w:rPr>
          <w:rFonts w:ascii="Arial" w:hAnsi="Arial" w:cs="Arial"/>
          <w:noProof/>
          <w:sz w:val="24"/>
          <w:szCs w:val="24"/>
          <w:lang w:val="ro-RO" w:eastAsia="ro-RO"/>
        </w:rPr>
        <w:drawing>
          <wp:inline distT="0" distB="0" distL="0" distR="0">
            <wp:extent cx="4838700" cy="2333625"/>
            <wp:effectExtent l="19050" t="0" r="19050" b="0"/>
            <wp:docPr id="4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B2FD4" w:rsidRPr="007652A5" w:rsidRDefault="005D0BB6" w:rsidP="006B2FD4">
      <w:pPr>
        <w:pStyle w:val="BodyTextIndent2BodyTextIndent2Char"/>
        <w:ind w:left="0"/>
        <w:jc w:val="center"/>
        <w:rPr>
          <w:rFonts w:ascii="Arial" w:hAnsi="Arial" w:cs="Arial"/>
          <w:b/>
          <w:sz w:val="24"/>
          <w:szCs w:val="24"/>
        </w:rPr>
      </w:pPr>
      <w:r w:rsidRPr="007652A5">
        <w:rPr>
          <w:rFonts w:ascii="Arial" w:hAnsi="Arial" w:cs="Arial"/>
          <w:sz w:val="24"/>
          <w:szCs w:val="24"/>
        </w:rPr>
        <w:fldChar w:fldCharType="begin" w:fldLock="1"/>
      </w:r>
      <w:r w:rsidR="006B2FD4" w:rsidRPr="007652A5">
        <w:rPr>
          <w:rFonts w:ascii="Arial" w:hAnsi="Arial" w:cs="Arial"/>
          <w:sz w:val="24"/>
          <w:szCs w:val="24"/>
        </w:rPr>
        <w:instrText xml:space="preserve">ref  SHAPE  \* MERGEFORMAT </w:instrText>
      </w:r>
      <w:r w:rsidRPr="007652A5">
        <w:rPr>
          <w:rFonts w:ascii="Arial" w:hAnsi="Arial" w:cs="Arial"/>
          <w:sz w:val="24"/>
          <w:szCs w:val="24"/>
        </w:rPr>
        <w:fldChar w:fldCharType="end"/>
      </w:r>
    </w:p>
    <w:p w:rsidR="006B2FD4" w:rsidRPr="007652A5" w:rsidRDefault="006B2FD4" w:rsidP="006B2FD4">
      <w:pPr>
        <w:pStyle w:val="BodyTextIndent2BodyTextIndent2Char"/>
        <w:ind w:left="0" w:firstLine="737"/>
        <w:rPr>
          <w:rFonts w:ascii="Arial" w:hAnsi="Arial" w:cs="Arial"/>
          <w:sz w:val="24"/>
          <w:szCs w:val="24"/>
        </w:rPr>
      </w:pPr>
    </w:p>
    <w:p w:rsidR="006B2FD4" w:rsidRPr="00202088" w:rsidRDefault="006B2FD4" w:rsidP="006B2FD4">
      <w:pPr>
        <w:spacing w:after="0" w:line="240" w:lineRule="auto"/>
        <w:jc w:val="both"/>
        <w:rPr>
          <w:rFonts w:ascii="Arial" w:hAnsi="Arial" w:cs="Arial"/>
          <w:bCs/>
          <w:sz w:val="24"/>
          <w:szCs w:val="24"/>
        </w:rPr>
      </w:pPr>
      <w:r w:rsidRPr="00202088">
        <w:rPr>
          <w:rFonts w:ascii="Arial" w:hAnsi="Arial" w:cs="Arial"/>
          <w:bCs/>
          <w:sz w:val="24"/>
          <w:szCs w:val="24"/>
        </w:rPr>
        <w:t>Fig. III .3.3. -1 Evoluţia suprafeţelor irigate în perioada 201</w:t>
      </w:r>
      <w:r>
        <w:rPr>
          <w:rFonts w:ascii="Arial" w:hAnsi="Arial" w:cs="Arial"/>
          <w:bCs/>
          <w:sz w:val="24"/>
          <w:szCs w:val="24"/>
        </w:rPr>
        <w:t>3</w:t>
      </w:r>
      <w:r w:rsidRPr="00202088">
        <w:rPr>
          <w:rFonts w:ascii="Arial" w:hAnsi="Arial" w:cs="Arial"/>
          <w:bCs/>
          <w:sz w:val="24"/>
          <w:szCs w:val="24"/>
        </w:rPr>
        <w:t>- 201</w:t>
      </w:r>
      <w:r>
        <w:rPr>
          <w:rFonts w:ascii="Arial" w:hAnsi="Arial" w:cs="Arial"/>
          <w:bCs/>
          <w:sz w:val="24"/>
          <w:szCs w:val="24"/>
        </w:rPr>
        <w:t>7</w:t>
      </w:r>
    </w:p>
    <w:p w:rsidR="006B2FD4" w:rsidRPr="007652A5" w:rsidRDefault="006B2FD4" w:rsidP="006B2FD4">
      <w:pPr>
        <w:pStyle w:val="BodyTextIndent2BodyTextIndent2Char"/>
        <w:ind w:left="0"/>
        <w:rPr>
          <w:rFonts w:ascii="Arial" w:hAnsi="Arial" w:cs="Arial"/>
          <w:b/>
          <w:sz w:val="24"/>
          <w:szCs w:val="24"/>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lastRenderedPageBreak/>
        <w:t>Din evoluţia suprafeţelor irigate prezentate mai sus se observă scăderea acestora în anii 201</w:t>
      </w:r>
      <w:r>
        <w:rPr>
          <w:rFonts w:ascii="Arial" w:hAnsi="Arial" w:cs="Arial"/>
          <w:sz w:val="24"/>
          <w:szCs w:val="24"/>
        </w:rPr>
        <w:t xml:space="preserve">4 </w:t>
      </w:r>
      <w:r>
        <w:rPr>
          <w:rFonts w:ascii="Arial" w:hAnsi="Arial" w:cs="Arial"/>
          <w:sz w:val="24"/>
          <w:szCs w:val="24"/>
          <w:lang w:val="ro-RO"/>
        </w:rPr>
        <w:t xml:space="preserve">și </w:t>
      </w:r>
      <w:r w:rsidRPr="007652A5">
        <w:rPr>
          <w:rFonts w:ascii="Arial" w:hAnsi="Arial" w:cs="Arial"/>
          <w:sz w:val="24"/>
          <w:szCs w:val="24"/>
        </w:rPr>
        <w:t>201</w:t>
      </w:r>
      <w:r>
        <w:rPr>
          <w:rFonts w:ascii="Arial" w:hAnsi="Arial" w:cs="Arial"/>
          <w:sz w:val="24"/>
          <w:szCs w:val="24"/>
        </w:rPr>
        <w:t>6și creșterea în</w:t>
      </w:r>
      <w:r w:rsidRPr="007652A5">
        <w:rPr>
          <w:rFonts w:ascii="Arial" w:hAnsi="Arial" w:cs="Arial"/>
          <w:sz w:val="24"/>
          <w:szCs w:val="24"/>
        </w:rPr>
        <w:t xml:space="preserve"> 2015</w:t>
      </w:r>
      <w:r>
        <w:rPr>
          <w:rFonts w:ascii="Arial" w:hAnsi="Arial" w:cs="Arial"/>
          <w:sz w:val="24"/>
          <w:szCs w:val="24"/>
        </w:rPr>
        <w:t xml:space="preserve"> și 2017</w:t>
      </w:r>
      <w:r w:rsidRPr="007652A5">
        <w:rPr>
          <w:rFonts w:ascii="Arial" w:hAnsi="Arial" w:cs="Arial"/>
          <w:sz w:val="24"/>
          <w:szCs w:val="24"/>
        </w:rPr>
        <w:t>. Volumele de apă consumate pentru irigaţii au fost mai mari în anii 2013 și 2015, în restul perioadei există o tendință de scădere.</w:t>
      </w:r>
    </w:p>
    <w:p w:rsidR="006B2FD4" w:rsidRPr="007652A5" w:rsidRDefault="006B2FD4" w:rsidP="006B2FD4">
      <w:pPr>
        <w:pStyle w:val="BodyText"/>
        <w:spacing w:after="0" w:line="240" w:lineRule="auto"/>
        <w:jc w:val="both"/>
        <w:rPr>
          <w:rFonts w:ascii="Arial" w:eastAsia="SimSun" w:hAnsi="Arial" w:cs="Arial"/>
          <w:sz w:val="24"/>
          <w:szCs w:val="24"/>
          <w:lang w:val="ro-RO"/>
        </w:rPr>
      </w:pPr>
    </w:p>
    <w:p w:rsidR="006B2FD4" w:rsidRPr="00202088" w:rsidRDefault="006B2FD4" w:rsidP="006B2FD4">
      <w:pPr>
        <w:pStyle w:val="BodyText"/>
        <w:spacing w:after="0" w:line="240" w:lineRule="auto"/>
        <w:jc w:val="both"/>
        <w:rPr>
          <w:rFonts w:ascii="Arial" w:hAnsi="Arial" w:cs="Arial"/>
          <w:sz w:val="24"/>
          <w:szCs w:val="24"/>
          <w:lang w:val="ro-RO"/>
        </w:rPr>
      </w:pPr>
      <w:r w:rsidRPr="00202088">
        <w:rPr>
          <w:rFonts w:ascii="Arial" w:hAnsi="Arial" w:cs="Arial"/>
          <w:sz w:val="24"/>
          <w:szCs w:val="24"/>
          <w:lang w:val="ro-RO"/>
        </w:rPr>
        <w:t xml:space="preserve">Tabel III.3.3-2 Situaţia suprafeţelor amenajate cu lucrări de îmbunătăţiri funciare                                                                                               </w:t>
      </w:r>
    </w:p>
    <w:tbl>
      <w:tblPr>
        <w:tblW w:w="96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270"/>
        <w:gridCol w:w="1688"/>
        <w:gridCol w:w="1080"/>
        <w:gridCol w:w="1080"/>
        <w:gridCol w:w="1080"/>
        <w:gridCol w:w="900"/>
        <w:gridCol w:w="816"/>
      </w:tblGrid>
      <w:tr w:rsidR="006B2FD4" w:rsidRPr="007652A5" w:rsidTr="004E444C">
        <w:trPr>
          <w:trHeight w:val="441"/>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Nr.</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crt.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Denumirea</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filială</w:t>
            </w:r>
          </w:p>
          <w:p w:rsidR="006B2FD4" w:rsidRPr="007652A5" w:rsidRDefault="006B2FD4" w:rsidP="004E444C">
            <w:pPr>
              <w:spacing w:after="0" w:line="240" w:lineRule="auto"/>
              <w:jc w:val="center"/>
              <w:rPr>
                <w:rFonts w:ascii="Arial" w:hAnsi="Arial" w:cs="Arial"/>
                <w:b/>
                <w:sz w:val="24"/>
                <w:szCs w:val="24"/>
              </w:rPr>
            </w:pPr>
          </w:p>
        </w:tc>
        <w:tc>
          <w:tcPr>
            <w:tcW w:w="6644"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u w:val="single"/>
              </w:rPr>
            </w:pPr>
            <w:r w:rsidRPr="007652A5">
              <w:rPr>
                <w:rFonts w:ascii="Arial" w:hAnsi="Arial" w:cs="Arial"/>
                <w:b/>
                <w:sz w:val="24"/>
                <w:szCs w:val="24"/>
              </w:rPr>
              <w:t>Suprafaţa amenajată la 31.12.201</w:t>
            </w:r>
            <w:r>
              <w:rPr>
                <w:rFonts w:ascii="Arial" w:hAnsi="Arial" w:cs="Arial"/>
                <w:b/>
                <w:sz w:val="24"/>
                <w:szCs w:val="24"/>
              </w:rPr>
              <w:t>7</w:t>
            </w:r>
          </w:p>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(ha)</w:t>
            </w:r>
          </w:p>
        </w:tc>
      </w:tr>
      <w:tr w:rsidR="006B2FD4" w:rsidRPr="007652A5" w:rsidTr="004E444C">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27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C.E.S.</w:t>
            </w:r>
          </w:p>
        </w:tc>
      </w:tr>
      <w:tr w:rsidR="006B2FD4" w:rsidRPr="007652A5" w:rsidTr="004E444C">
        <w:trPr>
          <w:trHeight w:val="1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6B2FD4" w:rsidRPr="007652A5" w:rsidRDefault="006B2FD4" w:rsidP="004E444C">
            <w:pPr>
              <w:spacing w:after="0" w:line="240" w:lineRule="auto"/>
              <w:rPr>
                <w:rFonts w:ascii="Arial" w:hAnsi="Arial" w:cs="Arial"/>
                <w:b/>
                <w:sz w:val="24"/>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Pr>
                <w:rFonts w:ascii="Arial" w:hAnsi="Arial" w:cs="Arial"/>
                <w:b/>
                <w:sz w:val="24"/>
                <w:szCs w:val="24"/>
              </w:rPr>
              <w:t>Br</w:t>
            </w:r>
            <w:r w:rsidRPr="007652A5">
              <w:rPr>
                <w:rFonts w:ascii="Arial" w:hAnsi="Arial" w:cs="Arial"/>
                <w:b/>
                <w:sz w:val="24"/>
                <w:szCs w:val="24"/>
              </w:rPr>
              <w:t>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Netă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Pr>
                <w:rFonts w:ascii="Arial" w:hAnsi="Arial" w:cs="Arial"/>
                <w:b/>
                <w:sz w:val="24"/>
                <w:szCs w:val="24"/>
              </w:rPr>
              <w:t>Br</w:t>
            </w:r>
            <w:r w:rsidRPr="007652A5">
              <w:rPr>
                <w:rFonts w:ascii="Arial" w:hAnsi="Arial" w:cs="Arial"/>
                <w:b/>
                <w:sz w:val="24"/>
                <w:szCs w:val="24"/>
              </w:rPr>
              <w:t>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Netă</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Pr>
                <w:rFonts w:ascii="Arial" w:hAnsi="Arial" w:cs="Arial"/>
                <w:b/>
                <w:sz w:val="24"/>
                <w:szCs w:val="24"/>
              </w:rPr>
              <w:t>Br</w:t>
            </w:r>
            <w:r w:rsidRPr="007652A5">
              <w:rPr>
                <w:rFonts w:ascii="Arial" w:hAnsi="Arial" w:cs="Arial"/>
                <w:b/>
                <w:sz w:val="24"/>
                <w:szCs w:val="24"/>
              </w:rPr>
              <w:t>ută</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b/>
                <w:sz w:val="24"/>
                <w:szCs w:val="24"/>
              </w:rPr>
            </w:pPr>
            <w:r w:rsidRPr="007652A5">
              <w:rPr>
                <w:rFonts w:ascii="Arial" w:hAnsi="Arial" w:cs="Arial"/>
                <w:b/>
                <w:sz w:val="24"/>
                <w:szCs w:val="24"/>
              </w:rPr>
              <w:t>Netă</w:t>
            </w:r>
          </w:p>
        </w:tc>
      </w:tr>
      <w:tr w:rsidR="006B2FD4" w:rsidRPr="007652A5" w:rsidTr="004E444C">
        <w:trPr>
          <w:trHeight w:val="64"/>
          <w:jc w:val="center"/>
        </w:trPr>
        <w:tc>
          <w:tcPr>
            <w:tcW w:w="69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tabs>
                <w:tab w:val="left" w:pos="360"/>
                <w:tab w:val="center" w:pos="1676"/>
              </w:tabs>
              <w:spacing w:after="0" w:line="240" w:lineRule="auto"/>
              <w:jc w:val="center"/>
              <w:rPr>
                <w:rFonts w:ascii="Arial" w:hAnsi="Arial" w:cs="Arial"/>
                <w:sz w:val="24"/>
                <w:szCs w:val="24"/>
              </w:rPr>
            </w:pPr>
            <w:r w:rsidRPr="007652A5">
              <w:rPr>
                <w:rFonts w:ascii="Arial" w:hAnsi="Arial" w:cs="Arial"/>
                <w:sz w:val="24"/>
                <w:szCs w:val="24"/>
              </w:rPr>
              <w:t>1</w:t>
            </w:r>
          </w:p>
        </w:tc>
        <w:tc>
          <w:tcPr>
            <w:tcW w:w="227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tabs>
                <w:tab w:val="left" w:pos="360"/>
                <w:tab w:val="center" w:pos="1676"/>
              </w:tabs>
              <w:spacing w:after="0" w:line="240" w:lineRule="auto"/>
              <w:jc w:val="center"/>
              <w:rPr>
                <w:rFonts w:ascii="Arial" w:hAnsi="Arial" w:cs="Arial"/>
                <w:sz w:val="24"/>
                <w:szCs w:val="24"/>
                <w:u w:val="single"/>
              </w:rPr>
            </w:pPr>
            <w:r w:rsidRPr="007652A5">
              <w:rPr>
                <w:rFonts w:ascii="Arial" w:hAnsi="Arial" w:cs="Arial"/>
                <w:sz w:val="24"/>
                <w:szCs w:val="24"/>
              </w:rPr>
              <w:t xml:space="preserve">Filiala judeţeană </w:t>
            </w:r>
            <w:r>
              <w:rPr>
                <w:rFonts w:ascii="Arial" w:hAnsi="Arial" w:cs="Arial"/>
                <w:sz w:val="24"/>
                <w:szCs w:val="24"/>
              </w:rPr>
              <w:t>Brăila</w:t>
            </w: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Pr>
                <w:rFonts w:ascii="Arial" w:hAnsi="Arial" w:cs="Arial"/>
                <w:sz w:val="24"/>
                <w:szCs w:val="24"/>
              </w:rPr>
              <w:t>37</w:t>
            </w:r>
            <w:r w:rsidRPr="007652A5">
              <w:rPr>
                <w:rFonts w:ascii="Arial" w:hAnsi="Arial" w:cs="Arial"/>
                <w:sz w:val="24"/>
                <w:szCs w:val="24"/>
              </w:rPr>
              <w:t>7</w:t>
            </w:r>
            <w:r>
              <w:rPr>
                <w:rFonts w:ascii="Arial" w:hAnsi="Arial" w:cs="Arial"/>
                <w:sz w:val="24"/>
                <w:szCs w:val="24"/>
              </w:rPr>
              <w:t>077</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3</w:t>
            </w:r>
            <w:r>
              <w:rPr>
                <w:rFonts w:ascii="Arial" w:hAnsi="Arial" w:cs="Arial"/>
                <w:sz w:val="24"/>
                <w:szCs w:val="24"/>
              </w:rPr>
              <w:t>5</w:t>
            </w:r>
            <w:r w:rsidRPr="007652A5">
              <w:rPr>
                <w:rFonts w:ascii="Arial" w:hAnsi="Arial" w:cs="Arial"/>
                <w:sz w:val="24"/>
                <w:szCs w:val="24"/>
              </w:rPr>
              <w:t>7</w:t>
            </w:r>
            <w:r>
              <w:rPr>
                <w:rFonts w:ascii="Arial" w:hAnsi="Arial" w:cs="Arial"/>
                <w:sz w:val="24"/>
                <w:szCs w:val="24"/>
              </w:rPr>
              <w:t>473</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268100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247914</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0</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6B2FD4" w:rsidRPr="007652A5" w:rsidRDefault="006B2FD4" w:rsidP="004E444C">
            <w:pPr>
              <w:spacing w:after="0" w:line="240" w:lineRule="auto"/>
              <w:jc w:val="center"/>
              <w:rPr>
                <w:rFonts w:ascii="Arial" w:hAnsi="Arial" w:cs="Arial"/>
                <w:sz w:val="24"/>
                <w:szCs w:val="24"/>
              </w:rPr>
            </w:pPr>
            <w:r w:rsidRPr="007652A5">
              <w:rPr>
                <w:rFonts w:ascii="Arial" w:hAnsi="Arial" w:cs="Arial"/>
                <w:sz w:val="24"/>
                <w:szCs w:val="24"/>
              </w:rPr>
              <w:t>0</w:t>
            </w:r>
          </w:p>
        </w:tc>
      </w:tr>
    </w:tbl>
    <w:p w:rsidR="006B2FD4" w:rsidRPr="007652A5" w:rsidRDefault="006B2FD4" w:rsidP="006B2FD4">
      <w:pPr>
        <w:spacing w:after="0" w:line="240" w:lineRule="auto"/>
        <w:jc w:val="both"/>
        <w:rPr>
          <w:rFonts w:ascii="Arial" w:hAnsi="Arial" w:cs="Arial"/>
          <w:sz w:val="24"/>
          <w:szCs w:val="24"/>
        </w:rPr>
      </w:pPr>
      <w:r w:rsidRPr="007652A5">
        <w:rPr>
          <w:rFonts w:ascii="Arial" w:hAnsi="Arial" w:cs="Arial"/>
          <w:i/>
          <w:sz w:val="24"/>
          <w:szCs w:val="24"/>
        </w:rPr>
        <w:t xml:space="preserve">NOTA: </w:t>
      </w:r>
      <w:r w:rsidRPr="007652A5">
        <w:rPr>
          <w:rFonts w:ascii="Arial" w:hAnsi="Arial" w:cs="Arial"/>
          <w:sz w:val="24"/>
          <w:szCs w:val="24"/>
        </w:rPr>
        <w:t xml:space="preserve">     C.E.S.= combaterea eroziunii solului   </w:t>
      </w:r>
    </w:p>
    <w:p w:rsidR="006B2FD4" w:rsidRPr="007652A5" w:rsidRDefault="006B2FD4" w:rsidP="006B2FD4">
      <w:pPr>
        <w:spacing w:after="0" w:line="240" w:lineRule="auto"/>
        <w:jc w:val="both"/>
        <w:rPr>
          <w:rFonts w:ascii="Arial" w:eastAsia="Times New Roman" w:hAnsi="Arial" w:cs="Arial"/>
          <w:b/>
          <w:sz w:val="24"/>
          <w:szCs w:val="24"/>
          <w:lang w:val="it-IT"/>
        </w:rPr>
      </w:pPr>
    </w:p>
    <w:p w:rsidR="006B2FD4" w:rsidRDefault="006B2FD4" w:rsidP="006B2FD4">
      <w:pPr>
        <w:spacing w:after="0" w:line="240" w:lineRule="auto"/>
        <w:jc w:val="both"/>
        <w:rPr>
          <w:rFonts w:ascii="Arial" w:eastAsia="Times New Roman" w:hAnsi="Arial" w:cs="Arial"/>
          <w:b/>
          <w:sz w:val="24"/>
          <w:szCs w:val="24"/>
          <w:lang w:val="it-IT"/>
        </w:rPr>
      </w:pPr>
    </w:p>
    <w:p w:rsidR="006B2FD4" w:rsidRPr="007652A5" w:rsidRDefault="006B2FD4" w:rsidP="006B2FD4">
      <w:pPr>
        <w:spacing w:after="0" w:line="240" w:lineRule="auto"/>
        <w:jc w:val="both"/>
        <w:rPr>
          <w:rFonts w:ascii="Arial" w:eastAsia="Times New Roman" w:hAnsi="Arial" w:cs="Arial"/>
          <w:b/>
          <w:sz w:val="24"/>
          <w:szCs w:val="24"/>
          <w:lang w:val="it-IT"/>
        </w:rPr>
      </w:pPr>
      <w:r w:rsidRPr="007652A5">
        <w:rPr>
          <w:rFonts w:ascii="Arial" w:eastAsia="Times New Roman" w:hAnsi="Arial" w:cs="Arial"/>
          <w:b/>
          <w:sz w:val="24"/>
          <w:szCs w:val="24"/>
          <w:lang w:val="it-IT"/>
        </w:rPr>
        <w:t>III.4 Prognoze și acțiuni întreprinse pentru ameliorarea stării de calitate a solurilor</w:t>
      </w:r>
    </w:p>
    <w:p w:rsidR="006B2FD4" w:rsidRPr="007652A5" w:rsidRDefault="006B2FD4" w:rsidP="006B2FD4">
      <w:pPr>
        <w:spacing w:after="0" w:line="240" w:lineRule="auto"/>
        <w:jc w:val="both"/>
        <w:rPr>
          <w:rFonts w:ascii="Arial" w:hAnsi="Arial" w:cs="Arial"/>
          <w:b/>
          <w:sz w:val="24"/>
          <w:szCs w:val="24"/>
          <w:lang w:val="it-IT"/>
        </w:rPr>
      </w:pPr>
      <w:r w:rsidRPr="007652A5">
        <w:rPr>
          <w:rFonts w:ascii="Arial" w:hAnsi="Arial" w:cs="Arial"/>
          <w:b/>
          <w:sz w:val="24"/>
          <w:szCs w:val="24"/>
          <w:lang w:val="it-IT"/>
        </w:rPr>
        <w:t>Inventarul siturilor contaminate</w:t>
      </w:r>
    </w:p>
    <w:p w:rsidR="006B2FD4" w:rsidRPr="007652A5" w:rsidRDefault="006B2FD4" w:rsidP="006B2FD4">
      <w:pPr>
        <w:spacing w:after="0" w:line="240" w:lineRule="auto"/>
        <w:jc w:val="both"/>
        <w:rPr>
          <w:rFonts w:ascii="Arial" w:hAnsi="Arial" w:cs="Arial"/>
          <w:b/>
          <w:sz w:val="24"/>
          <w:szCs w:val="24"/>
          <w:lang w:val="it-IT"/>
        </w:rPr>
      </w:pP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În cursul anului 2008 au fost realizate acţiuni în scopul identificării preliminare a siturilor contaminate. Conform HG 1408/2007 privind modalităţile de investigare şi evaluare a poluării solului şi subsolului, Agenţia pentru Protecţia Mediului </w:t>
      </w:r>
      <w:r>
        <w:rPr>
          <w:rFonts w:ascii="Arial" w:hAnsi="Arial" w:cs="Arial"/>
          <w:sz w:val="24"/>
          <w:szCs w:val="24"/>
        </w:rPr>
        <w:t>Brăila</w:t>
      </w:r>
      <w:r w:rsidRPr="007652A5">
        <w:rPr>
          <w:rFonts w:ascii="Arial" w:hAnsi="Arial" w:cs="Arial"/>
          <w:sz w:val="24"/>
          <w:szCs w:val="24"/>
        </w:rPr>
        <w:t xml:space="preserve"> a transmis chestionare unui număr de 54 de operatori economici şi 44 primării. Chestionarele primite (48 de la operatorii economici şi 43 de la primăriile care au răspuns solicitărilor) au fost verificate, completate şi transmise Agenţiei Regionale pentru Protecţia Mediului.</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Pentru a inventaria siturile contaminate a fost creată o bază de date „on-line”, CoSIS 2.0, accesibilă pe site-ul Agenţiei Naţionale pentru Protecţia Mediului, secţiunea „Inventar Naţional, situri contaminate – faza pilot”, în care agenţiile teritoriale au completat datele privind siturile potenţial contaminate. În urma analizării şi evaluării informaţiilor deţinute de APM </w:t>
      </w:r>
      <w:r>
        <w:rPr>
          <w:rFonts w:ascii="Arial" w:hAnsi="Arial" w:cs="Arial"/>
          <w:sz w:val="24"/>
          <w:szCs w:val="24"/>
        </w:rPr>
        <w:t>Brăila</w:t>
      </w:r>
      <w:r w:rsidRPr="007652A5">
        <w:rPr>
          <w:rFonts w:ascii="Arial" w:hAnsi="Arial" w:cs="Arial"/>
          <w:sz w:val="24"/>
          <w:szCs w:val="24"/>
        </w:rPr>
        <w:t xml:space="preserve"> au fost introduse date cu privire la 26 amplasamente posibil contaminate. </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w:t>
      </w:r>
      <w:r>
        <w:rPr>
          <w:rFonts w:ascii="Arial" w:hAnsi="Arial" w:cs="Arial"/>
          <w:sz w:val="24"/>
          <w:szCs w:val="24"/>
        </w:rPr>
        <w:t>Brăila</w:t>
      </w:r>
      <w:r w:rsidRPr="007652A5">
        <w:rPr>
          <w:rFonts w:ascii="Arial" w:hAnsi="Arial" w:cs="Arial"/>
          <w:sz w:val="24"/>
          <w:szCs w:val="24"/>
        </w:rPr>
        <w:t xml:space="preserve"> privind lista siturilor contaminate şi lista siturilor potenţial contaminate din judeţul </w:t>
      </w:r>
      <w:r>
        <w:rPr>
          <w:rFonts w:ascii="Arial" w:hAnsi="Arial" w:cs="Arial"/>
          <w:sz w:val="24"/>
          <w:szCs w:val="24"/>
        </w:rPr>
        <w:t>Brăila</w:t>
      </w:r>
      <w:r w:rsidRPr="007652A5">
        <w:rPr>
          <w:rFonts w:ascii="Arial" w:hAnsi="Arial" w:cs="Arial"/>
          <w:sz w:val="24"/>
          <w:szCs w:val="24"/>
        </w:rPr>
        <w:t xml:space="preserve">; cele două liste conţin 21 situri contaminate/potenţial contaminate.  </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În luna august 2015 Guvernul României a aprobat, prin Hotărârea de Guvern nr. 683/2015, Strategia Națională și Planul Național de Acțiune pentru gestionarea Siturilor Contaminate din România, document ce stabilește necesarul de investiţii şi priorităţile de finanţare pentru sectorul situri contaminate aferente perioadei de finanţare 2014-2020.</w:t>
      </w:r>
    </w:p>
    <w:p w:rsidR="006B2FD4" w:rsidRPr="007652A5" w:rsidRDefault="006B2FD4" w:rsidP="006B2FD4">
      <w:pPr>
        <w:autoSpaceDE w:val="0"/>
        <w:autoSpaceDN w:val="0"/>
        <w:adjustRightInd w:val="0"/>
        <w:spacing w:after="0" w:line="240" w:lineRule="auto"/>
        <w:ind w:firstLine="708"/>
        <w:jc w:val="both"/>
        <w:rPr>
          <w:rFonts w:ascii="Arial" w:hAnsi="Arial" w:cs="Arial"/>
          <w:sz w:val="24"/>
          <w:szCs w:val="24"/>
          <w:lang w:val="it-IT"/>
        </w:rPr>
      </w:pPr>
    </w:p>
    <w:p w:rsidR="006B2FD4" w:rsidRPr="007652A5" w:rsidRDefault="006B2FD4" w:rsidP="006B2FD4">
      <w:pPr>
        <w:pStyle w:val="Footer"/>
        <w:jc w:val="both"/>
        <w:rPr>
          <w:rFonts w:ascii="Arial" w:eastAsia="SimSun" w:hAnsi="Arial" w:cs="Arial"/>
          <w:b/>
          <w:sz w:val="24"/>
          <w:szCs w:val="24"/>
          <w:lang w:val="it-IT"/>
        </w:rPr>
      </w:pPr>
      <w:r w:rsidRPr="007652A5">
        <w:rPr>
          <w:rFonts w:ascii="Arial" w:eastAsia="SimSun" w:hAnsi="Arial" w:cs="Arial"/>
          <w:b/>
          <w:sz w:val="24"/>
          <w:szCs w:val="24"/>
          <w:lang w:val="it-IT"/>
        </w:rPr>
        <w:t xml:space="preserve">Acţiuni întreprinse pentru remedierea terenurilor contaminate </w:t>
      </w:r>
    </w:p>
    <w:p w:rsidR="006B2FD4" w:rsidRPr="007652A5" w:rsidRDefault="006B2FD4" w:rsidP="006B2FD4">
      <w:pPr>
        <w:spacing w:after="0" w:line="240" w:lineRule="auto"/>
        <w:ind w:firstLine="708"/>
        <w:jc w:val="both"/>
        <w:rPr>
          <w:rFonts w:ascii="Arial" w:hAnsi="Arial" w:cs="Arial"/>
          <w:sz w:val="24"/>
          <w:szCs w:val="24"/>
          <w:lang w:val="it-IT"/>
        </w:rPr>
      </w:pPr>
      <w:r w:rsidRPr="007652A5">
        <w:rPr>
          <w:rFonts w:ascii="Arial" w:hAnsi="Arial" w:cs="Arial"/>
          <w:sz w:val="24"/>
          <w:szCs w:val="24"/>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6B2FD4" w:rsidRPr="007652A5" w:rsidRDefault="006B2FD4" w:rsidP="006B2FD4">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Investigarea, evaluarea şi refacerea siturilor contaminate se va realiza prin: </w:t>
      </w:r>
    </w:p>
    <w:p w:rsidR="006B2FD4" w:rsidRPr="007652A5" w:rsidRDefault="006B2FD4" w:rsidP="006B2FD4">
      <w:pPr>
        <w:spacing w:after="0" w:line="240" w:lineRule="auto"/>
        <w:jc w:val="both"/>
        <w:rPr>
          <w:rFonts w:ascii="Arial" w:hAnsi="Arial" w:cs="Arial"/>
          <w:sz w:val="24"/>
          <w:szCs w:val="24"/>
          <w:lang w:val="it-IT"/>
        </w:rPr>
      </w:pPr>
      <w:r w:rsidRPr="007652A5">
        <w:rPr>
          <w:rFonts w:ascii="Arial" w:hAnsi="Arial" w:cs="Arial"/>
          <w:sz w:val="24"/>
          <w:szCs w:val="24"/>
          <w:lang w:val="it-IT"/>
        </w:rPr>
        <w:t>-întocmirea inventarului de situri contaminate, bazat pe completarea chestionarelor;</w:t>
      </w:r>
    </w:p>
    <w:p w:rsidR="006B2FD4" w:rsidRPr="007652A5" w:rsidRDefault="006B2FD4" w:rsidP="006B2FD4">
      <w:pPr>
        <w:spacing w:after="0" w:line="240" w:lineRule="auto"/>
        <w:jc w:val="both"/>
        <w:rPr>
          <w:rFonts w:ascii="Arial" w:hAnsi="Arial" w:cs="Arial"/>
          <w:sz w:val="24"/>
          <w:szCs w:val="24"/>
          <w:lang w:val="it-IT"/>
        </w:rPr>
      </w:pPr>
      <w:r w:rsidRPr="007652A5">
        <w:rPr>
          <w:rFonts w:ascii="Arial" w:hAnsi="Arial" w:cs="Arial"/>
          <w:sz w:val="24"/>
          <w:szCs w:val="24"/>
          <w:lang w:val="it-IT"/>
        </w:rPr>
        <w:t>-stabilirea modalităţilor de investigare şi evaluare a poluării solului şi subsolului;</w:t>
      </w:r>
    </w:p>
    <w:p w:rsidR="006B2FD4" w:rsidRPr="007652A5" w:rsidRDefault="006B2FD4" w:rsidP="006B2FD4">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-realizarea celor trei etape principale ale investigării şi evaluării poluării mediului geologic, având ca finalitate identificarea şi caracterizarea siturilor contaminate: </w:t>
      </w:r>
    </w:p>
    <w:p w:rsidR="006B2FD4" w:rsidRPr="007652A5" w:rsidRDefault="006B2FD4" w:rsidP="00EF3940">
      <w:pPr>
        <w:pStyle w:val="ListParagraph"/>
        <w:numPr>
          <w:ilvl w:val="0"/>
          <w:numId w:val="51"/>
        </w:numPr>
        <w:jc w:val="both"/>
        <w:rPr>
          <w:rFonts w:ascii="Arial" w:hAnsi="Arial" w:cs="Arial"/>
          <w:lang w:val="it-IT"/>
        </w:rPr>
      </w:pPr>
      <w:r w:rsidRPr="007652A5">
        <w:rPr>
          <w:rFonts w:ascii="Arial" w:hAnsi="Arial" w:cs="Arial"/>
          <w:lang w:val="it-IT"/>
        </w:rPr>
        <w:t xml:space="preserve">analiza şi interpretarea datelor existente, </w:t>
      </w:r>
    </w:p>
    <w:p w:rsidR="006B2FD4" w:rsidRPr="007652A5" w:rsidRDefault="006B2FD4" w:rsidP="00EF3940">
      <w:pPr>
        <w:pStyle w:val="ListParagraph"/>
        <w:numPr>
          <w:ilvl w:val="0"/>
          <w:numId w:val="51"/>
        </w:numPr>
        <w:jc w:val="both"/>
        <w:rPr>
          <w:rFonts w:ascii="Arial" w:hAnsi="Arial" w:cs="Arial"/>
          <w:lang w:val="it-IT"/>
        </w:rPr>
      </w:pPr>
      <w:r w:rsidRPr="007652A5">
        <w:rPr>
          <w:rFonts w:ascii="Arial" w:hAnsi="Arial" w:cs="Arial"/>
          <w:lang w:val="it-IT"/>
        </w:rPr>
        <w:t xml:space="preserve">etapa de investigare şi evaluare preliminară (ale cărei rezultate sunt cuprinse în raportul geologic de evaluare şi investigare preliminară), </w:t>
      </w:r>
    </w:p>
    <w:p w:rsidR="006B2FD4" w:rsidRPr="007652A5" w:rsidRDefault="006B2FD4" w:rsidP="00EF3940">
      <w:pPr>
        <w:pStyle w:val="ListParagraph"/>
        <w:numPr>
          <w:ilvl w:val="0"/>
          <w:numId w:val="51"/>
        </w:numPr>
        <w:jc w:val="both"/>
        <w:rPr>
          <w:rFonts w:ascii="Arial" w:hAnsi="Arial" w:cs="Arial"/>
          <w:lang w:val="it-IT"/>
        </w:rPr>
      </w:pPr>
      <w:r w:rsidRPr="007652A5">
        <w:rPr>
          <w:rFonts w:ascii="Arial" w:hAnsi="Arial" w:cs="Arial"/>
          <w:lang w:val="it-IT"/>
        </w:rPr>
        <w:t>etapa de investigare şi evaluare detaliată (ale cărei rezultate sunt cuprinse în raportul geologic final de evaluare şi investigare).</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Au fost reglementate trei proiecte de decontaminare pentru depozitele OMV Petrom </w:t>
      </w:r>
      <w:r>
        <w:rPr>
          <w:rFonts w:ascii="Arial" w:hAnsi="Arial" w:cs="Arial"/>
          <w:sz w:val="24"/>
          <w:szCs w:val="24"/>
        </w:rPr>
        <w:t>Brăila</w:t>
      </w:r>
      <w:r w:rsidRPr="007652A5">
        <w:rPr>
          <w:rFonts w:ascii="Arial" w:hAnsi="Arial" w:cs="Arial"/>
          <w:sz w:val="24"/>
          <w:szCs w:val="24"/>
        </w:rPr>
        <w:t xml:space="preserve"> Oraş, Făurei şi Ianca. Primul este în derulare, se realizează monitorizarea lucrărilor de </w:t>
      </w:r>
      <w:r w:rsidRPr="007652A5">
        <w:rPr>
          <w:rFonts w:ascii="Arial" w:hAnsi="Arial" w:cs="Arial"/>
          <w:sz w:val="24"/>
          <w:szCs w:val="24"/>
        </w:rPr>
        <w:lastRenderedPageBreak/>
        <w:t xml:space="preserve">remediere a solului care se vor continua până la atingerea obiectivelor de remediere. Lucrările de decontaminare a apelor subterane nu au fost încă iniţiate urmând să se desfăşoare după obţinerea avizului privind gospodărirea apelor. </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La depozitul Făurei s-au recepționat lucrările de remediere, iar rapoartele de monitorizare analizate în cursul anilor 2014-2015 (perioada de monitorizare postremediere) au relevat încadrarea tuturor indicatorilor în limitele impuse prin actul de reglementare, ca urmare considerându-se a fi remediat.</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 xml:space="preserve">Pentru batalurile de reziduuri petroliere închise au fost realizate investigaţii privind poluarea solului şi a fost finalizat în cursul anului 2014 proiectul de remediere pentru batalul nou Oprișenești. </w:t>
      </w:r>
      <w:r>
        <w:rPr>
          <w:rFonts w:ascii="Arial" w:hAnsi="Arial" w:cs="Arial"/>
          <w:sz w:val="24"/>
          <w:szCs w:val="24"/>
        </w:rPr>
        <w:t>A</w:t>
      </w:r>
      <w:r w:rsidRPr="007652A5">
        <w:rPr>
          <w:rFonts w:ascii="Arial" w:hAnsi="Arial" w:cs="Arial"/>
          <w:sz w:val="24"/>
          <w:szCs w:val="24"/>
        </w:rPr>
        <w:t>cesta nu este însă inclus pe lista siturilor contaminate/potențial contaminate.</w:t>
      </w:r>
    </w:p>
    <w:p w:rsidR="006B2FD4" w:rsidRPr="007652A5" w:rsidRDefault="006B2FD4" w:rsidP="006B2FD4">
      <w:pPr>
        <w:pStyle w:val="BodyTextIndent2BodyTextIndent2Char"/>
        <w:ind w:left="0" w:firstLine="708"/>
        <w:rPr>
          <w:rFonts w:ascii="Arial" w:hAnsi="Arial" w:cs="Arial"/>
          <w:sz w:val="24"/>
          <w:szCs w:val="24"/>
        </w:rPr>
      </w:pPr>
      <w:r w:rsidRPr="007652A5">
        <w:rPr>
          <w:rFonts w:ascii="Arial" w:hAnsi="Arial" w:cs="Arial"/>
          <w:sz w:val="24"/>
          <w:szCs w:val="24"/>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Ord. MAPPM 756/1997 pentru aprobarea Reglementării privind evaluarea poluării mediului.</w:t>
      </w:r>
    </w:p>
    <w:p w:rsidR="006B2FD4" w:rsidRPr="00C625DB" w:rsidRDefault="006B2FD4" w:rsidP="006B2FD4">
      <w:pPr>
        <w:pStyle w:val="ListParagraph"/>
        <w:tabs>
          <w:tab w:val="left" w:pos="720"/>
        </w:tabs>
        <w:suppressAutoHyphens/>
        <w:autoSpaceDE w:val="0"/>
        <w:autoSpaceDN w:val="0"/>
        <w:adjustRightInd w:val="0"/>
        <w:jc w:val="both"/>
        <w:rPr>
          <w:rFonts w:ascii="Arial" w:hAnsi="Arial" w:cs="Arial"/>
          <w:noProof/>
          <w:color w:val="00B050"/>
        </w:rPr>
      </w:pPr>
    </w:p>
    <w:p w:rsidR="006B2FD4" w:rsidRPr="00DB2B5E" w:rsidRDefault="006B2FD4" w:rsidP="006B2FD4">
      <w:pPr>
        <w:spacing w:after="0" w:line="240" w:lineRule="auto"/>
        <w:rPr>
          <w:rFonts w:ascii="Arial" w:hAnsi="Arial" w:cs="Arial"/>
          <w:b/>
          <w:sz w:val="24"/>
          <w:szCs w:val="24"/>
        </w:rPr>
      </w:pPr>
      <w:r w:rsidRPr="00DB2B5E">
        <w:rPr>
          <w:rFonts w:ascii="Arial" w:hAnsi="Arial" w:cs="Arial"/>
          <w:b/>
          <w:sz w:val="24"/>
          <w:szCs w:val="24"/>
        </w:rPr>
        <w:t>IV. UTILIZAREA TERENURILOR</w:t>
      </w:r>
    </w:p>
    <w:p w:rsidR="006B2FD4" w:rsidRPr="00DB2B5E" w:rsidRDefault="006B2FD4" w:rsidP="006B2FD4">
      <w:pPr>
        <w:spacing w:after="0" w:line="240" w:lineRule="auto"/>
        <w:ind w:left="284"/>
        <w:rPr>
          <w:rFonts w:ascii="Arial" w:hAnsi="Arial" w:cs="Arial"/>
          <w:b/>
          <w:i/>
          <w:sz w:val="24"/>
          <w:szCs w:val="24"/>
        </w:rPr>
      </w:pPr>
      <w:r w:rsidRPr="00DB2B5E">
        <w:rPr>
          <w:rFonts w:ascii="Arial" w:hAnsi="Arial" w:cs="Arial"/>
          <w:b/>
          <w:i/>
          <w:sz w:val="24"/>
          <w:szCs w:val="24"/>
        </w:rPr>
        <w:t>IV.1. Stare și tendințe</w:t>
      </w:r>
    </w:p>
    <w:p w:rsidR="006B2FD4" w:rsidRDefault="006B2FD4" w:rsidP="006B2FD4">
      <w:pPr>
        <w:pStyle w:val="BodyTextIndent2BodyTextIndent2Char"/>
        <w:ind w:left="0" w:firstLine="708"/>
        <w:rPr>
          <w:rFonts w:ascii="Arial" w:hAnsi="Arial" w:cs="Arial"/>
          <w:sz w:val="24"/>
          <w:szCs w:val="24"/>
        </w:rPr>
      </w:pPr>
    </w:p>
    <w:p w:rsidR="006B2FD4" w:rsidRPr="00DB2B5E" w:rsidRDefault="006B2FD4" w:rsidP="006B2FD4">
      <w:pPr>
        <w:pStyle w:val="BodyTextIndent2BodyTextIndent2Char"/>
        <w:ind w:left="0" w:firstLine="708"/>
        <w:rPr>
          <w:rFonts w:ascii="Arial" w:hAnsi="Arial" w:cs="Arial"/>
          <w:sz w:val="24"/>
          <w:szCs w:val="24"/>
        </w:rPr>
      </w:pPr>
      <w:r w:rsidRPr="00DB2B5E">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6B2FD4" w:rsidRPr="00DB2B5E" w:rsidRDefault="006B2FD4" w:rsidP="006B2FD4">
      <w:pPr>
        <w:pStyle w:val="BodyTextIndent2BodyTextIndent2Char"/>
        <w:ind w:left="0" w:firstLine="708"/>
        <w:rPr>
          <w:rFonts w:ascii="Arial" w:hAnsi="Arial" w:cs="Arial"/>
          <w:sz w:val="24"/>
          <w:szCs w:val="24"/>
        </w:rPr>
      </w:pPr>
      <w:r w:rsidRPr="00DB2B5E">
        <w:rPr>
          <w:rFonts w:ascii="Arial" w:hAnsi="Arial" w:cs="Arial"/>
          <w:sz w:val="24"/>
          <w:szCs w:val="24"/>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6B2FD4" w:rsidRPr="00DB2B5E" w:rsidRDefault="006B2FD4" w:rsidP="006B2FD4">
      <w:pPr>
        <w:pStyle w:val="BodyTextIndent2BodyTextIndent2Char"/>
        <w:ind w:left="0" w:firstLine="708"/>
        <w:rPr>
          <w:rFonts w:ascii="Arial" w:hAnsi="Arial" w:cs="Arial"/>
          <w:sz w:val="24"/>
          <w:szCs w:val="24"/>
        </w:rPr>
      </w:pPr>
      <w:r w:rsidRPr="00DB2B5E">
        <w:rPr>
          <w:rFonts w:ascii="Arial" w:hAnsi="Arial" w:cs="Arial"/>
          <w:sz w:val="24"/>
          <w:szCs w:val="24"/>
        </w:rPr>
        <w:t xml:space="preserve">Terenurile sunt o resursă finită și modul în care sunt exploatate reprezintă unul dintre principalii factori determinanţi ai schimbărilor de mediu, cu impact semnificativ asupra calităţii vieţii şi a ecosistemelor, precum şi asupra gestionării infrastructurii. </w:t>
      </w:r>
    </w:p>
    <w:p w:rsidR="006B2FD4" w:rsidRPr="00DB2B5E" w:rsidRDefault="006B2FD4" w:rsidP="006B2FD4">
      <w:pPr>
        <w:pStyle w:val="BodyTextIndent2BodyTextIndent2Char"/>
        <w:ind w:left="0"/>
        <w:rPr>
          <w:rFonts w:ascii="Arial" w:hAnsi="Arial" w:cs="Arial"/>
          <w:sz w:val="24"/>
          <w:szCs w:val="24"/>
        </w:rPr>
      </w:pPr>
      <w:r w:rsidRPr="00DB2B5E">
        <w:rPr>
          <w:rFonts w:ascii="Arial" w:hAnsi="Arial" w:cs="Arial"/>
          <w:sz w:val="24"/>
          <w:szCs w:val="24"/>
        </w:rPr>
        <w:t xml:space="preserve">Utilizarea terenurilor este determinată de o serie de factori importanţi: </w:t>
      </w:r>
    </w:p>
    <w:p w:rsidR="006B2FD4" w:rsidRPr="00DB2B5E" w:rsidRDefault="006B2FD4" w:rsidP="00EF3940">
      <w:pPr>
        <w:pStyle w:val="BodyTextIndent2BodyTextIndent2Char"/>
        <w:numPr>
          <w:ilvl w:val="0"/>
          <w:numId w:val="78"/>
        </w:numPr>
        <w:rPr>
          <w:rFonts w:ascii="Arial" w:hAnsi="Arial" w:cs="Arial"/>
          <w:sz w:val="24"/>
          <w:szCs w:val="24"/>
        </w:rPr>
      </w:pPr>
      <w:r w:rsidRPr="00DB2B5E">
        <w:rPr>
          <w:rFonts w:ascii="Arial" w:hAnsi="Arial" w:cs="Arial"/>
          <w:sz w:val="24"/>
          <w:szCs w:val="24"/>
        </w:rPr>
        <w:t xml:space="preserve">creşterea cererii pentru spaţii de locuit/persoană; </w:t>
      </w:r>
    </w:p>
    <w:p w:rsidR="006B2FD4" w:rsidRPr="00DB2B5E" w:rsidRDefault="006B2FD4" w:rsidP="00EF3940">
      <w:pPr>
        <w:pStyle w:val="BodyTextIndent2BodyTextIndent2Char"/>
        <w:numPr>
          <w:ilvl w:val="0"/>
          <w:numId w:val="78"/>
        </w:numPr>
        <w:rPr>
          <w:rFonts w:ascii="Arial" w:hAnsi="Arial" w:cs="Arial"/>
          <w:sz w:val="24"/>
          <w:szCs w:val="24"/>
        </w:rPr>
      </w:pPr>
      <w:r w:rsidRPr="00DB2B5E">
        <w:rPr>
          <w:rFonts w:ascii="Arial" w:hAnsi="Arial" w:cs="Arial"/>
          <w:sz w:val="24"/>
          <w:szCs w:val="24"/>
        </w:rPr>
        <w:t>legătura dintre activitatea economică, creşterea mobilităţii şi creşterea infrastructurii de transport care conduce la absorbţia de teren în zona urbană;</w:t>
      </w:r>
    </w:p>
    <w:p w:rsidR="006B2FD4" w:rsidRPr="00DB2B5E" w:rsidRDefault="006B2FD4" w:rsidP="00EF3940">
      <w:pPr>
        <w:pStyle w:val="BodyTextIndent2BodyTextIndent2Char"/>
        <w:numPr>
          <w:ilvl w:val="0"/>
          <w:numId w:val="78"/>
        </w:numPr>
        <w:rPr>
          <w:rFonts w:ascii="Arial" w:hAnsi="Arial" w:cs="Arial"/>
          <w:sz w:val="24"/>
          <w:szCs w:val="24"/>
        </w:rPr>
      </w:pPr>
      <w:r w:rsidRPr="00DB2B5E">
        <w:rPr>
          <w:rFonts w:ascii="Arial" w:hAnsi="Arial" w:cs="Arial"/>
          <w:sz w:val="24"/>
          <w:szCs w:val="24"/>
        </w:rPr>
        <w:t>creşterea cererii pentru spaţii de recreere şi petrecerea timpului liber, etc.</w:t>
      </w:r>
    </w:p>
    <w:p w:rsidR="006B2FD4" w:rsidRPr="00DB2B5E" w:rsidRDefault="006B2FD4" w:rsidP="006B2FD4">
      <w:pPr>
        <w:pStyle w:val="BodyTextIndent2BodyTextIndent2Char"/>
        <w:ind w:left="0" w:firstLine="708"/>
        <w:rPr>
          <w:rFonts w:ascii="Arial" w:hAnsi="Arial" w:cs="Arial"/>
          <w:sz w:val="24"/>
          <w:szCs w:val="24"/>
        </w:rPr>
      </w:pPr>
      <w:r w:rsidRPr="00DB2B5E">
        <w:rPr>
          <w:rFonts w:ascii="Arial" w:hAnsi="Arial" w:cs="Arial"/>
          <w:sz w:val="24"/>
          <w:szCs w:val="24"/>
        </w:rPr>
        <w:tab/>
      </w:r>
    </w:p>
    <w:p w:rsidR="006B2FD4" w:rsidRPr="00DB2B5E" w:rsidRDefault="006B2FD4" w:rsidP="006B2FD4">
      <w:pPr>
        <w:pStyle w:val="BodyTextIndent2BodyTextIndent2Char"/>
        <w:ind w:left="0"/>
        <w:rPr>
          <w:rFonts w:ascii="Arial" w:hAnsi="Arial" w:cs="Arial"/>
          <w:b/>
          <w:i/>
          <w:sz w:val="24"/>
          <w:szCs w:val="24"/>
        </w:rPr>
      </w:pPr>
      <w:r w:rsidRPr="00DB2B5E">
        <w:rPr>
          <w:rFonts w:ascii="Arial" w:hAnsi="Arial" w:cs="Arial"/>
          <w:b/>
          <w:i/>
          <w:sz w:val="24"/>
          <w:szCs w:val="24"/>
        </w:rPr>
        <w:t xml:space="preserve">IV.1.1. Repartiţia terenurilor pe categorii de acoperire/utilizare </w:t>
      </w:r>
    </w:p>
    <w:p w:rsidR="006B2FD4" w:rsidRPr="00DB2B5E" w:rsidRDefault="006B2FD4" w:rsidP="006B2FD4">
      <w:pPr>
        <w:pStyle w:val="BodyTextIndent2BodyTextIndent2Char"/>
        <w:ind w:left="0" w:firstLine="708"/>
        <w:rPr>
          <w:rFonts w:ascii="Arial" w:hAnsi="Arial" w:cs="Arial"/>
          <w:sz w:val="24"/>
          <w:szCs w:val="24"/>
        </w:rPr>
      </w:pPr>
      <w:r w:rsidRPr="00DB2B5E">
        <w:rPr>
          <w:rFonts w:ascii="Arial" w:hAnsi="Arial" w:cs="Arial"/>
          <w:sz w:val="24"/>
          <w:szCs w:val="24"/>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6B2FD4" w:rsidRPr="00DB2B5E" w:rsidRDefault="006B2FD4" w:rsidP="006B2FD4">
      <w:pPr>
        <w:tabs>
          <w:tab w:val="left" w:pos="2160"/>
          <w:tab w:val="left" w:leader="dot" w:pos="8640"/>
        </w:tabs>
        <w:spacing w:after="0" w:line="240" w:lineRule="auto"/>
        <w:ind w:right="-38"/>
        <w:jc w:val="both"/>
        <w:rPr>
          <w:rFonts w:ascii="Arial" w:hAnsi="Arial" w:cs="Arial"/>
          <w:sz w:val="24"/>
          <w:szCs w:val="24"/>
        </w:rPr>
      </w:pPr>
      <w:r w:rsidRPr="00DB2B5E">
        <w:rPr>
          <w:rFonts w:ascii="Arial" w:hAnsi="Arial" w:cs="Arial"/>
          <w:sz w:val="24"/>
          <w:szCs w:val="24"/>
        </w:rPr>
        <w:t>În funcţie de destinaţie, terenurile sunt :</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t>terenuri cu destinaţie agricolă ;</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t>terenuri cu destinaţie forestieră ;</w:t>
      </w:r>
    </w:p>
    <w:p w:rsidR="006B2FD4" w:rsidRPr="00DB2B5E" w:rsidRDefault="006B2FD4" w:rsidP="00EF3940">
      <w:pPr>
        <w:numPr>
          <w:ilvl w:val="0"/>
          <w:numId w:val="35"/>
        </w:numPr>
        <w:spacing w:after="0" w:line="240" w:lineRule="auto"/>
        <w:jc w:val="both"/>
        <w:rPr>
          <w:rFonts w:ascii="Arial" w:hAnsi="Arial" w:cs="Arial"/>
          <w:sz w:val="24"/>
          <w:szCs w:val="24"/>
          <w:lang w:val="it-IT"/>
        </w:rPr>
      </w:pPr>
      <w:r w:rsidRPr="00DB2B5E">
        <w:rPr>
          <w:rFonts w:ascii="Arial" w:hAnsi="Arial" w:cs="Arial"/>
          <w:sz w:val="24"/>
          <w:szCs w:val="24"/>
          <w:lang w:val="it-IT"/>
        </w:rPr>
        <w:t>terenuri aflate permanent sub ape ;</w:t>
      </w:r>
    </w:p>
    <w:p w:rsidR="006B2FD4" w:rsidRPr="00DB2B5E" w:rsidRDefault="006B2FD4" w:rsidP="00EF3940">
      <w:pPr>
        <w:numPr>
          <w:ilvl w:val="0"/>
          <w:numId w:val="35"/>
        </w:numPr>
        <w:spacing w:after="0" w:line="240" w:lineRule="auto"/>
        <w:jc w:val="both"/>
        <w:rPr>
          <w:rFonts w:ascii="Arial" w:hAnsi="Arial" w:cs="Arial"/>
          <w:sz w:val="24"/>
          <w:szCs w:val="24"/>
          <w:lang w:val="it-IT"/>
        </w:rPr>
      </w:pPr>
      <w:r w:rsidRPr="00DB2B5E">
        <w:rPr>
          <w:rFonts w:ascii="Arial" w:hAnsi="Arial" w:cs="Arial"/>
          <w:sz w:val="24"/>
          <w:szCs w:val="24"/>
          <w:lang w:val="it-IT"/>
        </w:rPr>
        <w:t>terenuri din intravilan, aferente localităţilor urbane şi rurale pe care sunt amplasate construcţiile, alte amenajări ale localităţilor, inclusiv terenurile agricole şi forestiere ;</w:t>
      </w:r>
    </w:p>
    <w:p w:rsidR="006B2FD4" w:rsidRPr="00DB2B5E" w:rsidRDefault="006B2FD4" w:rsidP="00EF3940">
      <w:pPr>
        <w:numPr>
          <w:ilvl w:val="0"/>
          <w:numId w:val="35"/>
        </w:numPr>
        <w:spacing w:after="0" w:line="240" w:lineRule="auto"/>
        <w:jc w:val="both"/>
        <w:rPr>
          <w:rFonts w:ascii="Arial" w:hAnsi="Arial" w:cs="Arial"/>
          <w:sz w:val="24"/>
          <w:szCs w:val="24"/>
          <w:lang w:val="it-IT"/>
        </w:rPr>
      </w:pPr>
      <w:r w:rsidRPr="00DB2B5E">
        <w:rPr>
          <w:rFonts w:ascii="Arial" w:hAnsi="Arial" w:cs="Arial"/>
          <w:sz w:val="24"/>
          <w:szCs w:val="24"/>
          <w:lang w:val="it-IT"/>
        </w:rPr>
        <w:t>terenuri cu destinaţii speciale cum sunt cele folosite cele pentru transporturile rutiere, feroviare, navale şi aeriene, plajele, rezervaţiile, monumentele naturii, ansamblurile şi siturile arheologice şi istorice etc.</w:t>
      </w:r>
    </w:p>
    <w:p w:rsidR="006B2FD4" w:rsidRPr="00DB2B5E" w:rsidRDefault="006B2FD4" w:rsidP="006B2FD4">
      <w:pPr>
        <w:tabs>
          <w:tab w:val="left" w:pos="2160"/>
          <w:tab w:val="left" w:leader="dot" w:pos="8640"/>
        </w:tabs>
        <w:spacing w:after="0" w:line="240" w:lineRule="auto"/>
        <w:ind w:right="-38" w:firstLine="720"/>
        <w:jc w:val="both"/>
        <w:rPr>
          <w:rFonts w:ascii="Arial" w:hAnsi="Arial" w:cs="Arial"/>
          <w:sz w:val="24"/>
          <w:szCs w:val="24"/>
        </w:rPr>
      </w:pPr>
      <w:r w:rsidRPr="00DB2B5E">
        <w:rPr>
          <w:rFonts w:ascii="Arial" w:hAnsi="Arial" w:cs="Arial"/>
          <w:sz w:val="24"/>
          <w:szCs w:val="24"/>
        </w:rPr>
        <w:t>În categoria terenurilor cu destinaţie agricolă intră :</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t>terenurile agricole productive – terenurile arabile, viile livezile, pepinierele viticole, pomicole,  păşunile, fâneţele, serele, solariile, răsadniţele etc.</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lastRenderedPageBreak/>
        <w:t>terenurile cu vegetaţie forestieră dacă nu fac parte din amenajamentele silvice, păşunile împădurite;</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t>terenurile ocupate cu construcţii şi instalaţii agrozootehnice, amenajări piscicole şi de îmbunătăţiri funciare, drumuri tehnologice etc.</w:t>
      </w:r>
    </w:p>
    <w:p w:rsidR="006B2FD4" w:rsidRPr="00DB2B5E" w:rsidRDefault="006B2FD4" w:rsidP="00EF3940">
      <w:pPr>
        <w:numPr>
          <w:ilvl w:val="0"/>
          <w:numId w:val="35"/>
        </w:numPr>
        <w:spacing w:after="0" w:line="240" w:lineRule="auto"/>
        <w:jc w:val="both"/>
        <w:rPr>
          <w:rFonts w:ascii="Arial" w:hAnsi="Arial" w:cs="Arial"/>
          <w:sz w:val="24"/>
          <w:szCs w:val="24"/>
        </w:rPr>
      </w:pPr>
      <w:r w:rsidRPr="00DB2B5E">
        <w:rPr>
          <w:rFonts w:ascii="Arial" w:hAnsi="Arial" w:cs="Arial"/>
          <w:sz w:val="24"/>
          <w:szCs w:val="24"/>
        </w:rPr>
        <w:t>terenuri neproductive care pot fi amenajate şi folosite pentru producţia agricolă.</w:t>
      </w:r>
    </w:p>
    <w:p w:rsidR="006B2FD4" w:rsidRDefault="006B2FD4" w:rsidP="006B2FD4">
      <w:pPr>
        <w:pStyle w:val="Heading1"/>
        <w:spacing w:before="0" w:after="0"/>
        <w:jc w:val="both"/>
        <w:rPr>
          <w:b w:val="0"/>
          <w:sz w:val="24"/>
          <w:szCs w:val="24"/>
        </w:rPr>
      </w:pPr>
    </w:p>
    <w:p w:rsidR="006B2FD4" w:rsidRDefault="006B2FD4" w:rsidP="006B2FD4">
      <w:pPr>
        <w:pStyle w:val="Heading1"/>
        <w:spacing w:before="0" w:after="0"/>
        <w:jc w:val="both"/>
        <w:rPr>
          <w:b w:val="0"/>
          <w:sz w:val="24"/>
          <w:szCs w:val="24"/>
          <w:lang w:val="ro-RO"/>
        </w:rPr>
      </w:pPr>
      <w:r w:rsidRPr="00202088">
        <w:rPr>
          <w:b w:val="0"/>
          <w:sz w:val="24"/>
          <w:szCs w:val="24"/>
        </w:rPr>
        <w:t>Tabelul IV.1.1-1</w:t>
      </w:r>
      <w:r w:rsidRPr="00202088">
        <w:rPr>
          <w:b w:val="0"/>
          <w:sz w:val="24"/>
          <w:szCs w:val="24"/>
          <w:lang w:val="ro-RO"/>
        </w:rPr>
        <w:t>Structura fondului funciar din judeţul Brăila</w:t>
      </w:r>
      <w:r>
        <w:rPr>
          <w:b w:val="0"/>
          <w:sz w:val="24"/>
          <w:szCs w:val="24"/>
          <w:lang w:val="ro-RO"/>
        </w:rPr>
        <w:t xml:space="preserve"> </w:t>
      </w:r>
      <w:r w:rsidRPr="00B3564A">
        <w:rPr>
          <w:b w:val="0"/>
          <w:sz w:val="24"/>
          <w:szCs w:val="24"/>
          <w:lang w:val="ro-RO"/>
        </w:rPr>
        <w:t>(date furnizate de Direcţia pentru Agricultură Judeţeană Brăila pentru anul 2015; DAJB nu afurnizat date referitoare la terenurile neagricole pentru anul 2016 iar pe site-ul Institutului Național de Statistică se precizează că ”p</w:t>
      </w:r>
      <w:r>
        <w:rPr>
          <w:b w:val="0"/>
          <w:sz w:val="24"/>
          <w:szCs w:val="24"/>
          <w:lang w:val="ro-RO"/>
        </w:rPr>
        <w:t xml:space="preserve">ână </w:t>
      </w:r>
      <w:r w:rsidRPr="00B3564A">
        <w:rPr>
          <w:b w:val="0"/>
          <w:sz w:val="24"/>
          <w:szCs w:val="24"/>
          <w:lang w:val="ro-RO"/>
        </w:rPr>
        <w:t>la finalizarea acțiunii de cadastrare a țării  de către Agenția Națională de Cadastru și Publicitate Imobiliară seriile de date sunt blocate la nivelul anului 2014”):</w:t>
      </w:r>
    </w:p>
    <w:p w:rsidR="006B2FD4" w:rsidRPr="00B3564A" w:rsidRDefault="006B2FD4" w:rsidP="006B2F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03"/>
        <w:gridCol w:w="1404"/>
      </w:tblGrid>
      <w:tr w:rsidR="006B2FD4" w:rsidRPr="00DB2B5E" w:rsidTr="004E444C">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Suprafaţa</w:t>
            </w:r>
          </w:p>
        </w:tc>
      </w:tr>
      <w:tr w:rsidR="006B2FD4" w:rsidRPr="00DB2B5E" w:rsidTr="004E444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DB2B5E" w:rsidRDefault="006B2FD4" w:rsidP="004E444C">
            <w:pPr>
              <w:spacing w:after="0" w:line="240" w:lineRule="auto"/>
              <w:rPr>
                <w:rFonts w:ascii="Arial" w:hAnsi="Arial" w:cs="Arial"/>
                <w:b/>
                <w:sz w:val="24"/>
                <w:szCs w:val="24"/>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w:t>
            </w:r>
          </w:p>
        </w:tc>
      </w:tr>
      <w:tr w:rsidR="006B2FD4" w:rsidRPr="00DB2B5E" w:rsidTr="004E444C">
        <w:trPr>
          <w:trHeight w:val="709"/>
          <w:jc w:val="center"/>
        </w:trPr>
        <w:tc>
          <w:tcPr>
            <w:tcW w:w="3599" w:type="dxa"/>
            <w:tcBorders>
              <w:top w:val="single" w:sz="4" w:space="0" w:color="auto"/>
              <w:left w:val="single" w:sz="4" w:space="0" w:color="auto"/>
              <w:bottom w:val="single" w:sz="4" w:space="0" w:color="auto"/>
              <w:right w:val="single" w:sz="4" w:space="0" w:color="auto"/>
            </w:tcBorders>
            <w:shd w:val="clear" w:color="auto" w:fill="FBF3F3"/>
          </w:tcPr>
          <w:p w:rsidR="006B2FD4" w:rsidRPr="00DB2B5E" w:rsidRDefault="006B2FD4" w:rsidP="004E444C">
            <w:pPr>
              <w:spacing w:after="0" w:line="240" w:lineRule="auto"/>
              <w:rPr>
                <w:rFonts w:ascii="Arial" w:hAnsi="Arial" w:cs="Arial"/>
                <w:sz w:val="24"/>
                <w:szCs w:val="24"/>
              </w:rPr>
            </w:pPr>
            <w:r w:rsidRPr="00DB2B5E">
              <w:rPr>
                <w:rFonts w:ascii="Arial" w:hAnsi="Arial" w:cs="Arial"/>
                <w:sz w:val="24"/>
                <w:szCs w:val="24"/>
              </w:rPr>
              <w:t xml:space="preserve">Terenuri agricol, din care: </w:t>
            </w:r>
          </w:p>
          <w:p w:rsidR="006B2FD4" w:rsidRPr="00DB2B5E" w:rsidRDefault="006B2FD4" w:rsidP="004E444C">
            <w:pPr>
              <w:spacing w:after="0" w:line="240" w:lineRule="auto"/>
              <w:ind w:left="360"/>
              <w:rPr>
                <w:rFonts w:ascii="Arial" w:hAnsi="Arial" w:cs="Arial"/>
                <w:sz w:val="24"/>
                <w:szCs w:val="24"/>
              </w:rPr>
            </w:pPr>
          </w:p>
          <w:p w:rsidR="006B2FD4" w:rsidRPr="00DB2B5E" w:rsidRDefault="006B2FD4" w:rsidP="004E444C">
            <w:pPr>
              <w:spacing w:after="0" w:line="240" w:lineRule="auto"/>
              <w:ind w:left="360"/>
              <w:rPr>
                <w:rFonts w:ascii="Arial" w:hAnsi="Arial" w:cs="Arial"/>
                <w:i/>
                <w:sz w:val="24"/>
                <w:szCs w:val="24"/>
              </w:rPr>
            </w:pPr>
            <w:r w:rsidRPr="00DB2B5E">
              <w:rPr>
                <w:rFonts w:ascii="Arial" w:hAnsi="Arial" w:cs="Arial"/>
                <w:i/>
                <w:sz w:val="24"/>
                <w:szCs w:val="24"/>
              </w:rPr>
              <w:t>Teren</w:t>
            </w:r>
            <w:r w:rsidRPr="00DB2B5E">
              <w:rPr>
                <w:rFonts w:ascii="Arial" w:hAnsi="Arial" w:cs="Arial"/>
                <w:sz w:val="24"/>
                <w:szCs w:val="24"/>
              </w:rPr>
              <w:t xml:space="preserve"> a</w:t>
            </w:r>
            <w:r w:rsidRPr="00DB2B5E">
              <w:rPr>
                <w:rFonts w:ascii="Arial" w:hAnsi="Arial" w:cs="Arial"/>
                <w:i/>
                <w:sz w:val="24"/>
                <w:szCs w:val="24"/>
              </w:rPr>
              <w:t>rabil</w:t>
            </w:r>
          </w:p>
          <w:p w:rsidR="006B2FD4" w:rsidRPr="00DB2B5E" w:rsidRDefault="006B2FD4" w:rsidP="004E444C">
            <w:pPr>
              <w:spacing w:after="0" w:line="240" w:lineRule="auto"/>
              <w:rPr>
                <w:rFonts w:ascii="Arial" w:hAnsi="Arial" w:cs="Arial"/>
                <w:sz w:val="24"/>
                <w:szCs w:val="24"/>
              </w:rPr>
            </w:pPr>
          </w:p>
          <w:p w:rsidR="006B2FD4" w:rsidRPr="00DB2B5E" w:rsidRDefault="006B2FD4" w:rsidP="004E444C">
            <w:pPr>
              <w:spacing w:after="0" w:line="240" w:lineRule="auto"/>
              <w:rPr>
                <w:rFonts w:ascii="Arial" w:hAnsi="Arial" w:cs="Arial"/>
                <w:sz w:val="24"/>
                <w:szCs w:val="24"/>
              </w:rPr>
            </w:pPr>
            <w:r w:rsidRPr="00DB2B5E">
              <w:rPr>
                <w:rFonts w:ascii="Arial" w:hAnsi="Arial" w:cs="Arial"/>
                <w:sz w:val="24"/>
                <w:szCs w:val="24"/>
              </w:rPr>
              <w:t>Terenuri neagricol, din care:</w:t>
            </w:r>
          </w:p>
          <w:p w:rsidR="006B2FD4" w:rsidRPr="00DB2B5E" w:rsidRDefault="006B2FD4" w:rsidP="004E444C">
            <w:pPr>
              <w:tabs>
                <w:tab w:val="num" w:pos="1092"/>
              </w:tabs>
              <w:spacing w:after="0" w:line="240" w:lineRule="auto"/>
              <w:ind w:left="360"/>
              <w:rPr>
                <w:rFonts w:ascii="Arial" w:hAnsi="Arial" w:cs="Arial"/>
                <w:sz w:val="24"/>
                <w:szCs w:val="24"/>
              </w:rPr>
            </w:pPr>
          </w:p>
          <w:p w:rsidR="006B2FD4" w:rsidRPr="00DB2B5E" w:rsidRDefault="006B2FD4" w:rsidP="004E444C">
            <w:pPr>
              <w:tabs>
                <w:tab w:val="num" w:pos="1092"/>
              </w:tabs>
              <w:spacing w:after="0" w:line="240" w:lineRule="auto"/>
              <w:ind w:left="360"/>
              <w:rPr>
                <w:rFonts w:ascii="Arial" w:hAnsi="Arial" w:cs="Arial"/>
                <w:i/>
                <w:sz w:val="24"/>
                <w:szCs w:val="24"/>
              </w:rPr>
            </w:pPr>
            <w:r w:rsidRPr="00DB2B5E">
              <w:rPr>
                <w:rFonts w:ascii="Arial" w:hAnsi="Arial" w:cs="Arial"/>
                <w:i/>
                <w:sz w:val="24"/>
                <w:szCs w:val="24"/>
              </w:rPr>
              <w:t>Păduri</w:t>
            </w:r>
          </w:p>
          <w:p w:rsidR="006B2FD4" w:rsidRPr="00DB2B5E" w:rsidRDefault="006B2FD4" w:rsidP="004E444C">
            <w:pPr>
              <w:tabs>
                <w:tab w:val="num" w:pos="1092"/>
              </w:tabs>
              <w:spacing w:after="0" w:line="240" w:lineRule="auto"/>
              <w:ind w:left="360"/>
              <w:rPr>
                <w:rFonts w:ascii="Arial" w:hAnsi="Arial" w:cs="Arial"/>
                <w:i/>
                <w:sz w:val="24"/>
                <w:szCs w:val="24"/>
              </w:rPr>
            </w:pPr>
            <w:r w:rsidRPr="00DB2B5E">
              <w:rPr>
                <w:rFonts w:ascii="Arial" w:hAnsi="Arial" w:cs="Arial"/>
                <w:i/>
                <w:sz w:val="24"/>
                <w:szCs w:val="24"/>
              </w:rPr>
              <w:t>Ape</w:t>
            </w:r>
          </w:p>
          <w:p w:rsidR="006B2FD4" w:rsidRPr="00DB2B5E" w:rsidRDefault="006B2FD4" w:rsidP="004E444C">
            <w:pPr>
              <w:tabs>
                <w:tab w:val="num" w:pos="1092"/>
              </w:tabs>
              <w:spacing w:after="0" w:line="240" w:lineRule="auto"/>
              <w:ind w:left="360"/>
              <w:rPr>
                <w:rFonts w:ascii="Arial" w:hAnsi="Arial" w:cs="Arial"/>
                <w:i/>
                <w:sz w:val="24"/>
                <w:szCs w:val="24"/>
              </w:rPr>
            </w:pPr>
            <w:r w:rsidRPr="00DB2B5E">
              <w:rPr>
                <w:rFonts w:ascii="Arial" w:hAnsi="Arial" w:cs="Arial"/>
                <w:i/>
                <w:sz w:val="24"/>
                <w:szCs w:val="24"/>
              </w:rPr>
              <w:t>Drumuri şi căi ferate</w:t>
            </w:r>
          </w:p>
          <w:p w:rsidR="006B2FD4" w:rsidRPr="00DB2B5E" w:rsidRDefault="006B2FD4" w:rsidP="004E444C">
            <w:pPr>
              <w:tabs>
                <w:tab w:val="left" w:pos="652"/>
                <w:tab w:val="left" w:pos="1078"/>
              </w:tabs>
              <w:spacing w:after="0" w:line="240" w:lineRule="auto"/>
              <w:ind w:left="360"/>
              <w:rPr>
                <w:rFonts w:ascii="Arial" w:hAnsi="Arial" w:cs="Arial"/>
                <w:i/>
                <w:sz w:val="24"/>
                <w:szCs w:val="24"/>
              </w:rPr>
            </w:pPr>
            <w:r w:rsidRPr="00DB2B5E">
              <w:rPr>
                <w:rFonts w:ascii="Arial" w:hAnsi="Arial" w:cs="Arial"/>
                <w:i/>
                <w:sz w:val="24"/>
                <w:szCs w:val="24"/>
              </w:rPr>
              <w:t>Curţi şi construcţii</w:t>
            </w:r>
          </w:p>
          <w:p w:rsidR="006B2FD4" w:rsidRPr="00DB2B5E" w:rsidRDefault="006B2FD4" w:rsidP="004E444C">
            <w:pPr>
              <w:tabs>
                <w:tab w:val="left" w:pos="652"/>
                <w:tab w:val="left" w:pos="1078"/>
              </w:tabs>
              <w:spacing w:after="0" w:line="240" w:lineRule="auto"/>
              <w:ind w:left="360"/>
              <w:rPr>
                <w:rFonts w:ascii="Arial" w:hAnsi="Arial" w:cs="Arial"/>
                <w:sz w:val="24"/>
                <w:szCs w:val="24"/>
              </w:rPr>
            </w:pPr>
            <w:r w:rsidRPr="00DB2B5E">
              <w:rPr>
                <w:rFonts w:ascii="Arial" w:hAnsi="Arial" w:cs="Arial"/>
                <w:i/>
                <w:sz w:val="24"/>
                <w:szCs w:val="24"/>
              </w:rPr>
              <w:t>Neproductive</w:t>
            </w:r>
          </w:p>
          <w:p w:rsidR="006B2FD4" w:rsidRPr="00DB2B5E" w:rsidRDefault="006B2FD4" w:rsidP="004E444C">
            <w:pPr>
              <w:spacing w:after="0" w:line="240" w:lineRule="auto"/>
              <w:jc w:val="center"/>
              <w:rPr>
                <w:rFonts w:ascii="Arial" w:hAnsi="Arial" w:cs="Arial"/>
                <w:sz w:val="24"/>
                <w:szCs w:val="24"/>
              </w:rPr>
            </w:pPr>
          </w:p>
          <w:p w:rsidR="006B2FD4" w:rsidRPr="00DB2B5E" w:rsidRDefault="006B2FD4" w:rsidP="004E444C">
            <w:pPr>
              <w:spacing w:after="0" w:line="240" w:lineRule="auto"/>
              <w:rPr>
                <w:rFonts w:ascii="Arial" w:hAnsi="Arial" w:cs="Arial"/>
                <w:sz w:val="24"/>
                <w:szCs w:val="24"/>
              </w:rPr>
            </w:pPr>
            <w:r w:rsidRPr="00DB2B5E">
              <w:rPr>
                <w:rFonts w:ascii="Arial" w:hAnsi="Arial" w:cs="Arial"/>
                <w:sz w:val="24"/>
                <w:szCs w:val="24"/>
              </w:rPr>
              <w:t>Total</w:t>
            </w:r>
          </w:p>
        </w:tc>
        <w:tc>
          <w:tcPr>
            <w:tcW w:w="1903" w:type="dxa"/>
            <w:tcBorders>
              <w:top w:val="single" w:sz="4" w:space="0" w:color="auto"/>
              <w:left w:val="single" w:sz="4" w:space="0" w:color="auto"/>
              <w:bottom w:val="single" w:sz="4" w:space="0" w:color="auto"/>
              <w:right w:val="single" w:sz="4" w:space="0" w:color="auto"/>
            </w:tcBorders>
            <w:shd w:val="clear" w:color="auto" w:fill="FBF3F3"/>
            <w:vAlign w:val="center"/>
            <w:hideMark/>
          </w:tcPr>
          <w:p w:rsidR="006B2FD4" w:rsidRPr="00DB2B5E" w:rsidRDefault="006B2FD4" w:rsidP="004E444C">
            <w:pPr>
              <w:jc w:val="right"/>
              <w:rPr>
                <w:rFonts w:ascii="Arial" w:hAnsi="Arial" w:cs="Arial"/>
                <w:sz w:val="24"/>
                <w:szCs w:val="24"/>
              </w:rPr>
            </w:pPr>
            <w:r w:rsidRPr="00317CEC">
              <w:rPr>
                <w:rFonts w:ascii="Arial" w:hAnsi="Arial" w:cs="Arial"/>
                <w:sz w:val="24"/>
                <w:szCs w:val="24"/>
              </w:rPr>
              <w:t>3</w:t>
            </w:r>
            <w:r>
              <w:rPr>
                <w:rFonts w:ascii="Arial" w:hAnsi="Arial" w:cs="Arial"/>
                <w:sz w:val="24"/>
                <w:szCs w:val="24"/>
              </w:rPr>
              <w:t>91578</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351.</w:t>
            </w:r>
            <w:r>
              <w:rPr>
                <w:rFonts w:ascii="Arial" w:hAnsi="Arial" w:cs="Arial"/>
                <w:i/>
                <w:sz w:val="24"/>
                <w:szCs w:val="24"/>
              </w:rPr>
              <w:t>166</w:t>
            </w:r>
          </w:p>
          <w:p w:rsidR="006B2FD4" w:rsidRPr="00DB2B5E" w:rsidRDefault="006B2FD4" w:rsidP="004E444C">
            <w:pPr>
              <w:spacing w:after="0" w:line="240" w:lineRule="auto"/>
              <w:jc w:val="right"/>
              <w:rPr>
                <w:rFonts w:ascii="Arial" w:hAnsi="Arial" w:cs="Arial"/>
                <w:sz w:val="24"/>
                <w:szCs w:val="24"/>
              </w:rPr>
            </w:pPr>
          </w:p>
          <w:p w:rsidR="006B2FD4" w:rsidRPr="00DB2B5E" w:rsidRDefault="006B2FD4" w:rsidP="004E444C">
            <w:pPr>
              <w:spacing w:after="0" w:line="240" w:lineRule="auto"/>
              <w:jc w:val="right"/>
              <w:rPr>
                <w:rFonts w:ascii="Arial" w:hAnsi="Arial" w:cs="Arial"/>
                <w:sz w:val="24"/>
                <w:szCs w:val="24"/>
              </w:rPr>
            </w:pPr>
            <w:r>
              <w:rPr>
                <w:rFonts w:ascii="Arial" w:hAnsi="Arial" w:cs="Arial"/>
                <w:sz w:val="24"/>
                <w:szCs w:val="24"/>
              </w:rPr>
              <w:t xml:space="preserve"> 84.997</w:t>
            </w:r>
          </w:p>
          <w:p w:rsidR="006B2FD4" w:rsidRPr="00DB2B5E" w:rsidRDefault="006B2FD4" w:rsidP="004E444C">
            <w:pPr>
              <w:spacing w:after="0" w:line="240" w:lineRule="auto"/>
              <w:rPr>
                <w:rFonts w:ascii="Arial" w:hAnsi="Arial" w:cs="Arial"/>
                <w:sz w:val="24"/>
                <w:szCs w:val="24"/>
              </w:rPr>
            </w:pP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30047</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26417</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 xml:space="preserve">  8136</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14094</w:t>
            </w:r>
          </w:p>
          <w:p w:rsidR="006B2FD4" w:rsidRPr="00DB2B5E" w:rsidRDefault="006B2FD4" w:rsidP="004E444C">
            <w:pPr>
              <w:spacing w:after="0" w:line="240" w:lineRule="auto"/>
              <w:rPr>
                <w:rFonts w:ascii="Arial" w:hAnsi="Arial" w:cs="Arial"/>
                <w:sz w:val="24"/>
                <w:szCs w:val="24"/>
              </w:rPr>
            </w:pPr>
            <w:r w:rsidRPr="00DB2B5E">
              <w:rPr>
                <w:rFonts w:ascii="Arial" w:hAnsi="Arial" w:cs="Arial"/>
                <w:i/>
                <w:sz w:val="24"/>
                <w:szCs w:val="24"/>
              </w:rPr>
              <w:t xml:space="preserve">  7971</w:t>
            </w:r>
          </w:p>
          <w:p w:rsidR="006B2FD4" w:rsidRPr="00DB2B5E" w:rsidRDefault="006B2FD4" w:rsidP="004E444C">
            <w:pPr>
              <w:spacing w:after="0" w:line="240" w:lineRule="auto"/>
              <w:jc w:val="right"/>
              <w:rPr>
                <w:rFonts w:ascii="Arial" w:hAnsi="Arial" w:cs="Arial"/>
                <w:sz w:val="24"/>
                <w:szCs w:val="24"/>
              </w:rPr>
            </w:pPr>
          </w:p>
          <w:p w:rsidR="006B2FD4" w:rsidRPr="00DB2B5E" w:rsidRDefault="006B2FD4" w:rsidP="004E444C">
            <w:pPr>
              <w:spacing w:after="0" w:line="240" w:lineRule="auto"/>
              <w:jc w:val="right"/>
              <w:rPr>
                <w:rFonts w:ascii="Arial" w:hAnsi="Arial" w:cs="Arial"/>
                <w:sz w:val="24"/>
                <w:szCs w:val="24"/>
              </w:rPr>
            </w:pPr>
            <w:r w:rsidRPr="00DB2B5E">
              <w:rPr>
                <w:rFonts w:ascii="Arial" w:hAnsi="Arial" w:cs="Arial"/>
                <w:sz w:val="24"/>
                <w:szCs w:val="24"/>
              </w:rPr>
              <w:t>476576</w:t>
            </w:r>
          </w:p>
        </w:tc>
        <w:tc>
          <w:tcPr>
            <w:tcW w:w="1404" w:type="dxa"/>
            <w:tcBorders>
              <w:top w:val="single" w:sz="4" w:space="0" w:color="auto"/>
              <w:left w:val="single" w:sz="4" w:space="0" w:color="auto"/>
              <w:bottom w:val="single" w:sz="4" w:space="0" w:color="auto"/>
              <w:right w:val="single" w:sz="4" w:space="0" w:color="auto"/>
            </w:tcBorders>
            <w:shd w:val="clear" w:color="auto" w:fill="FBF3F3"/>
            <w:hideMark/>
          </w:tcPr>
          <w:p w:rsidR="006B2FD4" w:rsidRPr="00DB2B5E" w:rsidRDefault="006B2FD4" w:rsidP="004E444C">
            <w:pPr>
              <w:spacing w:after="0" w:line="240" w:lineRule="auto"/>
              <w:jc w:val="right"/>
              <w:rPr>
                <w:rFonts w:ascii="Arial" w:hAnsi="Arial" w:cs="Arial"/>
                <w:sz w:val="24"/>
                <w:szCs w:val="24"/>
              </w:rPr>
            </w:pPr>
            <w:r>
              <w:rPr>
                <w:rFonts w:ascii="Arial" w:hAnsi="Arial" w:cs="Arial"/>
                <w:sz w:val="24"/>
                <w:szCs w:val="24"/>
              </w:rPr>
              <w:t>82,16</w:t>
            </w:r>
          </w:p>
          <w:p w:rsidR="006B2FD4" w:rsidRPr="00DB2B5E" w:rsidRDefault="006B2FD4" w:rsidP="004E444C">
            <w:pPr>
              <w:spacing w:after="0" w:line="240" w:lineRule="auto"/>
              <w:jc w:val="right"/>
              <w:rPr>
                <w:rFonts w:ascii="Arial" w:hAnsi="Arial" w:cs="Arial"/>
                <w:sz w:val="24"/>
                <w:szCs w:val="24"/>
              </w:rPr>
            </w:pPr>
          </w:p>
          <w:p w:rsidR="006B2FD4" w:rsidRPr="00DB2B5E" w:rsidRDefault="006B2FD4" w:rsidP="004E444C">
            <w:pPr>
              <w:spacing w:after="0" w:line="240" w:lineRule="auto"/>
              <w:rPr>
                <w:rFonts w:ascii="Arial" w:hAnsi="Arial" w:cs="Arial"/>
                <w:i/>
                <w:sz w:val="24"/>
                <w:szCs w:val="24"/>
              </w:rPr>
            </w:pPr>
            <w:r>
              <w:rPr>
                <w:rFonts w:ascii="Arial" w:hAnsi="Arial" w:cs="Arial"/>
                <w:i/>
                <w:sz w:val="24"/>
                <w:szCs w:val="24"/>
              </w:rPr>
              <w:t>73,80</w:t>
            </w:r>
          </w:p>
          <w:p w:rsidR="006B2FD4" w:rsidRPr="00DB2B5E" w:rsidRDefault="006B2FD4" w:rsidP="004E444C">
            <w:pPr>
              <w:spacing w:after="0" w:line="240" w:lineRule="auto"/>
              <w:jc w:val="right"/>
              <w:rPr>
                <w:rFonts w:ascii="Arial" w:hAnsi="Arial" w:cs="Arial"/>
                <w:sz w:val="24"/>
                <w:szCs w:val="24"/>
              </w:rPr>
            </w:pPr>
          </w:p>
          <w:p w:rsidR="006B2FD4" w:rsidRPr="00DB2B5E" w:rsidRDefault="006B2FD4" w:rsidP="004E444C">
            <w:pPr>
              <w:spacing w:after="0" w:line="240" w:lineRule="auto"/>
              <w:jc w:val="right"/>
              <w:rPr>
                <w:rFonts w:ascii="Arial" w:hAnsi="Arial" w:cs="Arial"/>
                <w:sz w:val="24"/>
                <w:szCs w:val="24"/>
              </w:rPr>
            </w:pPr>
            <w:r>
              <w:rPr>
                <w:rFonts w:ascii="Arial" w:hAnsi="Arial" w:cs="Arial"/>
                <w:sz w:val="24"/>
                <w:szCs w:val="24"/>
              </w:rPr>
              <w:t>17,83</w:t>
            </w:r>
          </w:p>
          <w:p w:rsidR="006B2FD4" w:rsidRPr="00DB2B5E" w:rsidRDefault="006B2FD4" w:rsidP="004E444C">
            <w:pPr>
              <w:spacing w:after="0" w:line="240" w:lineRule="auto"/>
              <w:rPr>
                <w:rFonts w:ascii="Arial" w:hAnsi="Arial" w:cs="Arial"/>
                <w:sz w:val="24"/>
                <w:szCs w:val="24"/>
              </w:rPr>
            </w:pP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6,30</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5,14</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1,72</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2,96</w:t>
            </w:r>
          </w:p>
          <w:p w:rsidR="006B2FD4" w:rsidRPr="00DB2B5E" w:rsidRDefault="006B2FD4" w:rsidP="004E444C">
            <w:pPr>
              <w:spacing w:after="0" w:line="240" w:lineRule="auto"/>
              <w:rPr>
                <w:rFonts w:ascii="Arial" w:hAnsi="Arial" w:cs="Arial"/>
                <w:i/>
                <w:sz w:val="24"/>
                <w:szCs w:val="24"/>
              </w:rPr>
            </w:pPr>
            <w:r w:rsidRPr="00DB2B5E">
              <w:rPr>
                <w:rFonts w:ascii="Arial" w:hAnsi="Arial" w:cs="Arial"/>
                <w:i/>
                <w:sz w:val="24"/>
                <w:szCs w:val="24"/>
              </w:rPr>
              <w:t>1,67</w:t>
            </w:r>
          </w:p>
          <w:p w:rsidR="006B2FD4" w:rsidRPr="00DB2B5E" w:rsidRDefault="006B2FD4" w:rsidP="004E444C">
            <w:pPr>
              <w:spacing w:after="0" w:line="240" w:lineRule="auto"/>
              <w:jc w:val="right"/>
              <w:rPr>
                <w:rFonts w:ascii="Arial" w:hAnsi="Arial" w:cs="Arial"/>
                <w:sz w:val="24"/>
                <w:szCs w:val="24"/>
              </w:rPr>
            </w:pPr>
          </w:p>
          <w:p w:rsidR="006B2FD4" w:rsidRPr="00DB2B5E" w:rsidRDefault="006B2FD4" w:rsidP="004E444C">
            <w:pPr>
              <w:spacing w:after="0" w:line="240" w:lineRule="auto"/>
              <w:jc w:val="right"/>
              <w:rPr>
                <w:rFonts w:ascii="Arial" w:hAnsi="Arial" w:cs="Arial"/>
                <w:sz w:val="24"/>
                <w:szCs w:val="24"/>
              </w:rPr>
            </w:pPr>
            <w:r w:rsidRPr="00DB2B5E">
              <w:rPr>
                <w:rFonts w:ascii="Arial" w:hAnsi="Arial" w:cs="Arial"/>
                <w:sz w:val="24"/>
                <w:szCs w:val="24"/>
              </w:rPr>
              <w:t>100,00</w:t>
            </w:r>
          </w:p>
        </w:tc>
      </w:tr>
    </w:tbl>
    <w:p w:rsidR="006B2FD4" w:rsidRPr="00DB2B5E" w:rsidRDefault="006B2FD4" w:rsidP="006B2FD4">
      <w:pPr>
        <w:tabs>
          <w:tab w:val="left" w:pos="2160"/>
          <w:tab w:val="left" w:leader="dot" w:pos="8640"/>
        </w:tabs>
        <w:spacing w:after="0" w:line="240" w:lineRule="auto"/>
        <w:ind w:right="-38" w:firstLine="720"/>
        <w:jc w:val="both"/>
        <w:rPr>
          <w:rFonts w:ascii="Arial" w:hAnsi="Arial" w:cs="Arial"/>
          <w:sz w:val="24"/>
          <w:szCs w:val="24"/>
        </w:rPr>
      </w:pPr>
    </w:p>
    <w:p w:rsidR="006B2FD4" w:rsidRDefault="006B2FD4" w:rsidP="006B2FD4">
      <w:pPr>
        <w:tabs>
          <w:tab w:val="left" w:pos="2160"/>
          <w:tab w:val="left" w:leader="dot" w:pos="8640"/>
        </w:tabs>
        <w:spacing w:after="0" w:line="240" w:lineRule="auto"/>
        <w:ind w:right="-38" w:firstLine="720"/>
        <w:jc w:val="both"/>
        <w:rPr>
          <w:rFonts w:ascii="Arial" w:hAnsi="Arial" w:cs="Arial"/>
          <w:sz w:val="24"/>
          <w:szCs w:val="24"/>
        </w:rPr>
      </w:pPr>
      <w:r w:rsidRPr="00DB2B5E">
        <w:rPr>
          <w:rFonts w:ascii="Arial" w:hAnsi="Arial" w:cs="Arial"/>
          <w:sz w:val="24"/>
          <w:szCs w:val="24"/>
        </w:rPr>
        <w:t xml:space="preserve">Ponderea principală a terenurilor din judeţul </w:t>
      </w:r>
      <w:r>
        <w:rPr>
          <w:rFonts w:ascii="Arial" w:hAnsi="Arial" w:cs="Arial"/>
          <w:sz w:val="24"/>
          <w:szCs w:val="24"/>
        </w:rPr>
        <w:t>Brăila</w:t>
      </w:r>
      <w:r w:rsidRPr="00DB2B5E">
        <w:rPr>
          <w:rFonts w:ascii="Arial" w:hAnsi="Arial" w:cs="Arial"/>
          <w:sz w:val="24"/>
          <w:szCs w:val="24"/>
        </w:rPr>
        <w:t xml:space="preserve"> o deţin terenurile agricole (8</w:t>
      </w:r>
      <w:r>
        <w:rPr>
          <w:rFonts w:ascii="Arial" w:hAnsi="Arial" w:cs="Arial"/>
          <w:sz w:val="24"/>
          <w:szCs w:val="24"/>
        </w:rPr>
        <w:t>2,16</w:t>
      </w:r>
      <w:r w:rsidRPr="00DB2B5E">
        <w:rPr>
          <w:rFonts w:ascii="Arial" w:hAnsi="Arial" w:cs="Arial"/>
          <w:sz w:val="24"/>
          <w:szCs w:val="24"/>
        </w:rPr>
        <w:t>%), urmate de păduri şi alte terenuri cu vegetaţie forestieră (6,3%) și ape (5,14%). Alte categorii de terenuri ocupă 11,89 % (ape, drumuri şi căi ferate, curţi şi construcţii etc.)</w:t>
      </w:r>
    </w:p>
    <w:p w:rsidR="007B033C" w:rsidRDefault="007B033C" w:rsidP="006B2FD4">
      <w:pPr>
        <w:tabs>
          <w:tab w:val="left" w:pos="2160"/>
          <w:tab w:val="left" w:leader="dot" w:pos="8640"/>
        </w:tabs>
        <w:spacing w:after="0" w:line="240" w:lineRule="auto"/>
        <w:ind w:right="-38" w:firstLine="720"/>
        <w:jc w:val="both"/>
        <w:rPr>
          <w:rFonts w:ascii="Arial" w:hAnsi="Arial" w:cs="Arial"/>
          <w:sz w:val="24"/>
          <w:szCs w:val="24"/>
        </w:rPr>
      </w:pPr>
    </w:p>
    <w:p w:rsidR="006B2FD4" w:rsidRPr="00DB2B5E" w:rsidRDefault="006B2FD4" w:rsidP="006B2FD4">
      <w:pPr>
        <w:tabs>
          <w:tab w:val="left" w:pos="2160"/>
          <w:tab w:val="left" w:leader="dot" w:pos="8640"/>
        </w:tabs>
        <w:spacing w:after="0" w:line="240" w:lineRule="auto"/>
        <w:ind w:right="-38" w:firstLine="720"/>
        <w:jc w:val="both"/>
        <w:rPr>
          <w:rFonts w:ascii="Arial" w:hAnsi="Arial" w:cs="Arial"/>
          <w:sz w:val="24"/>
          <w:szCs w:val="24"/>
        </w:rPr>
      </w:pPr>
    </w:p>
    <w:p w:rsidR="006B2FD4" w:rsidRPr="00DB2B5E" w:rsidRDefault="006B2FD4" w:rsidP="006B2FD4">
      <w:pPr>
        <w:tabs>
          <w:tab w:val="left" w:pos="2160"/>
          <w:tab w:val="left" w:leader="dot" w:pos="8640"/>
        </w:tabs>
        <w:spacing w:after="0" w:line="240" w:lineRule="auto"/>
        <w:ind w:right="-38"/>
        <w:jc w:val="center"/>
        <w:rPr>
          <w:rFonts w:ascii="Arial" w:hAnsi="Arial" w:cs="Arial"/>
          <w:sz w:val="24"/>
          <w:szCs w:val="24"/>
        </w:rPr>
      </w:pPr>
      <w:r w:rsidRPr="00DB2B5E">
        <w:rPr>
          <w:rFonts w:ascii="Arial" w:hAnsi="Arial" w:cs="Arial"/>
          <w:noProof/>
          <w:sz w:val="24"/>
          <w:szCs w:val="24"/>
        </w:rPr>
        <w:drawing>
          <wp:inline distT="0" distB="0" distL="0" distR="0">
            <wp:extent cx="5017135" cy="2352675"/>
            <wp:effectExtent l="19050" t="0" r="12065" b="0"/>
            <wp:docPr id="2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B2FD4" w:rsidRPr="00DB2B5E" w:rsidRDefault="006B2FD4" w:rsidP="006B2FD4">
      <w:pPr>
        <w:tabs>
          <w:tab w:val="left" w:pos="2160"/>
          <w:tab w:val="left" w:leader="dot" w:pos="8640"/>
        </w:tabs>
        <w:spacing w:after="0" w:line="240" w:lineRule="auto"/>
        <w:ind w:right="-38"/>
        <w:jc w:val="both"/>
        <w:rPr>
          <w:rFonts w:ascii="Arial" w:hAnsi="Arial" w:cs="Arial"/>
          <w:sz w:val="24"/>
          <w:szCs w:val="24"/>
        </w:rPr>
      </w:pPr>
    </w:p>
    <w:p w:rsidR="007B033C" w:rsidRDefault="007B033C" w:rsidP="006B2FD4">
      <w:pPr>
        <w:tabs>
          <w:tab w:val="left" w:pos="2160"/>
          <w:tab w:val="left" w:leader="dot" w:pos="8640"/>
        </w:tabs>
        <w:spacing w:after="0" w:line="240" w:lineRule="auto"/>
        <w:ind w:right="-38"/>
        <w:jc w:val="center"/>
        <w:rPr>
          <w:rFonts w:ascii="Arial" w:hAnsi="Arial" w:cs="Arial"/>
          <w:kern w:val="32"/>
          <w:sz w:val="24"/>
          <w:szCs w:val="24"/>
        </w:rPr>
      </w:pPr>
    </w:p>
    <w:p w:rsidR="006B2FD4" w:rsidRPr="00202088" w:rsidRDefault="006B2FD4" w:rsidP="006B2FD4">
      <w:pPr>
        <w:tabs>
          <w:tab w:val="left" w:pos="2160"/>
          <w:tab w:val="left" w:leader="dot" w:pos="8640"/>
        </w:tabs>
        <w:spacing w:after="0" w:line="240" w:lineRule="auto"/>
        <w:ind w:right="-38"/>
        <w:jc w:val="center"/>
        <w:rPr>
          <w:rFonts w:ascii="Arial" w:hAnsi="Arial" w:cs="Arial"/>
          <w:kern w:val="32"/>
          <w:sz w:val="24"/>
          <w:szCs w:val="24"/>
        </w:rPr>
      </w:pPr>
      <w:r w:rsidRPr="00202088">
        <w:rPr>
          <w:rFonts w:ascii="Arial" w:hAnsi="Arial" w:cs="Arial"/>
          <w:kern w:val="32"/>
          <w:sz w:val="24"/>
          <w:szCs w:val="24"/>
        </w:rPr>
        <w:t>Fig.IV.1.1-1</w:t>
      </w:r>
    </w:p>
    <w:p w:rsidR="006B2FD4" w:rsidRPr="00DB2B5E" w:rsidRDefault="006B2FD4" w:rsidP="006B2FD4">
      <w:pPr>
        <w:tabs>
          <w:tab w:val="left" w:pos="2160"/>
          <w:tab w:val="left" w:leader="dot" w:pos="8640"/>
        </w:tabs>
        <w:spacing w:after="0" w:line="240" w:lineRule="auto"/>
        <w:ind w:right="-38"/>
        <w:jc w:val="center"/>
        <w:rPr>
          <w:rFonts w:ascii="Arial" w:hAnsi="Arial" w:cs="Arial"/>
          <w:b/>
          <w:kern w:val="32"/>
          <w:sz w:val="24"/>
          <w:szCs w:val="24"/>
        </w:rPr>
      </w:pPr>
    </w:p>
    <w:p w:rsidR="006B2FD4" w:rsidRPr="00DB2B5E" w:rsidRDefault="006B2FD4" w:rsidP="006B2FD4">
      <w:pPr>
        <w:pStyle w:val="Heading1"/>
        <w:spacing w:before="0" w:after="0"/>
        <w:jc w:val="center"/>
        <w:rPr>
          <w:b w:val="0"/>
          <w:bCs w:val="0"/>
          <w:sz w:val="24"/>
          <w:szCs w:val="24"/>
        </w:rPr>
      </w:pPr>
      <w:r w:rsidRPr="00DB2B5E">
        <w:rPr>
          <w:noProof/>
          <w:sz w:val="24"/>
          <w:szCs w:val="24"/>
          <w:lang w:val="ro-RO" w:eastAsia="ro-RO"/>
        </w:rPr>
        <w:lastRenderedPageBreak/>
        <w:drawing>
          <wp:inline distT="0" distB="0" distL="0" distR="0">
            <wp:extent cx="5312074" cy="1846053"/>
            <wp:effectExtent l="0" t="0" r="22225" b="20955"/>
            <wp:docPr id="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B2FD4" w:rsidRPr="00202088" w:rsidRDefault="006B2FD4" w:rsidP="006B2FD4">
      <w:pPr>
        <w:pStyle w:val="Heading1"/>
        <w:spacing w:before="0" w:after="0"/>
        <w:ind w:left="2211" w:firstLine="737"/>
        <w:jc w:val="both"/>
        <w:rPr>
          <w:b w:val="0"/>
          <w:bCs w:val="0"/>
          <w:sz w:val="24"/>
          <w:szCs w:val="24"/>
        </w:rPr>
      </w:pPr>
      <w:r w:rsidRPr="00202088">
        <w:rPr>
          <w:b w:val="0"/>
          <w:bCs w:val="0"/>
          <w:sz w:val="24"/>
          <w:szCs w:val="24"/>
        </w:rPr>
        <w:t>Fig. nr. IV.1.1- 2</w:t>
      </w:r>
    </w:p>
    <w:p w:rsidR="006B2FD4" w:rsidRPr="00202088" w:rsidRDefault="006B2FD4" w:rsidP="006B2FD4">
      <w:pPr>
        <w:pStyle w:val="Heading1"/>
        <w:spacing w:before="0" w:after="0"/>
        <w:jc w:val="both"/>
        <w:rPr>
          <w:b w:val="0"/>
          <w:bCs w:val="0"/>
          <w:sz w:val="24"/>
          <w:szCs w:val="24"/>
        </w:rPr>
      </w:pPr>
    </w:p>
    <w:p w:rsidR="006B2FD4" w:rsidRPr="00DB2B5E" w:rsidRDefault="006B2FD4" w:rsidP="006B2FD4">
      <w:pPr>
        <w:spacing w:after="0" w:line="240" w:lineRule="auto"/>
        <w:jc w:val="both"/>
        <w:rPr>
          <w:rFonts w:ascii="Arial" w:hAnsi="Arial" w:cs="Arial"/>
          <w:b/>
          <w:sz w:val="24"/>
          <w:szCs w:val="24"/>
        </w:rPr>
      </w:pPr>
    </w:p>
    <w:p w:rsidR="006B2FD4" w:rsidRDefault="006B2FD4" w:rsidP="006B2FD4">
      <w:pPr>
        <w:spacing w:after="0" w:line="240" w:lineRule="auto"/>
        <w:jc w:val="both"/>
        <w:rPr>
          <w:rFonts w:ascii="Arial" w:hAnsi="Arial" w:cs="Arial"/>
          <w:b/>
          <w:sz w:val="24"/>
          <w:szCs w:val="24"/>
        </w:rPr>
      </w:pPr>
    </w:p>
    <w:p w:rsidR="006B2FD4" w:rsidRPr="00202088" w:rsidRDefault="006B2FD4" w:rsidP="006B2FD4">
      <w:pPr>
        <w:spacing w:after="0" w:line="240" w:lineRule="auto"/>
        <w:jc w:val="both"/>
        <w:rPr>
          <w:rFonts w:ascii="Arial" w:hAnsi="Arial" w:cs="Arial"/>
          <w:sz w:val="24"/>
          <w:szCs w:val="24"/>
        </w:rPr>
      </w:pPr>
      <w:r w:rsidRPr="00202088">
        <w:rPr>
          <w:rFonts w:ascii="Arial" w:hAnsi="Arial" w:cs="Arial"/>
          <w:sz w:val="24"/>
          <w:szCs w:val="24"/>
        </w:rPr>
        <w:t>Tabelul IV.1.1. - 2 Utilizarea terenurilor agricole la nivelul anului 201</w:t>
      </w:r>
      <w:r>
        <w:rPr>
          <w:rFonts w:ascii="Arial" w:hAnsi="Arial" w:cs="Arial"/>
          <w:sz w:val="24"/>
          <w:szCs w:val="24"/>
        </w:rPr>
        <w:t>7</w:t>
      </w:r>
    </w:p>
    <w:tbl>
      <w:tblPr>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1582"/>
        <w:gridCol w:w="1566"/>
      </w:tblGrid>
      <w:tr w:rsidR="006B2FD4" w:rsidRPr="00DB2B5E" w:rsidTr="004E444C">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DB2B5E" w:rsidRDefault="006B2FD4" w:rsidP="004E444C">
            <w:pPr>
              <w:spacing w:after="0" w:line="240" w:lineRule="auto"/>
              <w:jc w:val="both"/>
              <w:rPr>
                <w:rFonts w:ascii="Arial" w:hAnsi="Arial" w:cs="Arial"/>
                <w:b/>
                <w:sz w:val="24"/>
                <w:szCs w:val="24"/>
              </w:rPr>
            </w:pPr>
            <w:r w:rsidRPr="00DB2B5E">
              <w:rPr>
                <w:rFonts w:ascii="Arial" w:hAnsi="Arial" w:cs="Arial"/>
                <w:b/>
                <w:sz w:val="24"/>
                <w:szCs w:val="24"/>
              </w:rPr>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Suprafaţa</w:t>
            </w:r>
          </w:p>
        </w:tc>
      </w:tr>
      <w:tr w:rsidR="006B2FD4" w:rsidRPr="00DB2B5E" w:rsidTr="004E444C">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FD4" w:rsidRPr="00DB2B5E" w:rsidRDefault="006B2FD4" w:rsidP="004E444C">
            <w:pPr>
              <w:spacing w:after="0" w:line="240" w:lineRule="auto"/>
              <w:rPr>
                <w:rFonts w:ascii="Arial" w:hAnsi="Arial" w:cs="Arial"/>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w:t>
            </w:r>
          </w:p>
        </w:tc>
      </w:tr>
      <w:tr w:rsidR="006B2FD4" w:rsidRPr="00DB2B5E" w:rsidTr="004E444C">
        <w:trPr>
          <w:trHeight w:val="1433"/>
          <w:jc w:val="center"/>
        </w:trPr>
        <w:tc>
          <w:tcPr>
            <w:tcW w:w="2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DB2B5E" w:rsidRDefault="006B2FD4" w:rsidP="004E444C">
            <w:pPr>
              <w:spacing w:after="0" w:line="240" w:lineRule="auto"/>
              <w:jc w:val="both"/>
              <w:rPr>
                <w:rFonts w:ascii="Arial" w:hAnsi="Arial" w:cs="Arial"/>
                <w:sz w:val="24"/>
                <w:szCs w:val="24"/>
              </w:rPr>
            </w:pPr>
            <w:r w:rsidRPr="00DB2B5E">
              <w:rPr>
                <w:rFonts w:ascii="Arial" w:hAnsi="Arial" w:cs="Arial"/>
                <w:sz w:val="24"/>
                <w:szCs w:val="24"/>
              </w:rPr>
              <w:t>Agricol</w:t>
            </w:r>
          </w:p>
          <w:p w:rsidR="006B2FD4" w:rsidRPr="00DB2B5E" w:rsidRDefault="006B2FD4" w:rsidP="00EF3940">
            <w:pPr>
              <w:numPr>
                <w:ilvl w:val="0"/>
                <w:numId w:val="36"/>
              </w:numPr>
              <w:spacing w:after="0" w:line="240" w:lineRule="auto"/>
              <w:jc w:val="both"/>
              <w:rPr>
                <w:rFonts w:ascii="Arial" w:hAnsi="Arial" w:cs="Arial"/>
                <w:sz w:val="24"/>
                <w:szCs w:val="24"/>
              </w:rPr>
            </w:pPr>
            <w:r w:rsidRPr="00DB2B5E">
              <w:rPr>
                <w:rFonts w:ascii="Arial" w:hAnsi="Arial" w:cs="Arial"/>
                <w:sz w:val="24"/>
                <w:szCs w:val="24"/>
              </w:rPr>
              <w:t>arabil</w:t>
            </w:r>
          </w:p>
          <w:p w:rsidR="006B2FD4" w:rsidRPr="00DB2B5E" w:rsidRDefault="006B2FD4" w:rsidP="00EF3940">
            <w:pPr>
              <w:numPr>
                <w:ilvl w:val="0"/>
                <w:numId w:val="37"/>
              </w:numPr>
              <w:spacing w:after="0" w:line="240" w:lineRule="auto"/>
              <w:jc w:val="both"/>
              <w:rPr>
                <w:rFonts w:ascii="Arial" w:hAnsi="Arial" w:cs="Arial"/>
                <w:sz w:val="24"/>
                <w:szCs w:val="24"/>
              </w:rPr>
            </w:pPr>
            <w:r w:rsidRPr="00DB2B5E">
              <w:rPr>
                <w:rFonts w:ascii="Arial" w:hAnsi="Arial" w:cs="Arial"/>
                <w:sz w:val="24"/>
                <w:szCs w:val="24"/>
              </w:rPr>
              <w:t>păşuni</w:t>
            </w:r>
          </w:p>
          <w:p w:rsidR="006B2FD4" w:rsidRPr="00DB2B5E" w:rsidRDefault="006B2FD4" w:rsidP="00EF3940">
            <w:pPr>
              <w:numPr>
                <w:ilvl w:val="0"/>
                <w:numId w:val="37"/>
              </w:numPr>
              <w:spacing w:after="0" w:line="240" w:lineRule="auto"/>
              <w:jc w:val="both"/>
              <w:rPr>
                <w:rFonts w:ascii="Arial" w:hAnsi="Arial" w:cs="Arial"/>
                <w:sz w:val="24"/>
                <w:szCs w:val="24"/>
              </w:rPr>
            </w:pPr>
            <w:r w:rsidRPr="00DB2B5E">
              <w:rPr>
                <w:rFonts w:ascii="Arial" w:hAnsi="Arial" w:cs="Arial"/>
                <w:sz w:val="24"/>
                <w:szCs w:val="24"/>
              </w:rPr>
              <w:t>vii</w:t>
            </w:r>
          </w:p>
          <w:p w:rsidR="006B2FD4" w:rsidRPr="00DB2B5E" w:rsidRDefault="006B2FD4" w:rsidP="00EF3940">
            <w:pPr>
              <w:numPr>
                <w:ilvl w:val="0"/>
                <w:numId w:val="37"/>
              </w:numPr>
              <w:spacing w:after="0" w:line="240" w:lineRule="auto"/>
              <w:jc w:val="both"/>
              <w:rPr>
                <w:rFonts w:ascii="Arial" w:hAnsi="Arial" w:cs="Arial"/>
                <w:sz w:val="24"/>
                <w:szCs w:val="24"/>
              </w:rPr>
            </w:pPr>
            <w:r w:rsidRPr="00DB2B5E">
              <w:rPr>
                <w:rFonts w:ascii="Arial" w:hAnsi="Arial" w:cs="Arial"/>
                <w:sz w:val="24"/>
                <w:szCs w:val="24"/>
              </w:rPr>
              <w:t>livezi</w:t>
            </w:r>
          </w:p>
        </w:tc>
        <w:tc>
          <w:tcPr>
            <w:tcW w:w="1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3</w:t>
            </w:r>
            <w:r>
              <w:rPr>
                <w:rFonts w:ascii="Arial" w:hAnsi="Arial" w:cs="Arial"/>
                <w:color w:val="000000"/>
                <w:sz w:val="24"/>
                <w:szCs w:val="24"/>
              </w:rPr>
              <w:t>91</w:t>
            </w:r>
            <w:r w:rsidRPr="00317CEC">
              <w:rPr>
                <w:rFonts w:ascii="Arial" w:hAnsi="Arial" w:cs="Arial"/>
                <w:color w:val="000000"/>
                <w:sz w:val="24"/>
                <w:szCs w:val="24"/>
              </w:rPr>
              <w:t>.</w:t>
            </w:r>
            <w:r>
              <w:rPr>
                <w:rFonts w:ascii="Arial" w:hAnsi="Arial" w:cs="Arial"/>
                <w:color w:val="000000"/>
                <w:sz w:val="24"/>
                <w:szCs w:val="24"/>
              </w:rPr>
              <w:t>578</w:t>
            </w:r>
          </w:p>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351.</w:t>
            </w:r>
            <w:r>
              <w:rPr>
                <w:rFonts w:ascii="Arial" w:hAnsi="Arial" w:cs="Arial"/>
                <w:color w:val="000000"/>
                <w:sz w:val="24"/>
                <w:szCs w:val="24"/>
              </w:rPr>
              <w:t>166</w:t>
            </w:r>
          </w:p>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3</w:t>
            </w:r>
            <w:r>
              <w:rPr>
                <w:rFonts w:ascii="Arial" w:hAnsi="Arial" w:cs="Arial"/>
                <w:color w:val="000000"/>
                <w:sz w:val="24"/>
                <w:szCs w:val="24"/>
              </w:rPr>
              <w:t>2</w:t>
            </w:r>
            <w:r w:rsidRPr="00317CEC">
              <w:rPr>
                <w:rFonts w:ascii="Arial" w:hAnsi="Arial" w:cs="Arial"/>
                <w:color w:val="000000"/>
                <w:sz w:val="24"/>
                <w:szCs w:val="24"/>
              </w:rPr>
              <w:t>.</w:t>
            </w:r>
            <w:r>
              <w:rPr>
                <w:rFonts w:ascii="Arial" w:hAnsi="Arial" w:cs="Arial"/>
                <w:color w:val="000000"/>
                <w:sz w:val="24"/>
                <w:szCs w:val="24"/>
              </w:rPr>
              <w:t>721</w:t>
            </w:r>
          </w:p>
          <w:p w:rsidR="006B2FD4" w:rsidRPr="00317CEC" w:rsidRDefault="006B2FD4" w:rsidP="004E444C">
            <w:pPr>
              <w:spacing w:after="0" w:line="240" w:lineRule="auto"/>
              <w:jc w:val="right"/>
              <w:rPr>
                <w:rFonts w:ascii="Arial" w:hAnsi="Arial" w:cs="Arial"/>
                <w:color w:val="000000"/>
                <w:sz w:val="24"/>
                <w:szCs w:val="24"/>
              </w:rPr>
            </w:pPr>
            <w:r>
              <w:rPr>
                <w:rFonts w:ascii="Arial" w:hAnsi="Arial" w:cs="Arial"/>
                <w:color w:val="000000"/>
                <w:sz w:val="24"/>
                <w:szCs w:val="24"/>
              </w:rPr>
              <w:t>6.741</w:t>
            </w:r>
          </w:p>
          <w:p w:rsidR="006B2FD4" w:rsidRPr="00317CEC" w:rsidRDefault="006B2FD4" w:rsidP="004E444C">
            <w:pPr>
              <w:spacing w:after="0" w:line="240" w:lineRule="auto"/>
              <w:jc w:val="right"/>
              <w:rPr>
                <w:rFonts w:ascii="Arial" w:hAnsi="Arial" w:cs="Arial"/>
                <w:color w:val="000000"/>
                <w:sz w:val="24"/>
                <w:szCs w:val="24"/>
              </w:rPr>
            </w:pPr>
            <w:r>
              <w:rPr>
                <w:rFonts w:ascii="Arial" w:hAnsi="Arial" w:cs="Arial"/>
                <w:color w:val="000000"/>
                <w:sz w:val="24"/>
                <w:szCs w:val="24"/>
              </w:rPr>
              <w:t>950</w:t>
            </w:r>
          </w:p>
        </w:tc>
        <w:tc>
          <w:tcPr>
            <w:tcW w:w="15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100,00</w:t>
            </w:r>
          </w:p>
          <w:p w:rsidR="006B2FD4" w:rsidRPr="00317CEC" w:rsidRDefault="006B2FD4" w:rsidP="004E444C">
            <w:pPr>
              <w:spacing w:after="0" w:line="240" w:lineRule="auto"/>
              <w:jc w:val="right"/>
              <w:rPr>
                <w:rFonts w:ascii="Arial" w:hAnsi="Arial" w:cs="Arial"/>
                <w:color w:val="000000"/>
                <w:sz w:val="24"/>
                <w:szCs w:val="24"/>
              </w:rPr>
            </w:pPr>
            <w:r>
              <w:rPr>
                <w:rFonts w:ascii="Arial" w:hAnsi="Arial" w:cs="Arial"/>
                <w:color w:val="000000"/>
                <w:sz w:val="24"/>
                <w:szCs w:val="24"/>
              </w:rPr>
              <w:t>89</w:t>
            </w:r>
            <w:r w:rsidRPr="00317CEC">
              <w:rPr>
                <w:rFonts w:ascii="Arial" w:hAnsi="Arial" w:cs="Arial"/>
                <w:color w:val="000000"/>
                <w:sz w:val="24"/>
                <w:szCs w:val="24"/>
              </w:rPr>
              <w:t>,</w:t>
            </w:r>
            <w:r>
              <w:rPr>
                <w:rFonts w:ascii="Arial" w:hAnsi="Arial" w:cs="Arial"/>
                <w:color w:val="000000"/>
                <w:sz w:val="24"/>
                <w:szCs w:val="24"/>
              </w:rPr>
              <w:t>68</w:t>
            </w:r>
          </w:p>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8,</w:t>
            </w:r>
            <w:r>
              <w:rPr>
                <w:rFonts w:ascii="Arial" w:hAnsi="Arial" w:cs="Arial"/>
                <w:color w:val="000000"/>
                <w:sz w:val="24"/>
                <w:szCs w:val="24"/>
              </w:rPr>
              <w:t>36</w:t>
            </w:r>
          </w:p>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1,</w:t>
            </w:r>
            <w:r>
              <w:rPr>
                <w:rFonts w:ascii="Arial" w:hAnsi="Arial" w:cs="Arial"/>
                <w:color w:val="000000"/>
                <w:sz w:val="24"/>
                <w:szCs w:val="24"/>
              </w:rPr>
              <w:t>72</w:t>
            </w:r>
          </w:p>
          <w:p w:rsidR="006B2FD4" w:rsidRPr="00317CEC" w:rsidRDefault="006B2FD4" w:rsidP="004E444C">
            <w:pPr>
              <w:spacing w:after="0" w:line="240" w:lineRule="auto"/>
              <w:jc w:val="right"/>
              <w:rPr>
                <w:rFonts w:ascii="Arial" w:hAnsi="Arial" w:cs="Arial"/>
                <w:color w:val="000000"/>
                <w:sz w:val="24"/>
                <w:szCs w:val="24"/>
              </w:rPr>
            </w:pPr>
            <w:r w:rsidRPr="00317CEC">
              <w:rPr>
                <w:rFonts w:ascii="Arial" w:hAnsi="Arial" w:cs="Arial"/>
                <w:color w:val="000000"/>
                <w:sz w:val="24"/>
                <w:szCs w:val="24"/>
              </w:rPr>
              <w:t>0,</w:t>
            </w:r>
            <w:r>
              <w:rPr>
                <w:rFonts w:ascii="Arial" w:hAnsi="Arial" w:cs="Arial"/>
                <w:color w:val="000000"/>
                <w:sz w:val="24"/>
                <w:szCs w:val="24"/>
              </w:rPr>
              <w:t>24</w:t>
            </w:r>
          </w:p>
        </w:tc>
      </w:tr>
    </w:tbl>
    <w:p w:rsidR="006B2FD4" w:rsidRPr="00DB2B5E" w:rsidRDefault="006B2FD4" w:rsidP="006B2FD4">
      <w:pPr>
        <w:spacing w:after="0" w:line="240" w:lineRule="auto"/>
        <w:ind w:firstLine="720"/>
        <w:jc w:val="both"/>
        <w:rPr>
          <w:rFonts w:ascii="Arial" w:hAnsi="Arial" w:cs="Arial"/>
          <w:sz w:val="24"/>
          <w:szCs w:val="24"/>
        </w:rPr>
      </w:pPr>
    </w:p>
    <w:p w:rsidR="006B2FD4" w:rsidRPr="00DB2B5E" w:rsidRDefault="006B2FD4" w:rsidP="006B2FD4">
      <w:pPr>
        <w:spacing w:after="0" w:line="240" w:lineRule="auto"/>
        <w:ind w:firstLine="720"/>
        <w:jc w:val="both"/>
        <w:rPr>
          <w:rFonts w:ascii="Arial" w:hAnsi="Arial" w:cs="Arial"/>
          <w:sz w:val="24"/>
          <w:szCs w:val="24"/>
          <w:lang w:val="it-IT"/>
        </w:rPr>
      </w:pPr>
      <w:r w:rsidRPr="00DB2B5E">
        <w:rPr>
          <w:rFonts w:ascii="Arial" w:hAnsi="Arial" w:cs="Arial"/>
          <w:sz w:val="24"/>
          <w:szCs w:val="24"/>
          <w:lang w:val="it-IT"/>
        </w:rPr>
        <w:t xml:space="preserve">Ponderea principală a terenurilor agricole din județul </w:t>
      </w:r>
      <w:r>
        <w:rPr>
          <w:rFonts w:ascii="Arial" w:hAnsi="Arial" w:cs="Arial"/>
          <w:sz w:val="24"/>
          <w:szCs w:val="24"/>
          <w:lang w:val="it-IT"/>
        </w:rPr>
        <w:t>Brăila</w:t>
      </w:r>
      <w:r w:rsidRPr="00DB2B5E">
        <w:rPr>
          <w:rFonts w:ascii="Arial" w:hAnsi="Arial" w:cs="Arial"/>
          <w:sz w:val="24"/>
          <w:szCs w:val="24"/>
          <w:lang w:val="it-IT"/>
        </w:rPr>
        <w:t xml:space="preserve"> o deţin terenurile agricole arabile (90,63%).</w:t>
      </w:r>
    </w:p>
    <w:p w:rsidR="006B2FD4" w:rsidRPr="00DB2B5E" w:rsidRDefault="006B2FD4" w:rsidP="006B2FD4">
      <w:pPr>
        <w:spacing w:after="0" w:line="240" w:lineRule="auto"/>
        <w:jc w:val="center"/>
        <w:rPr>
          <w:rFonts w:ascii="Arial" w:hAnsi="Arial" w:cs="Arial"/>
          <w:sz w:val="24"/>
          <w:szCs w:val="24"/>
        </w:rPr>
      </w:pPr>
      <w:r w:rsidRPr="00DB2B5E">
        <w:rPr>
          <w:rFonts w:ascii="Arial" w:hAnsi="Arial" w:cs="Arial"/>
          <w:noProof/>
          <w:sz w:val="24"/>
          <w:szCs w:val="24"/>
        </w:rPr>
        <w:drawing>
          <wp:inline distT="0" distB="0" distL="0" distR="0">
            <wp:extent cx="5872792" cy="1802921"/>
            <wp:effectExtent l="0" t="0" r="13970" b="26035"/>
            <wp:docPr id="6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2FD4" w:rsidRPr="00202088" w:rsidRDefault="006B2FD4" w:rsidP="006B2FD4">
      <w:pPr>
        <w:pStyle w:val="Heading1"/>
        <w:spacing w:before="0" w:after="0"/>
        <w:jc w:val="center"/>
        <w:rPr>
          <w:b w:val="0"/>
          <w:bCs w:val="0"/>
          <w:sz w:val="24"/>
          <w:szCs w:val="24"/>
          <w:lang w:val="es-ES"/>
        </w:rPr>
      </w:pPr>
      <w:r w:rsidRPr="00202088">
        <w:rPr>
          <w:b w:val="0"/>
          <w:bCs w:val="0"/>
          <w:sz w:val="24"/>
          <w:szCs w:val="24"/>
          <w:lang w:val="es-ES"/>
        </w:rPr>
        <w:t>Fig. IV.1.1- 3 -</w:t>
      </w:r>
      <w:r w:rsidRPr="00202088">
        <w:rPr>
          <w:b w:val="0"/>
          <w:sz w:val="24"/>
          <w:szCs w:val="24"/>
        </w:rPr>
        <w:t xml:space="preserve"> Utilizarea terenurilor agricole la nivelul anului 2015</w:t>
      </w:r>
    </w:p>
    <w:p w:rsidR="006B2FD4" w:rsidRPr="00202088" w:rsidRDefault="006B2FD4" w:rsidP="006B2FD4">
      <w:pPr>
        <w:pStyle w:val="Heading1"/>
        <w:spacing w:before="0" w:after="0"/>
        <w:jc w:val="both"/>
        <w:rPr>
          <w:b w:val="0"/>
          <w:bCs w:val="0"/>
          <w:sz w:val="24"/>
          <w:szCs w:val="24"/>
          <w:lang w:val="es-ES"/>
        </w:rPr>
      </w:pPr>
    </w:p>
    <w:p w:rsidR="006B2FD4" w:rsidRPr="00202088" w:rsidRDefault="006B2FD4" w:rsidP="006B2FD4">
      <w:pPr>
        <w:pStyle w:val="Heading1"/>
        <w:spacing w:before="0" w:after="0"/>
        <w:jc w:val="both"/>
        <w:rPr>
          <w:b w:val="0"/>
          <w:bCs w:val="0"/>
          <w:sz w:val="24"/>
          <w:szCs w:val="24"/>
          <w:lang w:val="es-ES"/>
        </w:rPr>
      </w:pPr>
    </w:p>
    <w:p w:rsidR="006B2FD4" w:rsidRPr="00DB2B5E" w:rsidRDefault="006B2FD4" w:rsidP="006B2FD4">
      <w:pPr>
        <w:pStyle w:val="Heading1"/>
        <w:spacing w:before="0" w:after="0"/>
        <w:jc w:val="both"/>
        <w:rPr>
          <w:sz w:val="24"/>
          <w:szCs w:val="24"/>
          <w:lang w:val="es-ES"/>
        </w:rPr>
      </w:pPr>
      <w:r w:rsidRPr="00DB2B5E">
        <w:rPr>
          <w:bCs w:val="0"/>
          <w:sz w:val="24"/>
          <w:szCs w:val="24"/>
          <w:lang w:val="es-ES"/>
        </w:rPr>
        <w:t xml:space="preserve"> IV.1.2 </w:t>
      </w:r>
      <w:r w:rsidRPr="00DB2B5E">
        <w:rPr>
          <w:bCs w:val="0"/>
          <w:i/>
          <w:sz w:val="24"/>
          <w:szCs w:val="24"/>
          <w:lang w:val="es-ES"/>
        </w:rPr>
        <w:t>Tendințe privind schimbarea destinației utilizării terenurilor</w:t>
      </w:r>
    </w:p>
    <w:p w:rsidR="006B2FD4" w:rsidRPr="00DB2B5E" w:rsidRDefault="006B2FD4" w:rsidP="006B2FD4">
      <w:pPr>
        <w:pStyle w:val="BodyTextIndent"/>
        <w:tabs>
          <w:tab w:val="left" w:pos="2460"/>
        </w:tabs>
        <w:spacing w:after="0" w:line="240" w:lineRule="auto"/>
        <w:ind w:left="0"/>
        <w:jc w:val="both"/>
        <w:rPr>
          <w:rFonts w:ascii="Arial" w:hAnsi="Arial" w:cs="Arial"/>
          <w:b/>
          <w:sz w:val="24"/>
          <w:szCs w:val="24"/>
        </w:rPr>
      </w:pP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p>
    <w:p w:rsidR="006B2FD4" w:rsidRPr="00DB2B5E" w:rsidRDefault="006B2FD4" w:rsidP="006B2FD4">
      <w:pPr>
        <w:pStyle w:val="Heading1"/>
        <w:spacing w:before="0" w:after="0"/>
        <w:jc w:val="center"/>
        <w:rPr>
          <w:b w:val="0"/>
          <w:sz w:val="24"/>
          <w:szCs w:val="24"/>
        </w:rPr>
      </w:pPr>
      <w:r w:rsidRPr="00202088">
        <w:rPr>
          <w:b w:val="0"/>
          <w:sz w:val="24"/>
          <w:szCs w:val="24"/>
        </w:rPr>
        <w:t>Tabel IV.1.2. -1</w:t>
      </w:r>
      <w:r w:rsidRPr="00DB2B5E">
        <w:rPr>
          <w:b w:val="0"/>
          <w:bCs w:val="0"/>
          <w:sz w:val="24"/>
          <w:szCs w:val="24"/>
          <w:lang w:val="es-ES"/>
        </w:rPr>
        <w:t>Schimbări în acoperirea/utilizarea terenurilor în perioada 2011-2015</w:t>
      </w:r>
    </w:p>
    <w:tbl>
      <w:tblPr>
        <w:tblpPr w:leftFromText="180" w:rightFromText="180" w:vertAnchor="text" w:horzAnchor="margin" w:tblpXSpec="center" w:tblpY="14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DD"/>
        <w:tblLayout w:type="fixed"/>
        <w:tblLook w:val="01E0"/>
      </w:tblPr>
      <w:tblGrid>
        <w:gridCol w:w="1690"/>
        <w:gridCol w:w="1157"/>
        <w:gridCol w:w="1157"/>
        <w:gridCol w:w="1152"/>
        <w:gridCol w:w="1108"/>
        <w:gridCol w:w="1108"/>
        <w:gridCol w:w="1252"/>
        <w:gridCol w:w="1299"/>
      </w:tblGrid>
      <w:tr w:rsidR="006B2FD4" w:rsidRPr="00DB2B5E" w:rsidTr="004E444C">
        <w:trPr>
          <w:trHeight w:val="450"/>
        </w:trPr>
        <w:tc>
          <w:tcPr>
            <w:tcW w:w="1847" w:type="dxa"/>
            <w:vMerge w:val="restar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C03E4" w:rsidRDefault="006B2FD4" w:rsidP="004E444C">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Categoria</w:t>
            </w:r>
          </w:p>
          <w:p w:rsidR="006B2FD4" w:rsidRPr="00DC03E4" w:rsidRDefault="006B2FD4" w:rsidP="004E444C">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de acoperire</w:t>
            </w:r>
          </w:p>
        </w:tc>
        <w:tc>
          <w:tcPr>
            <w:tcW w:w="6167" w:type="dxa"/>
            <w:gridSpan w:val="5"/>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6B2FD4" w:rsidRPr="00DC03E4" w:rsidRDefault="006B2FD4" w:rsidP="004E444C">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Suprafaţa (ha)</w:t>
            </w:r>
          </w:p>
        </w:tc>
        <w:tc>
          <w:tcPr>
            <w:tcW w:w="1361" w:type="dxa"/>
            <w:tcBorders>
              <w:bottom w:val="single" w:sz="4" w:space="0" w:color="auto"/>
            </w:tcBorders>
            <w:shd w:val="clear" w:color="DDD9C3" w:themeColor="background2" w:themeShade="E6" w:fill="FFEFBD"/>
            <w:vAlign w:val="center"/>
          </w:tcPr>
          <w:p w:rsidR="006B2FD4" w:rsidRPr="00DC03E4" w:rsidRDefault="006B2FD4" w:rsidP="004E444C">
            <w:pPr>
              <w:spacing w:after="0" w:line="240" w:lineRule="auto"/>
              <w:jc w:val="center"/>
              <w:rPr>
                <w:rFonts w:ascii="Arial" w:hAnsi="Arial" w:cs="Arial"/>
                <w:sz w:val="20"/>
                <w:szCs w:val="20"/>
              </w:rPr>
            </w:pPr>
            <w:r w:rsidRPr="00DC03E4">
              <w:rPr>
                <w:rFonts w:ascii="Arial" w:hAnsi="Arial" w:cs="Arial"/>
                <w:sz w:val="20"/>
                <w:szCs w:val="20"/>
              </w:rPr>
              <w:t>Schimbări în acoperirea terenurilor</w:t>
            </w:r>
          </w:p>
          <w:p w:rsidR="006B2FD4" w:rsidRPr="00DC03E4" w:rsidRDefault="006B2FD4" w:rsidP="004E444C">
            <w:pPr>
              <w:spacing w:after="0" w:line="240" w:lineRule="auto"/>
              <w:jc w:val="center"/>
              <w:rPr>
                <w:rFonts w:ascii="Arial" w:hAnsi="Arial" w:cs="Arial"/>
                <w:sz w:val="20"/>
                <w:szCs w:val="20"/>
              </w:rPr>
            </w:pPr>
            <w:r w:rsidRPr="00DC03E4">
              <w:rPr>
                <w:rFonts w:ascii="Arial" w:hAnsi="Arial" w:cs="Arial"/>
                <w:sz w:val="20"/>
                <w:szCs w:val="20"/>
              </w:rPr>
              <w:t>2011-2015(ha)</w:t>
            </w:r>
          </w:p>
        </w:tc>
        <w:tc>
          <w:tcPr>
            <w:tcW w:w="1413" w:type="dxa"/>
            <w:tcBorders>
              <w:bottom w:val="single" w:sz="4" w:space="0" w:color="auto"/>
            </w:tcBorders>
            <w:shd w:val="clear" w:color="DDD9C3" w:themeColor="background2" w:themeShade="E6" w:fill="FFEFBD"/>
            <w:vAlign w:val="center"/>
          </w:tcPr>
          <w:p w:rsidR="006B2FD4" w:rsidRPr="00DC03E4" w:rsidRDefault="006B2FD4" w:rsidP="004E444C">
            <w:pPr>
              <w:spacing w:after="0" w:line="240" w:lineRule="auto"/>
              <w:jc w:val="center"/>
              <w:rPr>
                <w:rFonts w:ascii="Arial" w:hAnsi="Arial" w:cs="Arial"/>
                <w:sz w:val="20"/>
                <w:szCs w:val="20"/>
              </w:rPr>
            </w:pPr>
            <w:r w:rsidRPr="00DC03E4">
              <w:rPr>
                <w:rFonts w:ascii="Arial" w:hAnsi="Arial" w:cs="Arial"/>
                <w:sz w:val="20"/>
                <w:szCs w:val="20"/>
              </w:rPr>
              <w:t>Schimbări în acoperirea terenurilor</w:t>
            </w:r>
          </w:p>
          <w:p w:rsidR="006B2FD4" w:rsidRPr="00DC03E4" w:rsidRDefault="006B2FD4" w:rsidP="004E444C">
            <w:pPr>
              <w:spacing w:after="0" w:line="240" w:lineRule="auto"/>
              <w:jc w:val="center"/>
              <w:rPr>
                <w:rFonts w:ascii="Arial" w:hAnsi="Arial" w:cs="Arial"/>
                <w:sz w:val="20"/>
                <w:szCs w:val="20"/>
              </w:rPr>
            </w:pPr>
            <w:r w:rsidRPr="00DC03E4">
              <w:rPr>
                <w:rFonts w:ascii="Arial" w:hAnsi="Arial" w:cs="Arial"/>
                <w:sz w:val="20"/>
                <w:szCs w:val="20"/>
              </w:rPr>
              <w:t>% din anul 2011)</w:t>
            </w:r>
          </w:p>
        </w:tc>
      </w:tr>
      <w:tr w:rsidR="006B2FD4" w:rsidRPr="00DB2B5E" w:rsidTr="004E444C">
        <w:trPr>
          <w:trHeight w:val="360"/>
        </w:trPr>
        <w:tc>
          <w:tcPr>
            <w:tcW w:w="1847" w:type="dxa"/>
            <w:vMerge/>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B2B5E" w:rsidRDefault="006B2FD4" w:rsidP="004E444C">
            <w:pPr>
              <w:spacing w:after="0" w:line="240" w:lineRule="auto"/>
              <w:rPr>
                <w:rFonts w:ascii="Arial" w:eastAsia="Times New Roman" w:hAnsi="Arial" w:cs="Arial"/>
                <w:b/>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C03E4" w:rsidRDefault="006B2FD4" w:rsidP="004E444C">
            <w:pPr>
              <w:spacing w:after="0" w:line="240" w:lineRule="auto"/>
              <w:jc w:val="center"/>
              <w:rPr>
                <w:rFonts w:ascii="Arial" w:hAnsi="Arial" w:cs="Arial"/>
                <w:b/>
              </w:rPr>
            </w:pPr>
            <w:r w:rsidRPr="00DC03E4">
              <w:rPr>
                <w:rFonts w:ascii="Arial" w:hAnsi="Arial" w:cs="Arial"/>
                <w:b/>
              </w:rPr>
              <w:t>2011</w:t>
            </w: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C03E4" w:rsidRDefault="006B2FD4" w:rsidP="004E444C">
            <w:pPr>
              <w:spacing w:after="0" w:line="240" w:lineRule="auto"/>
              <w:jc w:val="center"/>
              <w:rPr>
                <w:rFonts w:ascii="Arial" w:hAnsi="Arial" w:cs="Arial"/>
                <w:b/>
              </w:rPr>
            </w:pPr>
            <w:r w:rsidRPr="00DC03E4">
              <w:rPr>
                <w:rFonts w:ascii="Arial" w:hAnsi="Arial" w:cs="Arial"/>
                <w:b/>
              </w:rPr>
              <w:t>2012</w:t>
            </w:r>
          </w:p>
        </w:tc>
        <w:tc>
          <w:tcPr>
            <w:tcW w:w="1251"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C03E4" w:rsidRDefault="006B2FD4" w:rsidP="004E444C">
            <w:pPr>
              <w:spacing w:after="0" w:line="240" w:lineRule="auto"/>
              <w:jc w:val="center"/>
              <w:rPr>
                <w:rFonts w:ascii="Arial" w:hAnsi="Arial" w:cs="Arial"/>
                <w:b/>
              </w:rPr>
            </w:pPr>
            <w:r w:rsidRPr="00DC03E4">
              <w:rPr>
                <w:rFonts w:ascii="Arial" w:hAnsi="Arial" w:cs="Arial"/>
                <w:b/>
              </w:rPr>
              <w:t>2013</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6B2FD4" w:rsidRPr="00DC03E4" w:rsidRDefault="006B2FD4" w:rsidP="004E444C">
            <w:pPr>
              <w:spacing w:after="0" w:line="240" w:lineRule="auto"/>
              <w:jc w:val="center"/>
              <w:rPr>
                <w:rFonts w:ascii="Arial" w:hAnsi="Arial" w:cs="Arial"/>
                <w:b/>
              </w:rPr>
            </w:pPr>
            <w:r w:rsidRPr="00DC03E4">
              <w:rPr>
                <w:rFonts w:ascii="Arial" w:hAnsi="Arial" w:cs="Arial"/>
                <w:b/>
              </w:rPr>
              <w:t>2014</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6B2FD4" w:rsidRPr="00DC03E4" w:rsidRDefault="006B2FD4" w:rsidP="004E444C">
            <w:pPr>
              <w:spacing w:after="0" w:line="240" w:lineRule="auto"/>
              <w:jc w:val="center"/>
              <w:rPr>
                <w:rFonts w:ascii="Arial" w:hAnsi="Arial" w:cs="Arial"/>
                <w:b/>
              </w:rPr>
            </w:pPr>
            <w:r w:rsidRPr="00DC03E4">
              <w:rPr>
                <w:rFonts w:ascii="Arial" w:hAnsi="Arial" w:cs="Arial"/>
                <w:b/>
              </w:rPr>
              <w:t>2015</w:t>
            </w:r>
          </w:p>
        </w:tc>
        <w:tc>
          <w:tcPr>
            <w:tcW w:w="1361" w:type="dxa"/>
            <w:tcBorders>
              <w:top w:val="nil"/>
            </w:tcBorders>
            <w:shd w:val="clear" w:color="DDD9C3" w:themeColor="background2" w:themeShade="E6" w:fill="FFEFBD"/>
          </w:tcPr>
          <w:p w:rsidR="006B2FD4" w:rsidRPr="00DC03E4" w:rsidRDefault="006B2FD4" w:rsidP="004E444C">
            <w:pPr>
              <w:spacing w:after="0" w:line="240" w:lineRule="auto"/>
              <w:rPr>
                <w:rFonts w:ascii="Arial" w:hAnsi="Arial" w:cs="Arial"/>
              </w:rPr>
            </w:pPr>
          </w:p>
        </w:tc>
        <w:tc>
          <w:tcPr>
            <w:tcW w:w="1413" w:type="dxa"/>
            <w:tcBorders>
              <w:top w:val="nil"/>
            </w:tcBorders>
            <w:shd w:val="clear" w:color="DDD9C3" w:themeColor="background2" w:themeShade="E6" w:fill="FFEFBD"/>
          </w:tcPr>
          <w:p w:rsidR="006B2FD4" w:rsidRPr="00DC03E4" w:rsidRDefault="006B2FD4" w:rsidP="004E444C">
            <w:pPr>
              <w:spacing w:after="0" w:line="240" w:lineRule="auto"/>
              <w:rPr>
                <w:rFonts w:ascii="Arial" w:hAnsi="Arial" w:cs="Arial"/>
              </w:rPr>
            </w:pPr>
          </w:p>
        </w:tc>
      </w:tr>
      <w:tr w:rsidR="006B2FD4" w:rsidRPr="00DB2B5E" w:rsidTr="004E444C">
        <w:trPr>
          <w:trHeight w:val="360"/>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TOTAL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361" w:type="dxa"/>
            <w:tcBorders>
              <w:top w:val="nil"/>
            </w:tcBorders>
            <w:shd w:val="clear" w:color="auto" w:fill="FFFFE7"/>
          </w:tcPr>
          <w:p w:rsidR="006B2FD4" w:rsidRPr="00DC03E4" w:rsidRDefault="006B2FD4" w:rsidP="004E444C">
            <w:pPr>
              <w:spacing w:after="0" w:line="240" w:lineRule="auto"/>
              <w:rPr>
                <w:rFonts w:ascii="Arial" w:hAnsi="Arial" w:cs="Arial"/>
              </w:rPr>
            </w:pPr>
          </w:p>
        </w:tc>
        <w:tc>
          <w:tcPr>
            <w:tcW w:w="1413" w:type="dxa"/>
            <w:tcBorders>
              <w:top w:val="nil"/>
            </w:tcBorders>
            <w:shd w:val="clear" w:color="auto" w:fill="FFFFE7"/>
          </w:tcPr>
          <w:p w:rsidR="006B2FD4" w:rsidRPr="00DC03E4" w:rsidRDefault="006B2FD4" w:rsidP="004E444C">
            <w:pPr>
              <w:spacing w:after="0" w:line="240" w:lineRule="auto"/>
              <w:rPr>
                <w:rFonts w:ascii="Arial" w:hAnsi="Arial" w:cs="Arial"/>
              </w:rPr>
            </w:pPr>
          </w:p>
        </w:tc>
      </w:tr>
      <w:tr w:rsidR="006B2FD4" w:rsidRPr="00DB2B5E" w:rsidTr="004E444C">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rPr>
                <w:rFonts w:ascii="Arial" w:hAnsi="Arial" w:cs="Arial"/>
              </w:rPr>
            </w:pPr>
            <w:r w:rsidRPr="00DC03E4">
              <w:rPr>
                <w:rFonts w:ascii="Arial" w:hAnsi="Arial" w:cs="Arial"/>
              </w:rPr>
              <w:t>Terenuri 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387.363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387.160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387.598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387.750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389.907</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2544</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0,65</w:t>
            </w:r>
          </w:p>
        </w:tc>
      </w:tr>
      <w:tr w:rsidR="006B2FD4" w:rsidRPr="00DB2B5E" w:rsidTr="004E444C">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Arabil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350.447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350625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350.862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351.420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351.782</w:t>
            </w:r>
          </w:p>
        </w:tc>
        <w:tc>
          <w:tcPr>
            <w:tcW w:w="1361" w:type="dxa"/>
            <w:tcBorders>
              <w:top w:val="nil"/>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1335</w:t>
            </w:r>
          </w:p>
        </w:tc>
        <w:tc>
          <w:tcPr>
            <w:tcW w:w="1413" w:type="dxa"/>
            <w:tcBorders>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0,38</w:t>
            </w:r>
          </w:p>
        </w:tc>
      </w:tr>
      <w:tr w:rsidR="006B2FD4" w:rsidRPr="00DB2B5E" w:rsidTr="004E444C">
        <w:trPr>
          <w:trHeight w:val="271"/>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Păşuni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31.733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31332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31.538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31.132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33.151</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1418</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-4,46</w:t>
            </w:r>
          </w:p>
        </w:tc>
      </w:tr>
      <w:tr w:rsidR="006B2FD4" w:rsidRPr="00DB2B5E" w:rsidTr="004E444C">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 xml:space="preserve">Fâneţe şi </w:t>
            </w:r>
            <w:r w:rsidRPr="00DC03E4">
              <w:rPr>
                <w:rFonts w:ascii="Arial" w:hAnsi="Arial" w:cs="Arial"/>
              </w:rPr>
              <w:lastRenderedPageBreak/>
              <w:t>pajişti naturale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jc w:val="center"/>
              <w:rPr>
                <w:rFonts w:ascii="Arial" w:hAnsi="Arial" w:cs="Arial"/>
              </w:rPr>
            </w:pPr>
            <w:r w:rsidRPr="00DC03E4">
              <w:rPr>
                <w:rFonts w:ascii="Arial" w:hAnsi="Arial" w:cs="Arial"/>
              </w:rPr>
              <w:lastRenderedPageBreak/>
              <w:t>0</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0</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0</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0</w:t>
            </w:r>
          </w:p>
        </w:tc>
      </w:tr>
      <w:tr w:rsidR="006B2FD4" w:rsidRPr="00DB2B5E" w:rsidTr="004E444C">
        <w:trPr>
          <w:trHeight w:val="399"/>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lastRenderedPageBreak/>
              <w:t>Vii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4.529</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4545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4287</w:t>
            </w:r>
          </w:p>
        </w:tc>
        <w:tc>
          <w:tcPr>
            <w:tcW w:w="1361" w:type="dxa"/>
            <w:tcBorders>
              <w:top w:val="nil"/>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-242</w:t>
            </w:r>
          </w:p>
        </w:tc>
        <w:tc>
          <w:tcPr>
            <w:tcW w:w="1413" w:type="dxa"/>
            <w:tcBorders>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-5,34</w:t>
            </w:r>
          </w:p>
        </w:tc>
      </w:tr>
      <w:tr w:rsidR="006B2FD4" w:rsidRPr="00DB2B5E" w:rsidTr="004E444C">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Livezi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654</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658</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687</w:t>
            </w:r>
          </w:p>
        </w:tc>
        <w:tc>
          <w:tcPr>
            <w:tcW w:w="1361" w:type="dxa"/>
            <w:tcBorders>
              <w:top w:val="nil"/>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-33</w:t>
            </w:r>
          </w:p>
        </w:tc>
        <w:tc>
          <w:tcPr>
            <w:tcW w:w="1413" w:type="dxa"/>
            <w:tcBorders>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-5,04</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rPr>
                <w:rFonts w:ascii="Arial" w:hAnsi="Arial" w:cs="Arial"/>
              </w:rPr>
            </w:pPr>
            <w:r w:rsidRPr="00DC03E4">
              <w:rPr>
                <w:rFonts w:ascii="Arial" w:hAnsi="Arial" w:cs="Arial"/>
              </w:rPr>
              <w:t>Terenuri  neagricole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89.213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89.416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88.978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88.826</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86.665</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-2548</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-2,86</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rPr>
                <w:rFonts w:ascii="Arial" w:hAnsi="Arial" w:cs="Arial"/>
              </w:rPr>
            </w:pPr>
            <w:r w:rsidRPr="00DC03E4">
              <w:rPr>
                <w:rFonts w:ascii="Arial" w:hAnsi="Arial" w:cs="Arial"/>
              </w:rPr>
              <w:t>Păduri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28.383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28552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28653</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28687</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30047</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1664</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5,86</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tabs>
                <w:tab w:val="num" w:pos="1092"/>
              </w:tabs>
              <w:spacing w:after="0" w:line="240" w:lineRule="auto"/>
              <w:rPr>
                <w:rFonts w:ascii="Arial" w:hAnsi="Arial" w:cs="Arial"/>
              </w:rPr>
            </w:pPr>
            <w:r w:rsidRPr="00DC03E4">
              <w:rPr>
                <w:rFonts w:ascii="Arial" w:hAnsi="Arial" w:cs="Arial"/>
              </w:rPr>
              <w:t>Ape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30.672</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30.590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30556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eastAsia="Times New Roman" w:hAnsi="Arial" w:cs="Arial"/>
              </w:rPr>
            </w:pPr>
            <w:r w:rsidRPr="00DC03E4">
              <w:rPr>
                <w:rFonts w:ascii="Arial" w:eastAsia="Times New Roman" w:hAnsi="Arial" w:cs="Arial"/>
              </w:rPr>
              <w:t>30331</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eastAsia="Times New Roman" w:hAnsi="Arial" w:cs="Arial"/>
              </w:rPr>
            </w:pPr>
            <w:r w:rsidRPr="00DC03E4">
              <w:rPr>
                <w:rFonts w:ascii="Arial" w:eastAsia="Times New Roman" w:hAnsi="Arial" w:cs="Arial"/>
              </w:rPr>
              <w:t>26417</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-4255</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-13,86</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6B2FD4" w:rsidRPr="00DC03E4" w:rsidRDefault="006B2FD4" w:rsidP="004E444C">
            <w:pPr>
              <w:tabs>
                <w:tab w:val="num" w:pos="1092"/>
              </w:tabs>
              <w:spacing w:after="0" w:line="240" w:lineRule="auto"/>
              <w:rPr>
                <w:rFonts w:ascii="Arial" w:hAnsi="Arial" w:cs="Arial"/>
              </w:rPr>
            </w:pPr>
            <w:r w:rsidRPr="00DC03E4">
              <w:rPr>
                <w:rFonts w:ascii="Arial" w:hAnsi="Arial" w:cs="Arial"/>
              </w:rPr>
              <w:t>Drumuri şi căi ferate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8.587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8597</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8592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8586</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8136</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-451</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-5,25</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6B2FD4" w:rsidRPr="00DC03E4" w:rsidRDefault="006B2FD4" w:rsidP="004E444C">
            <w:pPr>
              <w:tabs>
                <w:tab w:val="left" w:pos="652"/>
                <w:tab w:val="left" w:pos="1078"/>
              </w:tabs>
              <w:spacing w:after="0" w:line="240" w:lineRule="auto"/>
              <w:rPr>
                <w:rFonts w:ascii="Arial" w:hAnsi="Arial" w:cs="Arial"/>
              </w:rPr>
            </w:pPr>
            <w:r w:rsidRPr="00DC03E4">
              <w:rPr>
                <w:rFonts w:ascii="Arial" w:hAnsi="Arial" w:cs="Arial"/>
              </w:rPr>
              <w:t>Curţi şi construcţii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13.058</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hAnsi="Arial" w:cs="Arial"/>
              </w:rPr>
            </w:pPr>
            <w:r w:rsidRPr="00DC03E4">
              <w:rPr>
                <w:rFonts w:ascii="Arial" w:hAnsi="Arial" w:cs="Arial"/>
              </w:rPr>
              <w:t>13.066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13267</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13294</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14094</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1036</w:t>
            </w:r>
          </w:p>
        </w:tc>
        <w:tc>
          <w:tcPr>
            <w:tcW w:w="1413"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7,93</w:t>
            </w:r>
          </w:p>
        </w:tc>
      </w:tr>
      <w:tr w:rsidR="006B2FD4" w:rsidRPr="00DB2B5E" w:rsidTr="004E444C">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6B2FD4" w:rsidRPr="00DC03E4" w:rsidRDefault="006B2FD4" w:rsidP="004E444C">
            <w:pPr>
              <w:tabs>
                <w:tab w:val="num" w:pos="1092"/>
              </w:tabs>
              <w:spacing w:after="0" w:line="240" w:lineRule="auto"/>
              <w:rPr>
                <w:rFonts w:ascii="Arial" w:hAnsi="Arial" w:cs="Arial"/>
              </w:rPr>
            </w:pPr>
            <w:r w:rsidRPr="00DC03E4">
              <w:rPr>
                <w:rFonts w:ascii="Arial" w:hAnsi="Arial" w:cs="Arial"/>
              </w:rPr>
              <w:t>Neproductive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8.513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8616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6B2FD4" w:rsidRPr="00DC03E4" w:rsidRDefault="006B2FD4" w:rsidP="004E444C">
            <w:pPr>
              <w:spacing w:after="0" w:line="240" w:lineRule="auto"/>
              <w:jc w:val="center"/>
              <w:rPr>
                <w:rFonts w:ascii="Arial" w:hAnsi="Arial" w:cs="Arial"/>
              </w:rPr>
            </w:pPr>
            <w:r w:rsidRPr="00DC03E4">
              <w:rPr>
                <w:rFonts w:ascii="Arial" w:hAnsi="Arial" w:cs="Arial"/>
              </w:rPr>
              <w:t>8110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7928</w:t>
            </w:r>
          </w:p>
        </w:tc>
        <w:tc>
          <w:tcPr>
            <w:tcW w:w="1202"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7971</w:t>
            </w:r>
          </w:p>
        </w:tc>
        <w:tc>
          <w:tcPr>
            <w:tcW w:w="1361" w:type="dxa"/>
            <w:tcBorders>
              <w:top w:val="single" w:sz="4" w:space="0" w:color="auto"/>
              <w:bottom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-542</w:t>
            </w:r>
          </w:p>
        </w:tc>
        <w:tc>
          <w:tcPr>
            <w:tcW w:w="1134" w:type="dxa"/>
            <w:tcBorders>
              <w:top w:val="single" w:sz="4" w:space="0" w:color="auto"/>
            </w:tcBorders>
            <w:shd w:val="clear" w:color="auto" w:fill="FFFFE7"/>
            <w:vAlign w:val="center"/>
          </w:tcPr>
          <w:p w:rsidR="006B2FD4" w:rsidRPr="00DC03E4" w:rsidRDefault="006B2FD4" w:rsidP="004E444C">
            <w:pPr>
              <w:spacing w:after="0" w:line="240" w:lineRule="auto"/>
              <w:jc w:val="center"/>
              <w:rPr>
                <w:rFonts w:ascii="Arial" w:hAnsi="Arial" w:cs="Arial"/>
              </w:rPr>
            </w:pPr>
            <w:r w:rsidRPr="00DC03E4">
              <w:rPr>
                <w:rFonts w:ascii="Arial" w:hAnsi="Arial" w:cs="Arial"/>
              </w:rPr>
              <w:t>-6,36</w:t>
            </w:r>
          </w:p>
        </w:tc>
      </w:tr>
    </w:tbl>
    <w:p w:rsidR="006B2FD4" w:rsidRPr="00DB2B5E" w:rsidRDefault="006B2FD4" w:rsidP="006B2FD4">
      <w:pPr>
        <w:spacing w:after="0" w:line="240" w:lineRule="auto"/>
        <w:jc w:val="both"/>
        <w:rPr>
          <w:rFonts w:ascii="Arial" w:hAnsi="Arial" w:cs="Arial"/>
          <w:sz w:val="24"/>
          <w:szCs w:val="24"/>
        </w:rPr>
      </w:pPr>
    </w:p>
    <w:p w:rsidR="006B2FD4" w:rsidRPr="00DB2B5E" w:rsidRDefault="006B2FD4" w:rsidP="006B2FD4">
      <w:pPr>
        <w:spacing w:after="0" w:line="240" w:lineRule="auto"/>
        <w:jc w:val="both"/>
        <w:rPr>
          <w:rFonts w:ascii="Arial" w:hAnsi="Arial" w:cs="Arial"/>
          <w:sz w:val="24"/>
          <w:szCs w:val="24"/>
        </w:rPr>
      </w:pPr>
    </w:p>
    <w:p w:rsidR="006B2FD4" w:rsidRPr="00DB2B5E" w:rsidRDefault="006B2FD4" w:rsidP="006B2FD4">
      <w:pPr>
        <w:spacing w:after="0" w:line="240" w:lineRule="auto"/>
        <w:jc w:val="center"/>
        <w:rPr>
          <w:rFonts w:ascii="Arial" w:hAnsi="Arial" w:cs="Arial"/>
          <w:sz w:val="24"/>
          <w:szCs w:val="24"/>
        </w:rPr>
      </w:pPr>
      <w:r w:rsidRPr="00DB2B5E">
        <w:rPr>
          <w:rFonts w:ascii="Arial" w:hAnsi="Arial" w:cs="Arial"/>
          <w:noProof/>
          <w:sz w:val="24"/>
          <w:szCs w:val="24"/>
        </w:rPr>
        <w:drawing>
          <wp:inline distT="0" distB="0" distL="0" distR="0">
            <wp:extent cx="4859164" cy="2794959"/>
            <wp:effectExtent l="19050" t="0" r="17636" b="5391"/>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B2FD4" w:rsidRPr="00202088" w:rsidRDefault="006B2FD4" w:rsidP="006B2FD4">
      <w:pPr>
        <w:spacing w:after="0" w:line="240" w:lineRule="auto"/>
        <w:jc w:val="both"/>
        <w:rPr>
          <w:rFonts w:ascii="Arial" w:hAnsi="Arial" w:cs="Arial"/>
          <w:sz w:val="24"/>
          <w:szCs w:val="24"/>
        </w:rPr>
      </w:pPr>
      <w:r w:rsidRPr="00202088">
        <w:rPr>
          <w:rFonts w:ascii="Arial" w:hAnsi="Arial" w:cs="Arial"/>
          <w:bCs/>
          <w:sz w:val="24"/>
          <w:szCs w:val="24"/>
          <w:lang w:val="es-ES"/>
        </w:rPr>
        <w:t>Fig. IV.1.2-1</w:t>
      </w:r>
      <w:r w:rsidRPr="00202088">
        <w:rPr>
          <w:rFonts w:ascii="Arial" w:hAnsi="Arial" w:cs="Arial"/>
          <w:sz w:val="24"/>
          <w:szCs w:val="24"/>
        </w:rPr>
        <w:t xml:space="preserve"> Schimbări în acoperirea/utilizarea terenurilor, în perioada 2011-2015 (ha)</w:t>
      </w:r>
    </w:p>
    <w:p w:rsidR="006B2FD4" w:rsidRPr="00202088" w:rsidRDefault="006B2FD4" w:rsidP="006B2FD4">
      <w:pPr>
        <w:spacing w:after="0" w:line="240" w:lineRule="auto"/>
        <w:jc w:val="both"/>
        <w:rPr>
          <w:rFonts w:ascii="Arial" w:hAnsi="Arial" w:cs="Arial"/>
          <w:sz w:val="24"/>
          <w:szCs w:val="24"/>
        </w:rPr>
      </w:pPr>
    </w:p>
    <w:p w:rsidR="006B2FD4" w:rsidRDefault="006B2FD4" w:rsidP="006B2FD4">
      <w:pPr>
        <w:spacing w:after="0" w:line="240" w:lineRule="auto"/>
        <w:jc w:val="center"/>
        <w:rPr>
          <w:rFonts w:ascii="Arial" w:hAnsi="Arial" w:cs="Arial"/>
          <w:sz w:val="24"/>
          <w:szCs w:val="24"/>
          <w:lang w:val="es-ES"/>
        </w:rPr>
      </w:pPr>
      <w:r w:rsidRPr="00DB2B5E">
        <w:rPr>
          <w:rFonts w:ascii="Arial" w:hAnsi="Arial" w:cs="Arial"/>
          <w:noProof/>
          <w:sz w:val="24"/>
          <w:szCs w:val="24"/>
        </w:rPr>
        <w:drawing>
          <wp:inline distT="0" distB="0" distL="0" distR="0">
            <wp:extent cx="5199931" cy="2639683"/>
            <wp:effectExtent l="19050" t="0" r="19769" b="8267"/>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B3578" w:rsidRPr="00DB2B5E" w:rsidRDefault="00AB3578" w:rsidP="006B2FD4">
      <w:pPr>
        <w:spacing w:after="0" w:line="240" w:lineRule="auto"/>
        <w:jc w:val="center"/>
        <w:rPr>
          <w:rFonts w:ascii="Arial" w:hAnsi="Arial" w:cs="Arial"/>
          <w:sz w:val="24"/>
          <w:szCs w:val="24"/>
          <w:lang w:val="es-ES"/>
        </w:rPr>
      </w:pPr>
    </w:p>
    <w:p w:rsidR="006B2FD4" w:rsidRPr="00202088" w:rsidRDefault="006B2FD4" w:rsidP="006B2FD4">
      <w:pPr>
        <w:spacing w:after="0" w:line="240" w:lineRule="auto"/>
        <w:jc w:val="both"/>
        <w:rPr>
          <w:rFonts w:ascii="Arial" w:hAnsi="Arial" w:cs="Arial"/>
          <w:sz w:val="24"/>
          <w:szCs w:val="24"/>
        </w:rPr>
      </w:pPr>
      <w:r w:rsidRPr="00202088">
        <w:rPr>
          <w:rFonts w:ascii="Arial" w:hAnsi="Arial" w:cs="Arial"/>
          <w:bCs/>
          <w:sz w:val="24"/>
          <w:szCs w:val="24"/>
          <w:lang w:val="es-ES"/>
        </w:rPr>
        <w:t>Fig. IV.1.2-2</w:t>
      </w:r>
      <w:r w:rsidRPr="00202088">
        <w:rPr>
          <w:rFonts w:ascii="Arial" w:hAnsi="Arial" w:cs="Arial"/>
          <w:sz w:val="24"/>
          <w:szCs w:val="24"/>
        </w:rPr>
        <w:t xml:space="preserve"> Schimbări în acoperirea/utilizarea terenurilor, în perioada 2011-2015 (% din anul 2011)</w:t>
      </w:r>
    </w:p>
    <w:p w:rsidR="006B2FD4" w:rsidRPr="00202088" w:rsidRDefault="006B2FD4" w:rsidP="006B2FD4">
      <w:pPr>
        <w:pStyle w:val="Heading1"/>
        <w:spacing w:before="0" w:after="0"/>
        <w:rPr>
          <w:b w:val="0"/>
          <w:bCs w:val="0"/>
          <w:sz w:val="24"/>
          <w:szCs w:val="24"/>
          <w:lang w:val="es-ES"/>
        </w:rPr>
      </w:pPr>
    </w:p>
    <w:p w:rsidR="006B2FD4" w:rsidRPr="00202088" w:rsidRDefault="006B2FD4" w:rsidP="006B2FD4">
      <w:pPr>
        <w:spacing w:after="0" w:line="240" w:lineRule="auto"/>
        <w:rPr>
          <w:rFonts w:ascii="Arial" w:hAnsi="Arial" w:cs="Arial"/>
          <w:sz w:val="24"/>
          <w:szCs w:val="24"/>
          <w:lang w:val="es-ES"/>
        </w:rPr>
      </w:pPr>
    </w:p>
    <w:p w:rsidR="006B2FD4" w:rsidRPr="00202088" w:rsidRDefault="006B2FD4" w:rsidP="006B2FD4">
      <w:pPr>
        <w:spacing w:after="0" w:line="240" w:lineRule="auto"/>
        <w:jc w:val="both"/>
        <w:rPr>
          <w:rFonts w:ascii="Arial" w:hAnsi="Arial" w:cs="Arial"/>
          <w:sz w:val="24"/>
          <w:szCs w:val="24"/>
        </w:rPr>
      </w:pPr>
    </w:p>
    <w:p w:rsidR="006B2FD4" w:rsidRPr="00DB2B5E" w:rsidRDefault="006B2FD4" w:rsidP="006B2FD4">
      <w:pPr>
        <w:pStyle w:val="Footer"/>
        <w:jc w:val="both"/>
        <w:rPr>
          <w:rFonts w:ascii="Arial" w:hAnsi="Arial" w:cs="Arial"/>
          <w:b/>
          <w:sz w:val="24"/>
          <w:szCs w:val="24"/>
        </w:rPr>
      </w:pPr>
    </w:p>
    <w:p w:rsidR="006B2FD4" w:rsidRPr="00DB2B5E" w:rsidRDefault="006B2FD4" w:rsidP="006B2FD4">
      <w:pPr>
        <w:pStyle w:val="Footer"/>
        <w:jc w:val="both"/>
        <w:rPr>
          <w:rFonts w:ascii="Arial" w:hAnsi="Arial" w:cs="Arial"/>
          <w:b/>
          <w:sz w:val="24"/>
          <w:szCs w:val="24"/>
        </w:rPr>
      </w:pPr>
    </w:p>
    <w:p w:rsidR="006B2FD4" w:rsidRPr="00DB2B5E" w:rsidRDefault="006B2FD4" w:rsidP="006B2FD4">
      <w:pPr>
        <w:pStyle w:val="Footer"/>
        <w:jc w:val="center"/>
        <w:rPr>
          <w:rFonts w:ascii="Arial" w:hAnsi="Arial" w:cs="Arial"/>
          <w:b/>
          <w:sz w:val="24"/>
          <w:szCs w:val="24"/>
        </w:rPr>
      </w:pPr>
      <w:r w:rsidRPr="00DB2B5E">
        <w:rPr>
          <w:rFonts w:ascii="Arial" w:hAnsi="Arial" w:cs="Arial"/>
          <w:b/>
          <w:noProof/>
          <w:sz w:val="24"/>
          <w:szCs w:val="24"/>
        </w:rPr>
        <w:lastRenderedPageBreak/>
        <w:drawing>
          <wp:inline distT="0" distB="0" distL="0" distR="0">
            <wp:extent cx="2810510" cy="4839335"/>
            <wp:effectExtent l="19050" t="0" r="2794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DB2B5E">
        <w:rPr>
          <w:rFonts w:ascii="Arial" w:hAnsi="Arial" w:cs="Arial"/>
          <w:b/>
          <w:noProof/>
          <w:sz w:val="24"/>
          <w:szCs w:val="24"/>
        </w:rPr>
        <w:drawing>
          <wp:inline distT="0" distB="0" distL="0" distR="0">
            <wp:extent cx="2810510" cy="4829810"/>
            <wp:effectExtent l="19050" t="0" r="27940" b="8890"/>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B2FD4" w:rsidRPr="00DB2B5E" w:rsidRDefault="006B2FD4" w:rsidP="006B2FD4">
      <w:pPr>
        <w:pStyle w:val="Footer"/>
        <w:jc w:val="both"/>
        <w:rPr>
          <w:rFonts w:ascii="Arial" w:hAnsi="Arial" w:cs="Arial"/>
          <w:b/>
          <w:sz w:val="24"/>
          <w:szCs w:val="24"/>
        </w:rPr>
      </w:pPr>
    </w:p>
    <w:p w:rsidR="006B2FD4" w:rsidRPr="00DB2B5E" w:rsidRDefault="006B2FD4" w:rsidP="006B2FD4">
      <w:pPr>
        <w:pStyle w:val="Footer"/>
        <w:rPr>
          <w:rFonts w:ascii="Arial" w:hAnsi="Arial" w:cs="Arial"/>
          <w:sz w:val="24"/>
          <w:szCs w:val="24"/>
        </w:rPr>
      </w:pPr>
      <w:r w:rsidRPr="00202088">
        <w:rPr>
          <w:rFonts w:ascii="Arial" w:hAnsi="Arial" w:cs="Arial"/>
          <w:sz w:val="24"/>
          <w:szCs w:val="24"/>
          <w:lang w:val="it-IT"/>
        </w:rPr>
        <w:t>Fig. nr. IV.1.2- 3 -</w:t>
      </w:r>
      <w:r w:rsidRPr="00DB2B5E">
        <w:rPr>
          <w:rFonts w:ascii="Arial" w:hAnsi="Arial" w:cs="Arial"/>
          <w:bCs/>
          <w:iCs/>
          <w:sz w:val="24"/>
          <w:szCs w:val="24"/>
        </w:rPr>
        <w:t xml:space="preserve">Evoluţia suprafeţei agricole la nivelul județului </w:t>
      </w:r>
      <w:r>
        <w:rPr>
          <w:rFonts w:ascii="Arial" w:hAnsi="Arial" w:cs="Arial"/>
          <w:bCs/>
          <w:iCs/>
          <w:sz w:val="24"/>
          <w:szCs w:val="24"/>
        </w:rPr>
        <w:t>Brăila</w:t>
      </w:r>
      <w:r w:rsidRPr="00DB2B5E">
        <w:rPr>
          <w:rFonts w:ascii="Arial" w:hAnsi="Arial" w:cs="Arial"/>
          <w:bCs/>
          <w:iCs/>
          <w:sz w:val="24"/>
          <w:szCs w:val="24"/>
        </w:rPr>
        <w:t xml:space="preserve"> în perioada 2011 – 2015 (ha și respectiv- procente din anul 2011).</w:t>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475078" cy="2372265"/>
            <wp:effectExtent l="19050" t="0" r="11322" b="8985"/>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Footer"/>
        <w:rPr>
          <w:rFonts w:ascii="Arial" w:hAnsi="Arial" w:cs="Arial"/>
          <w:sz w:val="24"/>
          <w:szCs w:val="24"/>
        </w:rPr>
      </w:pPr>
      <w:r w:rsidRPr="00202088">
        <w:rPr>
          <w:rFonts w:ascii="Arial" w:hAnsi="Arial" w:cs="Arial"/>
          <w:sz w:val="24"/>
          <w:szCs w:val="24"/>
          <w:lang w:val="it-IT"/>
        </w:rPr>
        <w:t xml:space="preserve">Fig. nr. IV.1.2- 4 - </w:t>
      </w:r>
      <w:r w:rsidRPr="00202088">
        <w:rPr>
          <w:rFonts w:ascii="Arial" w:hAnsi="Arial" w:cs="Arial"/>
          <w:bCs/>
          <w:iCs/>
          <w:sz w:val="24"/>
          <w:szCs w:val="24"/>
        </w:rPr>
        <w:t>Evoluţia</w:t>
      </w:r>
      <w:r w:rsidRPr="00DB2B5E">
        <w:rPr>
          <w:rFonts w:ascii="Arial" w:hAnsi="Arial" w:cs="Arial"/>
          <w:bCs/>
          <w:iCs/>
          <w:sz w:val="24"/>
          <w:szCs w:val="24"/>
        </w:rPr>
        <w:t xml:space="preserve"> suprafeţei terenurilor cu altă destinație decât agricolă la nivelul județului </w:t>
      </w:r>
      <w:r>
        <w:rPr>
          <w:rFonts w:ascii="Arial" w:hAnsi="Arial" w:cs="Arial"/>
          <w:bCs/>
          <w:iCs/>
          <w:sz w:val="24"/>
          <w:szCs w:val="24"/>
        </w:rPr>
        <w:t>Brăila</w:t>
      </w:r>
      <w:r w:rsidRPr="00DB2B5E">
        <w:rPr>
          <w:rFonts w:ascii="Arial" w:hAnsi="Arial" w:cs="Arial"/>
          <w:bCs/>
          <w:iCs/>
          <w:sz w:val="24"/>
          <w:szCs w:val="24"/>
        </w:rPr>
        <w:t xml:space="preserve"> în perioada 2011 - 2014</w:t>
      </w:r>
    </w:p>
    <w:p w:rsidR="006B2FD4" w:rsidRPr="00DB2B5E" w:rsidRDefault="006B2FD4" w:rsidP="006B2FD4">
      <w:pPr>
        <w:pStyle w:val="BodyTextIndent"/>
        <w:tabs>
          <w:tab w:val="left" w:pos="2478"/>
        </w:tabs>
        <w:spacing w:after="0" w:line="240" w:lineRule="auto"/>
        <w:ind w:left="0"/>
        <w:jc w:val="both"/>
        <w:rPr>
          <w:rFonts w:ascii="Arial" w:hAnsi="Arial" w:cs="Arial"/>
          <w:sz w:val="24"/>
          <w:szCs w:val="24"/>
          <w:lang w:val="ro-RO"/>
        </w:rPr>
      </w:pPr>
    </w:p>
    <w:p w:rsidR="006B2FD4" w:rsidRPr="00DB2B5E"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 xml:space="preserve">În ceea ce privește utilizarea terenurilor cu altă destinație decât agricolă în perioada analizată se constată </w:t>
      </w:r>
    </w:p>
    <w:p w:rsidR="006B2FD4" w:rsidRPr="00DB2B5E" w:rsidRDefault="006B2FD4" w:rsidP="00EF3940">
      <w:pPr>
        <w:pStyle w:val="BodyTextIndent"/>
        <w:numPr>
          <w:ilvl w:val="0"/>
          <w:numId w:val="37"/>
        </w:numPr>
        <w:tabs>
          <w:tab w:val="left" w:pos="2478"/>
        </w:tabs>
        <w:spacing w:after="0" w:line="240" w:lineRule="auto"/>
        <w:jc w:val="both"/>
        <w:rPr>
          <w:rFonts w:ascii="Arial" w:hAnsi="Arial" w:cs="Arial"/>
          <w:b/>
          <w:sz w:val="24"/>
          <w:szCs w:val="24"/>
          <w:lang w:val="ro-RO"/>
        </w:rPr>
      </w:pPr>
      <w:r w:rsidRPr="00DB2B5E">
        <w:rPr>
          <w:rFonts w:ascii="Arial" w:hAnsi="Arial" w:cs="Arial"/>
          <w:sz w:val="24"/>
          <w:szCs w:val="24"/>
          <w:lang w:val="ro-RO"/>
        </w:rPr>
        <w:t>ușoară scădere a terenurilor neproductive în ultimii doi ani, după ce în perioada 2011-2012 se observă o ușoară creștere a acestora;</w:t>
      </w:r>
    </w:p>
    <w:p w:rsidR="006B2FD4" w:rsidRPr="00DB2B5E" w:rsidRDefault="006B2FD4" w:rsidP="00EF3940">
      <w:pPr>
        <w:pStyle w:val="BodyTextIndent"/>
        <w:numPr>
          <w:ilvl w:val="0"/>
          <w:numId w:val="37"/>
        </w:numPr>
        <w:tabs>
          <w:tab w:val="left" w:pos="2478"/>
        </w:tabs>
        <w:spacing w:after="0" w:line="240" w:lineRule="auto"/>
        <w:jc w:val="both"/>
        <w:rPr>
          <w:rFonts w:ascii="Arial" w:hAnsi="Arial" w:cs="Arial"/>
          <w:b/>
          <w:sz w:val="24"/>
          <w:szCs w:val="24"/>
          <w:lang w:val="ro-RO"/>
        </w:rPr>
      </w:pPr>
      <w:r w:rsidRPr="00DB2B5E">
        <w:rPr>
          <w:rFonts w:ascii="Arial" w:hAnsi="Arial" w:cs="Arial"/>
          <w:sz w:val="24"/>
          <w:szCs w:val="24"/>
          <w:lang w:val="ro-RO"/>
        </w:rPr>
        <w:t>o ușoară scădere a terenurilor ocupate de ape.</w:t>
      </w:r>
    </w:p>
    <w:p w:rsidR="006B2FD4" w:rsidRPr="00DB2B5E" w:rsidRDefault="006B2FD4" w:rsidP="006B2FD4">
      <w:pPr>
        <w:pStyle w:val="Footer"/>
        <w:rPr>
          <w:rFonts w:ascii="Arial" w:hAnsi="Arial" w:cs="Arial"/>
          <w:b/>
          <w:sz w:val="24"/>
          <w:szCs w:val="24"/>
          <w:lang w:val="it-IT"/>
        </w:rPr>
      </w:pPr>
    </w:p>
    <w:p w:rsidR="006B2FD4" w:rsidRPr="00DB2B5E" w:rsidRDefault="006B2FD4" w:rsidP="006B2FD4">
      <w:pPr>
        <w:pStyle w:val="Footer"/>
        <w:rPr>
          <w:rFonts w:ascii="Arial" w:hAnsi="Arial" w:cs="Arial"/>
          <w:b/>
          <w:sz w:val="24"/>
          <w:szCs w:val="24"/>
          <w:lang w:val="it-IT"/>
        </w:rPr>
      </w:pPr>
    </w:p>
    <w:p w:rsidR="006B2FD4" w:rsidRPr="00DB2B5E" w:rsidRDefault="006B2FD4" w:rsidP="006B2FD4">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lastRenderedPageBreak/>
        <w:drawing>
          <wp:inline distT="0" distB="0" distL="0" distR="0">
            <wp:extent cx="5032591" cy="2320506"/>
            <wp:effectExtent l="19050" t="0" r="15659" b="3594"/>
            <wp:docPr id="7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B2FD4" w:rsidRPr="00DB2B5E" w:rsidRDefault="006B2FD4" w:rsidP="006B2FD4">
      <w:pPr>
        <w:pStyle w:val="Footer"/>
        <w:rPr>
          <w:rFonts w:ascii="Arial" w:hAnsi="Arial" w:cs="Arial"/>
          <w:b/>
          <w:sz w:val="24"/>
          <w:szCs w:val="24"/>
          <w:lang w:val="it-IT"/>
        </w:rPr>
      </w:pPr>
    </w:p>
    <w:p w:rsidR="006B2FD4" w:rsidRPr="00DB2B5E" w:rsidRDefault="006B2FD4" w:rsidP="006B2FD4">
      <w:pPr>
        <w:pStyle w:val="Footer"/>
        <w:rPr>
          <w:rFonts w:ascii="Arial" w:hAnsi="Arial" w:cs="Arial"/>
          <w:bCs/>
          <w:iCs/>
          <w:sz w:val="24"/>
          <w:szCs w:val="24"/>
        </w:rPr>
      </w:pPr>
      <w:r w:rsidRPr="00202088">
        <w:rPr>
          <w:rFonts w:ascii="Arial" w:hAnsi="Arial" w:cs="Arial"/>
          <w:sz w:val="24"/>
          <w:szCs w:val="24"/>
          <w:lang w:val="it-IT"/>
        </w:rPr>
        <w:t xml:space="preserve">Fig. nr. IV.1.2.5 - </w:t>
      </w:r>
      <w:r w:rsidRPr="00202088">
        <w:rPr>
          <w:rFonts w:ascii="Arial" w:hAnsi="Arial" w:cs="Arial"/>
          <w:bCs/>
          <w:iCs/>
          <w:sz w:val="24"/>
          <w:szCs w:val="24"/>
        </w:rPr>
        <w:t>Evoluţia</w:t>
      </w:r>
      <w:r w:rsidRPr="00DB2B5E">
        <w:rPr>
          <w:rFonts w:ascii="Arial" w:hAnsi="Arial" w:cs="Arial"/>
          <w:bCs/>
          <w:iCs/>
          <w:sz w:val="24"/>
          <w:szCs w:val="24"/>
        </w:rPr>
        <w:t xml:space="preserve"> suprafeţei terenurilor urbane și artificiale la nivelul județului </w:t>
      </w:r>
      <w:r>
        <w:rPr>
          <w:rFonts w:ascii="Arial" w:hAnsi="Arial" w:cs="Arial"/>
          <w:bCs/>
          <w:iCs/>
          <w:sz w:val="24"/>
          <w:szCs w:val="24"/>
        </w:rPr>
        <w:t>Brăila</w:t>
      </w:r>
      <w:r w:rsidRPr="00DB2B5E">
        <w:rPr>
          <w:rFonts w:ascii="Arial" w:hAnsi="Arial" w:cs="Arial"/>
          <w:bCs/>
          <w:iCs/>
          <w:sz w:val="24"/>
          <w:szCs w:val="24"/>
        </w:rPr>
        <w:t xml:space="preserve"> în perioada 2011 – 2015</w:t>
      </w:r>
    </w:p>
    <w:p w:rsidR="006B2FD4" w:rsidRPr="00DB2B5E" w:rsidRDefault="006B2FD4" w:rsidP="006B2FD4">
      <w:pPr>
        <w:pStyle w:val="Footer"/>
        <w:rPr>
          <w:rFonts w:ascii="Arial" w:hAnsi="Arial" w:cs="Arial"/>
          <w:b/>
          <w:sz w:val="24"/>
          <w:szCs w:val="24"/>
        </w:rPr>
      </w:pPr>
    </w:p>
    <w:p w:rsidR="006B2FD4" w:rsidRPr="00DB2B5E"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În ceea ce privește terenurile urbane și artificiale (curți și construcții și drumuri și căi ferate) se constată o ușoară creștere a acestora în perioada 2011 – 2014 iar în 2015 o creștere accentuată a terenurilor curți construcții și o scădere ușoară a terenurilor drumuri și căi ferate.</w:t>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IV.2. Impactul schimbării utilizării terenurilor asupra mediului</w:t>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IV.2.1. </w:t>
      </w:r>
      <w:r w:rsidRPr="00DB2B5E">
        <w:rPr>
          <w:rFonts w:ascii="Arial" w:hAnsi="Arial" w:cs="Arial"/>
          <w:b/>
          <w:i/>
          <w:sz w:val="24"/>
          <w:szCs w:val="24"/>
          <w:lang w:val="ro-RO"/>
        </w:rPr>
        <w:t>Impactul schimbării utilizării terenurilor asupra terenurilor agricole</w:t>
      </w:r>
    </w:p>
    <w:p w:rsidR="006B2FD4"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424D0C">
        <w:rPr>
          <w:rFonts w:ascii="Arial" w:hAnsi="Arial" w:cs="Arial"/>
          <w:sz w:val="24"/>
          <w:szCs w:val="24"/>
          <w:lang w:val="ro-RO"/>
        </w:rPr>
        <w:t>Din datele furnizate de Direcţia pentru Agricultură Judeţeană Brăila, conform graficului de mai jos (figura IV.2.1.-1) se constată că în 2011-2017 suprafața terenurilor agricole din județul Brăila a crescut ușor în timp ce în ultimul  an aceasta a crescut într-o măsură mai mare.</w:t>
      </w:r>
    </w:p>
    <w:p w:rsidR="006B2FD4"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p>
    <w:p w:rsidR="006B2FD4" w:rsidRPr="00424D0C"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317CEC">
        <w:rPr>
          <w:rFonts w:ascii="Arial" w:hAnsi="Arial" w:cs="Arial"/>
          <w:noProof/>
          <w:sz w:val="24"/>
          <w:szCs w:val="24"/>
          <w:lang w:val="ro-RO" w:eastAsia="ro-RO"/>
        </w:rPr>
        <w:drawing>
          <wp:inline distT="0" distB="0" distL="0" distR="0">
            <wp:extent cx="5615796" cy="2147977"/>
            <wp:effectExtent l="0" t="0" r="4445" b="5080"/>
            <wp:docPr id="34"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B2FD4" w:rsidRPr="00DB2B5E" w:rsidRDefault="006B2FD4" w:rsidP="006B2FD4">
      <w:pPr>
        <w:pStyle w:val="Footer"/>
        <w:rPr>
          <w:rFonts w:ascii="Arial" w:hAnsi="Arial" w:cs="Arial"/>
          <w:bCs/>
          <w:iCs/>
          <w:sz w:val="24"/>
          <w:szCs w:val="24"/>
        </w:rPr>
      </w:pPr>
      <w:r w:rsidRPr="00202088">
        <w:rPr>
          <w:rFonts w:ascii="Arial" w:hAnsi="Arial" w:cs="Arial"/>
          <w:sz w:val="24"/>
          <w:szCs w:val="24"/>
          <w:lang w:val="it-IT"/>
        </w:rPr>
        <w:t>Fig. nr. IV.2.1-1 -</w:t>
      </w:r>
      <w:r w:rsidRPr="00DB2B5E">
        <w:rPr>
          <w:rFonts w:ascii="Arial" w:hAnsi="Arial" w:cs="Arial"/>
          <w:bCs/>
          <w:iCs/>
          <w:sz w:val="24"/>
          <w:szCs w:val="24"/>
        </w:rPr>
        <w:t xml:space="preserve">Evoluţia suprafeţei agricole la nivelul județului </w:t>
      </w:r>
      <w:r>
        <w:rPr>
          <w:rFonts w:ascii="Arial" w:hAnsi="Arial" w:cs="Arial"/>
          <w:bCs/>
          <w:iCs/>
          <w:sz w:val="24"/>
          <w:szCs w:val="24"/>
        </w:rPr>
        <w:t>Brăila</w:t>
      </w:r>
      <w:r w:rsidRPr="00DB2B5E">
        <w:rPr>
          <w:rFonts w:ascii="Arial" w:hAnsi="Arial" w:cs="Arial"/>
          <w:bCs/>
          <w:iCs/>
          <w:sz w:val="24"/>
          <w:szCs w:val="24"/>
        </w:rPr>
        <w:t xml:space="preserve"> în perioada 2011 – 201</w:t>
      </w:r>
      <w:r>
        <w:rPr>
          <w:rFonts w:ascii="Arial" w:hAnsi="Arial" w:cs="Arial"/>
          <w:bCs/>
          <w:iCs/>
          <w:sz w:val="24"/>
          <w:szCs w:val="24"/>
        </w:rPr>
        <w:t>6</w:t>
      </w:r>
    </w:p>
    <w:p w:rsidR="006B2FD4"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p>
    <w:p w:rsidR="006B2FD4" w:rsidRPr="00DB2B5E"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 xml:space="preserve">În anul 2015 Direcția pentru Agricultură a Județului </w:t>
      </w:r>
      <w:r>
        <w:rPr>
          <w:rFonts w:ascii="Arial" w:hAnsi="Arial" w:cs="Arial"/>
          <w:sz w:val="24"/>
          <w:szCs w:val="24"/>
          <w:lang w:val="ro-RO"/>
        </w:rPr>
        <w:t>Brăila</w:t>
      </w:r>
      <w:r w:rsidRPr="00DB2B5E">
        <w:rPr>
          <w:rFonts w:ascii="Arial" w:hAnsi="Arial" w:cs="Arial"/>
          <w:sz w:val="24"/>
          <w:szCs w:val="24"/>
          <w:lang w:val="ro-RO"/>
        </w:rPr>
        <w:t xml:space="preserve"> a verificat și aprobat documentații depuse pentru scoaterea definitivă sau temporară din circuitul agricol a terenurilor conform Ordinului comun al MADR și MAI nr. 897/2005 pentru o suprafață totală de cca. 7,4 ha. Motivația scoaterii terenurilor din circuitul agricol: construcții anexe pentru exploatații agricole, construcție ciupercărie, construcție fermă pui, montaj echipament auxiliar eoliene, foraj sonde gaze. </w:t>
      </w:r>
    </w:p>
    <w:p w:rsidR="006B2FD4" w:rsidRPr="00DB2B5E" w:rsidRDefault="006B2FD4" w:rsidP="006B2FD4">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Ponderea terenurilor agricole convertite în suprafețe artificiale în perioada 2011-2015 este reprezentată în tabelul de mai jos:</w:t>
      </w:r>
    </w:p>
    <w:p w:rsidR="006B2FD4" w:rsidRPr="00202088" w:rsidRDefault="006B2FD4" w:rsidP="006B2FD4">
      <w:pPr>
        <w:pStyle w:val="BodyTextIndent"/>
        <w:tabs>
          <w:tab w:val="left" w:pos="2478"/>
        </w:tabs>
        <w:spacing w:after="0" w:line="240" w:lineRule="auto"/>
        <w:ind w:left="0" w:firstLine="851"/>
        <w:rPr>
          <w:rFonts w:ascii="Arial" w:hAnsi="Arial" w:cs="Arial"/>
          <w:sz w:val="24"/>
          <w:szCs w:val="24"/>
          <w:lang w:val="ro-RO"/>
        </w:rPr>
      </w:pPr>
      <w:r w:rsidRPr="00202088">
        <w:rPr>
          <w:rFonts w:ascii="Arial" w:hAnsi="Arial" w:cs="Arial"/>
          <w:sz w:val="24"/>
          <w:szCs w:val="24"/>
        </w:rPr>
        <w:t>Tabel IV.2.1-1</w:t>
      </w:r>
    </w:p>
    <w:tbl>
      <w:tblPr>
        <w:tblpPr w:leftFromText="180" w:rightFromText="180" w:vertAnchor="text" w:horzAnchor="margin" w:tblpXSpec="center" w:tblpY="198"/>
        <w:tblOverlap w:val="never"/>
        <w:tblW w:w="3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1272"/>
        <w:gridCol w:w="1274"/>
        <w:gridCol w:w="1269"/>
        <w:gridCol w:w="1219"/>
        <w:gridCol w:w="1219"/>
      </w:tblGrid>
      <w:tr w:rsidR="006B2FD4" w:rsidRPr="00DB2B5E" w:rsidTr="004E444C">
        <w:trPr>
          <w:trHeight w:val="1125"/>
        </w:trPr>
        <w:tc>
          <w:tcPr>
            <w:tcW w:w="1152" w:type="pct"/>
            <w:tcBorders>
              <w:top w:val="single" w:sz="4" w:space="0" w:color="auto"/>
              <w:left w:val="single" w:sz="4" w:space="0" w:color="auto"/>
              <w:bottom w:val="single" w:sz="4" w:space="0" w:color="auto"/>
              <w:right w:val="single" w:sz="4" w:space="0" w:color="auto"/>
              <w:tl2br w:val="single" w:sz="4" w:space="0" w:color="auto"/>
            </w:tcBorders>
            <w:shd w:val="clear" w:color="auto" w:fill="DBE6C4"/>
            <w:vAlign w:val="center"/>
            <w:hideMark/>
          </w:tcPr>
          <w:p w:rsidR="006B2FD4" w:rsidRPr="00DB2B5E" w:rsidRDefault="006B2FD4" w:rsidP="004E444C">
            <w:pPr>
              <w:spacing w:after="0" w:line="240" w:lineRule="auto"/>
              <w:jc w:val="center"/>
              <w:rPr>
                <w:rFonts w:ascii="Arial" w:eastAsia="Times New Roman" w:hAnsi="Arial" w:cs="Arial"/>
                <w:b/>
                <w:sz w:val="24"/>
                <w:szCs w:val="24"/>
              </w:rPr>
            </w:pPr>
            <w:r w:rsidRPr="00DB2B5E">
              <w:rPr>
                <w:rFonts w:ascii="Arial" w:eastAsia="Times New Roman" w:hAnsi="Arial" w:cs="Arial"/>
                <w:b/>
                <w:sz w:val="24"/>
                <w:szCs w:val="24"/>
              </w:rPr>
              <w:t>An</w:t>
            </w:r>
          </w:p>
          <w:p w:rsidR="006B2FD4" w:rsidRPr="00DB2B5E" w:rsidRDefault="006B2FD4" w:rsidP="004E444C">
            <w:pPr>
              <w:spacing w:after="0" w:line="240" w:lineRule="auto"/>
              <w:jc w:val="center"/>
              <w:rPr>
                <w:rFonts w:ascii="Arial" w:eastAsia="Times New Roman" w:hAnsi="Arial" w:cs="Arial"/>
                <w:b/>
                <w:sz w:val="24"/>
                <w:szCs w:val="24"/>
              </w:rPr>
            </w:pPr>
          </w:p>
          <w:p w:rsidR="006B2FD4" w:rsidRPr="00DB2B5E" w:rsidRDefault="006B2FD4" w:rsidP="004E444C">
            <w:pPr>
              <w:spacing w:after="0" w:line="240" w:lineRule="auto"/>
              <w:jc w:val="center"/>
              <w:rPr>
                <w:rFonts w:ascii="Arial" w:eastAsia="Times New Roman" w:hAnsi="Arial" w:cs="Arial"/>
                <w:b/>
                <w:sz w:val="24"/>
                <w:szCs w:val="24"/>
              </w:rPr>
            </w:pPr>
          </w:p>
          <w:p w:rsidR="006B2FD4" w:rsidRPr="00DB2B5E" w:rsidRDefault="006B2FD4" w:rsidP="004E444C">
            <w:pPr>
              <w:spacing w:after="0" w:line="240" w:lineRule="auto"/>
              <w:jc w:val="center"/>
              <w:rPr>
                <w:rFonts w:ascii="Arial" w:eastAsia="Times New Roman" w:hAnsi="Arial" w:cs="Arial"/>
                <w:b/>
                <w:sz w:val="24"/>
                <w:szCs w:val="24"/>
              </w:rPr>
            </w:pPr>
            <w:r w:rsidRPr="00DB2B5E">
              <w:rPr>
                <w:rFonts w:ascii="Arial" w:eastAsia="Times New Roman" w:hAnsi="Arial" w:cs="Arial"/>
                <w:b/>
                <w:sz w:val="24"/>
                <w:szCs w:val="24"/>
              </w:rPr>
              <w:t>Suprafața</w:t>
            </w:r>
          </w:p>
        </w:tc>
        <w:tc>
          <w:tcPr>
            <w:tcW w:w="783"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2011</w:t>
            </w:r>
          </w:p>
        </w:tc>
        <w:tc>
          <w:tcPr>
            <w:tcW w:w="784"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2012</w:t>
            </w:r>
          </w:p>
        </w:tc>
        <w:tc>
          <w:tcPr>
            <w:tcW w:w="781"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2013</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2014</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tcPr>
          <w:p w:rsidR="006B2FD4" w:rsidRPr="00DB2B5E" w:rsidRDefault="006B2FD4" w:rsidP="004E444C">
            <w:pPr>
              <w:spacing w:after="0" w:line="240" w:lineRule="auto"/>
              <w:jc w:val="center"/>
              <w:rPr>
                <w:rFonts w:ascii="Arial" w:hAnsi="Arial" w:cs="Arial"/>
                <w:b/>
                <w:sz w:val="24"/>
                <w:szCs w:val="24"/>
              </w:rPr>
            </w:pPr>
            <w:r w:rsidRPr="00DB2B5E">
              <w:rPr>
                <w:rFonts w:ascii="Arial" w:hAnsi="Arial" w:cs="Arial"/>
                <w:b/>
                <w:sz w:val="24"/>
                <w:szCs w:val="24"/>
              </w:rPr>
              <w:t>2015</w:t>
            </w:r>
          </w:p>
        </w:tc>
      </w:tr>
      <w:tr w:rsidR="006B2FD4" w:rsidRPr="00DB2B5E" w:rsidTr="004E444C">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rPr>
                <w:rFonts w:ascii="Arial" w:hAnsi="Arial" w:cs="Arial"/>
                <w:sz w:val="24"/>
                <w:szCs w:val="24"/>
              </w:rPr>
            </w:pPr>
            <w:r w:rsidRPr="00DB2B5E">
              <w:rPr>
                <w:rFonts w:ascii="Arial" w:hAnsi="Arial" w:cs="Arial"/>
                <w:sz w:val="24"/>
                <w:szCs w:val="24"/>
              </w:rPr>
              <w:lastRenderedPageBreak/>
              <w:t>Terenuri agricole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387.363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387.160</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387.598</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387.750</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389.907</w:t>
            </w:r>
          </w:p>
        </w:tc>
      </w:tr>
      <w:tr w:rsidR="006B2FD4" w:rsidRPr="00DB2B5E" w:rsidTr="004E444C">
        <w:trPr>
          <w:trHeight w:val="1888"/>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spacing w:after="0" w:line="240" w:lineRule="auto"/>
              <w:rPr>
                <w:rFonts w:ascii="Arial" w:hAnsi="Arial" w:cs="Arial"/>
                <w:sz w:val="24"/>
                <w:szCs w:val="24"/>
              </w:rPr>
            </w:pPr>
            <w:r w:rsidRPr="00DB2B5E">
              <w:rPr>
                <w:rFonts w:ascii="Arial" w:hAnsi="Arial" w:cs="Arial"/>
                <w:sz w:val="24"/>
                <w:szCs w:val="24"/>
              </w:rPr>
              <w:t>Suprafața scoasă din circuitul agricol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51,01</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10,45</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10,52</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7,4</w:t>
            </w:r>
          </w:p>
        </w:tc>
      </w:tr>
      <w:tr w:rsidR="006B2FD4" w:rsidRPr="00DB2B5E" w:rsidTr="004E444C">
        <w:trPr>
          <w:trHeight w:val="629"/>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spacing w:after="0" w:line="240" w:lineRule="auto"/>
              <w:rPr>
                <w:rFonts w:ascii="Arial" w:hAnsi="Arial" w:cs="Arial"/>
                <w:sz w:val="24"/>
                <w:szCs w:val="24"/>
              </w:rPr>
            </w:pPr>
            <w:r w:rsidRPr="00DB2B5E">
              <w:rPr>
                <w:rFonts w:ascii="Arial" w:hAnsi="Arial" w:cs="Arial"/>
                <w:sz w:val="24"/>
                <w:szCs w:val="24"/>
              </w:rPr>
              <w:t>% Suprafață scoasă din circuit agricol din suprafața teren agricol</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0,013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0,003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pStyle w:val="BodyTextIndent"/>
              <w:spacing w:after="0" w:line="240" w:lineRule="auto"/>
              <w:ind w:left="0"/>
              <w:jc w:val="center"/>
              <w:rPr>
                <w:rFonts w:ascii="Arial" w:hAnsi="Arial" w:cs="Arial"/>
                <w:sz w:val="24"/>
                <w:szCs w:val="24"/>
              </w:rPr>
            </w:pPr>
            <w:r w:rsidRPr="00DB2B5E">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6B2FD4" w:rsidRPr="00DB2B5E" w:rsidRDefault="006B2FD4" w:rsidP="004E444C">
            <w:pPr>
              <w:spacing w:after="0" w:line="240" w:lineRule="auto"/>
              <w:jc w:val="center"/>
              <w:rPr>
                <w:rFonts w:ascii="Arial" w:hAnsi="Arial" w:cs="Arial"/>
                <w:sz w:val="24"/>
                <w:szCs w:val="24"/>
              </w:rPr>
            </w:pPr>
            <w:r w:rsidRPr="00DB2B5E">
              <w:rPr>
                <w:rFonts w:ascii="Arial" w:hAnsi="Arial" w:cs="Arial"/>
                <w:sz w:val="24"/>
                <w:szCs w:val="24"/>
              </w:rPr>
              <w:t>0,002</w:t>
            </w:r>
          </w:p>
        </w:tc>
      </w:tr>
    </w:tbl>
    <w:p w:rsidR="006B2FD4" w:rsidRPr="00DB2B5E" w:rsidRDefault="006B2FD4" w:rsidP="006B2FD4">
      <w:pPr>
        <w:pStyle w:val="BodyTextIndent"/>
        <w:tabs>
          <w:tab w:val="left" w:pos="2478"/>
        </w:tabs>
        <w:spacing w:after="0" w:line="240" w:lineRule="auto"/>
        <w:ind w:left="0" w:firstLine="851"/>
        <w:jc w:val="both"/>
        <w:rPr>
          <w:rFonts w:ascii="Arial" w:hAnsi="Arial" w:cs="Arial"/>
          <w:sz w:val="24"/>
          <w:szCs w:val="24"/>
          <w:lang w:val="ro-RO"/>
        </w:rPr>
      </w:pPr>
    </w:p>
    <w:p w:rsidR="006B2FD4" w:rsidRPr="00DB2B5E" w:rsidRDefault="006B2FD4" w:rsidP="006B2FD4">
      <w:pPr>
        <w:spacing w:after="0" w:line="240" w:lineRule="auto"/>
        <w:rPr>
          <w:rFonts w:ascii="Arial" w:hAnsi="Arial" w:cs="Arial"/>
          <w:sz w:val="24"/>
          <w:szCs w:val="24"/>
        </w:rPr>
      </w:pPr>
    </w:p>
    <w:p w:rsidR="006B2FD4" w:rsidRPr="00DB2B5E" w:rsidRDefault="006B2FD4" w:rsidP="006B2FD4">
      <w:pPr>
        <w:spacing w:after="0" w:line="240" w:lineRule="auto"/>
        <w:rPr>
          <w:rFonts w:ascii="Arial" w:hAnsi="Arial" w:cs="Arial"/>
          <w:sz w:val="24"/>
          <w:szCs w:val="24"/>
        </w:rPr>
      </w:pPr>
    </w:p>
    <w:p w:rsidR="006B2FD4" w:rsidRPr="00DB2B5E" w:rsidRDefault="006B2FD4" w:rsidP="006B2FD4">
      <w:pPr>
        <w:spacing w:after="0" w:line="240" w:lineRule="auto"/>
        <w:rPr>
          <w:rFonts w:ascii="Arial" w:hAnsi="Arial" w:cs="Arial"/>
          <w:sz w:val="24"/>
          <w:szCs w:val="24"/>
        </w:rPr>
      </w:pPr>
    </w:p>
    <w:p w:rsidR="006B2FD4" w:rsidRPr="00DB2B5E" w:rsidRDefault="006B2FD4" w:rsidP="006B2FD4">
      <w:pPr>
        <w:spacing w:after="0" w:line="240" w:lineRule="auto"/>
        <w:rPr>
          <w:rFonts w:ascii="Arial" w:hAnsi="Arial" w:cs="Arial"/>
          <w:sz w:val="24"/>
          <w:szCs w:val="24"/>
        </w:rPr>
      </w:pPr>
    </w:p>
    <w:p w:rsidR="006B2FD4" w:rsidRPr="00DB2B5E" w:rsidRDefault="006B2FD4" w:rsidP="006B2FD4">
      <w:pPr>
        <w:spacing w:after="0" w:line="240" w:lineRule="auto"/>
        <w:rPr>
          <w:rFonts w:ascii="Arial" w:hAnsi="Arial" w:cs="Arial"/>
          <w:sz w:val="24"/>
          <w:szCs w:val="24"/>
        </w:rPr>
      </w:pPr>
    </w:p>
    <w:p w:rsidR="006B2FD4" w:rsidRPr="00DB2B5E" w:rsidRDefault="006B2FD4" w:rsidP="006B2FD4">
      <w:pPr>
        <w:spacing w:after="0" w:line="240" w:lineRule="auto"/>
        <w:ind w:firstLine="708"/>
        <w:rPr>
          <w:rFonts w:ascii="Arial" w:eastAsia="Times New Roman" w:hAnsi="Arial" w:cs="Arial"/>
          <w:sz w:val="24"/>
          <w:szCs w:val="24"/>
        </w:rPr>
      </w:pPr>
    </w:p>
    <w:p w:rsidR="006B2FD4" w:rsidRPr="00DB2B5E" w:rsidRDefault="006B2FD4" w:rsidP="006B2FD4">
      <w:pPr>
        <w:spacing w:after="0" w:line="240" w:lineRule="auto"/>
        <w:ind w:firstLine="708"/>
        <w:rPr>
          <w:rFonts w:ascii="Arial" w:eastAsia="Times New Roman" w:hAnsi="Arial" w:cs="Arial"/>
          <w:sz w:val="24"/>
          <w:szCs w:val="24"/>
        </w:rPr>
      </w:pPr>
    </w:p>
    <w:p w:rsidR="006B2FD4" w:rsidRPr="00DB2B5E" w:rsidRDefault="006B2FD4" w:rsidP="006B2FD4">
      <w:pPr>
        <w:spacing w:after="0" w:line="240" w:lineRule="auto"/>
        <w:ind w:firstLine="708"/>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p>
    <w:p w:rsidR="006B2FD4" w:rsidRDefault="006B2FD4" w:rsidP="006B2FD4">
      <w:pPr>
        <w:spacing w:after="0" w:line="240" w:lineRule="auto"/>
        <w:ind w:firstLine="708"/>
        <w:jc w:val="both"/>
        <w:rPr>
          <w:rFonts w:ascii="Arial" w:eastAsia="Times New Roman" w:hAnsi="Arial" w:cs="Arial"/>
          <w:sz w:val="24"/>
          <w:szCs w:val="24"/>
        </w:rPr>
      </w:pPr>
    </w:p>
    <w:p w:rsidR="006B2FD4" w:rsidRDefault="006B2FD4" w:rsidP="006B2FD4">
      <w:pPr>
        <w:spacing w:after="0" w:line="240" w:lineRule="auto"/>
        <w:ind w:firstLine="708"/>
        <w:jc w:val="both"/>
        <w:rPr>
          <w:rFonts w:ascii="Arial" w:eastAsia="Times New Roman" w:hAnsi="Arial" w:cs="Arial"/>
          <w:sz w:val="24"/>
          <w:szCs w:val="24"/>
        </w:rPr>
      </w:pPr>
    </w:p>
    <w:p w:rsidR="006B2FD4"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După cum se observă suprafețele de teren scoase din circuitul agricol au scăzut în 2011-2015.</w:t>
      </w:r>
    </w:p>
    <w:p w:rsidR="006B2FD4" w:rsidRPr="00DB2B5E" w:rsidRDefault="006B2FD4" w:rsidP="006B2FD4">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Deși în perioada analizată au fost scoase din circuitul agricol suprafețe mici de teren suprafața totală de teren agricol a crescut cu 2544 de hectare ceea ce reprezintă doar 0,65% din suprafața agricolă a anului 2011. </w:t>
      </w:r>
    </w:p>
    <w:p w:rsidR="006B2FD4" w:rsidRPr="00DB2B5E" w:rsidRDefault="006B2FD4" w:rsidP="006B2FD4">
      <w:pPr>
        <w:spacing w:after="0" w:line="240" w:lineRule="auto"/>
        <w:ind w:firstLine="708"/>
        <w:rPr>
          <w:rFonts w:ascii="Arial" w:hAnsi="Arial" w:cs="Arial"/>
          <w:b/>
          <w:sz w:val="24"/>
          <w:szCs w:val="24"/>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IV.2.2. </w:t>
      </w:r>
      <w:r w:rsidRPr="00DB2B5E">
        <w:rPr>
          <w:rFonts w:ascii="Arial" w:hAnsi="Arial" w:cs="Arial"/>
          <w:b/>
          <w:i/>
          <w:sz w:val="24"/>
          <w:szCs w:val="24"/>
          <w:lang w:val="ro-RO"/>
        </w:rPr>
        <w:t>Impactul schimbării utilizării terenurilor asupra habitatelor</w:t>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Modul de utilizare a terenurilor s-a schimbat subtanțial în ultimul secol. Schimbările au afectat suprafețele arealelor naturale și semi-naturale, crescând în acest mod gradul de fragmentare a arealelor naturale și semi-naturale. Acest indicator oferă informații cu privire la evoluția suprafețelor arealelor naturale și semi-naturale, calculând valorile derivate din hărțile de acoperire a terenurilor. </w:t>
      </w:r>
    </w:p>
    <w:p w:rsidR="006B2FD4" w:rsidRPr="00DB2B5E" w:rsidRDefault="006B2FD4" w:rsidP="006B2FD4">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Pe lângă fenomenul de distrugere integrală a habitatelor, apare şi cel de fragmentare prin drumuri, terenuri agricole, medii urbane ori construcţii. Fragmentarea habitatelor este procesul prin care o suprafaţă mare şi continuă a unui habitat este divizată în două sau mai multe fragmente. </w:t>
      </w:r>
    </w:p>
    <w:p w:rsidR="006B2FD4" w:rsidRPr="00DB2B5E" w:rsidRDefault="006B2FD4" w:rsidP="006B2FD4">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O cauză principală a fragmentării arealelor naturale și seminaturale este reprezentată de conversia terenurilor în scopul dezvoltării infrastructurii urbane, industriale, agricole, turistice sau de transport, aceasta reprezentând cauza principală a pierderii de biodiversitate, ducând la degradarea, distrugerea şi fragmentarea habitatelor şi implicit la declinul populaţiilor naturale. </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rPr>
        <w:t xml:space="preserve">În judeţul </w:t>
      </w:r>
      <w:r>
        <w:rPr>
          <w:rFonts w:ascii="Arial" w:hAnsi="Arial" w:cs="Arial"/>
          <w:sz w:val="24"/>
          <w:szCs w:val="24"/>
        </w:rPr>
        <w:t>Brăila</w:t>
      </w:r>
      <w:r w:rsidRPr="00DB2B5E">
        <w:rPr>
          <w:rFonts w:ascii="Arial" w:hAnsi="Arial" w:cs="Arial"/>
          <w:sz w:val="24"/>
          <w:szCs w:val="24"/>
        </w:rPr>
        <w:t xml:space="preserve">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de pe terenuri cu exces de umiditate, care au fost asanate. </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rPr>
        <w:t xml:space="preserve">Consecinţele îndiguirii sunt: </w:t>
      </w:r>
    </w:p>
    <w:p w:rsidR="006B2FD4" w:rsidRPr="00DB2B5E" w:rsidRDefault="006B2FD4" w:rsidP="00EF3940">
      <w:pPr>
        <w:numPr>
          <w:ilvl w:val="0"/>
          <w:numId w:val="33"/>
        </w:numPr>
        <w:spacing w:after="0" w:line="240" w:lineRule="auto"/>
        <w:jc w:val="both"/>
        <w:rPr>
          <w:rFonts w:ascii="Arial" w:hAnsi="Arial" w:cs="Arial"/>
          <w:sz w:val="24"/>
          <w:szCs w:val="24"/>
          <w:lang w:val="it-IT"/>
        </w:rPr>
      </w:pPr>
      <w:r w:rsidRPr="00DB2B5E">
        <w:rPr>
          <w:rFonts w:ascii="Arial" w:hAnsi="Arial" w:cs="Arial"/>
          <w:sz w:val="24"/>
          <w:szCs w:val="24"/>
          <w:lang w:val="it-IT"/>
        </w:rPr>
        <w:t>modificarea regimului hidrologic al Dunării prin creşterea amplitudinii viiturilor;</w:t>
      </w:r>
    </w:p>
    <w:p w:rsidR="006B2FD4" w:rsidRPr="00DB2B5E" w:rsidRDefault="006B2FD4" w:rsidP="00EF3940">
      <w:pPr>
        <w:numPr>
          <w:ilvl w:val="0"/>
          <w:numId w:val="33"/>
        </w:numPr>
        <w:spacing w:after="0" w:line="240" w:lineRule="auto"/>
        <w:jc w:val="both"/>
        <w:rPr>
          <w:rFonts w:ascii="Arial" w:hAnsi="Arial" w:cs="Arial"/>
          <w:sz w:val="24"/>
          <w:szCs w:val="24"/>
        </w:rPr>
      </w:pPr>
      <w:r w:rsidRPr="00DB2B5E">
        <w:rPr>
          <w:rFonts w:ascii="Arial" w:hAnsi="Arial" w:cs="Arial"/>
          <w:sz w:val="24"/>
          <w:szCs w:val="24"/>
        </w:rPr>
        <w:t>reducerea capacităţii de retenţie a nutrienţilor de către zonele inundabile;</w:t>
      </w:r>
    </w:p>
    <w:p w:rsidR="006B2FD4" w:rsidRPr="00DB2B5E" w:rsidRDefault="006B2FD4" w:rsidP="00EF3940">
      <w:pPr>
        <w:numPr>
          <w:ilvl w:val="0"/>
          <w:numId w:val="33"/>
        </w:numPr>
        <w:spacing w:after="0" w:line="240" w:lineRule="auto"/>
        <w:jc w:val="both"/>
        <w:rPr>
          <w:rFonts w:ascii="Arial" w:hAnsi="Arial" w:cs="Arial"/>
          <w:sz w:val="24"/>
          <w:szCs w:val="24"/>
        </w:rPr>
      </w:pPr>
      <w:r w:rsidRPr="00DB2B5E">
        <w:rPr>
          <w:rFonts w:ascii="Arial" w:hAnsi="Arial" w:cs="Arial"/>
          <w:sz w:val="24"/>
          <w:szCs w:val="24"/>
        </w:rPr>
        <w:t>sărăturarea terenurilor desecate din cauza fluctuaţiilor nivelului pânzei freatice din sol;</w:t>
      </w:r>
    </w:p>
    <w:p w:rsidR="006B2FD4" w:rsidRPr="00DB2B5E" w:rsidRDefault="006B2FD4" w:rsidP="00EF3940">
      <w:pPr>
        <w:numPr>
          <w:ilvl w:val="0"/>
          <w:numId w:val="33"/>
        </w:numPr>
        <w:spacing w:after="0" w:line="240" w:lineRule="auto"/>
        <w:jc w:val="both"/>
        <w:rPr>
          <w:rFonts w:ascii="Arial" w:hAnsi="Arial" w:cs="Arial"/>
          <w:sz w:val="24"/>
          <w:szCs w:val="24"/>
        </w:rPr>
      </w:pPr>
      <w:r w:rsidRPr="00DB2B5E">
        <w:rPr>
          <w:rFonts w:ascii="Arial" w:hAnsi="Arial" w:cs="Arial"/>
          <w:sz w:val="24"/>
          <w:szCs w:val="24"/>
        </w:rPr>
        <w:t>reducerea zonelor de reproducere a speciilor de peşti semimigratori;</w:t>
      </w:r>
    </w:p>
    <w:p w:rsidR="006B2FD4" w:rsidRPr="00DB2B5E" w:rsidRDefault="006B2FD4" w:rsidP="00EF3940">
      <w:pPr>
        <w:numPr>
          <w:ilvl w:val="0"/>
          <w:numId w:val="33"/>
        </w:numPr>
        <w:spacing w:after="0" w:line="240" w:lineRule="auto"/>
        <w:jc w:val="both"/>
        <w:rPr>
          <w:rFonts w:ascii="Arial" w:hAnsi="Arial" w:cs="Arial"/>
          <w:sz w:val="24"/>
          <w:szCs w:val="24"/>
        </w:rPr>
      </w:pPr>
      <w:r w:rsidRPr="00DB2B5E">
        <w:rPr>
          <w:rFonts w:ascii="Arial" w:hAnsi="Arial" w:cs="Arial"/>
          <w:sz w:val="24"/>
          <w:szCs w:val="24"/>
        </w:rPr>
        <w:t>reducerea capturilor de peşte.</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u w:val="single"/>
        </w:rPr>
        <w:t>Secarea</w:t>
      </w:r>
      <w:r w:rsidRPr="00DB2B5E">
        <w:rPr>
          <w:rFonts w:ascii="Arial" w:hAnsi="Arial" w:cs="Arial"/>
          <w:sz w:val="24"/>
          <w:szCs w:val="24"/>
        </w:rPr>
        <w:t xml:space="preserve">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Canalele realizate în scop piscicol determină în prezent scurgerea prematură a apei către Dunăre, fenomen generat de faptul că, în timp, fundul bălţilor s-a ridicat prin depunerea aluviunilor aduse de fluviu. </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rPr>
        <w:lastRenderedPageBreak/>
        <w:t xml:space="preserve">Modificarea ecosistemelor a fost cauzată şi de utilizarea unor </w:t>
      </w:r>
      <w:r w:rsidRPr="00DB2B5E">
        <w:rPr>
          <w:rFonts w:ascii="Arial" w:hAnsi="Arial" w:cs="Arial"/>
          <w:sz w:val="24"/>
          <w:szCs w:val="24"/>
          <w:u w:val="single"/>
        </w:rPr>
        <w:t>metode şi tehnici agricole inadecvate</w:t>
      </w:r>
      <w:r w:rsidRPr="00DB2B5E">
        <w:rPr>
          <w:rFonts w:ascii="Arial" w:hAnsi="Arial" w:cs="Arial"/>
          <w:sz w:val="24"/>
          <w:szCs w:val="24"/>
        </w:rPr>
        <w:t xml:space="preserve"> precum folosirea pesticidelor, păşunatul intensiv sau neorganizat, arderea miriştilor.</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rPr>
        <w:t xml:space="preserve">Substituirea pădurilor aluviale naturale din Balta </w:t>
      </w:r>
      <w:r>
        <w:rPr>
          <w:rFonts w:ascii="Arial" w:hAnsi="Arial" w:cs="Arial"/>
          <w:sz w:val="24"/>
          <w:szCs w:val="24"/>
        </w:rPr>
        <w:t>BR</w:t>
      </w:r>
      <w:r w:rsidRPr="00DB2B5E">
        <w:rPr>
          <w:rFonts w:ascii="Arial" w:hAnsi="Arial" w:cs="Arial"/>
          <w:sz w:val="24"/>
          <w:szCs w:val="24"/>
        </w:rPr>
        <w:t>ăilei prin culturi uniclonale plopicole şi salicicole, îndiguirile, desecările şi întinsele monoculturi agricole practicate în ultimele decenii ale secolului trecut au dus la profunde modificări calitative şi cantitative asupra biodiversităţii judeţului.</w:t>
      </w:r>
    </w:p>
    <w:p w:rsidR="006B2FD4" w:rsidRPr="00DB2B5E" w:rsidRDefault="006B2FD4" w:rsidP="006B2FD4">
      <w:pPr>
        <w:pStyle w:val="Footer"/>
        <w:jc w:val="both"/>
        <w:rPr>
          <w:rFonts w:ascii="Arial" w:hAnsi="Arial" w:cs="Arial"/>
          <w:sz w:val="24"/>
          <w:szCs w:val="24"/>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IV.3. Factorii determinanți ai schimbării utilizării terenurilor</w:t>
      </w: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IV.3.1. </w:t>
      </w:r>
      <w:r w:rsidRPr="00DB2B5E">
        <w:rPr>
          <w:rFonts w:ascii="Arial" w:hAnsi="Arial" w:cs="Arial"/>
          <w:b/>
          <w:i/>
          <w:sz w:val="24"/>
          <w:szCs w:val="24"/>
          <w:lang w:val="ro-RO"/>
        </w:rPr>
        <w:t>Modificarea densității populației</w:t>
      </w:r>
    </w:p>
    <w:p w:rsidR="006B2FD4" w:rsidRDefault="006B2FD4" w:rsidP="006B2FD4">
      <w:pPr>
        <w:tabs>
          <w:tab w:val="left" w:pos="2160"/>
          <w:tab w:val="left" w:leader="dot" w:pos="8820"/>
        </w:tabs>
        <w:spacing w:after="0" w:line="240" w:lineRule="auto"/>
        <w:ind w:right="31" w:firstLine="851"/>
        <w:jc w:val="both"/>
        <w:rPr>
          <w:rFonts w:ascii="Arial" w:hAnsi="Arial" w:cs="Arial"/>
          <w:b/>
        </w:rPr>
      </w:pPr>
      <w:r w:rsidRPr="00DB2B5E">
        <w:rPr>
          <w:rFonts w:ascii="Arial" w:hAnsi="Arial" w:cs="Arial"/>
          <w:sz w:val="24"/>
          <w:szCs w:val="24"/>
        </w:rPr>
        <w:t xml:space="preserve">În ultimii ani populaţia judeţului </w:t>
      </w:r>
      <w:r>
        <w:rPr>
          <w:rFonts w:ascii="Arial" w:hAnsi="Arial" w:cs="Arial"/>
          <w:sz w:val="24"/>
          <w:szCs w:val="24"/>
        </w:rPr>
        <w:t>Brăila</w:t>
      </w:r>
      <w:r w:rsidRPr="00DB2B5E">
        <w:rPr>
          <w:rFonts w:ascii="Arial" w:hAnsi="Arial" w:cs="Arial"/>
          <w:sz w:val="24"/>
          <w:szCs w:val="24"/>
        </w:rPr>
        <w:t xml:space="preserve"> s-a aflat într-o continuă scădere cu o rată constant ajungându-se de la 321212 număr de locuitori  în 2011, la 308176  în anul 2015. Evoluţia populaţiei stabile a judeţului </w:t>
      </w:r>
      <w:r>
        <w:rPr>
          <w:rFonts w:ascii="Arial" w:hAnsi="Arial" w:cs="Arial"/>
          <w:sz w:val="24"/>
          <w:szCs w:val="24"/>
        </w:rPr>
        <w:t>Brăila</w:t>
      </w:r>
      <w:r w:rsidRPr="00DB2B5E">
        <w:rPr>
          <w:rFonts w:ascii="Arial" w:hAnsi="Arial" w:cs="Arial"/>
          <w:sz w:val="24"/>
          <w:szCs w:val="24"/>
        </w:rPr>
        <w:t xml:space="preserve"> pe medii (urban și rural) în perioada 2011 - 2015 este evidenţiată în tabelul de mai jos:</w:t>
      </w:r>
    </w:p>
    <w:p w:rsidR="006B2FD4" w:rsidRPr="00DB2B5E" w:rsidRDefault="006B2FD4" w:rsidP="006B2FD4">
      <w:pPr>
        <w:pStyle w:val="BodyTextIndent2"/>
        <w:spacing w:after="0" w:line="240" w:lineRule="auto"/>
        <w:ind w:left="0"/>
        <w:jc w:val="both"/>
        <w:rPr>
          <w:rFonts w:ascii="Arial" w:hAnsi="Arial" w:cs="Arial"/>
          <w:lang w:val="ro-RO"/>
        </w:rPr>
      </w:pPr>
      <w:r w:rsidRPr="00202088">
        <w:rPr>
          <w:rFonts w:ascii="Arial" w:hAnsi="Arial" w:cs="Arial"/>
          <w:lang w:val="ro-RO"/>
        </w:rPr>
        <w:t xml:space="preserve">Tabel IV.3.1-1 - </w:t>
      </w:r>
      <w:r w:rsidRPr="00DB2B5E">
        <w:rPr>
          <w:rFonts w:ascii="Arial" w:hAnsi="Arial" w:cs="Arial"/>
          <w:lang w:val="ro-RO"/>
        </w:rPr>
        <w:t xml:space="preserve">Evoluţia populaţiei stabile a judeţului </w:t>
      </w:r>
      <w:r>
        <w:rPr>
          <w:rFonts w:ascii="Arial" w:hAnsi="Arial" w:cs="Arial"/>
          <w:lang w:val="ro-RO"/>
        </w:rPr>
        <w:t>Brăila</w:t>
      </w:r>
      <w:r w:rsidRPr="00DB2B5E">
        <w:rPr>
          <w:rFonts w:ascii="Arial" w:hAnsi="Arial" w:cs="Arial"/>
          <w:lang w:val="ro-RO"/>
        </w:rPr>
        <w:t xml:space="preserve"> pe medii (urban și rural) în perioada 2012 – 201</w:t>
      </w:r>
      <w:r>
        <w:rPr>
          <w:rFonts w:ascii="Arial" w:hAnsi="Arial" w:cs="Arial"/>
          <w:lang w:val="ro-RO"/>
        </w:rPr>
        <w:t>7</w:t>
      </w:r>
      <w:r w:rsidRPr="00DB2B5E">
        <w:rPr>
          <w:rFonts w:ascii="Arial" w:hAnsi="Arial" w:cs="Arial"/>
          <w:lang w:val="ro-RO"/>
        </w:rPr>
        <w:t xml:space="preserve"> (date furnizate de Institutul Național de Statistică): </w:t>
      </w:r>
    </w:p>
    <w:p w:rsidR="006B2FD4" w:rsidRPr="00DB2B5E" w:rsidRDefault="006B2FD4" w:rsidP="006B2FD4">
      <w:pPr>
        <w:tabs>
          <w:tab w:val="left" w:pos="2160"/>
          <w:tab w:val="left" w:leader="dot" w:pos="8820"/>
        </w:tabs>
        <w:spacing w:after="0" w:line="240" w:lineRule="auto"/>
        <w:ind w:right="31"/>
        <w:rPr>
          <w:rFonts w:ascii="Arial" w:hAnsi="Arial" w:cs="Arial"/>
          <w:sz w:val="24"/>
          <w:szCs w:val="24"/>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6B2FD4" w:rsidRPr="00DB2B5E" w:rsidTr="004E444C">
        <w:trPr>
          <w:trHeight w:val="937"/>
          <w:jc w:val="center"/>
        </w:trPr>
        <w:tc>
          <w:tcPr>
            <w:tcW w:w="1001" w:type="dxa"/>
            <w:tcBorders>
              <w:bottom w:val="single" w:sz="4" w:space="0" w:color="auto"/>
            </w:tcBorders>
            <w:shd w:val="clear" w:color="auto" w:fill="D9D9D9"/>
            <w:vAlign w:val="center"/>
          </w:tcPr>
          <w:p w:rsidR="006B2FD4" w:rsidRPr="00DB2B5E" w:rsidRDefault="006B2FD4" w:rsidP="004E444C">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Anul</w:t>
            </w:r>
          </w:p>
        </w:tc>
        <w:tc>
          <w:tcPr>
            <w:tcW w:w="1018" w:type="dxa"/>
            <w:tcBorders>
              <w:bottom w:val="single" w:sz="4" w:space="0" w:color="auto"/>
            </w:tcBorders>
            <w:shd w:val="clear" w:color="auto" w:fill="D9D9D9"/>
            <w:vAlign w:val="center"/>
          </w:tcPr>
          <w:p w:rsidR="006B2FD4" w:rsidRPr="00DB2B5E" w:rsidRDefault="006B2FD4" w:rsidP="004E444C">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Total</w:t>
            </w:r>
          </w:p>
        </w:tc>
        <w:tc>
          <w:tcPr>
            <w:tcW w:w="1355" w:type="dxa"/>
            <w:tcBorders>
              <w:bottom w:val="single" w:sz="4" w:space="0" w:color="auto"/>
            </w:tcBorders>
            <w:shd w:val="clear" w:color="auto" w:fill="D9D9D9"/>
            <w:vAlign w:val="center"/>
          </w:tcPr>
          <w:p w:rsidR="006B2FD4" w:rsidRPr="00DB2B5E" w:rsidRDefault="006B2FD4" w:rsidP="004E444C">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Urban</w:t>
            </w:r>
          </w:p>
        </w:tc>
        <w:tc>
          <w:tcPr>
            <w:tcW w:w="1304" w:type="dxa"/>
            <w:tcBorders>
              <w:bottom w:val="single" w:sz="4" w:space="0" w:color="auto"/>
            </w:tcBorders>
            <w:shd w:val="clear" w:color="auto" w:fill="D9D9D9"/>
            <w:vAlign w:val="center"/>
          </w:tcPr>
          <w:p w:rsidR="006B2FD4" w:rsidRPr="00DB2B5E" w:rsidRDefault="006B2FD4" w:rsidP="004E444C">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Rural</w:t>
            </w:r>
          </w:p>
        </w:tc>
        <w:tc>
          <w:tcPr>
            <w:tcW w:w="1247" w:type="dxa"/>
            <w:tcBorders>
              <w:bottom w:val="single" w:sz="4" w:space="0" w:color="auto"/>
            </w:tcBorders>
            <w:shd w:val="clear" w:color="auto" w:fill="D9D9D9"/>
            <w:vAlign w:val="center"/>
          </w:tcPr>
          <w:p w:rsidR="006B2FD4" w:rsidRPr="00DB2B5E" w:rsidRDefault="006B2FD4" w:rsidP="004E444C">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Locuitori /km</w:t>
            </w:r>
            <w:r w:rsidRPr="00DB2B5E">
              <w:rPr>
                <w:rFonts w:ascii="Arial" w:hAnsi="Arial" w:cs="Arial"/>
                <w:b/>
                <w:sz w:val="24"/>
                <w:szCs w:val="24"/>
                <w:vertAlign w:val="superscript"/>
              </w:rPr>
              <w:t>2</w:t>
            </w:r>
          </w:p>
        </w:tc>
      </w:tr>
      <w:tr w:rsidR="006B2FD4" w:rsidRPr="00DB2B5E" w:rsidTr="004E444C">
        <w:trPr>
          <w:trHeight w:val="270"/>
          <w:jc w:val="center"/>
        </w:trPr>
        <w:tc>
          <w:tcPr>
            <w:tcW w:w="1001"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2013</w:t>
            </w:r>
          </w:p>
        </w:tc>
        <w:tc>
          <w:tcPr>
            <w:tcW w:w="1018"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315598</w:t>
            </w:r>
          </w:p>
        </w:tc>
        <w:tc>
          <w:tcPr>
            <w:tcW w:w="1355"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196563</w:t>
            </w:r>
          </w:p>
        </w:tc>
        <w:tc>
          <w:tcPr>
            <w:tcW w:w="1304"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119035</w:t>
            </w:r>
          </w:p>
        </w:tc>
        <w:tc>
          <w:tcPr>
            <w:tcW w:w="1247"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66,22</w:t>
            </w:r>
          </w:p>
        </w:tc>
      </w:tr>
      <w:tr w:rsidR="006B2FD4" w:rsidRPr="00DB2B5E" w:rsidTr="004E444C">
        <w:trPr>
          <w:trHeight w:val="270"/>
          <w:jc w:val="center"/>
        </w:trPr>
        <w:tc>
          <w:tcPr>
            <w:tcW w:w="1001"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2014</w:t>
            </w:r>
          </w:p>
        </w:tc>
        <w:tc>
          <w:tcPr>
            <w:tcW w:w="1018"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312089</w:t>
            </w:r>
          </w:p>
        </w:tc>
        <w:tc>
          <w:tcPr>
            <w:tcW w:w="1355"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194025</w:t>
            </w:r>
          </w:p>
        </w:tc>
        <w:tc>
          <w:tcPr>
            <w:tcW w:w="1304"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118064</w:t>
            </w:r>
          </w:p>
        </w:tc>
        <w:tc>
          <w:tcPr>
            <w:tcW w:w="1247"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65,49</w:t>
            </w:r>
          </w:p>
        </w:tc>
      </w:tr>
      <w:tr w:rsidR="006B2FD4" w:rsidRPr="00DB2B5E" w:rsidTr="004E444C">
        <w:trPr>
          <w:trHeight w:val="270"/>
          <w:jc w:val="center"/>
        </w:trPr>
        <w:tc>
          <w:tcPr>
            <w:tcW w:w="1001"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2015</w:t>
            </w:r>
          </w:p>
        </w:tc>
        <w:tc>
          <w:tcPr>
            <w:tcW w:w="1018"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308176</w:t>
            </w:r>
          </w:p>
        </w:tc>
        <w:tc>
          <w:tcPr>
            <w:tcW w:w="1355"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191230</w:t>
            </w:r>
          </w:p>
        </w:tc>
        <w:tc>
          <w:tcPr>
            <w:tcW w:w="1304"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116946</w:t>
            </w:r>
          </w:p>
        </w:tc>
        <w:tc>
          <w:tcPr>
            <w:tcW w:w="1247"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sidRPr="00317CEC">
              <w:rPr>
                <w:rFonts w:ascii="Arial" w:hAnsi="Arial" w:cs="Arial"/>
                <w:sz w:val="24"/>
                <w:szCs w:val="24"/>
              </w:rPr>
              <w:t>64,65</w:t>
            </w:r>
          </w:p>
        </w:tc>
      </w:tr>
      <w:tr w:rsidR="006B2FD4" w:rsidRPr="00DB2B5E" w:rsidTr="004E444C">
        <w:trPr>
          <w:trHeight w:val="270"/>
          <w:jc w:val="center"/>
        </w:trPr>
        <w:tc>
          <w:tcPr>
            <w:tcW w:w="1001"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Pr>
                <w:rFonts w:ascii="Arial" w:hAnsi="Arial" w:cs="Arial"/>
                <w:sz w:val="24"/>
                <w:szCs w:val="24"/>
              </w:rPr>
              <w:t>2016</w:t>
            </w:r>
          </w:p>
        </w:tc>
        <w:tc>
          <w:tcPr>
            <w:tcW w:w="1018"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Pr>
                <w:rFonts w:ascii="Arial" w:hAnsi="Arial" w:cs="Arial"/>
                <w:sz w:val="24"/>
                <w:szCs w:val="24"/>
              </w:rPr>
              <w:t>303662</w:t>
            </w:r>
          </w:p>
        </w:tc>
        <w:tc>
          <w:tcPr>
            <w:tcW w:w="1355"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Pr>
                <w:rFonts w:ascii="Arial" w:hAnsi="Arial" w:cs="Arial"/>
                <w:sz w:val="24"/>
                <w:szCs w:val="24"/>
              </w:rPr>
              <w:t>187956</w:t>
            </w:r>
          </w:p>
        </w:tc>
        <w:tc>
          <w:tcPr>
            <w:tcW w:w="1304"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Pr>
                <w:rFonts w:ascii="Arial" w:hAnsi="Arial" w:cs="Arial"/>
                <w:sz w:val="24"/>
                <w:szCs w:val="24"/>
              </w:rPr>
              <w:t>115666</w:t>
            </w:r>
          </w:p>
        </w:tc>
        <w:tc>
          <w:tcPr>
            <w:tcW w:w="1247" w:type="dxa"/>
            <w:shd w:val="clear" w:color="auto" w:fill="FFFFDD"/>
            <w:vAlign w:val="center"/>
          </w:tcPr>
          <w:p w:rsidR="006B2FD4" w:rsidRPr="00317CEC" w:rsidRDefault="006B2FD4" w:rsidP="004E444C">
            <w:pPr>
              <w:spacing w:after="0" w:line="240" w:lineRule="auto"/>
              <w:jc w:val="center"/>
              <w:rPr>
                <w:rFonts w:ascii="Arial" w:hAnsi="Arial" w:cs="Arial"/>
                <w:sz w:val="24"/>
                <w:szCs w:val="24"/>
              </w:rPr>
            </w:pPr>
            <w:r>
              <w:rPr>
                <w:rFonts w:ascii="Arial" w:hAnsi="Arial" w:cs="Arial"/>
                <w:sz w:val="24"/>
                <w:szCs w:val="24"/>
              </w:rPr>
              <w:t>63,72</w:t>
            </w:r>
          </w:p>
        </w:tc>
      </w:tr>
      <w:tr w:rsidR="006B2FD4" w:rsidRPr="00DB2B5E" w:rsidTr="004E444C">
        <w:trPr>
          <w:trHeight w:val="270"/>
          <w:jc w:val="center"/>
        </w:trPr>
        <w:tc>
          <w:tcPr>
            <w:tcW w:w="1001" w:type="dxa"/>
            <w:shd w:val="clear" w:color="auto" w:fill="FFFFDD"/>
            <w:vAlign w:val="center"/>
          </w:tcPr>
          <w:p w:rsidR="006B2FD4" w:rsidRDefault="006B2FD4" w:rsidP="004E444C">
            <w:pPr>
              <w:spacing w:after="0" w:line="240" w:lineRule="auto"/>
              <w:jc w:val="center"/>
              <w:rPr>
                <w:rFonts w:ascii="Arial" w:hAnsi="Arial" w:cs="Arial"/>
                <w:sz w:val="24"/>
                <w:szCs w:val="24"/>
              </w:rPr>
            </w:pPr>
            <w:r>
              <w:rPr>
                <w:rFonts w:ascii="Arial" w:hAnsi="Arial" w:cs="Arial"/>
                <w:sz w:val="24"/>
                <w:szCs w:val="24"/>
              </w:rPr>
              <w:t>2017</w:t>
            </w:r>
          </w:p>
        </w:tc>
        <w:tc>
          <w:tcPr>
            <w:tcW w:w="1018" w:type="dxa"/>
            <w:shd w:val="clear" w:color="auto" w:fill="FFFFDD"/>
            <w:vAlign w:val="center"/>
          </w:tcPr>
          <w:p w:rsidR="006B2FD4" w:rsidRDefault="006B2FD4" w:rsidP="004E444C">
            <w:pPr>
              <w:spacing w:after="0" w:line="240" w:lineRule="auto"/>
              <w:jc w:val="center"/>
              <w:rPr>
                <w:rFonts w:ascii="Arial" w:hAnsi="Arial" w:cs="Arial"/>
                <w:sz w:val="24"/>
                <w:szCs w:val="24"/>
              </w:rPr>
            </w:pPr>
            <w:r>
              <w:rPr>
                <w:rFonts w:ascii="Arial" w:hAnsi="Arial" w:cs="Arial"/>
                <w:sz w:val="24"/>
                <w:szCs w:val="24"/>
              </w:rPr>
              <w:t>299125</w:t>
            </w:r>
          </w:p>
        </w:tc>
        <w:tc>
          <w:tcPr>
            <w:tcW w:w="1355" w:type="dxa"/>
            <w:shd w:val="clear" w:color="auto" w:fill="FFFFDD"/>
            <w:vAlign w:val="center"/>
          </w:tcPr>
          <w:p w:rsidR="006B2FD4" w:rsidRDefault="006B2FD4" w:rsidP="004E444C">
            <w:pPr>
              <w:spacing w:after="0" w:line="240" w:lineRule="auto"/>
              <w:jc w:val="center"/>
              <w:rPr>
                <w:rFonts w:ascii="Arial" w:hAnsi="Arial" w:cs="Arial"/>
                <w:sz w:val="24"/>
                <w:szCs w:val="24"/>
              </w:rPr>
            </w:pPr>
            <w:r>
              <w:rPr>
                <w:rFonts w:ascii="Arial" w:hAnsi="Arial" w:cs="Arial"/>
                <w:sz w:val="24"/>
                <w:szCs w:val="24"/>
              </w:rPr>
              <w:t>184693</w:t>
            </w:r>
          </w:p>
        </w:tc>
        <w:tc>
          <w:tcPr>
            <w:tcW w:w="1304" w:type="dxa"/>
            <w:shd w:val="clear" w:color="auto" w:fill="FFFFDD"/>
            <w:vAlign w:val="center"/>
          </w:tcPr>
          <w:p w:rsidR="006B2FD4" w:rsidRDefault="006B2FD4" w:rsidP="004E444C">
            <w:pPr>
              <w:spacing w:after="0" w:line="240" w:lineRule="auto"/>
              <w:jc w:val="center"/>
              <w:rPr>
                <w:rFonts w:ascii="Arial" w:hAnsi="Arial" w:cs="Arial"/>
                <w:sz w:val="24"/>
                <w:szCs w:val="24"/>
              </w:rPr>
            </w:pPr>
            <w:r>
              <w:rPr>
                <w:rFonts w:ascii="Arial" w:hAnsi="Arial" w:cs="Arial"/>
                <w:sz w:val="24"/>
                <w:szCs w:val="24"/>
              </w:rPr>
              <w:t>114432</w:t>
            </w:r>
          </w:p>
        </w:tc>
        <w:tc>
          <w:tcPr>
            <w:tcW w:w="1247" w:type="dxa"/>
            <w:shd w:val="clear" w:color="auto" w:fill="FFFFDD"/>
            <w:vAlign w:val="center"/>
          </w:tcPr>
          <w:p w:rsidR="006B2FD4" w:rsidRDefault="006B2FD4" w:rsidP="004E444C">
            <w:pPr>
              <w:spacing w:after="0" w:line="240" w:lineRule="auto"/>
              <w:jc w:val="center"/>
              <w:rPr>
                <w:rFonts w:ascii="Arial" w:hAnsi="Arial" w:cs="Arial"/>
                <w:sz w:val="24"/>
                <w:szCs w:val="24"/>
              </w:rPr>
            </w:pPr>
            <w:r>
              <w:rPr>
                <w:rFonts w:ascii="Arial" w:hAnsi="Arial" w:cs="Arial"/>
                <w:sz w:val="24"/>
                <w:szCs w:val="24"/>
              </w:rPr>
              <w:t>62,76</w:t>
            </w:r>
          </w:p>
        </w:tc>
      </w:tr>
    </w:tbl>
    <w:p w:rsidR="006B2FD4" w:rsidRPr="00DB2B5E" w:rsidRDefault="006B2FD4" w:rsidP="006B2FD4">
      <w:pPr>
        <w:tabs>
          <w:tab w:val="left" w:pos="2160"/>
          <w:tab w:val="left" w:leader="dot" w:pos="8820"/>
        </w:tabs>
        <w:spacing w:after="0" w:line="240" w:lineRule="auto"/>
        <w:ind w:right="31"/>
        <w:rPr>
          <w:rFonts w:ascii="Arial" w:hAnsi="Arial" w:cs="Arial"/>
          <w:sz w:val="24"/>
          <w:szCs w:val="24"/>
        </w:rPr>
      </w:pPr>
    </w:p>
    <w:p w:rsidR="006B2FD4" w:rsidRDefault="006B2FD4" w:rsidP="006B2FD4">
      <w:pPr>
        <w:spacing w:after="0" w:line="240" w:lineRule="auto"/>
        <w:rPr>
          <w:rFonts w:ascii="Arial" w:eastAsia="Times New Roman" w:hAnsi="Arial" w:cs="Arial"/>
          <w:sz w:val="24"/>
          <w:szCs w:val="24"/>
        </w:rPr>
      </w:pPr>
      <w:r w:rsidRPr="00DB2B5E">
        <w:rPr>
          <w:rFonts w:ascii="Arial" w:eastAsia="Times New Roman" w:hAnsi="Arial" w:cs="Arial"/>
          <w:sz w:val="24"/>
          <w:szCs w:val="24"/>
        </w:rPr>
        <w:t xml:space="preserve">Tendința de scădere a populației județului </w:t>
      </w:r>
      <w:r>
        <w:rPr>
          <w:rFonts w:ascii="Arial" w:eastAsia="Times New Roman" w:hAnsi="Arial" w:cs="Arial"/>
          <w:sz w:val="24"/>
          <w:szCs w:val="24"/>
        </w:rPr>
        <w:t>Brăila</w:t>
      </w:r>
      <w:r w:rsidRPr="00DB2B5E">
        <w:rPr>
          <w:rFonts w:ascii="Arial" w:eastAsia="Times New Roman" w:hAnsi="Arial" w:cs="Arial"/>
          <w:sz w:val="24"/>
          <w:szCs w:val="24"/>
        </w:rPr>
        <w:t xml:space="preserve"> este mai vizibilă în mediul urban.Modificarea populației urbane în perioada 201</w:t>
      </w:r>
      <w:r>
        <w:rPr>
          <w:rFonts w:ascii="Arial" w:eastAsia="Times New Roman" w:hAnsi="Arial" w:cs="Arial"/>
          <w:sz w:val="24"/>
          <w:szCs w:val="24"/>
        </w:rPr>
        <w:t>3</w:t>
      </w:r>
      <w:r w:rsidRPr="00DB2B5E">
        <w:rPr>
          <w:rFonts w:ascii="Arial" w:eastAsia="Times New Roman" w:hAnsi="Arial" w:cs="Arial"/>
          <w:sz w:val="24"/>
          <w:szCs w:val="24"/>
        </w:rPr>
        <w:t>- 201</w:t>
      </w:r>
      <w:r>
        <w:rPr>
          <w:rFonts w:ascii="Arial" w:eastAsia="Times New Roman" w:hAnsi="Arial" w:cs="Arial"/>
          <w:sz w:val="24"/>
          <w:szCs w:val="24"/>
        </w:rPr>
        <w:t>7</w:t>
      </w:r>
      <w:r w:rsidRPr="00DB2B5E">
        <w:rPr>
          <w:rFonts w:ascii="Arial" w:eastAsia="Times New Roman" w:hAnsi="Arial" w:cs="Arial"/>
          <w:sz w:val="24"/>
          <w:szCs w:val="24"/>
        </w:rPr>
        <w:t xml:space="preserve"> (% față de anul 201</w:t>
      </w:r>
      <w:r>
        <w:rPr>
          <w:rFonts w:ascii="Arial" w:eastAsia="Times New Roman" w:hAnsi="Arial" w:cs="Arial"/>
          <w:sz w:val="24"/>
          <w:szCs w:val="24"/>
        </w:rPr>
        <w:t>3</w:t>
      </w:r>
      <w:r w:rsidRPr="00DB2B5E">
        <w:rPr>
          <w:rFonts w:ascii="Arial" w:eastAsia="Times New Roman" w:hAnsi="Arial" w:cs="Arial"/>
          <w:sz w:val="24"/>
          <w:szCs w:val="24"/>
        </w:rPr>
        <w:t>) este redată în graficul de mai jos:</w:t>
      </w:r>
    </w:p>
    <w:p w:rsidR="006B2FD4" w:rsidRPr="00DB2B5E" w:rsidRDefault="006B2FD4" w:rsidP="006B2FD4">
      <w:pPr>
        <w:spacing w:after="0" w:line="240" w:lineRule="auto"/>
        <w:ind w:firstLine="708"/>
        <w:jc w:val="cente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5408" behindDoc="0" locked="0" layoutInCell="1" allowOverlap="1">
            <wp:simplePos x="0" y="0"/>
            <wp:positionH relativeFrom="column">
              <wp:posOffset>2337435</wp:posOffset>
            </wp:positionH>
            <wp:positionV relativeFrom="paragraph">
              <wp:posOffset>-1270</wp:posOffset>
            </wp:positionV>
            <wp:extent cx="2072640" cy="3060700"/>
            <wp:effectExtent l="0" t="0" r="381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40" cy="3060700"/>
                    </a:xfrm>
                    <a:prstGeom prst="rect">
                      <a:avLst/>
                    </a:prstGeom>
                    <a:noFill/>
                  </pic:spPr>
                </pic:pic>
              </a:graphicData>
            </a:graphic>
          </wp:anchor>
        </w:drawing>
      </w: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p>
    <w:p w:rsidR="006B2FD4" w:rsidRDefault="006B2FD4" w:rsidP="006B2FD4">
      <w:pPr>
        <w:tabs>
          <w:tab w:val="left" w:pos="2160"/>
          <w:tab w:val="left" w:leader="dot" w:pos="8820"/>
        </w:tabs>
        <w:spacing w:after="0" w:line="240" w:lineRule="auto"/>
        <w:ind w:right="31"/>
        <w:jc w:val="center"/>
        <w:rPr>
          <w:rFonts w:ascii="Arial" w:hAnsi="Arial" w:cs="Arial"/>
          <w:sz w:val="24"/>
          <w:szCs w:val="24"/>
        </w:rPr>
      </w:pPr>
      <w:r w:rsidRPr="00202088">
        <w:rPr>
          <w:rFonts w:ascii="Arial" w:hAnsi="Arial" w:cs="Arial"/>
          <w:sz w:val="24"/>
          <w:szCs w:val="24"/>
        </w:rPr>
        <w:t>Figura nr.1.3-1</w:t>
      </w:r>
    </w:p>
    <w:p w:rsidR="006B2FD4" w:rsidRDefault="006B2FD4" w:rsidP="006B2FD4">
      <w:pPr>
        <w:spacing w:after="0" w:line="240" w:lineRule="auto"/>
        <w:rPr>
          <w:rFonts w:ascii="Arial" w:eastAsia="Times New Roman" w:hAnsi="Arial" w:cs="Arial"/>
          <w:sz w:val="24"/>
          <w:szCs w:val="24"/>
        </w:rPr>
      </w:pPr>
    </w:p>
    <w:p w:rsidR="006B2FD4" w:rsidRPr="00DB2B5E" w:rsidRDefault="006B2FD4" w:rsidP="006B2FD4">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Modificări ale densității populației județului </w:t>
      </w:r>
      <w:r>
        <w:rPr>
          <w:rFonts w:ascii="Arial" w:eastAsia="Times New Roman" w:hAnsi="Arial" w:cs="Arial"/>
          <w:sz w:val="24"/>
          <w:szCs w:val="24"/>
        </w:rPr>
        <w:t>Brăila</w:t>
      </w:r>
      <w:r w:rsidRPr="00DB2B5E">
        <w:rPr>
          <w:rFonts w:ascii="Arial" w:eastAsia="Times New Roman" w:hAnsi="Arial" w:cs="Arial"/>
          <w:sz w:val="24"/>
          <w:szCs w:val="24"/>
        </w:rPr>
        <w:t xml:space="preserve"> în perioada 2011-201</w:t>
      </w:r>
      <w:r>
        <w:rPr>
          <w:rFonts w:ascii="Arial" w:eastAsia="Times New Roman" w:hAnsi="Arial" w:cs="Arial"/>
          <w:sz w:val="24"/>
          <w:szCs w:val="24"/>
        </w:rPr>
        <w:t>6</w:t>
      </w:r>
      <w:r w:rsidRPr="00DB2B5E">
        <w:rPr>
          <w:rFonts w:ascii="Arial" w:eastAsia="Times New Roman" w:hAnsi="Arial" w:cs="Arial"/>
          <w:sz w:val="24"/>
          <w:szCs w:val="24"/>
        </w:rPr>
        <w:t xml:space="preserve"> s-au înregistrat conform graficului de mai jos. Se observă o scădere continuă în această perioadă.</w:t>
      </w:r>
    </w:p>
    <w:p w:rsidR="006B2FD4" w:rsidRPr="00DB2B5E" w:rsidRDefault="006B2FD4" w:rsidP="006B2FD4">
      <w:pPr>
        <w:spacing w:after="0" w:line="240" w:lineRule="auto"/>
        <w:rPr>
          <w:rFonts w:ascii="Arial" w:eastAsia="Times New Roman" w:hAnsi="Arial" w:cs="Arial"/>
          <w:sz w:val="24"/>
          <w:szCs w:val="24"/>
        </w:rPr>
      </w:pPr>
    </w:p>
    <w:p w:rsidR="006B2FD4" w:rsidRPr="00DB2B5E" w:rsidRDefault="006B2FD4" w:rsidP="006B2FD4">
      <w:pPr>
        <w:spacing w:after="0" w:line="240" w:lineRule="auto"/>
        <w:ind w:firstLine="708"/>
        <w:jc w:val="center"/>
        <w:rPr>
          <w:rFonts w:ascii="Arial" w:eastAsia="Times New Roman" w:hAnsi="Arial" w:cs="Arial"/>
          <w:sz w:val="24"/>
          <w:szCs w:val="24"/>
        </w:rPr>
      </w:pPr>
      <w:r w:rsidRPr="00317CEC">
        <w:rPr>
          <w:rFonts w:ascii="Arial" w:eastAsia="Times New Roman" w:hAnsi="Arial" w:cs="Arial"/>
          <w:noProof/>
          <w:color w:val="000000"/>
          <w:sz w:val="24"/>
          <w:szCs w:val="24"/>
        </w:rPr>
        <w:lastRenderedPageBreak/>
        <w:drawing>
          <wp:inline distT="0" distB="0" distL="0" distR="0">
            <wp:extent cx="4820920" cy="2000250"/>
            <wp:effectExtent l="19050" t="0" r="17780"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B2FD4" w:rsidRPr="00202088" w:rsidRDefault="006B2FD4" w:rsidP="006B2FD4">
      <w:pPr>
        <w:tabs>
          <w:tab w:val="left" w:pos="2160"/>
          <w:tab w:val="left" w:leader="dot" w:pos="8820"/>
        </w:tabs>
        <w:spacing w:after="0" w:line="240" w:lineRule="auto"/>
        <w:ind w:right="31"/>
        <w:jc w:val="center"/>
        <w:rPr>
          <w:rFonts w:ascii="Arial" w:hAnsi="Arial" w:cs="Arial"/>
          <w:sz w:val="24"/>
          <w:szCs w:val="24"/>
        </w:rPr>
      </w:pPr>
      <w:r w:rsidRPr="00202088">
        <w:rPr>
          <w:rFonts w:ascii="Arial" w:hAnsi="Arial" w:cs="Arial"/>
          <w:sz w:val="24"/>
          <w:szCs w:val="24"/>
        </w:rPr>
        <w:t>Figura nr.1.3- 2</w:t>
      </w:r>
    </w:p>
    <w:p w:rsidR="006B2FD4" w:rsidRPr="00202088" w:rsidRDefault="006B2FD4" w:rsidP="006B2FD4">
      <w:pPr>
        <w:spacing w:after="0" w:line="240" w:lineRule="auto"/>
        <w:ind w:firstLine="708"/>
        <w:jc w:val="center"/>
        <w:rPr>
          <w:rFonts w:ascii="Arial" w:eastAsia="Times New Roman" w:hAnsi="Arial" w:cs="Arial"/>
          <w:sz w:val="24"/>
          <w:szCs w:val="24"/>
        </w:rPr>
      </w:pPr>
    </w:p>
    <w:p w:rsidR="006B2FD4" w:rsidRDefault="006B2FD4" w:rsidP="006B2FD4">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Densitatea populației județului </w:t>
      </w:r>
      <w:r>
        <w:rPr>
          <w:rFonts w:ascii="Arial" w:eastAsia="Times New Roman" w:hAnsi="Arial" w:cs="Arial"/>
          <w:sz w:val="24"/>
          <w:szCs w:val="24"/>
        </w:rPr>
        <w:t>Brăila</w:t>
      </w:r>
      <w:r w:rsidRPr="00DB2B5E">
        <w:rPr>
          <w:rFonts w:ascii="Arial" w:eastAsia="Times New Roman" w:hAnsi="Arial" w:cs="Arial"/>
          <w:sz w:val="24"/>
          <w:szCs w:val="24"/>
        </w:rPr>
        <w:t xml:space="preserve"> s-a modificat </w:t>
      </w:r>
      <w:r w:rsidRPr="008368D2">
        <w:rPr>
          <w:rFonts w:ascii="Arial" w:eastAsia="Times New Roman" w:hAnsi="Arial" w:cs="Arial"/>
          <w:sz w:val="24"/>
          <w:szCs w:val="24"/>
        </w:rPr>
        <w:t>-</w:t>
      </w:r>
      <w:r>
        <w:rPr>
          <w:rFonts w:ascii="Arial" w:eastAsia="Times New Roman" w:hAnsi="Arial" w:cs="Arial"/>
          <w:sz w:val="24"/>
          <w:szCs w:val="24"/>
        </w:rPr>
        <w:t xml:space="preserve"> </w:t>
      </w:r>
      <w:r w:rsidRPr="008368D2">
        <w:rPr>
          <w:rFonts w:ascii="Arial" w:eastAsia="Times New Roman" w:hAnsi="Arial" w:cs="Arial"/>
          <w:sz w:val="24"/>
          <w:szCs w:val="24"/>
        </w:rPr>
        <w:t>5,22% în anul 2017 față de anul 2013.</w:t>
      </w:r>
    </w:p>
    <w:p w:rsidR="006B2FD4" w:rsidRPr="00DB2B5E" w:rsidRDefault="006B2FD4" w:rsidP="006B2FD4">
      <w:pPr>
        <w:spacing w:after="0" w:line="240" w:lineRule="auto"/>
        <w:ind w:firstLine="708"/>
        <w:rPr>
          <w:rFonts w:ascii="Arial" w:eastAsia="Times New Roman" w:hAnsi="Arial" w:cs="Arial"/>
          <w:sz w:val="24"/>
          <w:szCs w:val="24"/>
        </w:rPr>
      </w:pPr>
    </w:p>
    <w:p w:rsidR="006B2FD4" w:rsidRPr="00DB2B5E" w:rsidRDefault="006B2FD4" w:rsidP="006B2FD4">
      <w:pPr>
        <w:spacing w:after="0" w:line="240" w:lineRule="auto"/>
        <w:rPr>
          <w:rFonts w:ascii="Arial" w:eastAsia="Times New Roman" w:hAnsi="Arial" w:cs="Arial"/>
          <w:sz w:val="24"/>
          <w:szCs w:val="24"/>
        </w:rPr>
      </w:pPr>
      <w:r w:rsidRPr="00DB2B5E">
        <w:rPr>
          <w:rFonts w:ascii="Arial" w:eastAsia="Times New Roman" w:hAnsi="Arial" w:cs="Arial"/>
          <w:b/>
          <w:sz w:val="24"/>
          <w:szCs w:val="24"/>
        </w:rPr>
        <w:t xml:space="preserve">     IV.3.2. </w:t>
      </w:r>
      <w:r w:rsidRPr="00DB2B5E">
        <w:rPr>
          <w:rFonts w:ascii="Arial" w:eastAsia="Times New Roman" w:hAnsi="Arial" w:cs="Arial"/>
          <w:b/>
          <w:i/>
          <w:sz w:val="24"/>
          <w:szCs w:val="24"/>
        </w:rPr>
        <w:t>Expansiunea urbană</w:t>
      </w:r>
    </w:p>
    <w:p w:rsidR="006B2FD4"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Impactul urbanizării depinde de suprafaţa de teren ocupată şi de intensitatea de utilizare a terenurilor, de exemplu, gradul de impermeabilizare a solului şi densitatea populatiei.</w:t>
      </w: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w:t>
      </w:r>
      <w:r>
        <w:rPr>
          <w:rFonts w:ascii="Arial" w:eastAsia="Times New Roman" w:hAnsi="Arial" w:cs="Arial"/>
          <w:sz w:val="24"/>
          <w:szCs w:val="24"/>
        </w:rPr>
        <w:t>br</w:t>
      </w:r>
      <w:r w:rsidRPr="00DB2B5E">
        <w:rPr>
          <w:rFonts w:ascii="Arial" w:eastAsia="Times New Roman" w:hAnsi="Arial" w:cs="Arial"/>
          <w:sz w:val="24"/>
          <w:szCs w:val="24"/>
        </w:rPr>
        <w:t>ului apei şi protecţia împotriva inundaţiilor.</w:t>
      </w:r>
    </w:p>
    <w:p w:rsidR="006B2FD4" w:rsidRPr="00DB2B5E" w:rsidRDefault="006B2FD4" w:rsidP="006B2FD4">
      <w:pPr>
        <w:spacing w:after="0" w:line="240" w:lineRule="auto"/>
        <w:jc w:val="both"/>
        <w:rPr>
          <w:rFonts w:ascii="Arial" w:eastAsia="Times New Roman" w:hAnsi="Arial" w:cs="Arial"/>
          <w:sz w:val="24"/>
          <w:szCs w:val="24"/>
        </w:rPr>
      </w:pPr>
      <w:r w:rsidRPr="00DB2B5E">
        <w:rPr>
          <w:rFonts w:ascii="Arial" w:eastAsia="Times New Roman" w:hAnsi="Arial" w:cs="Arial"/>
          <w:sz w:val="24"/>
          <w:szCs w:val="24"/>
        </w:rPr>
        <w:tab/>
        <w:t>Terenurile ocupate de suprafeţele construite şi infrastructura densă conectează aşezările umane şi fragmentează peisajele. Acest lucru fiind, de asemenea, o sursă importantă de poluare a apei, solului şi a aerului.</w:t>
      </w:r>
    </w:p>
    <w:p w:rsidR="006B2FD4"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Evoluţia suprafeţei terenurilor urbane și artificiale la nivelul județului </w:t>
      </w:r>
      <w:r>
        <w:rPr>
          <w:rFonts w:ascii="Arial" w:eastAsia="Times New Roman" w:hAnsi="Arial" w:cs="Arial"/>
          <w:sz w:val="24"/>
          <w:szCs w:val="24"/>
        </w:rPr>
        <w:t>Brăila</w:t>
      </w:r>
      <w:r w:rsidRPr="00DB2B5E">
        <w:rPr>
          <w:rFonts w:ascii="Arial" w:eastAsia="Times New Roman" w:hAnsi="Arial" w:cs="Arial"/>
          <w:sz w:val="24"/>
          <w:szCs w:val="24"/>
        </w:rPr>
        <w:t xml:space="preserve"> în perioada 2011 – 2015 este redată în figura de mai jos. </w:t>
      </w:r>
    </w:p>
    <w:p w:rsidR="006B2FD4" w:rsidRDefault="006B2FD4" w:rsidP="006B2FD4">
      <w:pPr>
        <w:spacing w:after="0" w:line="240" w:lineRule="auto"/>
        <w:ind w:firstLine="708"/>
        <w:jc w:val="both"/>
        <w:rPr>
          <w:rFonts w:ascii="Arial" w:eastAsia="Times New Roman" w:hAnsi="Arial" w:cs="Arial"/>
          <w:sz w:val="24"/>
          <w:szCs w:val="24"/>
        </w:rPr>
      </w:pPr>
    </w:p>
    <w:p w:rsidR="00AB3578" w:rsidRPr="00DB2B5E" w:rsidRDefault="00AB3578" w:rsidP="006B2FD4">
      <w:pPr>
        <w:spacing w:after="0" w:line="240" w:lineRule="auto"/>
        <w:ind w:firstLine="708"/>
        <w:jc w:val="both"/>
        <w:rPr>
          <w:rFonts w:ascii="Arial" w:eastAsia="Times New Roman" w:hAnsi="Arial" w:cs="Arial"/>
          <w:sz w:val="24"/>
          <w:szCs w:val="24"/>
        </w:rPr>
      </w:pPr>
    </w:p>
    <w:p w:rsidR="006B2FD4" w:rsidRPr="00DB2B5E" w:rsidRDefault="006B2FD4" w:rsidP="006B2FD4">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112385" cy="2752725"/>
            <wp:effectExtent l="19050" t="0" r="12065" b="0"/>
            <wp:docPr id="24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B3578" w:rsidRDefault="00AB3578" w:rsidP="006B2FD4">
      <w:pPr>
        <w:pStyle w:val="Footer"/>
        <w:jc w:val="center"/>
        <w:rPr>
          <w:rFonts w:ascii="Arial" w:hAnsi="Arial" w:cs="Arial"/>
          <w:sz w:val="24"/>
          <w:szCs w:val="24"/>
          <w:lang w:val="it-IT"/>
        </w:rPr>
      </w:pPr>
    </w:p>
    <w:p w:rsidR="006B2FD4" w:rsidRPr="00202088" w:rsidRDefault="006B2FD4" w:rsidP="006B2FD4">
      <w:pPr>
        <w:pStyle w:val="Footer"/>
        <w:jc w:val="center"/>
        <w:rPr>
          <w:rFonts w:ascii="Arial" w:hAnsi="Arial" w:cs="Arial"/>
          <w:sz w:val="24"/>
          <w:szCs w:val="24"/>
        </w:rPr>
      </w:pPr>
      <w:r w:rsidRPr="00202088">
        <w:rPr>
          <w:rFonts w:ascii="Arial" w:hAnsi="Arial" w:cs="Arial"/>
          <w:sz w:val="24"/>
          <w:szCs w:val="24"/>
          <w:lang w:val="it-IT"/>
        </w:rPr>
        <w:t>Fig. nr. IV.3.2-1</w:t>
      </w:r>
    </w:p>
    <w:p w:rsidR="006B2FD4" w:rsidRPr="00202088" w:rsidRDefault="006B2FD4" w:rsidP="006B2FD4">
      <w:pPr>
        <w:pStyle w:val="BodyTextIndent"/>
        <w:tabs>
          <w:tab w:val="left" w:pos="2478"/>
        </w:tabs>
        <w:spacing w:after="0" w:line="240" w:lineRule="auto"/>
        <w:ind w:left="0"/>
        <w:jc w:val="both"/>
        <w:rPr>
          <w:rFonts w:ascii="Arial" w:hAnsi="Arial" w:cs="Arial"/>
          <w:sz w:val="24"/>
          <w:szCs w:val="24"/>
          <w:lang w:val="ro-RO"/>
        </w:rPr>
      </w:pPr>
    </w:p>
    <w:p w:rsidR="006B2FD4" w:rsidRPr="00DB2B5E" w:rsidRDefault="006B2FD4" w:rsidP="006B2FD4">
      <w:pPr>
        <w:pStyle w:val="BodyTextIndent"/>
        <w:tabs>
          <w:tab w:val="left" w:pos="2478"/>
        </w:tabs>
        <w:spacing w:after="0" w:line="240" w:lineRule="auto"/>
        <w:ind w:left="0"/>
        <w:jc w:val="both"/>
        <w:rPr>
          <w:rFonts w:ascii="Arial" w:hAnsi="Arial" w:cs="Arial"/>
          <w:b/>
          <w:sz w:val="24"/>
          <w:szCs w:val="24"/>
          <w:lang w:val="ro-RO"/>
        </w:rPr>
      </w:pPr>
    </w:p>
    <w:p w:rsidR="006B2FD4" w:rsidRPr="00DB2B5E" w:rsidRDefault="006B2FD4" w:rsidP="006B2FD4">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lastRenderedPageBreak/>
        <w:drawing>
          <wp:inline distT="0" distB="0" distL="0" distR="0">
            <wp:extent cx="5471795" cy="2162175"/>
            <wp:effectExtent l="19050" t="0" r="14605" b="0"/>
            <wp:docPr id="2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B2FD4" w:rsidRPr="00DB2B5E" w:rsidRDefault="006B2FD4" w:rsidP="006B2FD4">
      <w:pPr>
        <w:pStyle w:val="Footer"/>
        <w:rPr>
          <w:rFonts w:ascii="Arial" w:hAnsi="Arial" w:cs="Arial"/>
          <w:b/>
          <w:sz w:val="24"/>
          <w:szCs w:val="24"/>
          <w:lang w:val="it-IT"/>
        </w:rPr>
      </w:pPr>
    </w:p>
    <w:p w:rsidR="006B2FD4" w:rsidRPr="00DB2B5E" w:rsidRDefault="006B2FD4" w:rsidP="006B2FD4">
      <w:pPr>
        <w:pStyle w:val="Footer"/>
        <w:rPr>
          <w:rFonts w:ascii="Arial" w:hAnsi="Arial" w:cs="Arial"/>
          <w:sz w:val="24"/>
          <w:szCs w:val="24"/>
        </w:rPr>
      </w:pPr>
      <w:r w:rsidRPr="00202088">
        <w:rPr>
          <w:rFonts w:ascii="Arial" w:hAnsi="Arial" w:cs="Arial"/>
          <w:sz w:val="24"/>
          <w:szCs w:val="24"/>
          <w:lang w:val="it-IT"/>
        </w:rPr>
        <w:t xml:space="preserve">Fig. nr. IV.3.2. - 2- </w:t>
      </w:r>
      <w:r w:rsidRPr="00202088">
        <w:rPr>
          <w:rFonts w:ascii="Arial" w:hAnsi="Arial" w:cs="Arial"/>
          <w:bCs/>
          <w:iCs/>
          <w:sz w:val="24"/>
          <w:szCs w:val="24"/>
        </w:rPr>
        <w:t>Evoluţia suprafeţei terenurilor urbane și artificiale la nivelul județului Brăila în perioada</w:t>
      </w:r>
      <w:r w:rsidRPr="00DB2B5E">
        <w:rPr>
          <w:rFonts w:ascii="Arial" w:hAnsi="Arial" w:cs="Arial"/>
          <w:bCs/>
          <w:iCs/>
          <w:sz w:val="24"/>
          <w:szCs w:val="24"/>
        </w:rPr>
        <w:t xml:space="preserve"> 2011 - 2015</w:t>
      </w:r>
    </w:p>
    <w:p w:rsidR="006B2FD4" w:rsidRPr="00DB2B5E" w:rsidRDefault="006B2FD4" w:rsidP="006B2FD4">
      <w:pPr>
        <w:pStyle w:val="BodyTextIndent"/>
        <w:tabs>
          <w:tab w:val="left" w:pos="851"/>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ab/>
        <w:t xml:space="preserve">În ceea ce privește </w:t>
      </w:r>
      <w:r w:rsidRPr="00DB2B5E">
        <w:rPr>
          <w:rFonts w:ascii="Arial" w:hAnsi="Arial" w:cs="Arial"/>
          <w:i/>
          <w:sz w:val="24"/>
          <w:szCs w:val="24"/>
          <w:lang w:val="ro-RO"/>
        </w:rPr>
        <w:t>terenurile urbane și artificiale</w:t>
      </w:r>
      <w:r w:rsidRPr="00DB2B5E">
        <w:rPr>
          <w:rFonts w:ascii="Arial" w:hAnsi="Arial" w:cs="Arial"/>
          <w:sz w:val="24"/>
          <w:szCs w:val="24"/>
          <w:lang w:val="ro-RO"/>
        </w:rPr>
        <w:t xml:space="preserve"> (curți și construcții și drumuri și căi ferate) se constată o ușoară creștere a acestora în perioada 2011 – 2015.</w:t>
      </w:r>
    </w:p>
    <w:p w:rsidR="006B2FD4" w:rsidRPr="00DB2B5E" w:rsidRDefault="006B2FD4" w:rsidP="006B2FD4">
      <w:pPr>
        <w:spacing w:after="0" w:line="240" w:lineRule="auto"/>
        <w:jc w:val="center"/>
        <w:rPr>
          <w:rFonts w:ascii="Arial" w:eastAsia="Times New Roman" w:hAnsi="Arial" w:cs="Arial"/>
          <w:sz w:val="24"/>
          <w:szCs w:val="24"/>
        </w:rPr>
      </w:pPr>
    </w:p>
    <w:p w:rsidR="006B2FD4" w:rsidRPr="00DB2B5E" w:rsidRDefault="006B2FD4" w:rsidP="006B2FD4">
      <w:pPr>
        <w:spacing w:after="0" w:line="240" w:lineRule="auto"/>
        <w:jc w:val="both"/>
        <w:rPr>
          <w:rFonts w:ascii="Arial" w:eastAsia="Times New Roman" w:hAnsi="Arial" w:cs="Arial"/>
          <w:b/>
          <w:sz w:val="24"/>
          <w:szCs w:val="24"/>
        </w:rPr>
      </w:pPr>
      <w:r w:rsidRPr="00DB2B5E">
        <w:rPr>
          <w:rFonts w:ascii="Arial" w:eastAsia="Times New Roman" w:hAnsi="Arial" w:cs="Arial"/>
          <w:b/>
          <w:sz w:val="24"/>
          <w:szCs w:val="24"/>
        </w:rPr>
        <w:t>IV.4.  Prognoze și acțiuni întreprinse privind utilizarea terenurilor</w:t>
      </w:r>
    </w:p>
    <w:p w:rsidR="006B2FD4" w:rsidRDefault="006B2FD4" w:rsidP="006B2FD4">
      <w:pPr>
        <w:spacing w:after="0" w:line="240" w:lineRule="auto"/>
        <w:ind w:firstLine="708"/>
        <w:jc w:val="both"/>
        <w:rPr>
          <w:rFonts w:ascii="Arial" w:eastAsia="Times New Roman" w:hAnsi="Arial" w:cs="Arial"/>
          <w:sz w:val="24"/>
          <w:szCs w:val="24"/>
        </w:rPr>
      </w:pP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La nivel national, reducerea presiunilor datorate schimbării destinaţiei terenurilor şi care conduc la pierderea habitatelor naturale şi semi-naturale reprezintă unul dintre obiectivele prevăzute în Strategia Naţională şi Planul de Acţiune pentru Conservarea Biodiversităţii 2013 – 2020, obiective care sunt preluate și la nivel județean. </w:t>
      </w: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Deciziile politice care modifică utilizarea terenurilor implică compromisuri între interesele de dezvoltare ale sectoriale, inclusiv industrie, transport, energie, minerit, agricultură şi silvicultură. Se impune promovarea sistemelor de folosire integrată a terenurilor la nivel local şi regional, dublată de introducerea ghidurilor şi codurilor de bună practică prevăzută în cadrul Planului naţional de acţiune privind schimbările climatice, prin acţiunea Utilizarea terenurilor, schimbarea utilizării terenurilor şi silvicultură va  permite utilizarea durabilă a terenurilor.</w:t>
      </w:r>
    </w:p>
    <w:p w:rsidR="006B2FD4" w:rsidRPr="00DB2B5E" w:rsidRDefault="006B2FD4" w:rsidP="006B2FD4">
      <w:pPr>
        <w:spacing w:after="0" w:line="240" w:lineRule="auto"/>
        <w:ind w:firstLine="708"/>
        <w:jc w:val="both"/>
        <w:rPr>
          <w:rFonts w:ascii="Arial" w:eastAsia="Times New Roman" w:hAnsi="Arial" w:cs="Arial"/>
          <w:sz w:val="24"/>
          <w:szCs w:val="24"/>
        </w:rPr>
      </w:pPr>
      <w:r>
        <w:rPr>
          <w:rFonts w:ascii="Arial" w:eastAsia="Times New Roman" w:hAnsi="Arial" w:cs="Arial"/>
          <w:sz w:val="24"/>
          <w:szCs w:val="24"/>
        </w:rPr>
        <w:t>Deşi</w:t>
      </w:r>
      <w:r w:rsidRPr="00DB2B5E">
        <w:rPr>
          <w:rFonts w:ascii="Arial" w:eastAsia="Times New Roman" w:hAnsi="Arial" w:cs="Arial"/>
          <w:sz w:val="24"/>
          <w:szCs w:val="24"/>
        </w:rPr>
        <w:t xml:space="preserve"> nu există obiective cantitative în ceea ce priveşte ocuparea terenurilor prin dezvoltarea urbană la nivel european, mai multe documente reflectă necesitatea unei mai bune planificări pentru a controla dezvoltarea urbană şi extinderea infrastructurilor. </w:t>
      </w:r>
    </w:p>
    <w:p w:rsidR="006B2FD4" w:rsidRPr="00DB2B5E" w:rsidRDefault="006B2FD4" w:rsidP="006B2FD4">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Politicile referitoare la problemele de utilizare rațională a terenurilor şi la planificarea fizică şi spaţială a acestora sunt în responsabilitatea autorităţilor locale. </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eastAsia="Times New Roman" w:hAnsi="Arial" w:cs="Arial"/>
          <w:sz w:val="24"/>
          <w:szCs w:val="24"/>
        </w:rPr>
        <w:t xml:space="preserve">În ceea ce privește utilizarea terenurilor în județul </w:t>
      </w:r>
      <w:r>
        <w:rPr>
          <w:rFonts w:ascii="Arial" w:eastAsia="Times New Roman" w:hAnsi="Arial" w:cs="Arial"/>
          <w:sz w:val="24"/>
          <w:szCs w:val="24"/>
        </w:rPr>
        <w:t>Brăila</w:t>
      </w:r>
      <w:r w:rsidRPr="00DB2B5E">
        <w:rPr>
          <w:rFonts w:ascii="Arial" w:eastAsia="Times New Roman" w:hAnsi="Arial" w:cs="Arial"/>
          <w:sz w:val="24"/>
          <w:szCs w:val="24"/>
        </w:rPr>
        <w:t xml:space="preserve"> se constată în ultimii ani o tendință de creștere ușoară a terenurilor agricole de scădere a terenurilor neproductive și o ușoară creștere a  terenurilor urbane și artificiale care probabil se va păstra în perioada următoare.</w:t>
      </w:r>
    </w:p>
    <w:p w:rsidR="006B2FD4" w:rsidRPr="00DB2B5E" w:rsidRDefault="006B2FD4" w:rsidP="006B2FD4">
      <w:pPr>
        <w:spacing w:after="0" w:line="240" w:lineRule="auto"/>
        <w:ind w:firstLine="708"/>
        <w:jc w:val="both"/>
        <w:rPr>
          <w:rFonts w:ascii="Arial" w:hAnsi="Arial" w:cs="Arial"/>
          <w:sz w:val="24"/>
          <w:szCs w:val="24"/>
        </w:rPr>
      </w:pPr>
      <w:r w:rsidRPr="00DB2B5E">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DB2B5E">
        <w:rPr>
          <w:rFonts w:ascii="Arial" w:hAnsi="Arial" w:cs="Arial"/>
          <w:i/>
          <w:iCs/>
          <w:sz w:val="24"/>
          <w:szCs w:val="24"/>
        </w:rPr>
        <w:t xml:space="preserve">conversia terenurilor </w:t>
      </w:r>
      <w:r w:rsidRPr="00DB2B5E">
        <w:rPr>
          <w:rFonts w:ascii="Arial" w:hAnsi="Arial" w:cs="Arial"/>
          <w:sz w:val="24"/>
          <w:szCs w:val="24"/>
        </w:rPr>
        <w:t>în scopul extinderii urbane, dezvoltării infrastructurii de transport, dezvoltării industriale, agricole și turistice.</w:t>
      </w:r>
    </w:p>
    <w:p w:rsidR="006B2FD4" w:rsidRDefault="006B2FD4" w:rsidP="006B2FD4">
      <w:pPr>
        <w:spacing w:after="0" w:line="240" w:lineRule="auto"/>
        <w:ind w:firstLine="708"/>
        <w:jc w:val="both"/>
        <w:rPr>
          <w:rFonts w:ascii="Arial" w:hAnsi="Arial" w:cs="Arial"/>
          <w:iCs/>
          <w:sz w:val="24"/>
          <w:szCs w:val="24"/>
        </w:rPr>
      </w:pPr>
      <w:r w:rsidRPr="00DB2B5E">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p>
    <w:p w:rsidR="00AB3578" w:rsidRDefault="00AB3578" w:rsidP="006B2FD4">
      <w:pPr>
        <w:spacing w:after="0" w:line="240" w:lineRule="auto"/>
        <w:ind w:firstLine="708"/>
        <w:jc w:val="both"/>
        <w:rPr>
          <w:rFonts w:ascii="Arial" w:hAnsi="Arial" w:cs="Arial"/>
          <w:iCs/>
          <w:sz w:val="24"/>
          <w:szCs w:val="24"/>
        </w:rPr>
      </w:pPr>
    </w:p>
    <w:p w:rsidR="00AB3578" w:rsidRPr="00DB2B5E" w:rsidRDefault="00AB3578" w:rsidP="006B2FD4">
      <w:pPr>
        <w:spacing w:after="0" w:line="240" w:lineRule="auto"/>
        <w:ind w:firstLine="708"/>
        <w:jc w:val="both"/>
        <w:rPr>
          <w:rFonts w:ascii="Arial" w:hAnsi="Arial" w:cs="Arial"/>
          <w:i/>
          <w:iCs/>
          <w:sz w:val="24"/>
          <w:szCs w:val="24"/>
        </w:rPr>
      </w:pPr>
    </w:p>
    <w:p w:rsidR="007A21BD" w:rsidRPr="00067FEF" w:rsidRDefault="007A21BD" w:rsidP="007A21BD">
      <w:pPr>
        <w:shd w:val="clear" w:color="auto" w:fill="FFFFFF" w:themeFill="background1"/>
        <w:spacing w:after="0" w:line="240" w:lineRule="auto"/>
        <w:jc w:val="both"/>
        <w:rPr>
          <w:rFonts w:ascii="Arial" w:hAnsi="Arial" w:cs="Arial"/>
          <w:b/>
          <w:sz w:val="24"/>
          <w:szCs w:val="24"/>
        </w:rPr>
      </w:pPr>
      <w:r w:rsidRPr="00067FEF">
        <w:rPr>
          <w:rFonts w:ascii="Arial" w:hAnsi="Arial" w:cs="Arial"/>
          <w:b/>
          <w:sz w:val="24"/>
          <w:szCs w:val="24"/>
        </w:rPr>
        <w:lastRenderedPageBreak/>
        <w:t>V.   PROTECȚIA NATURII ȘI BIODIVERSITATEA</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Noţiunea de biodiversitate este complexă şi se referă atât la varietatea organismelor vii, specii de plante (floră) şi animale (faună), fie ele terestre sau acvatice care populează Pâmântul şi formează biosfera, cât şi la varietatea complexelor ecologice din care fac parte –ecosistemele, la varietatea peisajelor, dar şi la diversitatea culturală umană. Deci, biodiversitatea este compusă din diversitatea ecosistemelor, a speciilor şi cea genetică, dar şi cea etnoculturală. Umanitatea este ea însăşi o parte a biodiversităţii şi existenţa noastră în lume ar fi imposibilă fără aceasta. Calitatea vieţii, competitivitatea economică, forţa de muncă şi securitatea, toate se bazează pe acest capital natural.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România a ratificat Convenţia privind Diversitatea Biologică (denumită în continuare "Convenţia" sau CBD), semnată la Rio de Janeiro, în 5 iunie 1992, prin Legea nr.58/1994. Conform Convenţiei, prin biodiversitate înţelegem varietatea de expresie a lumii vii, variabilitatea organismelor vii din toate sursele, inclusiv, printre altele, a ecosistemelor terestre, marine şi a altor ecosisteme acvatice şi a complexelor ecologice din care acestea fac parte; aceasta include diversitatea în cadrul speciilor, dintre specii şi a ecosistemelor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Cele trei obiective ale CBD sunt următoarele: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conservarea diversităţii biologice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utilizarea durabilă a componentelor diversităţii biologice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împărţirea corectă şi echitabilă a beneficiilor rezultate din utilizarea resurselor genetice.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România a participat continuu la politica internaţională de mediu, semnând şi ratificând cele mai importante convenţii, rezoluţii, declaraţii şi acorduri de mediu. Astfel, a participat la: Conferinţa Naţiunilor Unite pentru Protecţia Mediului Înconjurător, Stockholm 1972, în 1992 la Conferinţa Naţiunilor Unite de la Rio de Janeiro, ratificând, în 1994, Convenţia Diversităţii Biologice, în anul 2002, la Conferinţa Naţiunilor Unite de la Johanesburg.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Totodată, România a ratificat Convenţia privind Importanţa Internaţională a Zonelor Umede (Ramsar,1991), Convenţia de la Berna privind Conservarea speciilor sălbatice şi habitatelor naturale (1993), Convenţia privind comerţul internaţional cu specii ale faunei şi florei sălbatice pe cale de dispariţie (CITES, 1994), Convenţia de la Bonn privind Conservarea Speciilor Migratoare (1998), Convenţia Carpatică (2003). De asemenea, ţara noastră a aderat la Strategia şi Planul de Acţiune Pan - European privind Conservarea Diversităţii Biologice şi a „landscape-ului”, la Acordul privind Conservarea Cetaceelor Mici din Marea Mediterană şi Marea Neagră.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Cele cinci regiuni biogeografice sunt (figura nr. V-1.):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continentală (53%);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alpină (23%);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stepică (17%);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panonică (6%); </w:t>
      </w:r>
    </w:p>
    <w:p w:rsidR="007A21BD" w:rsidRPr="00067FEF" w:rsidRDefault="007A21BD" w:rsidP="00EF3940">
      <w:pPr>
        <w:numPr>
          <w:ilvl w:val="0"/>
          <w:numId w:val="43"/>
        </w:num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sidRPr="00067FEF">
        <w:rPr>
          <w:rFonts w:ascii="Arial" w:eastAsia="Times New Roman" w:hAnsi="Arial" w:cs="Arial"/>
          <w:sz w:val="24"/>
          <w:szCs w:val="24"/>
        </w:rPr>
        <w:t xml:space="preserve">pontică (1%). </w:t>
      </w:r>
    </w:p>
    <w:p w:rsidR="007A21BD" w:rsidRPr="00067FEF" w:rsidRDefault="007A21BD" w:rsidP="007A21BD">
      <w:pPr>
        <w:shd w:val="clear" w:color="auto" w:fill="FFFFFF" w:themeFill="background1"/>
        <w:spacing w:after="0" w:line="240" w:lineRule="auto"/>
        <w:ind w:left="735"/>
        <w:jc w:val="both"/>
        <w:rPr>
          <w:rFonts w:ascii="Arial" w:hAnsi="Arial" w:cs="Arial"/>
          <w:i/>
          <w:iCs/>
          <w:sz w:val="24"/>
          <w:szCs w:val="24"/>
        </w:rPr>
      </w:pPr>
    </w:p>
    <w:p w:rsidR="007A21BD" w:rsidRPr="00067FEF" w:rsidRDefault="007A21BD" w:rsidP="007A21BD">
      <w:pPr>
        <w:shd w:val="clear" w:color="auto" w:fill="FFFFFF" w:themeFill="background1"/>
        <w:spacing w:after="0" w:line="240" w:lineRule="auto"/>
        <w:ind w:left="735"/>
        <w:jc w:val="both"/>
        <w:rPr>
          <w:rFonts w:ascii="Arial" w:hAnsi="Arial" w:cs="Arial"/>
          <w:sz w:val="24"/>
          <w:szCs w:val="24"/>
        </w:rPr>
      </w:pPr>
    </w:p>
    <w:p w:rsidR="007A21BD" w:rsidRPr="00067FEF" w:rsidRDefault="007A21BD" w:rsidP="007A21BD">
      <w:pPr>
        <w:shd w:val="clear" w:color="auto" w:fill="FFFFFF" w:themeFill="background1"/>
        <w:spacing w:after="0" w:line="240" w:lineRule="auto"/>
        <w:ind w:left="735"/>
        <w:jc w:val="both"/>
        <w:rPr>
          <w:rFonts w:ascii="Arial" w:hAnsi="Arial" w:cs="Arial"/>
          <w:sz w:val="24"/>
          <w:szCs w:val="24"/>
        </w:rPr>
      </w:pPr>
      <w:r w:rsidRPr="00067FEF">
        <w:rPr>
          <w:rFonts w:ascii="Arial" w:hAnsi="Arial" w:cs="Arial"/>
          <w:noProof/>
          <w:sz w:val="24"/>
          <w:szCs w:val="24"/>
        </w:rPr>
        <w:lastRenderedPageBreak/>
        <w:drawing>
          <wp:inline distT="0" distB="0" distL="0" distR="0">
            <wp:extent cx="5633085" cy="4451350"/>
            <wp:effectExtent l="19050" t="0" r="5715"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633085" cy="4451350"/>
                    </a:xfrm>
                    <a:prstGeom prst="rect">
                      <a:avLst/>
                    </a:prstGeom>
                    <a:noFill/>
                    <a:ln w="9525">
                      <a:noFill/>
                      <a:miter lim="800000"/>
                      <a:headEnd/>
                      <a:tailEnd/>
                    </a:ln>
                  </pic:spPr>
                </pic:pic>
              </a:graphicData>
            </a:graphic>
          </wp:inline>
        </w:drawing>
      </w:r>
    </w:p>
    <w:p w:rsidR="007A21BD" w:rsidRPr="00067FEF" w:rsidRDefault="007A21BD" w:rsidP="007A21BD">
      <w:pPr>
        <w:shd w:val="clear" w:color="auto" w:fill="FFFFFF" w:themeFill="background1"/>
        <w:spacing w:after="0" w:line="240" w:lineRule="auto"/>
        <w:ind w:left="735"/>
        <w:jc w:val="center"/>
        <w:rPr>
          <w:rFonts w:ascii="Arial" w:hAnsi="Arial" w:cs="Arial"/>
          <w:sz w:val="24"/>
          <w:szCs w:val="24"/>
        </w:rPr>
      </w:pPr>
      <w:r w:rsidRPr="00067FEF">
        <w:rPr>
          <w:rFonts w:ascii="Arial" w:hAnsi="Arial" w:cs="Arial"/>
          <w:i/>
          <w:iCs/>
          <w:sz w:val="24"/>
          <w:szCs w:val="24"/>
        </w:rPr>
        <w:t>Figura V-1. Regiunile biogeografice ale României</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Style w:val="tpt1"/>
          <w:rFonts w:ascii="Arial" w:hAnsi="Arial" w:cs="Arial"/>
          <w:b/>
          <w:sz w:val="24"/>
          <w:szCs w:val="24"/>
        </w:rPr>
      </w:pPr>
      <w:r w:rsidRPr="00067FEF">
        <w:rPr>
          <w:rFonts w:ascii="Arial" w:eastAsia="Times New Roman" w:hAnsi="Arial" w:cs="Arial"/>
          <w:sz w:val="24"/>
          <w:szCs w:val="24"/>
        </w:rPr>
        <w:t>Judeţul Brăila deţine o mare varietate de ecosisteme terestre şi acvatice (păduri specifice de luncă, pajişti, bălţi şi lacuri, canale cu maluri aluviale), caracteristice regiunii biogeografice stepice. Vegetaţia naturală de stepă se mai găseşte în prezent pe versanţii depresiunilor de tasare, în spaţiile dintre parcelele agricole, pe marginile drumurilor, în zonele necultivate temporar. În Balta Mică a Brăilei, zonă cu statut de protecţie, în ciuda modificărilor survenite în structura sistemelor ecologice, ecosistemele naturale sunt conservate în procent de cca 50%. Astfel, peste jumătate din păsările observate în ţară se regăsesc în judeţul Brăila, acesta fiind situat pe cel mai important culoar de migraţie al păsărilor din bazinul inferior al Dunării de Jos, la jumătatea rutelor de migraţie între locurile de cuibărit din nordul Europei şi refugiile de iernat din Africa.</w:t>
      </w:r>
    </w:p>
    <w:p w:rsidR="007A21BD" w:rsidRPr="00067FEF" w:rsidRDefault="007A21BD" w:rsidP="007A21BD">
      <w:pPr>
        <w:pStyle w:val="BodyTextIndent2"/>
        <w:shd w:val="clear" w:color="auto" w:fill="FFFFFF" w:themeFill="background1"/>
        <w:spacing w:after="0" w:line="240" w:lineRule="auto"/>
        <w:ind w:left="0"/>
        <w:jc w:val="both"/>
        <w:rPr>
          <w:rStyle w:val="tpt1"/>
          <w:rFonts w:ascii="Arial" w:hAnsi="Arial" w:cs="Arial"/>
          <w:b/>
        </w:rPr>
      </w:pPr>
      <w:r w:rsidRPr="00067FEF">
        <w:rPr>
          <w:rStyle w:val="tpt1"/>
          <w:rFonts w:ascii="Arial" w:hAnsi="Arial" w:cs="Arial"/>
          <w:b/>
        </w:rPr>
        <w:t>Habitatele naturale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Conform OUG nr. 57/2007 privind regimul ariilor naturale protejate, conservarea habitatelor naturale, a florei şi faunei salbatice, aprobată cu modificări şi completări prin Legea nr. 49/2011, cu completările ulterioare habitatele naturale sunt zone terestre, acvatice sau subterane, în stare naturală sau seminaturală, ce se diferenţiază prin caracteristici geografice, abiotice şi biotice. Principalele tipuri de habitate din judeţul Brăila sunt caracteristice regiunii biogeografice stepice şi sunt atât acvatice, cât şi terestre (păduri şi pajişti):</w:t>
      </w:r>
    </w:p>
    <w:p w:rsidR="007A21BD" w:rsidRPr="00067FEF" w:rsidRDefault="007A21BD" w:rsidP="00EF3940">
      <w:pPr>
        <w:numPr>
          <w:ilvl w:val="0"/>
          <w:numId w:val="45"/>
        </w:numPr>
        <w:shd w:val="clear" w:color="auto" w:fill="FFFFFF" w:themeFill="background1"/>
        <w:spacing w:after="0" w:line="240" w:lineRule="auto"/>
        <w:jc w:val="both"/>
        <w:rPr>
          <w:rFonts w:ascii="Arial" w:hAnsi="Arial" w:cs="Arial"/>
          <w:sz w:val="24"/>
          <w:szCs w:val="24"/>
          <w:lang w:val="fr-FR"/>
        </w:rPr>
      </w:pPr>
      <w:r w:rsidRPr="00067FEF">
        <w:rPr>
          <w:rFonts w:ascii="Arial" w:hAnsi="Arial" w:cs="Arial"/>
          <w:sz w:val="24"/>
          <w:szCs w:val="24"/>
          <w:lang w:val="fr-FR"/>
        </w:rPr>
        <w:t>Habitatele de pădure.</w:t>
      </w:r>
    </w:p>
    <w:p w:rsidR="007A21BD" w:rsidRPr="00067FEF" w:rsidRDefault="007A21BD" w:rsidP="007A21BD">
      <w:pPr>
        <w:shd w:val="clear" w:color="auto" w:fill="FFFFFF" w:themeFill="background1"/>
        <w:spacing w:after="0" w:line="240" w:lineRule="auto"/>
        <w:ind w:left="66"/>
        <w:jc w:val="both"/>
        <w:rPr>
          <w:rFonts w:ascii="Arial" w:hAnsi="Arial" w:cs="Arial"/>
          <w:sz w:val="24"/>
          <w:szCs w:val="24"/>
          <w:lang w:val="fr-FR"/>
        </w:rPr>
      </w:pPr>
      <w:r w:rsidRPr="00067FEF">
        <w:rPr>
          <w:rFonts w:ascii="Arial" w:hAnsi="Arial" w:cs="Arial"/>
          <w:sz w:val="24"/>
          <w:szCs w:val="24"/>
          <w:lang w:val="fr-FR"/>
        </w:rPr>
        <w:t>Habitatele cu vegetaţie forestieră reprezintă circa 5% din suprafaţa judeţului şi sunt situate:</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xml:space="preserve">- 80% în luncile inundabile ale fluviului Dunărea şi ale râurilor Buzău şi Siret (predominant din plop şi salcie);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- 20% sunt păduri de terasă pe raza judeţului, compuse preponderent din salcâm şi stejar, cele mai importante fiind trupurile: Viişoara, Colţea, Tătaru, Râmnicelu, Romanu, Rubla şi Lacu Sărat.</w:t>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r w:rsidRPr="00067FEF">
        <w:rPr>
          <w:rFonts w:ascii="Arial" w:hAnsi="Arial" w:cs="Arial"/>
          <w:sz w:val="24"/>
          <w:szCs w:val="24"/>
          <w:lang w:val="fr-FR"/>
        </w:rPr>
        <w:tab/>
      </w: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r w:rsidRPr="00067FEF">
        <w:rPr>
          <w:rFonts w:ascii="Arial" w:hAnsi="Arial" w:cs="Arial"/>
          <w:sz w:val="24"/>
          <w:szCs w:val="24"/>
          <w:lang w:val="fr-FR"/>
        </w:rPr>
        <w:t>Tipuri de habitate forestiere:</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Stejăret (Quercus pubescens) pe soluri sărăturoase în stepă;</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Păduri stepice cu stejar brumăriu (Quercus pedunculiflora);</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Amestec de şleau de luncă cu stejar pedunculat (Quercus robur);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Frăsinet de haşmac (păduri dispuse în fâşii înguste) cu Fraxinus excelsior;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Ulmet de luncă cu Ulmus campestris;</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lastRenderedPageBreak/>
        <w:t>- Păduri aluviale (zăvoaie) de plopi albi (Populus alba) din luncă;</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Zăvoaie de plop negru (Populus nigra) din luncă;</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Zăvoaie amestecate de Populus alba şi P. nigra din luncă;</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Zăvoaie de salcie (Salix alba) din luncă;</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lang w:val="fr-FR"/>
        </w:rPr>
      </w:pPr>
      <w:r w:rsidRPr="00067FEF">
        <w:rPr>
          <w:rFonts w:ascii="Arial" w:hAnsi="Arial" w:cs="Arial"/>
          <w:sz w:val="24"/>
          <w:szCs w:val="24"/>
          <w:lang w:val="fr-FR"/>
        </w:rPr>
        <w:t>- Zăvoaie amestecate de plopi şi salcie din luncă;</w:t>
      </w:r>
    </w:p>
    <w:p w:rsidR="007A21BD" w:rsidRPr="00067FEF" w:rsidRDefault="007A21BD" w:rsidP="007A21BD">
      <w:pPr>
        <w:shd w:val="clear" w:color="auto" w:fill="FFFFFF" w:themeFill="background1"/>
        <w:spacing w:after="0" w:line="240" w:lineRule="auto"/>
        <w:ind w:firstLine="426"/>
        <w:jc w:val="both"/>
        <w:rPr>
          <w:rFonts w:ascii="Arial" w:hAnsi="Arial" w:cs="Arial"/>
          <w:sz w:val="24"/>
          <w:szCs w:val="24"/>
          <w:lang w:val="fr-FR"/>
        </w:rPr>
      </w:pPr>
      <w:r w:rsidRPr="00067FEF">
        <w:rPr>
          <w:rFonts w:ascii="Arial" w:hAnsi="Arial" w:cs="Arial"/>
          <w:sz w:val="24"/>
          <w:szCs w:val="24"/>
          <w:lang w:val="fr-FR"/>
        </w:rPr>
        <w:t xml:space="preserve">    - Zăvoaie de salcie şi cătină (Tamarix ramosissima) din lunci, pe soluri sărăturoase.</w:t>
      </w: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p>
    <w:p w:rsidR="007A21BD" w:rsidRPr="009173C4" w:rsidRDefault="007A21BD" w:rsidP="00EF3940">
      <w:pPr>
        <w:pStyle w:val="ListParagraph"/>
        <w:numPr>
          <w:ilvl w:val="0"/>
          <w:numId w:val="45"/>
        </w:numPr>
        <w:shd w:val="clear" w:color="auto" w:fill="FFFFFF" w:themeFill="background1"/>
        <w:jc w:val="both"/>
        <w:rPr>
          <w:rFonts w:ascii="Arial" w:hAnsi="Arial" w:cs="Arial"/>
          <w:lang w:val="fr-FR"/>
        </w:rPr>
      </w:pPr>
      <w:r w:rsidRPr="009173C4">
        <w:rPr>
          <w:rFonts w:ascii="Arial" w:hAnsi="Arial" w:cs="Arial"/>
          <w:lang w:val="fr-FR"/>
        </w:rPr>
        <w:t>Habitatele de pajişti (pajişti de stepă, pajişti de luncă şi tufărişuri)</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Bromus tectorum, Salsola ruthenica şi Artemisia austriaca (peliniţă) .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Habitatele de pajişti naturale sunt mai bine reprezentate în perimetrul Parcului Natural Balta Mică a Brăilei, afectate în trecut de păşunatul animalelor lăsate în stare semisălbatică (vaci, cai, dar mai ales porci), precum şi de păşunatul ovinelor, prin acumularea şi descompunerea dejecţiilor de ovine, rămânând doar speciile rezistente la acidifierea solului.</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Tufărişurile au cea mai mică dezvoltare, fie aparţinând pajiştilor, fie existând izolat, pe arii restrânse, în zone de luncă cu maluri nisipoase.</w:t>
      </w:r>
    </w:p>
    <w:p w:rsidR="007A21BD" w:rsidRPr="00067FEF" w:rsidRDefault="009173C4" w:rsidP="009173C4">
      <w:p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7A21BD" w:rsidRPr="00067FEF">
        <w:rPr>
          <w:rFonts w:ascii="Arial" w:eastAsia="Times New Roman" w:hAnsi="Arial" w:cs="Arial"/>
          <w:sz w:val="24"/>
          <w:szCs w:val="24"/>
        </w:rPr>
        <w:t xml:space="preserve"> Habitatele acvatice sunt reprezentate prin:</w:t>
      </w:r>
    </w:p>
    <w:p w:rsidR="007A21BD" w:rsidRPr="00067FEF" w:rsidRDefault="007A21BD" w:rsidP="00EF3940">
      <w:pPr>
        <w:pStyle w:val="ListParagraph"/>
        <w:numPr>
          <w:ilvl w:val="0"/>
          <w:numId w:val="54"/>
        </w:numPr>
        <w:shd w:val="clear" w:color="auto" w:fill="FFFFFF" w:themeFill="background1"/>
        <w:jc w:val="both"/>
        <w:rPr>
          <w:rFonts w:ascii="Arial" w:hAnsi="Arial" w:cs="Arial"/>
          <w:lang w:val="fr-FR"/>
        </w:rPr>
      </w:pPr>
      <w:r w:rsidRPr="00067FEF">
        <w:rPr>
          <w:rFonts w:ascii="Arial" w:hAnsi="Arial" w:cs="Arial"/>
          <w:lang w:val="fr-FR"/>
        </w:rPr>
        <w:t>lacuri (sărate şi dulci)</w:t>
      </w:r>
    </w:p>
    <w:p w:rsidR="007A21BD" w:rsidRPr="00067FEF" w:rsidRDefault="007A21BD" w:rsidP="00EF3940">
      <w:pPr>
        <w:pStyle w:val="ListParagraph"/>
        <w:numPr>
          <w:ilvl w:val="0"/>
          <w:numId w:val="54"/>
        </w:numPr>
        <w:shd w:val="clear" w:color="auto" w:fill="FFFFFF" w:themeFill="background1"/>
        <w:jc w:val="both"/>
        <w:rPr>
          <w:rFonts w:ascii="Arial" w:hAnsi="Arial" w:cs="Arial"/>
          <w:lang w:val="fr-FR"/>
        </w:rPr>
      </w:pPr>
      <w:r w:rsidRPr="00067FEF">
        <w:rPr>
          <w:rFonts w:ascii="Arial" w:hAnsi="Arial" w:cs="Arial"/>
          <w:lang w:val="fr-FR"/>
        </w:rPr>
        <w:t>bălţi (permanente şi temporare)</w:t>
      </w:r>
    </w:p>
    <w:p w:rsidR="007A21BD" w:rsidRPr="00067FEF" w:rsidRDefault="007A21BD" w:rsidP="00EF3940">
      <w:pPr>
        <w:pStyle w:val="ListParagraph"/>
        <w:numPr>
          <w:ilvl w:val="0"/>
          <w:numId w:val="54"/>
        </w:numPr>
        <w:shd w:val="clear" w:color="auto" w:fill="FFFFFF" w:themeFill="background1"/>
        <w:jc w:val="both"/>
        <w:rPr>
          <w:rFonts w:ascii="Arial" w:hAnsi="Arial" w:cs="Arial"/>
          <w:lang w:val="fr-FR"/>
        </w:rPr>
      </w:pPr>
      <w:r w:rsidRPr="00067FEF">
        <w:rPr>
          <w:rFonts w:ascii="Arial" w:hAnsi="Arial" w:cs="Arial"/>
          <w:lang w:val="fr-FR"/>
        </w:rPr>
        <w:t>mlaştini</w:t>
      </w:r>
    </w:p>
    <w:p w:rsidR="007A21BD" w:rsidRPr="00067FEF" w:rsidRDefault="007A21BD" w:rsidP="00EF3940">
      <w:pPr>
        <w:pStyle w:val="ListParagraph"/>
        <w:numPr>
          <w:ilvl w:val="0"/>
          <w:numId w:val="54"/>
        </w:numPr>
        <w:shd w:val="clear" w:color="auto" w:fill="FFFFFF" w:themeFill="background1"/>
        <w:jc w:val="both"/>
        <w:rPr>
          <w:rFonts w:ascii="Arial" w:hAnsi="Arial" w:cs="Arial"/>
          <w:lang w:val="fr-FR"/>
        </w:rPr>
      </w:pPr>
      <w:r w:rsidRPr="00067FEF">
        <w:rPr>
          <w:rFonts w:ascii="Arial" w:hAnsi="Arial" w:cs="Arial"/>
          <w:lang w:val="fr-FR"/>
        </w:rPr>
        <w:t>zone mlăştinoase</w:t>
      </w:r>
    </w:p>
    <w:p w:rsidR="007A21BD" w:rsidRPr="00067FEF" w:rsidRDefault="007A21BD" w:rsidP="00EF3940">
      <w:pPr>
        <w:pStyle w:val="ListParagraph"/>
        <w:numPr>
          <w:ilvl w:val="0"/>
          <w:numId w:val="54"/>
        </w:numPr>
        <w:shd w:val="clear" w:color="auto" w:fill="FFFFFF" w:themeFill="background1"/>
        <w:jc w:val="both"/>
        <w:rPr>
          <w:rFonts w:ascii="Arial" w:hAnsi="Arial" w:cs="Arial"/>
          <w:lang w:val="fr-FR"/>
        </w:rPr>
      </w:pPr>
      <w:r w:rsidRPr="00067FEF">
        <w:rPr>
          <w:rFonts w:ascii="Arial" w:hAnsi="Arial" w:cs="Arial"/>
          <w:lang w:val="fr-FR"/>
        </w:rPr>
        <w:t>canale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Habitatele acvatice sunt destul de diverse, mergând ca reprezentare de la braţele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Lacurile din judeţul Brăila sunt de trei categorii: clasto-carstice (lacurile cantonate în  depresiuni de tasare în loess sau crovuri), numite şi lacuri de crov, limanuri fluviatile (lacurile de meandru) şi lacuri de luncă.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Lacurile de meandru şi de braţ părăsit se găsesc îndeosebi în lunca Dunării (Blasova), pe terasa Călmăţuiului, precum şi în apropiere de Brăila (Lacul Sărat Brăila).</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O importantă categorie a apelor de suprafaţă o constituie lacurile terapeutice sărate, cu nămol sapropelic. Acestea sunt: Lacul Sărat Brăila, Lacurile Câineni Băi şi Movila Miresii.</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Lacul Sărat Brăila, este un vechi curs al Dunării, blocat acum, situat în sudul municipiului Brăila. Apa are o salinitate mare, iar fundul lacului este acoperit cu nămol terapeutic sapropelic. Morfologic este alcătuit din două compartimente (I şi II) separate de DJ 212, acestea putând comunica la nivele mari printr-o subtraversare a drumului. Lacul Sărat I Brăila, este singurul lac terapeutic din judeţ ale cărui resurse (apă sărată și nămol sapropelic) sunt valorificate la ora actuală. Valoarea terapeutică a apei şi a nămolului este cunoscută de multă vreme de către locuitorii acestei regiuni şi din vecinătăţi.</w:t>
      </w:r>
    </w:p>
    <w:p w:rsidR="007A21BD" w:rsidRPr="00067FEF" w:rsidRDefault="007A21BD" w:rsidP="007A21BD">
      <w:pPr>
        <w:shd w:val="clear" w:color="auto" w:fill="FFFFFF" w:themeFill="background1"/>
        <w:spacing w:after="0" w:line="240" w:lineRule="auto"/>
        <w:jc w:val="both"/>
        <w:rPr>
          <w:rFonts w:ascii="Arial" w:hAnsi="Arial" w:cs="Arial"/>
          <w:b/>
          <w:bCs/>
          <w:sz w:val="24"/>
          <w:szCs w:val="24"/>
        </w:rPr>
      </w:pPr>
      <w:r w:rsidRPr="00067FEF">
        <w:rPr>
          <w:rFonts w:ascii="Arial" w:hAnsi="Arial" w:cs="Arial"/>
          <w:b/>
          <w:bCs/>
          <w:sz w:val="24"/>
          <w:szCs w:val="24"/>
        </w:rPr>
        <w:t>Habitate de interes European</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Habitatele naturale de interes comunitar sunt acele tipuri care:</w:t>
      </w:r>
    </w:p>
    <w:p w:rsidR="007A21BD" w:rsidRPr="00D16CA7" w:rsidRDefault="007A21BD" w:rsidP="007A21BD">
      <w:pPr>
        <w:shd w:val="clear" w:color="auto" w:fill="FFFFFF" w:themeFill="background1"/>
        <w:spacing w:after="0" w:line="240" w:lineRule="auto"/>
        <w:jc w:val="both"/>
        <w:rPr>
          <w:rFonts w:ascii="Arial" w:hAnsi="Arial" w:cs="Arial"/>
          <w:sz w:val="24"/>
          <w:szCs w:val="24"/>
          <w:lang w:val="it-IT"/>
        </w:rPr>
      </w:pPr>
      <w:r w:rsidRPr="00D16CA7">
        <w:rPr>
          <w:rStyle w:val="li1"/>
          <w:rFonts w:ascii="Arial" w:hAnsi="Arial" w:cs="Arial"/>
          <w:color w:val="auto"/>
          <w:sz w:val="24"/>
          <w:szCs w:val="24"/>
          <w:lang w:val="it-IT"/>
        </w:rPr>
        <w:t xml:space="preserve">a) </w:t>
      </w:r>
      <w:r w:rsidRPr="00D16CA7">
        <w:rPr>
          <w:rStyle w:val="tli1"/>
          <w:rFonts w:ascii="Arial" w:hAnsi="Arial" w:cs="Arial"/>
          <w:sz w:val="24"/>
          <w:szCs w:val="24"/>
          <w:lang w:val="it-IT"/>
        </w:rPr>
        <w:t>sunt în pericol de dispariţie în arealul lor natural;</w:t>
      </w:r>
    </w:p>
    <w:p w:rsidR="007A21BD" w:rsidRPr="00D16CA7" w:rsidRDefault="007A21BD" w:rsidP="007A21BD">
      <w:pPr>
        <w:shd w:val="clear" w:color="auto" w:fill="FFFFFF" w:themeFill="background1"/>
        <w:spacing w:after="0" w:line="240" w:lineRule="auto"/>
        <w:jc w:val="both"/>
        <w:rPr>
          <w:rFonts w:ascii="Arial" w:hAnsi="Arial" w:cs="Arial"/>
          <w:sz w:val="24"/>
          <w:szCs w:val="24"/>
          <w:lang w:val="it-IT"/>
        </w:rPr>
      </w:pPr>
      <w:r w:rsidRPr="00D16CA7">
        <w:rPr>
          <w:rStyle w:val="li1"/>
          <w:rFonts w:ascii="Arial" w:hAnsi="Arial" w:cs="Arial"/>
          <w:color w:val="auto"/>
          <w:sz w:val="24"/>
          <w:szCs w:val="24"/>
          <w:lang w:val="it-IT"/>
        </w:rPr>
        <w:t xml:space="preserve">b) </w:t>
      </w:r>
      <w:r w:rsidRPr="00D16CA7">
        <w:rPr>
          <w:rStyle w:val="tli1"/>
          <w:rFonts w:ascii="Arial" w:hAnsi="Arial" w:cs="Arial"/>
          <w:sz w:val="24"/>
          <w:szCs w:val="24"/>
          <w:lang w:val="it-IT"/>
        </w:rPr>
        <w:t>au un areal natural redus ca urmare a restrângerii acestuia sau suprafaţa sa este redusă în mod natural;</w:t>
      </w:r>
    </w:p>
    <w:p w:rsidR="007A21BD" w:rsidRPr="00067FEF" w:rsidRDefault="007A21BD" w:rsidP="007A21BD">
      <w:pPr>
        <w:shd w:val="clear" w:color="auto" w:fill="FFFFFF" w:themeFill="background1"/>
        <w:spacing w:after="0" w:line="240" w:lineRule="auto"/>
        <w:jc w:val="both"/>
        <w:rPr>
          <w:rFonts w:ascii="Arial" w:hAnsi="Arial" w:cs="Arial"/>
          <w:sz w:val="24"/>
          <w:szCs w:val="24"/>
          <w:lang w:val="it-IT"/>
        </w:rPr>
      </w:pPr>
      <w:r w:rsidRPr="00D16CA7">
        <w:rPr>
          <w:rStyle w:val="li1"/>
          <w:rFonts w:ascii="Arial" w:hAnsi="Arial" w:cs="Arial"/>
          <w:color w:val="auto"/>
          <w:sz w:val="24"/>
          <w:szCs w:val="24"/>
          <w:lang w:val="it-IT"/>
        </w:rPr>
        <w:t xml:space="preserve">c) </w:t>
      </w:r>
      <w:r w:rsidRPr="00067FEF">
        <w:rPr>
          <w:rStyle w:val="tli1"/>
          <w:rFonts w:ascii="Arial" w:hAnsi="Arial" w:cs="Arial"/>
          <w:sz w:val="24"/>
          <w:szCs w:val="24"/>
          <w:lang w:val="it-IT"/>
        </w:rPr>
        <w:t>sunt eşantioane reprezentative cu caracteristici tipice pentru una sau mai multe dintre cele 5 regiuni biogeografice: alpină, continentală, panonică, stepică şi pontică.</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Unele dintre acestea sunt habitate naturale prioritare deoarece sunt în pericol de dispariţie, iar pentru conservarea lor Uniunea Europeană are o responsabilitate particulară, ţinând cont de proporţia arealului lor natural de răspândire.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7A21BD" w:rsidRPr="00067FEF" w:rsidRDefault="007A21BD" w:rsidP="007A21BD">
      <w:pPr>
        <w:shd w:val="clear" w:color="auto" w:fill="FFFFFF" w:themeFill="background1"/>
        <w:spacing w:after="0" w:line="240" w:lineRule="auto"/>
        <w:jc w:val="both"/>
        <w:rPr>
          <w:rFonts w:ascii="Arial" w:hAnsi="Arial" w:cs="Arial"/>
          <w:sz w:val="24"/>
          <w:szCs w:val="24"/>
          <w:lang w:val="pt-BR"/>
        </w:rPr>
      </w:pPr>
    </w:p>
    <w:p w:rsidR="007A21BD" w:rsidRDefault="007A21BD" w:rsidP="007A21BD">
      <w:pPr>
        <w:shd w:val="clear" w:color="auto" w:fill="FFFFFF" w:themeFill="background1"/>
        <w:spacing w:after="0" w:line="240" w:lineRule="auto"/>
        <w:jc w:val="both"/>
        <w:rPr>
          <w:rFonts w:ascii="Arial" w:hAnsi="Arial" w:cs="Arial"/>
          <w:sz w:val="24"/>
          <w:szCs w:val="24"/>
        </w:rPr>
      </w:pPr>
      <w:r w:rsidRPr="00067FEF">
        <w:rPr>
          <w:rFonts w:ascii="Arial" w:hAnsi="Arial" w:cs="Arial"/>
          <w:sz w:val="24"/>
          <w:szCs w:val="24"/>
          <w:lang w:val="pt-BR"/>
        </w:rPr>
        <w:lastRenderedPageBreak/>
        <w:t> </w:t>
      </w:r>
      <w:r w:rsidRPr="00067FEF">
        <w:rPr>
          <w:rFonts w:ascii="Arial" w:hAnsi="Arial" w:cs="Arial"/>
          <w:b/>
          <w:sz w:val="24"/>
          <w:szCs w:val="24"/>
        </w:rPr>
        <w:t>Tabel nr. V-1</w:t>
      </w:r>
      <w:r w:rsidRPr="00067FEF">
        <w:rPr>
          <w:rFonts w:ascii="Arial" w:hAnsi="Arial" w:cs="Arial"/>
          <w:sz w:val="24"/>
          <w:szCs w:val="24"/>
        </w:rPr>
        <w:t>. Inventarul tipurilor de habitate de interes comunitar identificate în judeţul Brăila</w:t>
      </w:r>
    </w:p>
    <w:p w:rsidR="007A21BD" w:rsidRPr="00067FEF" w:rsidRDefault="007A21BD" w:rsidP="007A21BD">
      <w:pPr>
        <w:shd w:val="clear" w:color="auto" w:fill="FFFFFF" w:themeFill="background1"/>
        <w:spacing w:after="0" w:line="240" w:lineRule="auto"/>
        <w:jc w:val="both"/>
        <w:rPr>
          <w:rFonts w:ascii="Arial" w:hAnsi="Arial" w:cs="Arial"/>
          <w:sz w:val="24"/>
          <w:szCs w:val="24"/>
        </w:rPr>
      </w:pPr>
    </w:p>
    <w:tbl>
      <w:tblPr>
        <w:tblW w:w="9591" w:type="dxa"/>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28"/>
        <w:gridCol w:w="3534"/>
        <w:gridCol w:w="1111"/>
        <w:gridCol w:w="4418"/>
      </w:tblGrid>
      <w:tr w:rsidR="007A21BD" w:rsidRPr="00067FEF" w:rsidTr="004E444C">
        <w:trPr>
          <w:trHeight w:val="557"/>
          <w:jc w:val="center"/>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A26D6B" w:rsidRDefault="007A21BD" w:rsidP="004E444C">
            <w:pPr>
              <w:shd w:val="clear" w:color="auto" w:fill="FFFFFF" w:themeFill="background1"/>
              <w:spacing w:after="0" w:line="240" w:lineRule="auto"/>
              <w:jc w:val="center"/>
              <w:rPr>
                <w:rFonts w:ascii="Arial" w:hAnsi="Arial" w:cs="Arial"/>
                <w:sz w:val="24"/>
                <w:szCs w:val="24"/>
              </w:rPr>
            </w:pPr>
            <w:r w:rsidRPr="00A26D6B">
              <w:rPr>
                <w:rFonts w:ascii="Arial" w:hAnsi="Arial" w:cs="Arial"/>
                <w:sz w:val="24"/>
                <w:szCs w:val="24"/>
              </w:rPr>
              <w:t>Nr. crt.</w:t>
            </w: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A26D6B" w:rsidRDefault="007A21BD" w:rsidP="004E444C">
            <w:pPr>
              <w:pStyle w:val="Footer"/>
              <w:shd w:val="clear" w:color="auto" w:fill="FFFFFF" w:themeFill="background1"/>
              <w:jc w:val="center"/>
              <w:rPr>
                <w:rFonts w:ascii="Arial" w:hAnsi="Arial" w:cs="Arial"/>
                <w:sz w:val="24"/>
                <w:szCs w:val="24"/>
              </w:rPr>
            </w:pPr>
            <w:r w:rsidRPr="00A26D6B">
              <w:rPr>
                <w:rFonts w:ascii="Arial" w:hAnsi="Arial" w:cs="Arial"/>
                <w:sz w:val="24"/>
                <w:szCs w:val="24"/>
              </w:rPr>
              <w:t>Tip habitat</w:t>
            </w:r>
          </w:p>
          <w:p w:rsidR="007A21BD" w:rsidRPr="00A26D6B" w:rsidRDefault="007A21BD" w:rsidP="004E444C">
            <w:pPr>
              <w:pStyle w:val="Footer"/>
              <w:shd w:val="clear" w:color="auto" w:fill="FFFFFF" w:themeFill="background1"/>
              <w:jc w:val="center"/>
              <w:rPr>
                <w:rFonts w:ascii="Arial" w:hAnsi="Arial" w:cs="Arial"/>
                <w:sz w:val="24"/>
                <w:szCs w:val="24"/>
              </w:rPr>
            </w:pPr>
            <w:r w:rsidRPr="00A26D6B">
              <w:rPr>
                <w:rFonts w:ascii="Arial" w:hAnsi="Arial" w:cs="Arial"/>
                <w:sz w:val="24"/>
                <w:szCs w:val="24"/>
              </w:rPr>
              <w:t>conform OUG 57/2007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A26D6B" w:rsidRDefault="007A21BD" w:rsidP="004E444C">
            <w:pPr>
              <w:shd w:val="clear" w:color="auto" w:fill="FFFFFF" w:themeFill="background1"/>
              <w:spacing w:after="0" w:line="240" w:lineRule="auto"/>
              <w:jc w:val="center"/>
              <w:rPr>
                <w:rFonts w:ascii="Arial" w:hAnsi="Arial" w:cs="Arial"/>
                <w:sz w:val="24"/>
                <w:szCs w:val="24"/>
              </w:rPr>
            </w:pPr>
            <w:r w:rsidRPr="00A26D6B">
              <w:rPr>
                <w:rFonts w:ascii="Arial" w:hAnsi="Arial" w:cs="Arial"/>
                <w:sz w:val="24"/>
                <w:szCs w:val="24"/>
              </w:rPr>
              <w:t>Cod</w:t>
            </w:r>
          </w:p>
          <w:p w:rsidR="007A21BD" w:rsidRPr="00A26D6B" w:rsidRDefault="007A21BD" w:rsidP="004E444C">
            <w:pPr>
              <w:shd w:val="clear" w:color="auto" w:fill="FFFFFF" w:themeFill="background1"/>
              <w:spacing w:after="0" w:line="240" w:lineRule="auto"/>
              <w:jc w:val="center"/>
              <w:rPr>
                <w:rFonts w:ascii="Arial" w:hAnsi="Arial" w:cs="Arial"/>
                <w:sz w:val="24"/>
                <w:szCs w:val="24"/>
              </w:rPr>
            </w:pPr>
            <w:r w:rsidRPr="00A26D6B">
              <w:rPr>
                <w:rFonts w:ascii="Arial" w:hAnsi="Arial" w:cs="Arial"/>
                <w:sz w:val="24"/>
                <w:szCs w:val="24"/>
              </w:rPr>
              <w:t>Natura</w:t>
            </w:r>
          </w:p>
          <w:p w:rsidR="007A21BD" w:rsidRPr="00A26D6B" w:rsidRDefault="007A21BD" w:rsidP="004E444C">
            <w:pPr>
              <w:shd w:val="clear" w:color="auto" w:fill="FFFFFF" w:themeFill="background1"/>
              <w:spacing w:after="0" w:line="240" w:lineRule="auto"/>
              <w:jc w:val="center"/>
              <w:rPr>
                <w:rFonts w:ascii="Arial" w:hAnsi="Arial" w:cs="Arial"/>
                <w:sz w:val="24"/>
                <w:szCs w:val="24"/>
              </w:rPr>
            </w:pPr>
            <w:r w:rsidRPr="00A26D6B">
              <w:rPr>
                <w:rFonts w:ascii="Arial" w:hAnsi="Arial" w:cs="Arial"/>
                <w:sz w:val="24"/>
                <w:szCs w:val="24"/>
              </w:rPr>
              <w:t>2000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A26D6B" w:rsidRDefault="007A21BD" w:rsidP="004E444C">
            <w:pPr>
              <w:pStyle w:val="Footer"/>
              <w:shd w:val="clear" w:color="auto" w:fill="FFFFFF" w:themeFill="background1"/>
              <w:jc w:val="center"/>
              <w:rPr>
                <w:rFonts w:ascii="Arial" w:hAnsi="Arial" w:cs="Arial"/>
                <w:sz w:val="24"/>
                <w:szCs w:val="24"/>
              </w:rPr>
            </w:pPr>
            <w:r w:rsidRPr="00A26D6B">
              <w:rPr>
                <w:rFonts w:ascii="Arial" w:hAnsi="Arial" w:cs="Arial"/>
                <w:sz w:val="24"/>
                <w:szCs w:val="24"/>
              </w:rPr>
              <w:t>Zona în care a fost identificat</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Comunităţi cu Salicornia şi alte specii anuale care colonizează terenurile umede şi nisipoase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1310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Balta Albă, Lacul Jirlău, Lacul Sărat Câineni, Lacul Movila Miresii, Comăneasca, Lacul Sărat Brăila, Mihai Bravu</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Stepe şi mlaştini sărăturate panonice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1530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Balta Albă, Lacul Jirlău, Lacul Sărat Câineni, Valea Călmăţuiului, Lacul Movila Miresii, Comăneasca, Lacul Sărat Brăila, lunca Buzăului, Mihai Bravu</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Ape stătătoare, oligotrofe până la mezotrofe cu vegetaţie din Litorelletea uniflorae şi/sau Isoeto-Nanojuncetea</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en-US"/>
              </w:rPr>
            </w:pPr>
            <w:r w:rsidRPr="00067FEF">
              <w:rPr>
                <w:rFonts w:ascii="Arial" w:hAnsi="Arial" w:cs="Arial"/>
                <w:sz w:val="24"/>
                <w:szCs w:val="24"/>
                <w:lang w:val="en-US"/>
              </w:rPr>
              <w:t>3130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Parcul Natural Balta Mică a Brăilei (PNBMB), lunca Braţului Măcin</w:t>
            </w:r>
            <w:r w:rsidRPr="00067FEF">
              <w:rPr>
                <w:rFonts w:ascii="Arial" w:hAnsi="Arial" w:cs="Arial"/>
                <w:sz w:val="24"/>
                <w:szCs w:val="24"/>
              </w:rPr>
              <w:t>, lunca Buzăului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pt-BR"/>
              </w:rPr>
            </w:pPr>
            <w:r w:rsidRPr="00067FEF">
              <w:rPr>
                <w:rFonts w:ascii="Arial" w:hAnsi="Arial" w:cs="Arial"/>
                <w:sz w:val="24"/>
                <w:szCs w:val="24"/>
                <w:lang w:val="pt-BR"/>
              </w:rPr>
              <w:t>Ape puternic oligo-mezotrofice cu vegetaţie bentonică de Chara sp.</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3140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Balta Albă, Lacul Jirlău, Lacul Sărat Câineni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Lacuri eutrofe naturale cu vegetaţie de tip Magnopotamion sau Hydrocarition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t>3150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PNBMB: lacuri şi bălti,</w:t>
            </w:r>
          </w:p>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mlaştini împădurite</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Cursuri  de apă din zona de câmpie până în etajul montan, cu vegetaţie din Ranunculion fluitantis şi Callitricho-Batrachion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t>3260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Râuri cu maluri nămoloase cu vegetaţie de Chenopodion rubri si Bidention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t>3270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PNBMB-canale cu maluri aluviale, lunca Braţului Măcin, 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en-US"/>
              </w:rPr>
            </w:pPr>
            <w:r w:rsidRPr="00067FEF">
              <w:rPr>
                <w:rFonts w:ascii="Arial" w:hAnsi="Arial" w:cs="Arial"/>
                <w:sz w:val="24"/>
                <w:szCs w:val="24"/>
                <w:lang w:val="en-US"/>
              </w:rPr>
              <w:t>Stepe ponto-sarmatice -</w:t>
            </w:r>
            <w:r w:rsidRPr="00067FEF">
              <w:rPr>
                <w:rFonts w:ascii="Arial" w:hAnsi="Arial" w:cs="Arial"/>
                <w:sz w:val="24"/>
                <w:szCs w:val="24"/>
                <w:u w:val="single"/>
                <w:lang w:val="fr-FR"/>
              </w:rPr>
              <w:t xml:space="preserve"> habitat prioritar</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en-US"/>
              </w:rPr>
            </w:pPr>
            <w:r w:rsidRPr="00067FEF">
              <w:rPr>
                <w:rFonts w:ascii="Arial" w:hAnsi="Arial" w:cs="Arial"/>
                <w:sz w:val="24"/>
                <w:szCs w:val="24"/>
                <w:lang w:val="en-US"/>
              </w:rPr>
              <w:t>62CO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lunca Braţului Măcin</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Pajişti cu Molinia pe soluri calcaroase, turboase sau argiloase (Molinion caeruleae)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r w:rsidRPr="00067FEF">
              <w:rPr>
                <w:rFonts w:ascii="Arial" w:hAnsi="Arial" w:cs="Arial"/>
                <w:sz w:val="24"/>
                <w:szCs w:val="24"/>
                <w:lang w:val="it-IT"/>
              </w:rPr>
              <w:t>6410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PNBMB - Mlaştini cu vegetaţie de Molinia pe soluri luto-argiloase</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Asociaţii de lizieră cu ierburi înalte higrofile de la nivelul câmpiilor până la cel montan şi alpin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r w:rsidRPr="00067FEF">
              <w:rPr>
                <w:rFonts w:ascii="Arial" w:hAnsi="Arial" w:cs="Arial"/>
                <w:sz w:val="24"/>
                <w:szCs w:val="24"/>
                <w:lang w:val="it-IT"/>
              </w:rPr>
              <w:t>6430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PNBMB,  lunca Braţului Măcin</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Pajişti aluviale din Cnidion dubii</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r w:rsidRPr="00067FEF">
              <w:rPr>
                <w:rFonts w:ascii="Arial" w:hAnsi="Arial" w:cs="Arial"/>
                <w:sz w:val="24"/>
                <w:szCs w:val="24"/>
                <w:lang w:val="it-IT"/>
              </w:rPr>
              <w:t>6440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PNBMB - mlaştini de-a lungul văii Dunării; lunca Braţului Măcin, 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Pajişti de altitudine joasă (Alopecurus pratensis, Sanguisorba officinalis)</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r w:rsidRPr="00067FEF">
              <w:rPr>
                <w:rFonts w:ascii="Arial" w:hAnsi="Arial" w:cs="Arial"/>
                <w:sz w:val="24"/>
                <w:szCs w:val="24"/>
                <w:lang w:val="it-IT"/>
              </w:rPr>
              <w:t>6510</w:t>
            </w:r>
          </w:p>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PNBMB - păşuni umede, depresiuni mlăştinoase;</w:t>
            </w:r>
          </w:p>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 xml:space="preserve"> lunca Braţului Măcin</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Păduri  aluviale cu Alnus glutinosa şi Fraxinus excelsior (Alno-Padion, Alnion incanae, Salicion albae)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it-IT"/>
              </w:rPr>
            </w:pPr>
            <w:r w:rsidRPr="00067FEF">
              <w:rPr>
                <w:rFonts w:ascii="Arial" w:hAnsi="Arial" w:cs="Arial"/>
                <w:sz w:val="24"/>
                <w:szCs w:val="24"/>
                <w:lang w:val="it-IT"/>
              </w:rPr>
              <w:t>91EO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fr-FR"/>
              </w:rPr>
              <w:t>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 xml:space="preserve">Păduri mixte cu Quercus robur, Ulmus laevis, Fraxinus excelsior sau Fraxinus </w:t>
            </w:r>
            <w:r w:rsidRPr="00067FEF">
              <w:rPr>
                <w:rFonts w:ascii="Arial" w:hAnsi="Arial" w:cs="Arial"/>
                <w:sz w:val="24"/>
                <w:szCs w:val="24"/>
                <w:lang w:val="it-IT"/>
              </w:rPr>
              <w:lastRenderedPageBreak/>
              <w:t>angustifolia, din lungul marilor râuri (Ulmenion minoris)</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lastRenderedPageBreak/>
              <w:t>91FO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PNBMB</w:t>
            </w:r>
            <w:r w:rsidRPr="00067FEF">
              <w:rPr>
                <w:rFonts w:ascii="Arial" w:hAnsi="Arial" w:cs="Arial"/>
                <w:sz w:val="24"/>
                <w:szCs w:val="24"/>
                <w:lang w:val="it-IT"/>
              </w:rPr>
              <w:t>,</w:t>
            </w:r>
            <w:r w:rsidRPr="00067FEF">
              <w:rPr>
                <w:rFonts w:ascii="Arial" w:hAnsi="Arial" w:cs="Arial"/>
                <w:sz w:val="24"/>
                <w:szCs w:val="24"/>
                <w:lang w:val="fr-FR"/>
              </w:rPr>
              <w:t xml:space="preserve"> 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Galerii cu Salix alba şi Populus alba</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t>92AO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fr-FR"/>
              </w:rPr>
            </w:pPr>
            <w:r w:rsidRPr="00067FEF">
              <w:rPr>
                <w:rFonts w:ascii="Arial" w:hAnsi="Arial" w:cs="Arial"/>
                <w:sz w:val="24"/>
                <w:szCs w:val="24"/>
                <w:lang w:val="fr-FR"/>
              </w:rPr>
              <w:t>PNBMB, lunca Braţului Măcin, lunca Buzăului, lunca Siretului</w:t>
            </w:r>
          </w:p>
        </w:tc>
      </w:tr>
      <w:tr w:rsidR="007A21BD" w:rsidRPr="00067FEF" w:rsidTr="004E444C">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A21BD" w:rsidRPr="00067FEF" w:rsidRDefault="007A21BD" w:rsidP="00EF3940">
            <w:pPr>
              <w:numPr>
                <w:ilvl w:val="0"/>
                <w:numId w:val="32"/>
              </w:numPr>
              <w:shd w:val="clear" w:color="auto" w:fill="FFFFFF" w:themeFill="background1"/>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Galerii  ripariene  şi tufărişuri (Nerio-Tamaricetea şi Securinegion tinctoriae)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lang w:val="fr-FR"/>
              </w:rPr>
            </w:pPr>
            <w:r w:rsidRPr="00067FEF">
              <w:rPr>
                <w:rFonts w:ascii="Arial" w:hAnsi="Arial" w:cs="Arial"/>
                <w:sz w:val="24"/>
                <w:szCs w:val="24"/>
                <w:lang w:val="fr-FR"/>
              </w:rPr>
              <w:t>92DO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rPr>
              <w:t>lunca Buzăului</w:t>
            </w:r>
          </w:p>
        </w:tc>
      </w:tr>
    </w:tbl>
    <w:p w:rsidR="007A21BD" w:rsidRPr="00067FEF" w:rsidRDefault="007A21BD" w:rsidP="007A21BD">
      <w:pPr>
        <w:shd w:val="clear" w:color="auto" w:fill="FFFFFF" w:themeFill="background1"/>
        <w:spacing w:after="0" w:line="240" w:lineRule="auto"/>
        <w:jc w:val="both"/>
        <w:rPr>
          <w:rFonts w:ascii="Arial" w:hAnsi="Arial" w:cs="Arial"/>
          <w:sz w:val="24"/>
          <w:szCs w:val="24"/>
          <w:lang w:val="it-IT"/>
        </w:rPr>
      </w:pPr>
    </w:p>
    <w:p w:rsidR="007A21BD" w:rsidRPr="00067FEF" w:rsidRDefault="007A21BD" w:rsidP="007A21BD">
      <w:pPr>
        <w:shd w:val="clear" w:color="auto" w:fill="FFFFFF" w:themeFill="background1"/>
        <w:spacing w:after="0" w:line="240" w:lineRule="auto"/>
        <w:jc w:val="both"/>
        <w:rPr>
          <w:rFonts w:ascii="Arial" w:hAnsi="Arial" w:cs="Arial"/>
          <w:b/>
          <w:sz w:val="24"/>
          <w:szCs w:val="24"/>
          <w:lang w:val="it-IT"/>
        </w:rPr>
      </w:pPr>
      <w:r w:rsidRPr="00067FEF">
        <w:rPr>
          <w:rFonts w:ascii="Arial" w:hAnsi="Arial" w:cs="Arial"/>
          <w:b/>
          <w:sz w:val="24"/>
          <w:szCs w:val="24"/>
          <w:lang w:val="it-IT"/>
        </w:rPr>
        <w:t>Flora sălbatică</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lang w:val="ro-RO"/>
        </w:rPr>
      </w:pPr>
      <w:r w:rsidRPr="00067FEF">
        <w:rPr>
          <w:rFonts w:ascii="Arial" w:hAnsi="Arial" w:cs="Arial"/>
          <w:lang w:val="ro-RO"/>
        </w:rPr>
        <w:t>Într-un trecut mai îndepărtat vegetaţia caracteristică din judeţul Brăila era reprezentată prin stepă în zonele de câmpie şi prin vegetaţie de luncă şi baltă în Balta Brăilei. Stepa a fost desţelenită şi înlocuită cu vegetaţie de cultură (culturi agricole) în proporţie de peste 95%.</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lang w:val="ro-RO"/>
        </w:rPr>
      </w:pPr>
      <w:r w:rsidRPr="00067FEF">
        <w:rPr>
          <w:rFonts w:ascii="Arial" w:hAnsi="Arial" w:cs="Arial"/>
          <w:lang w:val="ro-RO"/>
        </w:rPr>
        <w:t>Aceasta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7A21BD" w:rsidRPr="00067FEF" w:rsidRDefault="007A21BD" w:rsidP="007A21BD">
      <w:pPr>
        <w:shd w:val="clear" w:color="auto" w:fill="FFFFFF" w:themeFill="background1"/>
        <w:spacing w:after="0" w:line="240" w:lineRule="auto"/>
        <w:jc w:val="both"/>
        <w:rPr>
          <w:rFonts w:ascii="Arial" w:eastAsia="SimSun" w:hAnsi="Arial" w:cs="Arial"/>
          <w:sz w:val="24"/>
          <w:szCs w:val="24"/>
        </w:rPr>
      </w:pPr>
      <w:r w:rsidRPr="00067FEF">
        <w:rPr>
          <w:rFonts w:ascii="Arial" w:eastAsia="SimSun" w:hAnsi="Arial" w:cs="Arial"/>
          <w:sz w:val="24"/>
          <w:szCs w:val="24"/>
        </w:rPr>
        <w:t>Din Balta Brăilei doar o treime din suprafaţă a rămas în regim liber de inundaţie, restul de peste 60000 de ha constituind actualmente incinta agricolă îndiguită Insula Mare a Brăilei. Vestigii ale florei acestui vast teritoriu de zonă umedă se găsesc acum în cele 10 insule din zona inundabilă care constituie Parcul Natural Balta Mică a Brăilei. Vegetaţia palustră a ostroavelor se remarcă prin specii rare, cum sunt nuferii albi şi galbeni, specii care doar în Delta Dunării sunt mai des întâlnite.</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Din cele 230 de specii de floră sălbatică inventariate în judeţul Brăila nu au fost identificate specii de interes naţional sau comunitar (listate în anexele 3-5 ale OUG 57/2007).</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Există și două specii endemice, și anume 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7A21BD" w:rsidRPr="00067FEF" w:rsidRDefault="007A21BD" w:rsidP="007A21BD">
      <w:pPr>
        <w:shd w:val="clear" w:color="auto" w:fill="FFFFFF" w:themeFill="background1"/>
        <w:spacing w:after="0" w:line="240" w:lineRule="auto"/>
        <w:jc w:val="both"/>
        <w:rPr>
          <w:rFonts w:ascii="Arial" w:hAnsi="Arial" w:cs="Arial"/>
          <w:b/>
          <w:sz w:val="24"/>
          <w:szCs w:val="24"/>
        </w:rPr>
      </w:pPr>
    </w:p>
    <w:p w:rsidR="007A21BD" w:rsidRPr="00067FEF" w:rsidRDefault="007A21BD" w:rsidP="007A21BD">
      <w:pPr>
        <w:shd w:val="clear" w:color="auto" w:fill="FFFFFF" w:themeFill="background1"/>
        <w:spacing w:after="0" w:line="240" w:lineRule="auto"/>
        <w:jc w:val="both"/>
        <w:rPr>
          <w:rFonts w:ascii="Arial" w:hAnsi="Arial" w:cs="Arial"/>
          <w:b/>
          <w:sz w:val="24"/>
          <w:szCs w:val="24"/>
        </w:rPr>
      </w:pPr>
      <w:r w:rsidRPr="00067FEF">
        <w:rPr>
          <w:rFonts w:ascii="Arial" w:hAnsi="Arial" w:cs="Arial"/>
          <w:b/>
          <w:sz w:val="24"/>
          <w:szCs w:val="24"/>
        </w:rPr>
        <w:t>Fauna sălbatică</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Zoocenozele sunt specifice tipurilor de habitate descrise anterior, cele mai complexe fiind caracteristice pădurilor (de amestec) şi bălţilor permanente. Nevertebratele sunt reprezentate prin cel mai mare număr de specii, la nivelul tuturor tipurilor de ecosisteme, având o distribuţie relativ uniformă. Vertebratele sunt mai puţin numeroase, atât ca număr de specii, cât şi ca număr de indivizi.</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Procentual, avifauna din Parcul Natural Balta Mică a Brăilei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brăileană face parte din reţeaua internaţională de locuri de cuibărire şi pasaj, situată pe culoarul estic de migraţie dunărean, a fost unul dintre cele mai importante motive pentru care această zonă a fost  declarată arie protejată şi ulterior recunoscută ca sit Ramsar -zonă umedă de importanţă internaţională.</w:t>
      </w:r>
    </w:p>
    <w:p w:rsidR="007A21BD" w:rsidRPr="00067FEF" w:rsidRDefault="007A21BD" w:rsidP="007A21BD">
      <w:pPr>
        <w:pStyle w:val="BodyText21"/>
        <w:widowControl/>
        <w:shd w:val="clear" w:color="auto" w:fill="FFFFFF" w:themeFill="background1"/>
        <w:ind w:firstLine="737"/>
        <w:rPr>
          <w:rFonts w:ascii="Arial" w:hAnsi="Arial" w:cs="Arial"/>
          <w:u w:val="single"/>
          <w:lang w:val="ro-RO"/>
        </w:rPr>
      </w:pPr>
    </w:p>
    <w:p w:rsidR="007A21BD" w:rsidRPr="00067FEF" w:rsidRDefault="007A21BD" w:rsidP="007A21BD">
      <w:pPr>
        <w:pStyle w:val="BodyText21"/>
        <w:widowControl/>
        <w:shd w:val="clear" w:color="auto" w:fill="FFFFFF" w:themeFill="background1"/>
        <w:rPr>
          <w:rFonts w:ascii="Arial" w:hAnsi="Arial" w:cs="Arial"/>
          <w:b/>
          <w:lang w:val="ro-RO"/>
        </w:rPr>
      </w:pPr>
      <w:r w:rsidRPr="00067FEF">
        <w:rPr>
          <w:rFonts w:ascii="Arial" w:hAnsi="Arial" w:cs="Arial"/>
          <w:b/>
          <w:lang w:val="ro-RO"/>
        </w:rPr>
        <w:t>Specii de interes comunitar</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 xml:space="preserve">În judeţul Brăila au fost inventariate un număr de 90 de specii, considerate de interes comunitar în conformitate cu OUG 57/2007, Anexa 3, pentru care se desemnează arii speciale de conservare şi arii speciale de protecţie avifaunistică (Tabelul nr. V-2), din care o specie este prioritară (nurca-Mustela lutreola),  iar 49 de specii sunt cu regim de protecţie strictă. </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lastRenderedPageBreak/>
        <w:t xml:space="preserve">Din totalul de 305 specii de vertebrate inventariate la nivelul judeţului, 160 de specii necesită o protecţie strictă, din care 121 de specii sunt de interes comunitar, iar 39 de interes naţional. </w:t>
      </w:r>
    </w:p>
    <w:p w:rsidR="007A21BD" w:rsidRPr="00067FEF" w:rsidRDefault="007A21BD" w:rsidP="007A21BD">
      <w:pPr>
        <w:pStyle w:val="BodyText21"/>
        <w:widowControl/>
        <w:shd w:val="clear" w:color="auto" w:fill="FFFFFF" w:themeFill="background1"/>
        <w:ind w:firstLine="737"/>
        <w:rPr>
          <w:rFonts w:ascii="Arial" w:hAnsi="Arial" w:cs="Arial"/>
          <w:lang w:val="ro-RO"/>
        </w:rPr>
      </w:pPr>
    </w:p>
    <w:p w:rsidR="007A21BD" w:rsidRPr="00067FEF" w:rsidRDefault="007A21BD" w:rsidP="007A21BD">
      <w:pPr>
        <w:pStyle w:val="BodyTextIndent"/>
        <w:shd w:val="clear" w:color="auto" w:fill="FFFFFF" w:themeFill="background1"/>
        <w:spacing w:after="0" w:line="240" w:lineRule="auto"/>
        <w:rPr>
          <w:rFonts w:ascii="Arial" w:hAnsi="Arial" w:cs="Arial"/>
          <w:b/>
          <w:sz w:val="24"/>
          <w:szCs w:val="24"/>
        </w:rPr>
      </w:pPr>
      <w:r w:rsidRPr="00067FEF">
        <w:rPr>
          <w:rFonts w:ascii="Arial" w:hAnsi="Arial" w:cs="Arial"/>
          <w:b/>
          <w:sz w:val="24"/>
          <w:szCs w:val="24"/>
          <w:lang w:val="ro-RO"/>
        </w:rPr>
        <w:t>Tabelul nr. V- 2.</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644"/>
        <w:gridCol w:w="1274"/>
        <w:gridCol w:w="714"/>
        <w:gridCol w:w="1344"/>
        <w:gridCol w:w="1498"/>
        <w:gridCol w:w="1330"/>
        <w:gridCol w:w="1418"/>
        <w:gridCol w:w="1563"/>
      </w:tblGrid>
      <w:tr w:rsidR="007A21BD" w:rsidRPr="00067FEF" w:rsidTr="004E444C">
        <w:trPr>
          <w:cantSplit/>
          <w:trHeight w:val="190"/>
          <w:jc w:val="center"/>
        </w:trPr>
        <w:tc>
          <w:tcPr>
            <w:tcW w:w="644" w:type="dxa"/>
            <w:vMerge w:val="restart"/>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Nr.</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crt.</w:t>
            </w:r>
          </w:p>
        </w:tc>
        <w:tc>
          <w:tcPr>
            <w:tcW w:w="1274" w:type="dxa"/>
            <w:vMerge w:val="restart"/>
            <w:shd w:val="clear" w:color="auto" w:fill="auto"/>
          </w:tcPr>
          <w:p w:rsidR="007A21BD" w:rsidRPr="00067FEF" w:rsidRDefault="007A21BD" w:rsidP="004E444C">
            <w:pPr>
              <w:pStyle w:val="BodyText21"/>
              <w:shd w:val="clear" w:color="auto" w:fill="FFFFFF" w:themeFill="background1"/>
              <w:jc w:val="center"/>
              <w:rPr>
                <w:rFonts w:ascii="Arial" w:hAnsi="Arial" w:cs="Arial"/>
                <w:lang w:val="ro-RO"/>
              </w:rPr>
            </w:pPr>
            <w:r w:rsidRPr="00067FEF">
              <w:rPr>
                <w:rFonts w:ascii="Arial" w:hAnsi="Arial" w:cs="Arial"/>
                <w:lang w:val="ro-RO"/>
              </w:rPr>
              <w:t>Grupa</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de specii</w:t>
            </w:r>
          </w:p>
        </w:tc>
        <w:tc>
          <w:tcPr>
            <w:tcW w:w="714" w:type="dxa"/>
            <w:vMerge w:val="restart"/>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Nr.</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spe</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cii</w:t>
            </w:r>
          </w:p>
        </w:tc>
        <w:tc>
          <w:tcPr>
            <w:tcW w:w="7153" w:type="dxa"/>
            <w:gridSpan w:val="5"/>
            <w:shd w:val="clear" w:color="auto" w:fill="auto"/>
          </w:tcPr>
          <w:p w:rsidR="007A21BD" w:rsidRPr="00067FEF" w:rsidRDefault="007A21BD" w:rsidP="004E444C">
            <w:pPr>
              <w:pStyle w:val="Heading5"/>
              <w:shd w:val="clear" w:color="auto" w:fill="FFFFFF" w:themeFill="background1"/>
              <w:spacing w:before="0" w:after="0"/>
              <w:jc w:val="center"/>
              <w:rPr>
                <w:rFonts w:ascii="Arial" w:hAnsi="Arial" w:cs="Arial"/>
                <w:sz w:val="24"/>
                <w:szCs w:val="24"/>
              </w:rPr>
            </w:pPr>
            <w:r w:rsidRPr="00067FEF">
              <w:rPr>
                <w:rFonts w:ascii="Arial" w:hAnsi="Arial" w:cs="Arial"/>
                <w:sz w:val="24"/>
                <w:szCs w:val="24"/>
              </w:rPr>
              <w:t>OUG 57/2007</w:t>
            </w:r>
          </w:p>
        </w:tc>
      </w:tr>
      <w:tr w:rsidR="007A21BD" w:rsidRPr="00067FEF" w:rsidTr="004E444C">
        <w:trPr>
          <w:cantSplit/>
          <w:trHeight w:val="269"/>
          <w:jc w:val="center"/>
        </w:trPr>
        <w:tc>
          <w:tcPr>
            <w:tcW w:w="644" w:type="dxa"/>
            <w:vMerge/>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c>
          <w:tcPr>
            <w:tcW w:w="1274" w:type="dxa"/>
            <w:vMerge/>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c>
          <w:tcPr>
            <w:tcW w:w="714" w:type="dxa"/>
            <w:vMerge/>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c>
          <w:tcPr>
            <w:tcW w:w="1344"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Anexa 3-</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Specii a căror conservare necesită desemnarea ariilor speciale de conservare şi a ariilor de protecţie specială avifaunistică</w:t>
            </w:r>
          </w:p>
        </w:tc>
        <w:tc>
          <w:tcPr>
            <w:tcW w:w="1498"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Anexa 4</w:t>
            </w:r>
            <w:r w:rsidRPr="00067FEF">
              <w:rPr>
                <w:rFonts w:ascii="Arial" w:hAnsi="Arial" w:cs="Arial"/>
                <w:sz w:val="24"/>
                <w:szCs w:val="24"/>
                <w:vertAlign w:val="superscript"/>
              </w:rPr>
              <w:t>A</w:t>
            </w:r>
            <w:r w:rsidRPr="00067FEF">
              <w:rPr>
                <w:rFonts w:ascii="Arial" w:hAnsi="Arial" w:cs="Arial"/>
                <w:sz w:val="24"/>
                <w:szCs w:val="24"/>
              </w:rPr>
              <w:t>-</w:t>
            </w:r>
          </w:p>
          <w:p w:rsidR="007A21BD" w:rsidRPr="00067FEF" w:rsidRDefault="007A21BD" w:rsidP="004E444C">
            <w:pPr>
              <w:pStyle w:val="Footer"/>
              <w:shd w:val="clear" w:color="auto" w:fill="FFFFFF" w:themeFill="background1"/>
              <w:jc w:val="center"/>
              <w:rPr>
                <w:rFonts w:ascii="Arial" w:hAnsi="Arial" w:cs="Arial"/>
                <w:sz w:val="24"/>
                <w:szCs w:val="24"/>
              </w:rPr>
            </w:pPr>
            <w:r w:rsidRPr="00067FEF">
              <w:rPr>
                <w:rFonts w:ascii="Arial" w:hAnsi="Arial" w:cs="Arial"/>
                <w:sz w:val="24"/>
                <w:szCs w:val="24"/>
              </w:rPr>
              <w:t>Specii de interes comunitar care necesită o protecţie strictă</w:t>
            </w:r>
          </w:p>
        </w:tc>
        <w:tc>
          <w:tcPr>
            <w:tcW w:w="1330"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Anexa 4</w:t>
            </w:r>
            <w:r w:rsidRPr="00067FEF">
              <w:rPr>
                <w:rFonts w:ascii="Arial" w:hAnsi="Arial" w:cs="Arial"/>
                <w:sz w:val="24"/>
                <w:szCs w:val="24"/>
                <w:vertAlign w:val="superscript"/>
              </w:rPr>
              <w:t xml:space="preserve">B </w:t>
            </w:r>
            <w:r w:rsidRPr="00067FEF">
              <w:rPr>
                <w:rFonts w:ascii="Arial" w:hAnsi="Arial" w:cs="Arial"/>
                <w:sz w:val="24"/>
                <w:szCs w:val="24"/>
              </w:rPr>
              <w:t>-</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Specii de interes naţional care necesită o protecţie strictă</w:t>
            </w:r>
          </w:p>
        </w:tc>
        <w:tc>
          <w:tcPr>
            <w:tcW w:w="1418"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Anexa 5</w:t>
            </w:r>
            <w:r w:rsidRPr="00067FEF">
              <w:rPr>
                <w:rFonts w:ascii="Arial" w:hAnsi="Arial" w:cs="Arial"/>
                <w:sz w:val="24"/>
                <w:szCs w:val="24"/>
                <w:vertAlign w:val="superscript"/>
              </w:rPr>
              <w:t>A</w:t>
            </w:r>
            <w:r w:rsidRPr="00067FEF">
              <w:rPr>
                <w:rFonts w:ascii="Arial" w:hAnsi="Arial" w:cs="Arial"/>
                <w:sz w:val="24"/>
                <w:szCs w:val="24"/>
              </w:rPr>
              <w:t>-</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Specii de interes comunitar a căror prelevare din natură şi exploatare fac obiectul măsurilor de management</w:t>
            </w:r>
          </w:p>
        </w:tc>
        <w:tc>
          <w:tcPr>
            <w:tcW w:w="156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Anexa 5</w:t>
            </w:r>
            <w:r w:rsidRPr="00067FEF">
              <w:rPr>
                <w:rFonts w:ascii="Arial" w:hAnsi="Arial" w:cs="Arial"/>
                <w:sz w:val="24"/>
                <w:szCs w:val="24"/>
                <w:vertAlign w:val="superscript"/>
              </w:rPr>
              <w:t>B</w:t>
            </w:r>
            <w:r w:rsidRPr="00067FEF">
              <w:rPr>
                <w:rFonts w:ascii="Arial" w:hAnsi="Arial" w:cs="Arial"/>
                <w:sz w:val="24"/>
                <w:szCs w:val="24"/>
              </w:rPr>
              <w:t>-</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Specii de animale de interes naţional a căror prelevare din natură şi exploatare fac obiectul măsurilor de management</w:t>
            </w:r>
          </w:p>
        </w:tc>
      </w:tr>
      <w:tr w:rsidR="007A21BD" w:rsidRPr="00067FEF" w:rsidTr="004E444C">
        <w:trPr>
          <w:jc w:val="center"/>
        </w:trPr>
        <w:tc>
          <w:tcPr>
            <w:tcW w:w="644" w:type="dxa"/>
            <w:shd w:val="clear" w:color="auto" w:fill="auto"/>
            <w:vAlign w:val="center"/>
          </w:tcPr>
          <w:p w:rsidR="007A21BD" w:rsidRPr="00067FEF" w:rsidRDefault="007A21BD" w:rsidP="00EF3940">
            <w:pPr>
              <w:numPr>
                <w:ilvl w:val="0"/>
                <w:numId w:val="44"/>
              </w:numPr>
              <w:shd w:val="clear" w:color="auto" w:fill="FFFFFF" w:themeFill="background1"/>
              <w:spacing w:after="0" w:line="240" w:lineRule="auto"/>
              <w:jc w:val="center"/>
              <w:rPr>
                <w:rFonts w:ascii="Arial" w:hAnsi="Arial" w:cs="Arial"/>
                <w:sz w:val="24"/>
                <w:szCs w:val="24"/>
              </w:rPr>
            </w:pPr>
          </w:p>
        </w:tc>
        <w:tc>
          <w:tcPr>
            <w:tcW w:w="127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iCs/>
                <w:sz w:val="24"/>
                <w:szCs w:val="24"/>
              </w:rPr>
            </w:pPr>
            <w:r w:rsidRPr="00067FEF">
              <w:rPr>
                <w:rFonts w:ascii="Arial" w:hAnsi="Arial" w:cs="Arial"/>
                <w:iCs/>
                <w:sz w:val="24"/>
                <w:szCs w:val="24"/>
              </w:rPr>
              <w:t>Peşti</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67</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16</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7</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r w:rsidR="007A21BD" w:rsidRPr="00067FEF" w:rsidTr="004E444C">
        <w:trPr>
          <w:jc w:val="center"/>
        </w:trPr>
        <w:tc>
          <w:tcPr>
            <w:tcW w:w="644" w:type="dxa"/>
            <w:shd w:val="clear" w:color="auto" w:fill="auto"/>
            <w:vAlign w:val="center"/>
          </w:tcPr>
          <w:p w:rsidR="007A21BD" w:rsidRPr="00067FEF" w:rsidRDefault="007A21BD" w:rsidP="00EF3940">
            <w:pPr>
              <w:numPr>
                <w:ilvl w:val="0"/>
                <w:numId w:val="44"/>
              </w:numPr>
              <w:shd w:val="clear" w:color="auto" w:fill="FFFFFF" w:themeFill="background1"/>
              <w:spacing w:after="0" w:line="240" w:lineRule="auto"/>
              <w:jc w:val="center"/>
              <w:rPr>
                <w:rFonts w:ascii="Arial" w:hAnsi="Arial" w:cs="Arial"/>
                <w:sz w:val="24"/>
                <w:szCs w:val="24"/>
              </w:rPr>
            </w:pPr>
          </w:p>
        </w:tc>
        <w:tc>
          <w:tcPr>
            <w:tcW w:w="1274" w:type="dxa"/>
            <w:shd w:val="clear" w:color="auto" w:fill="auto"/>
            <w:vAlign w:val="center"/>
          </w:tcPr>
          <w:p w:rsidR="007A21BD" w:rsidRPr="00067FEF" w:rsidRDefault="007A21BD" w:rsidP="004E444C">
            <w:pPr>
              <w:pStyle w:val="Heading1"/>
              <w:shd w:val="clear" w:color="auto" w:fill="FFFFFF" w:themeFill="background1"/>
              <w:spacing w:before="0" w:after="0"/>
              <w:jc w:val="center"/>
              <w:rPr>
                <w:b w:val="0"/>
                <w:sz w:val="24"/>
                <w:szCs w:val="24"/>
              </w:rPr>
            </w:pPr>
            <w:r w:rsidRPr="00067FEF">
              <w:rPr>
                <w:b w:val="0"/>
                <w:sz w:val="24"/>
                <w:szCs w:val="24"/>
              </w:rPr>
              <w:t>Amfibieni</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7</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r w:rsidR="007A21BD" w:rsidRPr="00067FEF" w:rsidTr="004E444C">
        <w:trPr>
          <w:jc w:val="center"/>
        </w:trPr>
        <w:tc>
          <w:tcPr>
            <w:tcW w:w="644" w:type="dxa"/>
            <w:shd w:val="clear" w:color="auto" w:fill="auto"/>
            <w:vAlign w:val="center"/>
          </w:tcPr>
          <w:p w:rsidR="007A21BD" w:rsidRPr="00067FEF" w:rsidRDefault="007A21BD" w:rsidP="00EF3940">
            <w:pPr>
              <w:numPr>
                <w:ilvl w:val="0"/>
                <w:numId w:val="44"/>
              </w:numPr>
              <w:shd w:val="clear" w:color="auto" w:fill="FFFFFF" w:themeFill="background1"/>
              <w:spacing w:after="0" w:line="240" w:lineRule="auto"/>
              <w:jc w:val="center"/>
              <w:rPr>
                <w:rFonts w:ascii="Arial" w:hAnsi="Arial" w:cs="Arial"/>
                <w:sz w:val="24"/>
                <w:szCs w:val="24"/>
              </w:rPr>
            </w:pPr>
          </w:p>
        </w:tc>
        <w:tc>
          <w:tcPr>
            <w:tcW w:w="1274" w:type="dxa"/>
            <w:shd w:val="clear" w:color="auto" w:fill="auto"/>
            <w:vAlign w:val="center"/>
          </w:tcPr>
          <w:p w:rsidR="007A21BD" w:rsidRPr="00067FEF" w:rsidRDefault="007A21BD" w:rsidP="004E444C">
            <w:pPr>
              <w:pStyle w:val="Heading1"/>
              <w:shd w:val="clear" w:color="auto" w:fill="FFFFFF" w:themeFill="background1"/>
              <w:spacing w:before="0" w:after="0"/>
              <w:jc w:val="center"/>
              <w:rPr>
                <w:b w:val="0"/>
                <w:sz w:val="24"/>
                <w:szCs w:val="24"/>
              </w:rPr>
            </w:pPr>
            <w:r w:rsidRPr="00067FEF">
              <w:rPr>
                <w:b w:val="0"/>
                <w:sz w:val="24"/>
                <w:szCs w:val="24"/>
              </w:rPr>
              <w:t>Reptile</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r w:rsidR="007A21BD" w:rsidRPr="00067FEF" w:rsidTr="004E444C">
        <w:trPr>
          <w:jc w:val="center"/>
        </w:trPr>
        <w:tc>
          <w:tcPr>
            <w:tcW w:w="644" w:type="dxa"/>
            <w:shd w:val="clear" w:color="auto" w:fill="auto"/>
            <w:vAlign w:val="center"/>
          </w:tcPr>
          <w:p w:rsidR="007A21BD" w:rsidRPr="00067FEF" w:rsidRDefault="007A21BD" w:rsidP="00EF3940">
            <w:pPr>
              <w:numPr>
                <w:ilvl w:val="0"/>
                <w:numId w:val="44"/>
              </w:numPr>
              <w:shd w:val="clear" w:color="auto" w:fill="FFFFFF" w:themeFill="background1"/>
              <w:spacing w:after="0" w:line="240" w:lineRule="auto"/>
              <w:jc w:val="center"/>
              <w:rPr>
                <w:rFonts w:ascii="Arial" w:hAnsi="Arial" w:cs="Arial"/>
                <w:sz w:val="24"/>
                <w:szCs w:val="24"/>
              </w:rPr>
            </w:pPr>
          </w:p>
        </w:tc>
        <w:tc>
          <w:tcPr>
            <w:tcW w:w="1274" w:type="dxa"/>
            <w:shd w:val="clear" w:color="auto" w:fill="auto"/>
            <w:vAlign w:val="center"/>
          </w:tcPr>
          <w:p w:rsidR="007A21BD" w:rsidRPr="00067FEF" w:rsidRDefault="007A21BD" w:rsidP="004E444C">
            <w:pPr>
              <w:pStyle w:val="Heading1"/>
              <w:shd w:val="clear" w:color="auto" w:fill="FFFFFF" w:themeFill="background1"/>
              <w:spacing w:before="0" w:after="0"/>
              <w:jc w:val="center"/>
              <w:rPr>
                <w:b w:val="0"/>
                <w:sz w:val="24"/>
                <w:szCs w:val="24"/>
              </w:rPr>
            </w:pPr>
            <w:r w:rsidRPr="00067FEF">
              <w:rPr>
                <w:b w:val="0"/>
                <w:sz w:val="24"/>
                <w:szCs w:val="24"/>
              </w:rPr>
              <w:t>Păsări</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208</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64</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25</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r w:rsidR="007A21BD" w:rsidRPr="00067FEF" w:rsidTr="004E444C">
        <w:trPr>
          <w:jc w:val="center"/>
        </w:trPr>
        <w:tc>
          <w:tcPr>
            <w:tcW w:w="644" w:type="dxa"/>
            <w:shd w:val="clear" w:color="auto" w:fill="auto"/>
            <w:vAlign w:val="center"/>
          </w:tcPr>
          <w:p w:rsidR="007A21BD" w:rsidRPr="00067FEF" w:rsidRDefault="007A21BD" w:rsidP="00EF3940">
            <w:pPr>
              <w:numPr>
                <w:ilvl w:val="0"/>
                <w:numId w:val="44"/>
              </w:numPr>
              <w:shd w:val="clear" w:color="auto" w:fill="FFFFFF" w:themeFill="background1"/>
              <w:spacing w:after="0" w:line="240" w:lineRule="auto"/>
              <w:jc w:val="center"/>
              <w:rPr>
                <w:rFonts w:ascii="Arial" w:hAnsi="Arial" w:cs="Arial"/>
                <w:sz w:val="24"/>
                <w:szCs w:val="24"/>
              </w:rPr>
            </w:pPr>
          </w:p>
        </w:tc>
        <w:tc>
          <w:tcPr>
            <w:tcW w:w="1274" w:type="dxa"/>
            <w:shd w:val="clear" w:color="auto" w:fill="auto"/>
            <w:vAlign w:val="center"/>
          </w:tcPr>
          <w:p w:rsidR="007A21BD" w:rsidRPr="00067FEF" w:rsidRDefault="007A21BD" w:rsidP="004E444C">
            <w:pPr>
              <w:pStyle w:val="Heading1"/>
              <w:shd w:val="clear" w:color="auto" w:fill="FFFFFF" w:themeFill="background1"/>
              <w:spacing w:before="0" w:after="0"/>
              <w:jc w:val="center"/>
              <w:rPr>
                <w:b w:val="0"/>
                <w:sz w:val="24"/>
                <w:szCs w:val="24"/>
              </w:rPr>
            </w:pPr>
            <w:r w:rsidRPr="00067FEF">
              <w:rPr>
                <w:b w:val="0"/>
                <w:sz w:val="24"/>
                <w:szCs w:val="24"/>
              </w:rPr>
              <w:t>Mamifere</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18</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6</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6</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9</w:t>
            </w:r>
          </w:p>
        </w:tc>
      </w:tr>
      <w:tr w:rsidR="007A21BD" w:rsidRPr="00067FEF" w:rsidTr="004E444C">
        <w:trPr>
          <w:jc w:val="center"/>
        </w:trPr>
        <w:tc>
          <w:tcPr>
            <w:tcW w:w="1918" w:type="dxa"/>
            <w:gridSpan w:val="2"/>
            <w:shd w:val="clear" w:color="auto" w:fill="auto"/>
            <w:vAlign w:val="center"/>
          </w:tcPr>
          <w:p w:rsidR="007A21BD" w:rsidRPr="00067FEF" w:rsidRDefault="007A21BD" w:rsidP="004E444C">
            <w:pPr>
              <w:pStyle w:val="Heading1"/>
              <w:shd w:val="clear" w:color="auto" w:fill="FFFFFF" w:themeFill="background1"/>
              <w:spacing w:before="0" w:after="0"/>
              <w:jc w:val="center"/>
              <w:rPr>
                <w:b w:val="0"/>
                <w:iCs/>
                <w:sz w:val="24"/>
                <w:szCs w:val="24"/>
              </w:rPr>
            </w:pPr>
            <w:r w:rsidRPr="00067FEF">
              <w:rPr>
                <w:b w:val="0"/>
                <w:iCs/>
                <w:sz w:val="24"/>
                <w:szCs w:val="24"/>
              </w:rPr>
              <w:t>Total</w:t>
            </w:r>
          </w:p>
        </w:tc>
        <w:tc>
          <w:tcPr>
            <w:tcW w:w="71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305</w:t>
            </w:r>
          </w:p>
        </w:tc>
        <w:tc>
          <w:tcPr>
            <w:tcW w:w="1344"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90</w:t>
            </w:r>
          </w:p>
        </w:tc>
        <w:tc>
          <w:tcPr>
            <w:tcW w:w="149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19</w:t>
            </w:r>
          </w:p>
        </w:tc>
        <w:tc>
          <w:tcPr>
            <w:tcW w:w="1330"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30</w:t>
            </w:r>
          </w:p>
        </w:tc>
        <w:tc>
          <w:tcPr>
            <w:tcW w:w="1418"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12</w:t>
            </w:r>
          </w:p>
        </w:tc>
        <w:tc>
          <w:tcPr>
            <w:tcW w:w="1563" w:type="dxa"/>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9</w:t>
            </w:r>
          </w:p>
        </w:tc>
      </w:tr>
    </w:tbl>
    <w:p w:rsidR="007A21BD" w:rsidRPr="00067FEF" w:rsidRDefault="007A21BD" w:rsidP="007A21BD">
      <w:pPr>
        <w:pStyle w:val="BodyTextIndent"/>
        <w:spacing w:after="0" w:line="240" w:lineRule="auto"/>
        <w:rPr>
          <w:rFonts w:ascii="Arial" w:hAnsi="Arial" w:cs="Arial"/>
          <w:sz w:val="24"/>
          <w:szCs w:val="24"/>
        </w:rPr>
      </w:pP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Prezenţa în anumite zone din judeţul Brăila a speciilor listate pe anexele 3-5 ale OUG nr. 57/2007 a stat la baza declarării siturilor Natura 2000.</w:t>
      </w:r>
      <w:r w:rsidRPr="00067FEF">
        <w:rPr>
          <w:rFonts w:ascii="Arial" w:hAnsi="Arial" w:cs="Arial"/>
        </w:rPr>
        <w:tab/>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 xml:space="preserve">Dintre cele 67 de specii de peşti inventariate, 4 specii sunt vulnerabile şi 4 sunt periclitate, o specie - păstrăvul de mare (Salmo trutta labrax)- fiind critic periclitată. 2 specii de amfibieni din cele 7 inventariate la nivelul judeţului sunt vulnerabile, 3 sunt aproape ameninţate, iar tritonul cu creastă dobrogean (Triturus dobrogicus) este periclitat fiind observat în lunca Dunării, în zone ce fac parte din siturile de importanţă comunitară ROSCI0006 Balta Mică a Brăilei şi ROSCI0012 Braţul Măcin. </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 xml:space="preserve">Dintre speciile de păsări, 22 sunt vulnerabile, 13 specii sunt periclitate şi 3 critic periclitate (gârliţă mică, codalb şi acvilă ţipătoare mare). </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Din totalul speciilor de mamifere inventariate, 6 specii sunt vulnerabile.</w:t>
      </w: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t>Situaţia privind starea de conservare a vertebratelor inventariate pentru judeţul Brăila poate fi sintetizată conform tabelului nr. V - 3 :</w:t>
      </w:r>
    </w:p>
    <w:p w:rsidR="007A21BD" w:rsidRPr="00067FEF" w:rsidRDefault="007A21BD" w:rsidP="007A21BD">
      <w:pPr>
        <w:pStyle w:val="BodyTextIndent"/>
        <w:shd w:val="clear" w:color="auto" w:fill="FFFFFF" w:themeFill="background1"/>
        <w:spacing w:after="0" w:line="240" w:lineRule="auto"/>
        <w:rPr>
          <w:rFonts w:ascii="Arial" w:hAnsi="Arial" w:cs="Arial"/>
          <w:sz w:val="24"/>
          <w:szCs w:val="24"/>
        </w:rPr>
      </w:pPr>
    </w:p>
    <w:p w:rsidR="007A21BD" w:rsidRPr="00067FEF" w:rsidRDefault="007A21BD" w:rsidP="007A21BD">
      <w:pPr>
        <w:pStyle w:val="BodyTextIndent"/>
        <w:shd w:val="clear" w:color="auto" w:fill="FFFFFF" w:themeFill="background1"/>
        <w:spacing w:after="0" w:line="240" w:lineRule="auto"/>
        <w:rPr>
          <w:rFonts w:ascii="Arial" w:hAnsi="Arial" w:cs="Arial"/>
          <w:b/>
          <w:sz w:val="24"/>
          <w:szCs w:val="24"/>
        </w:rPr>
      </w:pPr>
      <w:r w:rsidRPr="00067FEF">
        <w:rPr>
          <w:rFonts w:ascii="Arial" w:hAnsi="Arial" w:cs="Arial"/>
          <w:b/>
          <w:sz w:val="24"/>
          <w:szCs w:val="24"/>
        </w:rPr>
        <w:t>Tabel nr. V- 3.</w:t>
      </w:r>
      <w:r w:rsidRPr="00067FEF">
        <w:rPr>
          <w:rFonts w:ascii="Arial" w:hAnsi="Arial" w:cs="Arial"/>
          <w:sz w:val="24"/>
          <w:szCs w:val="24"/>
          <w:lang w:val="ro-RO"/>
        </w:rPr>
        <w:t xml:space="preserve"> Situaţia privind starea de conservare a vertebratelor inventariate pentru judeţul Brăila</w:t>
      </w:r>
    </w:p>
    <w:tbl>
      <w:tblPr>
        <w:tblStyle w:val="TableGrid"/>
        <w:tblW w:w="9589" w:type="dxa"/>
        <w:tblInd w:w="304" w:type="dxa"/>
        <w:tblLayout w:type="fixed"/>
        <w:tblLook w:val="01E0"/>
      </w:tblPr>
      <w:tblGrid>
        <w:gridCol w:w="630"/>
        <w:gridCol w:w="1582"/>
        <w:gridCol w:w="1400"/>
        <w:gridCol w:w="1498"/>
        <w:gridCol w:w="1539"/>
        <w:gridCol w:w="1372"/>
        <w:gridCol w:w="1568"/>
      </w:tblGrid>
      <w:tr w:rsidR="007A21BD" w:rsidRPr="00067FEF" w:rsidTr="004E444C">
        <w:tc>
          <w:tcPr>
            <w:tcW w:w="630" w:type="dxa"/>
            <w:vMerge w:val="restart"/>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Nr. crt.</w:t>
            </w:r>
          </w:p>
        </w:tc>
        <w:tc>
          <w:tcPr>
            <w:tcW w:w="1582" w:type="dxa"/>
            <w:vMerge w:val="restart"/>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Grupa de vertebrate</w:t>
            </w:r>
          </w:p>
        </w:tc>
        <w:tc>
          <w:tcPr>
            <w:tcW w:w="1400" w:type="dxa"/>
            <w:vMerge w:val="restart"/>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Nr. specii</w:t>
            </w:r>
          </w:p>
        </w:tc>
        <w:tc>
          <w:tcPr>
            <w:tcW w:w="5977" w:type="dxa"/>
            <w:gridSpan w:val="4"/>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Statut</w:t>
            </w:r>
          </w:p>
        </w:tc>
      </w:tr>
      <w:tr w:rsidR="007A21BD" w:rsidRPr="00067FEF" w:rsidTr="004E444C">
        <w:tc>
          <w:tcPr>
            <w:tcW w:w="630" w:type="dxa"/>
            <w:vMerge/>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p>
        </w:tc>
        <w:tc>
          <w:tcPr>
            <w:tcW w:w="1582" w:type="dxa"/>
            <w:vMerge/>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p>
        </w:tc>
        <w:tc>
          <w:tcPr>
            <w:tcW w:w="1400" w:type="dxa"/>
            <w:vMerge/>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Vulnerabile</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Periclitate</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Critic periclitate</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ind w:left="0"/>
              <w:jc w:val="center"/>
              <w:rPr>
                <w:rFonts w:ascii="Arial" w:hAnsi="Arial" w:cs="Arial"/>
                <w:sz w:val="24"/>
                <w:szCs w:val="24"/>
              </w:rPr>
            </w:pPr>
            <w:r w:rsidRPr="00067FEF">
              <w:rPr>
                <w:rFonts w:ascii="Arial" w:hAnsi="Arial" w:cs="Arial"/>
                <w:sz w:val="24"/>
                <w:szCs w:val="24"/>
              </w:rPr>
              <w:t>Aproape ameninţate</w:t>
            </w:r>
          </w:p>
        </w:tc>
      </w:tr>
      <w:tr w:rsidR="007A21BD" w:rsidRPr="00067FEF" w:rsidTr="004E444C">
        <w:tc>
          <w:tcPr>
            <w:tcW w:w="630"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w:t>
            </w:r>
          </w:p>
        </w:tc>
        <w:tc>
          <w:tcPr>
            <w:tcW w:w="1582" w:type="dxa"/>
            <w:shd w:val="clear" w:color="auto" w:fill="auto"/>
            <w:vAlign w:val="center"/>
          </w:tcPr>
          <w:p w:rsidR="007A21BD" w:rsidRPr="00067FEF" w:rsidRDefault="007A21BD" w:rsidP="004E444C">
            <w:pPr>
              <w:shd w:val="clear" w:color="auto" w:fill="FFFFFF" w:themeFill="background1"/>
              <w:jc w:val="center"/>
              <w:rPr>
                <w:rFonts w:ascii="Arial" w:hAnsi="Arial" w:cs="Arial"/>
                <w:iCs/>
                <w:sz w:val="24"/>
                <w:szCs w:val="24"/>
              </w:rPr>
            </w:pPr>
            <w:r w:rsidRPr="00067FEF">
              <w:rPr>
                <w:rFonts w:ascii="Arial" w:hAnsi="Arial" w:cs="Arial"/>
                <w:iCs/>
                <w:sz w:val="24"/>
                <w:szCs w:val="24"/>
              </w:rPr>
              <w:t>Peşti</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67</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4</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4</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r>
      <w:tr w:rsidR="007A21BD" w:rsidRPr="00067FEF" w:rsidTr="004E444C">
        <w:tc>
          <w:tcPr>
            <w:tcW w:w="630"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2</w:t>
            </w:r>
          </w:p>
        </w:tc>
        <w:tc>
          <w:tcPr>
            <w:tcW w:w="1582" w:type="dxa"/>
            <w:shd w:val="clear" w:color="auto" w:fill="auto"/>
            <w:vAlign w:val="center"/>
          </w:tcPr>
          <w:p w:rsidR="007A21BD" w:rsidRPr="00067FEF" w:rsidRDefault="007A21BD" w:rsidP="004E444C">
            <w:pPr>
              <w:pStyle w:val="Heading1"/>
              <w:shd w:val="clear" w:color="auto" w:fill="FFFFFF" w:themeFill="background1"/>
              <w:spacing w:before="0" w:after="0"/>
              <w:jc w:val="center"/>
              <w:outlineLvl w:val="0"/>
              <w:rPr>
                <w:b w:val="0"/>
                <w:sz w:val="24"/>
                <w:szCs w:val="24"/>
              </w:rPr>
            </w:pPr>
            <w:r w:rsidRPr="00067FEF">
              <w:rPr>
                <w:b w:val="0"/>
                <w:sz w:val="24"/>
                <w:szCs w:val="24"/>
              </w:rPr>
              <w:t>Amfibieni</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7</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2</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3</w:t>
            </w:r>
          </w:p>
        </w:tc>
      </w:tr>
      <w:tr w:rsidR="007A21BD" w:rsidRPr="00067FEF" w:rsidTr="004E444C">
        <w:tc>
          <w:tcPr>
            <w:tcW w:w="630"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3</w:t>
            </w:r>
          </w:p>
        </w:tc>
        <w:tc>
          <w:tcPr>
            <w:tcW w:w="1582" w:type="dxa"/>
            <w:shd w:val="clear" w:color="auto" w:fill="auto"/>
            <w:vAlign w:val="center"/>
          </w:tcPr>
          <w:p w:rsidR="007A21BD" w:rsidRPr="00067FEF" w:rsidRDefault="007A21BD" w:rsidP="004E444C">
            <w:pPr>
              <w:pStyle w:val="Heading1"/>
              <w:shd w:val="clear" w:color="auto" w:fill="FFFFFF" w:themeFill="background1"/>
              <w:spacing w:before="0" w:after="0"/>
              <w:jc w:val="center"/>
              <w:outlineLvl w:val="0"/>
              <w:rPr>
                <w:b w:val="0"/>
                <w:sz w:val="24"/>
                <w:szCs w:val="24"/>
              </w:rPr>
            </w:pPr>
            <w:r w:rsidRPr="00067FEF">
              <w:rPr>
                <w:b w:val="0"/>
                <w:sz w:val="24"/>
                <w:szCs w:val="24"/>
              </w:rPr>
              <w:t>Reptile</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5</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r>
      <w:tr w:rsidR="007A21BD" w:rsidRPr="00067FEF" w:rsidTr="004E444C">
        <w:tc>
          <w:tcPr>
            <w:tcW w:w="630"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4</w:t>
            </w:r>
          </w:p>
        </w:tc>
        <w:tc>
          <w:tcPr>
            <w:tcW w:w="1582" w:type="dxa"/>
            <w:shd w:val="clear" w:color="auto" w:fill="auto"/>
            <w:vAlign w:val="center"/>
          </w:tcPr>
          <w:p w:rsidR="007A21BD" w:rsidRPr="00067FEF" w:rsidRDefault="007A21BD" w:rsidP="004E444C">
            <w:pPr>
              <w:pStyle w:val="Heading1"/>
              <w:shd w:val="clear" w:color="auto" w:fill="FFFFFF" w:themeFill="background1"/>
              <w:spacing w:before="0" w:after="0"/>
              <w:jc w:val="center"/>
              <w:outlineLvl w:val="0"/>
              <w:rPr>
                <w:b w:val="0"/>
                <w:sz w:val="24"/>
                <w:szCs w:val="24"/>
              </w:rPr>
            </w:pPr>
            <w:r w:rsidRPr="00067FEF">
              <w:rPr>
                <w:b w:val="0"/>
                <w:sz w:val="24"/>
                <w:szCs w:val="24"/>
              </w:rPr>
              <w:t>Păsări</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208</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22</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13</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3</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r>
      <w:tr w:rsidR="007A21BD" w:rsidRPr="00067FEF" w:rsidTr="004E444C">
        <w:tc>
          <w:tcPr>
            <w:tcW w:w="630"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5</w:t>
            </w:r>
          </w:p>
        </w:tc>
        <w:tc>
          <w:tcPr>
            <w:tcW w:w="1582" w:type="dxa"/>
            <w:shd w:val="clear" w:color="auto" w:fill="auto"/>
            <w:vAlign w:val="center"/>
          </w:tcPr>
          <w:p w:rsidR="007A21BD" w:rsidRPr="00067FEF" w:rsidRDefault="007A21BD" w:rsidP="004E444C">
            <w:pPr>
              <w:pStyle w:val="Heading1"/>
              <w:shd w:val="clear" w:color="auto" w:fill="FFFFFF" w:themeFill="background1"/>
              <w:spacing w:before="0" w:after="0"/>
              <w:jc w:val="center"/>
              <w:outlineLvl w:val="0"/>
              <w:rPr>
                <w:b w:val="0"/>
                <w:sz w:val="24"/>
                <w:szCs w:val="24"/>
              </w:rPr>
            </w:pPr>
            <w:r w:rsidRPr="00067FEF">
              <w:rPr>
                <w:b w:val="0"/>
                <w:sz w:val="24"/>
                <w:szCs w:val="24"/>
              </w:rPr>
              <w:t>Mamifere</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18</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6</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w:t>
            </w:r>
          </w:p>
        </w:tc>
      </w:tr>
      <w:tr w:rsidR="007A21BD" w:rsidRPr="00067FEF" w:rsidTr="004E444C">
        <w:tc>
          <w:tcPr>
            <w:tcW w:w="2212" w:type="dxa"/>
            <w:gridSpan w:val="2"/>
            <w:shd w:val="clear" w:color="auto" w:fill="auto"/>
            <w:vAlign w:val="center"/>
          </w:tcPr>
          <w:p w:rsidR="007A21BD" w:rsidRPr="00067FEF" w:rsidRDefault="007A21BD" w:rsidP="004E444C">
            <w:pPr>
              <w:pStyle w:val="Heading1"/>
              <w:shd w:val="clear" w:color="auto" w:fill="FFFFFF" w:themeFill="background1"/>
              <w:spacing w:before="0" w:after="0"/>
              <w:jc w:val="center"/>
              <w:outlineLvl w:val="0"/>
              <w:rPr>
                <w:b w:val="0"/>
                <w:sz w:val="24"/>
                <w:szCs w:val="24"/>
              </w:rPr>
            </w:pPr>
            <w:r w:rsidRPr="00067FEF">
              <w:rPr>
                <w:b w:val="0"/>
                <w:sz w:val="24"/>
                <w:szCs w:val="24"/>
              </w:rPr>
              <w:t>Total</w:t>
            </w:r>
          </w:p>
        </w:tc>
        <w:tc>
          <w:tcPr>
            <w:tcW w:w="1400" w:type="dxa"/>
            <w:shd w:val="clear" w:color="auto" w:fill="auto"/>
            <w:vAlign w:val="center"/>
          </w:tcPr>
          <w:p w:rsidR="007A21BD" w:rsidRPr="00067FEF" w:rsidRDefault="007A21BD" w:rsidP="004E444C">
            <w:pPr>
              <w:shd w:val="clear" w:color="auto" w:fill="FFFFFF" w:themeFill="background1"/>
              <w:jc w:val="center"/>
              <w:rPr>
                <w:rFonts w:ascii="Arial" w:hAnsi="Arial" w:cs="Arial"/>
                <w:sz w:val="24"/>
                <w:szCs w:val="24"/>
              </w:rPr>
            </w:pPr>
            <w:r w:rsidRPr="00067FEF">
              <w:rPr>
                <w:rFonts w:ascii="Arial" w:hAnsi="Arial" w:cs="Arial"/>
                <w:sz w:val="24"/>
                <w:szCs w:val="24"/>
              </w:rPr>
              <w:t>305</w:t>
            </w:r>
          </w:p>
        </w:tc>
        <w:tc>
          <w:tcPr>
            <w:tcW w:w="149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35</w:t>
            </w:r>
          </w:p>
        </w:tc>
        <w:tc>
          <w:tcPr>
            <w:tcW w:w="1539"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18</w:t>
            </w:r>
          </w:p>
        </w:tc>
        <w:tc>
          <w:tcPr>
            <w:tcW w:w="1372"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4</w:t>
            </w:r>
          </w:p>
        </w:tc>
        <w:tc>
          <w:tcPr>
            <w:tcW w:w="1568" w:type="dxa"/>
            <w:shd w:val="clear" w:color="auto" w:fill="auto"/>
            <w:vAlign w:val="center"/>
          </w:tcPr>
          <w:p w:rsidR="007A21BD" w:rsidRPr="00067FEF" w:rsidRDefault="007A21BD" w:rsidP="004E444C">
            <w:pPr>
              <w:pStyle w:val="BodyTextIndent"/>
              <w:shd w:val="clear" w:color="auto" w:fill="FFFFFF" w:themeFill="background1"/>
              <w:spacing w:after="0"/>
              <w:jc w:val="center"/>
              <w:rPr>
                <w:rFonts w:ascii="Arial" w:hAnsi="Arial" w:cs="Arial"/>
                <w:sz w:val="24"/>
                <w:szCs w:val="24"/>
              </w:rPr>
            </w:pPr>
            <w:r w:rsidRPr="00067FEF">
              <w:rPr>
                <w:rFonts w:ascii="Arial" w:hAnsi="Arial" w:cs="Arial"/>
                <w:sz w:val="24"/>
                <w:szCs w:val="24"/>
              </w:rPr>
              <w:t>3</w:t>
            </w:r>
          </w:p>
        </w:tc>
      </w:tr>
    </w:tbl>
    <w:p w:rsidR="007A21BD" w:rsidRPr="00067FEF" w:rsidRDefault="007A21BD" w:rsidP="007A21BD">
      <w:pPr>
        <w:pStyle w:val="BodyTextIndent"/>
        <w:shd w:val="clear" w:color="auto" w:fill="FFFFFF" w:themeFill="background1"/>
        <w:spacing w:after="0" w:line="240" w:lineRule="auto"/>
        <w:rPr>
          <w:rFonts w:ascii="Arial" w:hAnsi="Arial" w:cs="Arial"/>
          <w:sz w:val="24"/>
          <w:szCs w:val="24"/>
        </w:rPr>
      </w:pPr>
    </w:p>
    <w:p w:rsidR="007A21BD" w:rsidRPr="00067FEF" w:rsidRDefault="007A21BD" w:rsidP="007A21BD">
      <w:pPr>
        <w:pStyle w:val="BodyText2"/>
        <w:shd w:val="clear" w:color="auto" w:fill="FFFFFF" w:themeFill="background1"/>
        <w:spacing w:after="0" w:line="240" w:lineRule="auto"/>
        <w:ind w:firstLine="708"/>
        <w:jc w:val="both"/>
        <w:rPr>
          <w:rFonts w:ascii="Arial" w:hAnsi="Arial" w:cs="Arial"/>
        </w:rPr>
      </w:pPr>
      <w:r w:rsidRPr="00067FEF">
        <w:rPr>
          <w:rFonts w:ascii="Arial" w:hAnsi="Arial" w:cs="Arial"/>
        </w:rPr>
        <w:lastRenderedPageBreak/>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bălţi din terasa Dunării. </w:t>
      </w:r>
    </w:p>
    <w:p w:rsidR="007A21BD" w:rsidRPr="00067FEF" w:rsidRDefault="007A21BD" w:rsidP="007A21BD">
      <w:pPr>
        <w:shd w:val="clear" w:color="auto" w:fill="FFFFFF" w:themeFill="background1"/>
        <w:spacing w:after="0" w:line="240" w:lineRule="auto"/>
        <w:ind w:firstLine="735"/>
        <w:jc w:val="both"/>
        <w:rPr>
          <w:rFonts w:ascii="Arial" w:eastAsia="Times New Roman" w:hAnsi="Arial" w:cs="Arial"/>
          <w:b/>
          <w:snapToGrid w:val="0"/>
          <w:sz w:val="24"/>
          <w:szCs w:val="24"/>
        </w:rPr>
      </w:pPr>
    </w:p>
    <w:p w:rsidR="007A21BD" w:rsidRPr="00067FEF" w:rsidRDefault="007A21BD" w:rsidP="007A21BD">
      <w:pPr>
        <w:shd w:val="clear" w:color="auto" w:fill="FFFFFF" w:themeFill="background1"/>
        <w:spacing w:after="0" w:line="240" w:lineRule="auto"/>
        <w:ind w:firstLine="735"/>
        <w:jc w:val="both"/>
        <w:rPr>
          <w:rFonts w:ascii="Arial" w:eastAsia="Times New Roman" w:hAnsi="Arial" w:cs="Arial"/>
          <w:b/>
          <w:i/>
          <w:snapToGrid w:val="0"/>
          <w:sz w:val="24"/>
          <w:szCs w:val="24"/>
        </w:rPr>
      </w:pPr>
      <w:r w:rsidRPr="00067FEF">
        <w:rPr>
          <w:rFonts w:ascii="Arial" w:eastAsia="Times New Roman" w:hAnsi="Arial" w:cs="Arial"/>
          <w:b/>
          <w:snapToGrid w:val="0"/>
          <w:sz w:val="24"/>
          <w:szCs w:val="24"/>
        </w:rPr>
        <w:t xml:space="preserve">V.1. </w:t>
      </w:r>
      <w:r w:rsidRPr="00067FEF">
        <w:rPr>
          <w:rFonts w:ascii="Arial" w:eastAsia="Times New Roman" w:hAnsi="Arial" w:cs="Arial"/>
          <w:b/>
          <w:i/>
          <w:snapToGrid w:val="0"/>
          <w:sz w:val="24"/>
          <w:szCs w:val="24"/>
        </w:rPr>
        <w:t>Amenințări pentru biodiversitate și presiuni exercitate asupra biodiversității</w:t>
      </w:r>
    </w:p>
    <w:p w:rsidR="007A21BD" w:rsidRPr="00067FEF" w:rsidRDefault="007A21BD" w:rsidP="007A21BD">
      <w:pPr>
        <w:shd w:val="clear" w:color="auto" w:fill="FFFFFF" w:themeFill="background1"/>
        <w:spacing w:after="0" w:line="240" w:lineRule="auto"/>
        <w:ind w:firstLine="735"/>
        <w:jc w:val="both"/>
        <w:rPr>
          <w:rFonts w:ascii="Arial" w:eastAsia="Times New Roman" w:hAnsi="Arial" w:cs="Arial"/>
          <w:snapToGrid w:val="0"/>
          <w:sz w:val="24"/>
          <w:szCs w:val="24"/>
        </w:rPr>
      </w:pPr>
      <w:r w:rsidRPr="00067FEF">
        <w:rPr>
          <w:rFonts w:ascii="Arial" w:eastAsia="Times New Roman" w:hAnsi="Arial" w:cs="Arial"/>
          <w:b/>
          <w:snapToGrid w:val="0"/>
          <w:sz w:val="24"/>
          <w:szCs w:val="24"/>
        </w:rPr>
        <w:t xml:space="preserve">  V.1.1. Speciile invazive</w:t>
      </w:r>
    </w:p>
    <w:p w:rsidR="007A21BD" w:rsidRPr="00067FEF" w:rsidRDefault="007A21BD" w:rsidP="007A21BD">
      <w:pPr>
        <w:shd w:val="clear" w:color="auto" w:fill="FFFFFF" w:themeFill="background1"/>
        <w:spacing w:after="0" w:line="240" w:lineRule="auto"/>
        <w:ind w:firstLine="708"/>
        <w:jc w:val="both"/>
        <w:rPr>
          <w:rFonts w:ascii="Arial" w:eastAsia="Times New Roman" w:hAnsi="Arial" w:cs="Arial"/>
          <w:snapToGrid w:val="0"/>
          <w:sz w:val="24"/>
          <w:szCs w:val="24"/>
        </w:rPr>
      </w:pPr>
      <w:r w:rsidRPr="00067FEF">
        <w:rPr>
          <w:rFonts w:ascii="Arial" w:eastAsia="Times New Roman" w:hAnsi="Arial" w:cs="Arial"/>
          <w:snapToGrid w:val="0"/>
          <w:sz w:val="24"/>
          <w:szCs w:val="24"/>
        </w:rPr>
        <w:t>Conform OUG 57/2007 cu modificările și completările ulterioare specii invazive sunt speciile indigene sau alohtone (străine), care şi-au extins arealul de distribuţie sau au fost introduse accidental ori intenţionat într-o arie şi/sau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7A21BD" w:rsidRPr="00067FEF" w:rsidRDefault="007A21BD" w:rsidP="007A21BD">
      <w:pPr>
        <w:shd w:val="clear" w:color="auto" w:fill="FFFFFF" w:themeFill="background1"/>
        <w:spacing w:after="0" w:line="240" w:lineRule="auto"/>
        <w:ind w:firstLine="708"/>
        <w:jc w:val="both"/>
        <w:rPr>
          <w:rFonts w:ascii="Arial" w:eastAsia="Times New Roman" w:hAnsi="Arial" w:cs="Arial"/>
          <w:snapToGrid w:val="0"/>
          <w:sz w:val="24"/>
          <w:szCs w:val="24"/>
        </w:rPr>
      </w:pPr>
      <w:r w:rsidRPr="00067FEF">
        <w:rPr>
          <w:rFonts w:ascii="Arial" w:eastAsia="Times New Roman" w:hAnsi="Arial" w:cs="Arial"/>
          <w:snapToGrid w:val="0"/>
          <w:sz w:val="24"/>
          <w:szCs w:val="24"/>
        </w:rPr>
        <w:t xml:space="preserve">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 </w:t>
      </w:r>
    </w:p>
    <w:p w:rsidR="007A21BD" w:rsidRPr="00067FEF" w:rsidRDefault="007A21BD" w:rsidP="007A21BD">
      <w:pPr>
        <w:pStyle w:val="BodyText21"/>
        <w:widowControl/>
        <w:shd w:val="clear" w:color="auto" w:fill="FFFFFF" w:themeFill="background1"/>
        <w:ind w:firstLine="708"/>
        <w:rPr>
          <w:rFonts w:ascii="Arial" w:hAnsi="Arial" w:cs="Arial"/>
          <w:lang w:val="ro-RO"/>
        </w:rPr>
      </w:pPr>
      <w:r w:rsidRPr="00067FEF">
        <w:rPr>
          <w:rFonts w:ascii="Arial" w:hAnsi="Arial" w:cs="Arial"/>
          <w:lang w:val="ro-RO"/>
        </w:rPr>
        <w:t>Aceste specii sunt raspandite la scara geografica larga si pot fi intalnite in toate tipurile de ecosisteme. Cele mai multe astfel de specii care afecteaza ecosistemele terestre apartin unor grupuri de organisme vii cum sunt plantele, mamiferele și insectele.  Amenințarea pe care aceste specii o reprezintă pentru biodiversitate la nivel global este considerată ca ocupând locul secund, după pericolul reprezentat de pierderea sau degradarea habitatului.</w:t>
      </w:r>
    </w:p>
    <w:p w:rsidR="007A21BD" w:rsidRPr="00067FEF" w:rsidRDefault="007A21BD" w:rsidP="007A21BD">
      <w:pPr>
        <w:pStyle w:val="BodyText21"/>
        <w:widowControl/>
        <w:shd w:val="clear" w:color="auto" w:fill="FFFFFF" w:themeFill="background1"/>
        <w:rPr>
          <w:rFonts w:ascii="Arial" w:hAnsi="Arial" w:cs="Arial"/>
          <w:lang w:val="ro-RO"/>
        </w:rPr>
      </w:pPr>
      <w:r w:rsidRPr="00067FEF">
        <w:rPr>
          <w:rFonts w:ascii="Arial" w:hAnsi="Arial" w:cs="Arial"/>
          <w:lang w:val="ro-RO"/>
        </w:rPr>
        <w:t xml:space="preserve">O specie invazivă este considerată aceea care are o creștere și o distribuție spațială rapidă și care în unele cazuri ocupă spații foarte mari. Datorita faptului că factorii biotopului sau caracteristici locale ale structurii biocenozei în care erau integrate nu mai actioneaza similar in noile conditii de viata, speciile introduse pot deveni invazive ca urmare a unei cresteri numerice rapide si necontrolate in noul mediu. Acest fapt se repercuteaza negativ asupra unor specii de plante si animale autohtone care nu au timp sa-si dezvolte masuri de aparare adecvate.  </w:t>
      </w:r>
    </w:p>
    <w:p w:rsidR="007A21BD" w:rsidRPr="00067FEF" w:rsidRDefault="007A21BD" w:rsidP="007A21BD">
      <w:pPr>
        <w:pStyle w:val="BodyText21"/>
        <w:widowControl/>
        <w:shd w:val="clear" w:color="auto" w:fill="FFFFFF" w:themeFill="background1"/>
        <w:rPr>
          <w:rFonts w:ascii="Arial" w:hAnsi="Arial" w:cs="Arial"/>
          <w:lang w:val="ro-RO"/>
        </w:rPr>
      </w:pPr>
      <w:r w:rsidRPr="00067FEF">
        <w:rPr>
          <w:rFonts w:ascii="Arial" w:hAnsi="Arial" w:cs="Arial"/>
          <w:lang w:val="ro-RO"/>
        </w:rPr>
        <w:t>Invazia speciilor străine este recunoscută, în prezent, ca una dintre principalele ameninţări la adresa biodiversităţii , structurii şi funcţiilor ecosistemelor, conservării arealelor protejate şi determină costuri mari în agricultură, silvicultură, piscicultură şi alte ramuri economice, precum şi în sănătatea umană.</w:t>
      </w:r>
    </w:p>
    <w:p w:rsidR="007A21BD" w:rsidRPr="00067FEF" w:rsidRDefault="007A21BD" w:rsidP="007A21BD">
      <w:pPr>
        <w:pStyle w:val="BodyText21"/>
        <w:widowControl/>
        <w:shd w:val="clear" w:color="auto" w:fill="FFFFFF" w:themeFill="background1"/>
        <w:ind w:firstLine="708"/>
        <w:rPr>
          <w:rFonts w:ascii="Arial" w:hAnsi="Arial" w:cs="Arial"/>
          <w:lang w:val="ro-RO"/>
        </w:rPr>
      </w:pPr>
      <w:r w:rsidRPr="00067FEF">
        <w:rPr>
          <w:rFonts w:ascii="Arial" w:hAnsi="Arial" w:cs="Arial"/>
          <w:lang w:val="ro-RO"/>
        </w:rPr>
        <w:t xml:space="preserve">În vederea protejarii habitatelor naturale si a speciilor indigene, introducerea de specii alohtone, interventiile asupra speciilor invazive, precum si reintroducerea speciilor indigene prevazute în anexele nr. </w:t>
      </w:r>
      <w:smartTag w:uri="urn:schemas-microsoft-com:office:smarttags" w:element="metricconverter">
        <w:smartTagPr>
          <w:attr w:name="ProductID" w:val="4 A"/>
        </w:smartTagPr>
        <w:r w:rsidRPr="00067FEF">
          <w:rPr>
            <w:rFonts w:ascii="Arial" w:hAnsi="Arial" w:cs="Arial"/>
            <w:lang w:val="ro-RO"/>
          </w:rPr>
          <w:t>4 A</w:t>
        </w:r>
      </w:smartTag>
      <w:r w:rsidRPr="00067FEF">
        <w:rPr>
          <w:rFonts w:ascii="Arial" w:hAnsi="Arial" w:cs="Arial"/>
          <w:lang w:val="ro-RO"/>
        </w:rPr>
        <w:t xml:space="preserve"> si 4 B se reglementeaza prin ordin al conducatorului autoritatii publice centrale pentru protectia mediului si padurilor.   </w:t>
      </w:r>
    </w:p>
    <w:p w:rsidR="007A21BD" w:rsidRPr="00067FEF" w:rsidRDefault="007A21BD" w:rsidP="007A21BD">
      <w:pPr>
        <w:pStyle w:val="BodyText21"/>
        <w:widowControl/>
        <w:shd w:val="clear" w:color="auto" w:fill="FFFFFF" w:themeFill="background1"/>
        <w:rPr>
          <w:rFonts w:ascii="Arial" w:hAnsi="Arial" w:cs="Arial"/>
          <w:lang w:val="ro-RO"/>
        </w:rPr>
      </w:pPr>
      <w:r w:rsidRPr="00067FEF">
        <w:rPr>
          <w:rFonts w:ascii="Arial" w:hAnsi="Arial" w:cs="Arial"/>
          <w:lang w:val="ro-RO"/>
        </w:rPr>
        <w:t>Comisia Europeană a publicat in 09.09.2013 o propunere de regulament pentru prevenire şi management privind introducerea şi răspândirea speciilor alogene invazive. Propunerea urmăreşte să abordeze problema speciilor alogene invazive într-o manieră cuprinzătoare, astfel încât să protejeze biodiversitatea nativă şi a serviciilor de ecosistem (servicii de mediu), precum şi pentru a reduce şi a atenua impactul economic şi asupra sănătăţii umane pe care aceste specii le pot avea</w:t>
      </w:r>
    </w:p>
    <w:p w:rsidR="007A21BD" w:rsidRPr="00067FEF" w:rsidRDefault="007A21BD" w:rsidP="007A21BD">
      <w:pPr>
        <w:pStyle w:val="BodyText21"/>
        <w:widowControl/>
        <w:shd w:val="clear" w:color="auto" w:fill="FFFFFF" w:themeFill="background1"/>
        <w:ind w:firstLine="708"/>
        <w:rPr>
          <w:rFonts w:ascii="Arial" w:hAnsi="Arial" w:cs="Arial"/>
          <w:lang w:val="ro-RO"/>
        </w:rPr>
      </w:pPr>
      <w:r w:rsidRPr="00067FEF">
        <w:rPr>
          <w:rFonts w:ascii="Arial" w:hAnsi="Arial" w:cs="Arial"/>
          <w:lang w:val="ro-RO"/>
        </w:rPr>
        <w:t>Conform Strategiei Europene pentru Biodiversitate, se prevede ca până în 2020 să fie identificate şi prioritizate speciile alogene invazive şi căile lor de răspândire, să fie controlate sau eradicate speciile prioritare şi să se prevenină introducerea de noi specii invasive. Odată cu intrarea în vigoare a Regulamentului se vor întocmi baze de date şi se va putea monitoriza progresul acţiunilor întreprinse pentru limitarea efectelor negative generate de speciile invazive</w:t>
      </w:r>
    </w:p>
    <w:p w:rsidR="007A21BD" w:rsidRPr="00067FEF" w:rsidRDefault="007A21BD" w:rsidP="007A21BD">
      <w:pPr>
        <w:pStyle w:val="BodyText21"/>
        <w:widowControl/>
        <w:shd w:val="clear" w:color="auto" w:fill="FFFFFF" w:themeFill="background1"/>
        <w:rPr>
          <w:rFonts w:ascii="Arial" w:hAnsi="Arial" w:cs="Arial"/>
          <w:lang w:val="ro-RO"/>
        </w:rPr>
      </w:pPr>
      <w:r w:rsidRPr="00067FEF">
        <w:rPr>
          <w:rFonts w:ascii="Arial" w:hAnsi="Arial" w:cs="Arial"/>
          <w:lang w:val="ro-RO"/>
        </w:rPr>
        <w:t>În prezent la nivel național nu există o bază de date care să conţină speciile invazive. Baza de date europeană DAISIE (</w:t>
      </w:r>
      <w:hyperlink r:id="rId105" w:history="1">
        <w:r w:rsidRPr="00067FEF">
          <w:rPr>
            <w:rFonts w:ascii="Arial" w:hAnsi="Arial" w:cs="Arial"/>
            <w:lang w:val="ro-RO"/>
          </w:rPr>
          <w:t>http://www.europe-aliens.org/</w:t>
        </w:r>
      </w:hyperlink>
      <w:r w:rsidRPr="00067FEF">
        <w:rPr>
          <w:rFonts w:ascii="Arial" w:hAnsi="Arial" w:cs="Arial"/>
          <w:lang w:val="ro-RO"/>
        </w:rPr>
        <w:t xml:space="preserve">) este completată în mod benevol de către specialiştii din domeniu. </w:t>
      </w:r>
    </w:p>
    <w:p w:rsidR="007A21BD" w:rsidRPr="00067FEF" w:rsidRDefault="007A21BD" w:rsidP="007A21BD">
      <w:pPr>
        <w:pStyle w:val="BodyText21"/>
        <w:widowControl/>
        <w:shd w:val="clear" w:color="auto" w:fill="FFFFFF" w:themeFill="background1"/>
        <w:ind w:firstLine="708"/>
        <w:rPr>
          <w:rFonts w:ascii="Arial" w:hAnsi="Arial" w:cs="Arial"/>
          <w:lang w:val="ro-RO"/>
        </w:rPr>
      </w:pPr>
      <w:r w:rsidRPr="00067FEF">
        <w:rPr>
          <w:rFonts w:ascii="Arial" w:hAnsi="Arial" w:cs="Arial"/>
          <w:lang w:val="ro-RO"/>
        </w:rPr>
        <w:t xml:space="preserve">Pentru județul Brăila nu există informații relevante cu privire la aceste specii. Pe traseul Dunării de Jos cea mai expansivă specie alohtonă invazivă este Amorpha fruticosa, un arbust originar din America de Nord, asemănător salcâmului care a fost introdus în România ca arbust ornamental și pentru stabilizarea solurilor degradate și erodate. În timp s-au constatat efecte </w:t>
      </w:r>
      <w:r w:rsidRPr="00067FEF">
        <w:rPr>
          <w:rFonts w:ascii="Arial" w:hAnsi="Arial" w:cs="Arial"/>
          <w:lang w:val="ro-RO"/>
        </w:rPr>
        <w:lastRenderedPageBreak/>
        <w:t>negative asupra mediului, prin concurența făcută speciilor autohtone, ceea ce a condus chiar la eliminarea unora dintre acestea pe arealele afectate. Prezentă în habitate seminaturale ea a coborât acum până în sălcete unde tinde să înlocuiască salcia autohtonă. Îndepărtarea tufărișului de amorfă din habitatele naturale invadate, în scopul regenerării acestora, este deosebit de dificilă, din cauza prolificității deosebite a speciei, presupunând, de asemenea, resurse financiare foarte mari.</w:t>
      </w:r>
    </w:p>
    <w:p w:rsidR="007A21BD" w:rsidRPr="00067FEF" w:rsidRDefault="007A21BD" w:rsidP="007A21BD">
      <w:pPr>
        <w:pStyle w:val="Default"/>
        <w:shd w:val="clear" w:color="auto" w:fill="FFFFFF" w:themeFill="background1"/>
        <w:ind w:firstLine="708"/>
        <w:jc w:val="both"/>
        <w:rPr>
          <w:rFonts w:ascii="Arial" w:hAnsi="Arial" w:cs="Arial"/>
          <w:color w:val="auto"/>
        </w:rPr>
      </w:pPr>
      <w:r w:rsidRPr="00067FEF">
        <w:rPr>
          <w:rFonts w:ascii="Arial" w:hAnsi="Arial" w:cs="Arial"/>
          <w:color w:val="auto"/>
          <w:lang w:val="ro-RO"/>
        </w:rPr>
        <w:t>În ariile protejate situate în Lunca Siretului Inferior a fost observată apariția și extinderea invazivă a speciei Trachemys scripta -țestoasa de apă cu tâmple galbene însă cu semnalări punctuale, izolat și cu caracter ocazional. Specia intră în competiție cu broasca țestoasă europeană, Emys orbicularis, înlocuind-o treptat din habitatele respective.</w:t>
      </w:r>
      <w:r w:rsidRPr="00067FEF">
        <w:rPr>
          <w:rFonts w:ascii="Arial" w:hAnsi="Arial" w:cs="Arial"/>
          <w:color w:val="auto"/>
        </w:rPr>
        <w:t xml:space="preserve"> De asemenea, în același areal este semnalată extinderea invazivă a speciilor introduse prin practicile silvice, salcâm, glădiță, oțetar, specii care înlocuiesc treptat vegetația nativă, intrând în competiție cu speciile corespunzătoare tipului de stațiune existent, alterând habitatele și capacitatea acestora de susținere a speciilor de interes conservativ precum și alterarea habitatelor .</w:t>
      </w:r>
    </w:p>
    <w:p w:rsidR="007A21BD" w:rsidRPr="00067FEF" w:rsidRDefault="007A21BD" w:rsidP="007A21BD">
      <w:pPr>
        <w:pStyle w:val="BodyText21"/>
        <w:widowControl/>
        <w:shd w:val="clear" w:color="auto" w:fill="FFFFFF" w:themeFill="background1"/>
        <w:ind w:firstLine="737"/>
        <w:rPr>
          <w:rFonts w:ascii="Arial" w:hAnsi="Arial" w:cs="Arial"/>
          <w:lang w:val="ro-RO"/>
        </w:rPr>
      </w:pPr>
      <w:r w:rsidRPr="00067FEF">
        <w:rPr>
          <w:rFonts w:ascii="Arial" w:hAnsi="Arial" w:cs="Arial"/>
          <w:lang w:val="ro-RO"/>
        </w:rPr>
        <w:t xml:space="preserve"> </w:t>
      </w:r>
    </w:p>
    <w:p w:rsidR="007A21BD" w:rsidRPr="00067FEF" w:rsidRDefault="007A21BD" w:rsidP="007A21BD">
      <w:pPr>
        <w:pStyle w:val="BodyText21"/>
        <w:widowControl/>
        <w:shd w:val="clear" w:color="auto" w:fill="FFFFFF" w:themeFill="background1"/>
        <w:ind w:left="170"/>
        <w:rPr>
          <w:rFonts w:ascii="Arial" w:hAnsi="Arial" w:cs="Arial"/>
        </w:rPr>
      </w:pPr>
      <w:r w:rsidRPr="00067FEF">
        <w:rPr>
          <w:rFonts w:ascii="Arial" w:hAnsi="Arial" w:cs="Arial"/>
          <w:b/>
        </w:rPr>
        <w:t xml:space="preserve">V.1.2 </w:t>
      </w:r>
      <w:r w:rsidRPr="00067FEF">
        <w:rPr>
          <w:rFonts w:ascii="Arial" w:hAnsi="Arial" w:cs="Arial"/>
          <w:b/>
          <w:i/>
        </w:rPr>
        <w:t>Poluarea și încărcarea cu nutrienți</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Toate formele de poluare ameninţă biodiversitatea, dar mai ales încărcarea cu nutrienţi (azot şi fosfor), care reprezintă o cauză majoră şi în continuă creştere a pierderii de biodiversitate şi a degradării ecosistemelor. Emisiile de azot în atmosferă au crescut substanţial în ultimii 100 de ani, mai ales sub formă de amoniu din agricultură şi de oxizi de azot din industrie. Ca urmare a depunerilor din atmosferă, aceste forme de azot sunt depozitate, afectând habitatele sensibile.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În plus, compuşii cu azot pot produce şi eutrofizarea ecosistemelor, manifestată prin scăderea bogăţiei de specii și creșterea numerică a populațiilor speciilor rezistente. Astfel,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Se consideră că biodiversitatea este ameninţată de poluare acolo unde sunt depășite anumite încărcări considerate critice pentru anumiți indicatori care reflectă cantitatea de nutrienți ( azot și fosfor) , sulf sau expunerea la ozon.</w:t>
      </w:r>
    </w:p>
    <w:p w:rsidR="007A21BD" w:rsidRPr="00067FEF" w:rsidRDefault="007A21BD" w:rsidP="007A21BD">
      <w:pPr>
        <w:shd w:val="clear" w:color="auto" w:fill="FFFFFF" w:themeFill="background1"/>
        <w:autoSpaceDE w:val="0"/>
        <w:autoSpaceDN w:val="0"/>
        <w:adjustRightInd w:val="0"/>
        <w:spacing w:after="0" w:line="240" w:lineRule="auto"/>
        <w:jc w:val="both"/>
        <w:rPr>
          <w:rFonts w:ascii="Arial" w:eastAsia="Times New Roman" w:hAnsi="Arial" w:cs="Arial"/>
          <w:sz w:val="24"/>
          <w:szCs w:val="24"/>
        </w:rPr>
      </w:pPr>
    </w:p>
    <w:p w:rsidR="007A21BD" w:rsidRPr="001D2A3A" w:rsidRDefault="007A21BD" w:rsidP="007A21BD">
      <w:pPr>
        <w:pStyle w:val="Default"/>
        <w:shd w:val="clear" w:color="auto" w:fill="FFFFFF" w:themeFill="background1"/>
        <w:ind w:firstLine="708"/>
        <w:jc w:val="both"/>
        <w:rPr>
          <w:rFonts w:ascii="Arial" w:hAnsi="Arial" w:cs="Arial"/>
          <w:b/>
          <w:i/>
          <w:color w:val="auto"/>
          <w:lang w:val="ro-RO"/>
        </w:rPr>
      </w:pPr>
      <w:r w:rsidRPr="001D2A3A">
        <w:rPr>
          <w:rFonts w:ascii="Arial" w:hAnsi="Arial" w:cs="Arial"/>
          <w:b/>
          <w:i/>
          <w:color w:val="auto"/>
          <w:lang w:val="ro-RO"/>
        </w:rPr>
        <w:t>V.I.3 Schimbările climatice</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p>
    <w:p w:rsidR="007A21BD" w:rsidRPr="006054F4" w:rsidRDefault="007A21BD" w:rsidP="007A21BD">
      <w:pPr>
        <w:shd w:val="clear" w:color="auto" w:fill="FFFFFF" w:themeFill="background1"/>
        <w:tabs>
          <w:tab w:val="left" w:pos="1176"/>
          <w:tab w:val="left" w:leader="dot" w:pos="9356"/>
        </w:tabs>
        <w:spacing w:after="0" w:line="240" w:lineRule="auto"/>
        <w:jc w:val="both"/>
        <w:rPr>
          <w:rFonts w:ascii="Arial" w:hAnsi="Arial" w:cs="Arial"/>
          <w:b/>
          <w:sz w:val="24"/>
          <w:szCs w:val="24"/>
        </w:rPr>
      </w:pPr>
      <w:r w:rsidRPr="006054F4">
        <w:rPr>
          <w:rFonts w:ascii="Arial" w:hAnsi="Arial" w:cs="Arial"/>
          <w:b/>
          <w:sz w:val="24"/>
          <w:szCs w:val="24"/>
        </w:rPr>
        <w:t xml:space="preserve">V.1.4 </w:t>
      </w:r>
      <w:r w:rsidRPr="006054F4">
        <w:rPr>
          <w:rFonts w:ascii="Arial" w:hAnsi="Arial" w:cs="Arial"/>
          <w:b/>
          <w:i/>
          <w:sz w:val="24"/>
          <w:szCs w:val="24"/>
        </w:rPr>
        <w:t>Modificarea habitatelor</w:t>
      </w:r>
      <w:r w:rsidRPr="006054F4">
        <w:rPr>
          <w:rFonts w:ascii="Arial" w:hAnsi="Arial" w:cs="Arial"/>
          <w:b/>
          <w:sz w:val="24"/>
          <w:szCs w:val="24"/>
        </w:rPr>
        <w:t xml:space="preserve"> </w:t>
      </w:r>
    </w:p>
    <w:p w:rsidR="007A21BD" w:rsidRPr="00067FEF" w:rsidRDefault="007A21BD" w:rsidP="007A21BD">
      <w:pPr>
        <w:shd w:val="clear" w:color="auto" w:fill="FFFFFF" w:themeFill="background1"/>
        <w:tabs>
          <w:tab w:val="left" w:leader="dot" w:pos="9356"/>
        </w:tabs>
        <w:spacing w:after="0" w:line="240" w:lineRule="auto"/>
        <w:jc w:val="both"/>
        <w:rPr>
          <w:rFonts w:ascii="Arial" w:hAnsi="Arial" w:cs="Arial"/>
          <w:sz w:val="24"/>
          <w:szCs w:val="24"/>
        </w:rPr>
      </w:pPr>
      <w:r w:rsidRPr="006054F4">
        <w:rPr>
          <w:rFonts w:ascii="Arial" w:hAnsi="Arial" w:cs="Arial"/>
          <w:b/>
          <w:sz w:val="24"/>
          <w:szCs w:val="24"/>
        </w:rPr>
        <w:t xml:space="preserve">              V.1.4.1. Fragmentarea ecosistemelor</w:t>
      </w:r>
      <w:r w:rsidRPr="00067FEF">
        <w:rPr>
          <w:rFonts w:ascii="Arial" w:hAnsi="Arial" w:cs="Arial"/>
          <w:sz w:val="24"/>
          <w:szCs w:val="24"/>
        </w:rPr>
        <w:t xml:space="preserve"> </w:t>
      </w:r>
    </w:p>
    <w:p w:rsidR="007A21BD" w:rsidRPr="00067FEF" w:rsidRDefault="007A21BD" w:rsidP="007A21BD">
      <w:pPr>
        <w:shd w:val="clear" w:color="auto" w:fill="FFFFFF" w:themeFill="background1"/>
        <w:tabs>
          <w:tab w:val="left" w:leader="dot" w:pos="9356"/>
        </w:tabs>
        <w:spacing w:after="0" w:line="240" w:lineRule="auto"/>
        <w:jc w:val="both"/>
        <w:rPr>
          <w:rFonts w:ascii="Arial" w:hAnsi="Arial" w:cs="Arial"/>
          <w:sz w:val="24"/>
          <w:szCs w:val="24"/>
        </w:rPr>
      </w:pP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Extinderea în spaţiu a sistemului socio-economic uman, creşterea complexităţii subsistemelor componente precum şi sporirea conexiunilor dintre acestea duc la distrugerea, degradarea şi fragmentarea sistemelor ecologice naturale şi seminaturale. Fragmentarea habitatelor este procesul prin care o suprafaţă mare şi continuă a unui habitat este divizată în două sau mai multe fragmente. Alterarea sistemelor ecologice naturale terestre şi a apelor curgătoare este considerată una din cele mai grave ameninţări asupra biodiversităţii la nivel global.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lastRenderedPageBreak/>
        <w:t xml:space="preserve">Cea mai vizibilă şi cu un impact major este distrugerea directă a sistemelor ecologice (ex. tăierea unei păduri, drenarea unui zone umede, construirea unui baraj, transformarea zonelor de stepă/preerie/savană în agroecosisteme). Deseori impactul distrugerii directe este mult amplificat de fragmentarea sistemelor ecologice rămase.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Conversia terenurilor în scopul dezvoltării urbane, industriale, agricole, turistice sau pentru transport, poate determina degradarea, distrugerea şi fragmentarea habitatelor. Se reduce astfel spaţiul pentru habitate şi ecosisteme care furnizează servicii importante, cum ar fi reglarea echilibrului apei şi protecţia împotriva inundaţiilor.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Fragmentarea antropică a habitatelor are loc mai ales prin conversia terenurilor agricole, urbanizare, poluare, despăduriri şi introducerea de specii alogene.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Consecinţele îndiguirii sunt: </w:t>
      </w:r>
    </w:p>
    <w:p w:rsidR="007A21BD" w:rsidRPr="00067FEF" w:rsidRDefault="007A21BD" w:rsidP="00EF3940">
      <w:pPr>
        <w:pStyle w:val="Default"/>
        <w:numPr>
          <w:ilvl w:val="0"/>
          <w:numId w:val="77"/>
        </w:numPr>
        <w:shd w:val="clear" w:color="auto" w:fill="FFFFFF" w:themeFill="background1"/>
        <w:tabs>
          <w:tab w:val="clear" w:pos="1776"/>
        </w:tabs>
        <w:ind w:left="1134"/>
        <w:jc w:val="both"/>
        <w:rPr>
          <w:rFonts w:ascii="Arial" w:hAnsi="Arial" w:cs="Arial"/>
          <w:color w:val="auto"/>
          <w:lang w:val="ro-RO"/>
        </w:rPr>
      </w:pPr>
      <w:r w:rsidRPr="00067FEF">
        <w:rPr>
          <w:rFonts w:ascii="Arial" w:hAnsi="Arial" w:cs="Arial"/>
          <w:color w:val="auto"/>
          <w:lang w:val="ro-RO"/>
        </w:rPr>
        <w:t>modificarea regimului hidrologic al Dunării prin creşterea amplitudinii viiturilor;</w:t>
      </w:r>
    </w:p>
    <w:p w:rsidR="007A21BD" w:rsidRPr="00067FEF" w:rsidRDefault="007A21BD" w:rsidP="00EF3940">
      <w:pPr>
        <w:pStyle w:val="Default"/>
        <w:numPr>
          <w:ilvl w:val="0"/>
          <w:numId w:val="77"/>
        </w:numPr>
        <w:shd w:val="clear" w:color="auto" w:fill="FFFFFF" w:themeFill="background1"/>
        <w:tabs>
          <w:tab w:val="clear" w:pos="1776"/>
        </w:tabs>
        <w:ind w:left="1134"/>
        <w:jc w:val="both"/>
        <w:rPr>
          <w:rFonts w:ascii="Arial" w:hAnsi="Arial" w:cs="Arial"/>
          <w:color w:val="auto"/>
          <w:lang w:val="ro-RO"/>
        </w:rPr>
      </w:pPr>
      <w:r w:rsidRPr="00067FEF">
        <w:rPr>
          <w:rFonts w:ascii="Arial" w:hAnsi="Arial" w:cs="Arial"/>
          <w:color w:val="auto"/>
          <w:lang w:val="ro-RO"/>
        </w:rPr>
        <w:t>reducerea capacităţii de retenţie a nutrienţilor de către zonele inundabile;</w:t>
      </w:r>
    </w:p>
    <w:p w:rsidR="007A21BD" w:rsidRPr="00067FEF" w:rsidRDefault="007A21BD" w:rsidP="00EF3940">
      <w:pPr>
        <w:pStyle w:val="Default"/>
        <w:numPr>
          <w:ilvl w:val="0"/>
          <w:numId w:val="77"/>
        </w:numPr>
        <w:shd w:val="clear" w:color="auto" w:fill="FFFFFF" w:themeFill="background1"/>
        <w:tabs>
          <w:tab w:val="clear" w:pos="1776"/>
        </w:tabs>
        <w:ind w:left="1134"/>
        <w:jc w:val="both"/>
        <w:rPr>
          <w:rFonts w:ascii="Arial" w:hAnsi="Arial" w:cs="Arial"/>
          <w:color w:val="auto"/>
          <w:lang w:val="ro-RO"/>
        </w:rPr>
      </w:pPr>
      <w:r w:rsidRPr="00067FEF">
        <w:rPr>
          <w:rFonts w:ascii="Arial" w:hAnsi="Arial" w:cs="Arial"/>
          <w:color w:val="auto"/>
          <w:lang w:val="ro-RO"/>
        </w:rPr>
        <w:t>sărăturarea terenurilor desecate din cauza fluctuaţiilor nivelului pânzei freatice din sol;</w:t>
      </w:r>
    </w:p>
    <w:p w:rsidR="007A21BD" w:rsidRPr="00067FEF" w:rsidRDefault="007A21BD" w:rsidP="00EF3940">
      <w:pPr>
        <w:pStyle w:val="Default"/>
        <w:numPr>
          <w:ilvl w:val="0"/>
          <w:numId w:val="77"/>
        </w:numPr>
        <w:shd w:val="clear" w:color="auto" w:fill="FFFFFF" w:themeFill="background1"/>
        <w:tabs>
          <w:tab w:val="clear" w:pos="1776"/>
        </w:tabs>
        <w:ind w:left="1134"/>
        <w:jc w:val="both"/>
        <w:rPr>
          <w:rFonts w:ascii="Arial" w:hAnsi="Arial" w:cs="Arial"/>
          <w:color w:val="auto"/>
          <w:lang w:val="ro-RO"/>
        </w:rPr>
      </w:pPr>
      <w:r w:rsidRPr="00067FEF">
        <w:rPr>
          <w:rFonts w:ascii="Arial" w:hAnsi="Arial" w:cs="Arial"/>
          <w:color w:val="auto"/>
          <w:lang w:val="ro-RO"/>
        </w:rPr>
        <w:t>reducerea zonelor de reproducere a speciilor de peşti semimigratori;</w:t>
      </w:r>
    </w:p>
    <w:p w:rsidR="007A21BD" w:rsidRPr="00067FEF" w:rsidRDefault="007A21BD" w:rsidP="00EF3940">
      <w:pPr>
        <w:pStyle w:val="Default"/>
        <w:numPr>
          <w:ilvl w:val="0"/>
          <w:numId w:val="77"/>
        </w:numPr>
        <w:shd w:val="clear" w:color="auto" w:fill="FFFFFF" w:themeFill="background1"/>
        <w:tabs>
          <w:tab w:val="clear" w:pos="1776"/>
        </w:tabs>
        <w:ind w:left="1134"/>
        <w:jc w:val="both"/>
        <w:rPr>
          <w:rFonts w:ascii="Arial" w:hAnsi="Arial" w:cs="Arial"/>
          <w:color w:val="auto"/>
          <w:lang w:val="ro-RO"/>
        </w:rPr>
      </w:pPr>
      <w:r w:rsidRPr="00067FEF">
        <w:rPr>
          <w:rFonts w:ascii="Arial" w:hAnsi="Arial" w:cs="Arial"/>
          <w:color w:val="auto"/>
          <w:lang w:val="ro-RO"/>
        </w:rPr>
        <w:t>reducerea capturilor de peşte.</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Modificarea ecosistemelor a fost cauzată şi de utilizarea unor metode şi tehnici agricole inadecvate precum folosirea pesticidelor, păşunatul intensiv sau neorganizat, arderea miriştilor, ş.a.. </w:t>
      </w:r>
    </w:p>
    <w:p w:rsidR="007A21BD" w:rsidRPr="00067FEF" w:rsidRDefault="007A21BD" w:rsidP="007A21BD">
      <w:pPr>
        <w:pStyle w:val="Default"/>
        <w:shd w:val="clear" w:color="auto" w:fill="FFFFFF" w:themeFill="background1"/>
        <w:ind w:firstLine="708"/>
        <w:jc w:val="both"/>
        <w:rPr>
          <w:rFonts w:ascii="Arial" w:hAnsi="Arial" w:cs="Arial"/>
          <w:color w:val="auto"/>
          <w:lang w:val="ro-RO"/>
        </w:rPr>
      </w:pPr>
      <w:r w:rsidRPr="00067FEF">
        <w:rPr>
          <w:rFonts w:ascii="Arial" w:hAnsi="Arial" w:cs="Arial"/>
          <w:color w:val="auto"/>
          <w:lang w:val="ro-RO"/>
        </w:rPr>
        <w:t xml:space="preserve">Substituirea pădurilor aluviale naturale din Balta Brăilei prin culturi uniclonale plopicole şi salicicole, îndiguirile, desecările şi întinsele monoculturi agricole practicate în ultimlele decenii au dus la profunde modificări calitative şi cantitative asupra biodiversităţii judeţului. </w:t>
      </w: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p>
    <w:p w:rsidR="007A21BD" w:rsidRPr="00067FEF" w:rsidRDefault="007A21BD" w:rsidP="007A21BD">
      <w:pPr>
        <w:shd w:val="clear" w:color="auto" w:fill="FFFFFF" w:themeFill="background1"/>
        <w:tabs>
          <w:tab w:val="left" w:leader="dot" w:pos="9356"/>
        </w:tabs>
        <w:spacing w:after="0" w:line="240" w:lineRule="auto"/>
        <w:ind w:left="1498"/>
        <w:jc w:val="both"/>
        <w:rPr>
          <w:rFonts w:ascii="Arial" w:hAnsi="Arial" w:cs="Arial"/>
          <w:b/>
          <w:sz w:val="24"/>
          <w:szCs w:val="24"/>
        </w:rPr>
      </w:pPr>
      <w:r w:rsidRPr="00067FEF">
        <w:rPr>
          <w:rFonts w:ascii="Arial" w:hAnsi="Arial" w:cs="Arial"/>
          <w:b/>
          <w:sz w:val="24"/>
          <w:szCs w:val="24"/>
        </w:rPr>
        <w:t xml:space="preserve">V.1.4.2. Reducerea habitatelor naturale şi semi-naturale </w:t>
      </w:r>
    </w:p>
    <w:p w:rsidR="007A21BD" w:rsidRPr="00067FEF" w:rsidRDefault="007A21BD" w:rsidP="007A21BD">
      <w:pPr>
        <w:pStyle w:val="Default"/>
        <w:shd w:val="clear" w:color="auto" w:fill="FFFFFF" w:themeFill="background1"/>
        <w:ind w:firstLine="708"/>
        <w:jc w:val="both"/>
        <w:rPr>
          <w:rFonts w:ascii="Arial" w:hAnsi="Arial" w:cs="Arial"/>
          <w:color w:val="auto"/>
          <w:lang w:val="ro-RO" w:eastAsia="ro-RO"/>
        </w:rPr>
      </w:pPr>
      <w:r w:rsidRPr="00067FEF">
        <w:rPr>
          <w:rFonts w:ascii="Arial" w:hAnsi="Arial" w:cs="Arial"/>
          <w:color w:val="auto"/>
          <w:lang w:val="ro-RO" w:eastAsia="ro-RO"/>
        </w:rPr>
        <w:t>Terenurile ocupate de suprafeţele construite şi infrastructura densă conectează aşezările umane şi fragmentează peisajele. Acest lucru fiind, de asemenea, o sursă importantă de poluare a apei, solului şi a aerului.</w:t>
      </w:r>
    </w:p>
    <w:p w:rsidR="007A21BD" w:rsidRPr="00067FEF" w:rsidRDefault="007A21BD" w:rsidP="007A21BD">
      <w:pPr>
        <w:pStyle w:val="Default"/>
        <w:shd w:val="clear" w:color="auto" w:fill="FFFFFF" w:themeFill="background1"/>
        <w:jc w:val="both"/>
        <w:rPr>
          <w:rFonts w:ascii="Arial" w:hAnsi="Arial" w:cs="Arial"/>
          <w:color w:val="auto"/>
          <w:lang w:val="ro-RO" w:eastAsia="ro-RO"/>
        </w:rPr>
      </w:pPr>
      <w:r w:rsidRPr="00067FEF">
        <w:rPr>
          <w:rFonts w:ascii="Arial" w:hAnsi="Arial" w:cs="Arial"/>
          <w:color w:val="auto"/>
          <w:lang w:val="ro-RO" w:eastAsia="ro-RO"/>
        </w:rPr>
        <w:t>Gradul de conversie a terenurilor se poate exprima prin schimbarea cantitativă a ocupării terenurilor agricole, împădurite, semi-naturale şi naturale, prin expansiunea terenurilor urbane şi artificiale.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În privinţa suprafeţelor scoase din circuitul agricol, acestea au primit alte folosinţe, în special pentru construirea canalizării pentru apa menajeră şi a staţiilor de epurare a apelor </w:t>
      </w:r>
      <w:r w:rsidRPr="00067FEF">
        <w:rPr>
          <w:rFonts w:ascii="Arial" w:eastAsia="Times New Roman" w:hAnsi="Arial" w:cs="Arial"/>
          <w:sz w:val="24"/>
          <w:szCs w:val="24"/>
        </w:rPr>
        <w:lastRenderedPageBreak/>
        <w:t xml:space="preserve">uzate, amplasarea de parcuri eoliene, staţii telefonie mobilă, precum şi pentru alte construcţii. În general, zonele ocupate de construcţii s-au extins în detrimentul celorlalte categorii de acoperiri de terenuri, cu excepţia pădurilor şi a corpurilor de apă.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Extinderea intravilanului în zonele din imediata vecinătate a ariilor naturale protejate sau chiar în interiorul acestora cu scopul de realizare ulterioara a unor zone rezidenţiale sau chiar staţiuni turistice generează o presiune puternică asupra ariilor naturale protejate. </w:t>
      </w:r>
    </w:p>
    <w:p w:rsidR="007A21BD" w:rsidRPr="00067FEF" w:rsidRDefault="007A21BD" w:rsidP="007A21BD">
      <w:pPr>
        <w:pStyle w:val="BodyText21"/>
        <w:widowControl/>
        <w:shd w:val="clear" w:color="auto" w:fill="FFFFFF" w:themeFill="background1"/>
        <w:rPr>
          <w:rFonts w:ascii="Arial" w:eastAsia="SimSun" w:hAnsi="Arial" w:cs="Arial"/>
          <w:lang w:val="fr-FR"/>
        </w:rPr>
      </w:pPr>
      <w:r w:rsidRPr="00067FEF">
        <w:rPr>
          <w:rFonts w:ascii="Arial" w:eastAsia="SimSun" w:hAnsi="Arial" w:cs="Arial"/>
          <w:lang w:val="fr-FR"/>
        </w:rPr>
        <w:t>De multe ori efectele acţiunilor antropice sunt greu sesizabile, însă în unele împrejurări, când afectează biocenoze întregi, pot fi de-a dreptul catastrofale pentru existenţa populaţiilor umane, din zonele respective. Dispariţia sau scăderea până la un nivel critic a speciilor este cauzată de supraexploatare (vânătoare, pescuit, suprapăşunat), însă, de multe ori, este consecinţa distrugerii habitatului lor prin construirea diverselor obiective urbane şi industriale. Exploatarea excesivă a unor resurse naturale, precum şi fragmentarea unor habitate naturale, duc la periclitarea vieţii sălbatice.</w:t>
      </w:r>
    </w:p>
    <w:p w:rsidR="007A21BD" w:rsidRPr="00067FEF" w:rsidRDefault="007A21BD" w:rsidP="007A21BD">
      <w:pPr>
        <w:pStyle w:val="BodyText21"/>
        <w:widowControl/>
        <w:shd w:val="clear" w:color="auto" w:fill="FFFFFF" w:themeFill="background1"/>
        <w:rPr>
          <w:rFonts w:ascii="Arial" w:hAnsi="Arial" w:cs="Arial"/>
          <w:i/>
          <w:lang w:val="ro-RO"/>
        </w:rPr>
      </w:pPr>
      <w:r w:rsidRPr="00067FEF">
        <w:rPr>
          <w:rFonts w:ascii="Arial" w:hAnsi="Arial" w:cs="Arial"/>
          <w:i/>
          <w:lang w:val="ro-RO"/>
        </w:rPr>
        <w:tab/>
      </w:r>
    </w:p>
    <w:p w:rsidR="007A21BD" w:rsidRPr="00067FEF" w:rsidRDefault="007A21BD" w:rsidP="007A21BD">
      <w:pPr>
        <w:shd w:val="clear" w:color="auto" w:fill="FFFFFF" w:themeFill="background1"/>
        <w:tabs>
          <w:tab w:val="left" w:pos="1176"/>
          <w:tab w:val="left" w:leader="dot" w:pos="9356"/>
        </w:tabs>
        <w:spacing w:after="0" w:line="240" w:lineRule="auto"/>
        <w:ind w:left="426"/>
        <w:rPr>
          <w:rFonts w:ascii="Arial" w:hAnsi="Arial" w:cs="Arial"/>
          <w:b/>
          <w:i/>
          <w:sz w:val="24"/>
          <w:szCs w:val="24"/>
        </w:rPr>
      </w:pPr>
      <w:r w:rsidRPr="00067FEF">
        <w:rPr>
          <w:rFonts w:ascii="Arial" w:hAnsi="Arial" w:cs="Arial"/>
          <w:b/>
          <w:i/>
          <w:sz w:val="24"/>
          <w:szCs w:val="24"/>
        </w:rPr>
        <w:t>V.1.5 Exploatarea excesivă a resurselor naturale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Utilizarea nesustenabilă a resurselor naturale şi supra-exploatarea lor, care apare când consumul depăşeşte puterea de reproducere a plantelor şi animalelor, este una din ameninţările majore pentru  biodiversitate.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Supraexploatarea resurselor naturale regenerabile pentru a alimenta procesele de producţie din economie, poate fi generată prin :</w:t>
      </w:r>
    </w:p>
    <w:p w:rsidR="007A21BD" w:rsidRPr="00067FEF" w:rsidRDefault="007A21BD" w:rsidP="00EF3940">
      <w:pPr>
        <w:numPr>
          <w:ilvl w:val="0"/>
          <w:numId w:val="39"/>
        </w:numPr>
        <w:shd w:val="clear" w:color="auto" w:fill="FFFFFF" w:themeFill="background1"/>
        <w:tabs>
          <w:tab w:val="clear" w:pos="2520"/>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 xml:space="preserve">agricultura intensivă, care este concentrată pe monocultură, cu minimizarea speciilor asociate. Aceste sisteme oferă producţii mari pentru un singur produs, dar depind de utilizarea fertilizatorilor şi a pesticidelor. </w:t>
      </w:r>
    </w:p>
    <w:p w:rsidR="007A21BD" w:rsidRPr="00067FEF" w:rsidRDefault="007A21BD" w:rsidP="00EF3940">
      <w:pPr>
        <w:numPr>
          <w:ilvl w:val="0"/>
          <w:numId w:val="39"/>
        </w:numPr>
        <w:shd w:val="clear" w:color="auto" w:fill="FFFFFF" w:themeFill="background1"/>
        <w:tabs>
          <w:tab w:val="clear" w:pos="2520"/>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 xml:space="preserve">exploatarea unor specii prin vânătoare sau pescuit, braconajul piscicol având drept consecinţe diminuarea necontrolată a populaţiilor de peşti în sensul depăşirii capacităţii de suport, capturarea neselectivă a ihtiofaunei (mai ales folosind pentru pescuit dispozitive cu curent electric şi plase  monofilament), produc dezechilibre în lanţurile trofice; </w:t>
      </w:r>
    </w:p>
    <w:p w:rsidR="007A21BD" w:rsidRPr="00067FEF" w:rsidRDefault="007A21BD" w:rsidP="00EF3940">
      <w:pPr>
        <w:numPr>
          <w:ilvl w:val="0"/>
          <w:numId w:val="39"/>
        </w:numPr>
        <w:shd w:val="clear" w:color="auto" w:fill="FFFFFF" w:themeFill="background1"/>
        <w:tabs>
          <w:tab w:val="clear" w:pos="2520"/>
          <w:tab w:val="num" w:pos="567"/>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supraexploatarea masei lemnoase şi tăierile ilegale din pădurile de curând retrocedate şi care nu sunt în prezent administrate corespunzător reprezintă o ameninţare la adresa biodiversităţii;</w:t>
      </w:r>
    </w:p>
    <w:p w:rsidR="007A21BD" w:rsidRPr="00067FEF" w:rsidRDefault="007A21BD" w:rsidP="00EF3940">
      <w:pPr>
        <w:numPr>
          <w:ilvl w:val="0"/>
          <w:numId w:val="39"/>
        </w:numPr>
        <w:shd w:val="clear" w:color="auto" w:fill="FFFFFF" w:themeFill="background1"/>
        <w:tabs>
          <w:tab w:val="clear" w:pos="2520"/>
          <w:tab w:val="num" w:pos="567"/>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suprapăşunatul ce are un impact negativ semnificativ asupra fitocenozelor, cauzând descreşterea biomasei vegetale şi a numărului de specii cu valoare nutritivă;</w:t>
      </w:r>
    </w:p>
    <w:p w:rsidR="007A21BD" w:rsidRPr="00067FEF" w:rsidRDefault="007A21BD" w:rsidP="00EF3940">
      <w:pPr>
        <w:numPr>
          <w:ilvl w:val="0"/>
          <w:numId w:val="39"/>
        </w:numPr>
        <w:shd w:val="clear" w:color="auto" w:fill="FFFFFF" w:themeFill="background1"/>
        <w:tabs>
          <w:tab w:val="clear" w:pos="2520"/>
          <w:tab w:val="num" w:pos="567"/>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7A21BD" w:rsidRPr="00067FEF" w:rsidRDefault="007A21BD" w:rsidP="00EF3940">
      <w:pPr>
        <w:numPr>
          <w:ilvl w:val="0"/>
          <w:numId w:val="39"/>
        </w:numPr>
        <w:shd w:val="clear" w:color="auto" w:fill="FFFFFF" w:themeFill="background1"/>
        <w:tabs>
          <w:tab w:val="clear" w:pos="2520"/>
          <w:tab w:val="num" w:pos="567"/>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Creşterea populaţiei poate cauza un impact asupra biodiversităţii atât direct prin supraexploatarea resurselor naturale, cât şi indirect prin intensificarea utilizării terenurilor, care poate duce în timp la modificări ale peisajelor.</w:t>
      </w:r>
    </w:p>
    <w:p w:rsidR="007A21BD" w:rsidRPr="00067FEF" w:rsidRDefault="007A21BD" w:rsidP="00EF3940">
      <w:pPr>
        <w:numPr>
          <w:ilvl w:val="0"/>
          <w:numId w:val="39"/>
        </w:numPr>
        <w:shd w:val="clear" w:color="auto" w:fill="FFFFFF" w:themeFill="background1"/>
        <w:tabs>
          <w:tab w:val="clear" w:pos="2520"/>
          <w:tab w:val="num" w:pos="567"/>
        </w:tabs>
        <w:spacing w:after="0" w:line="240" w:lineRule="auto"/>
        <w:ind w:left="561"/>
        <w:jc w:val="both"/>
        <w:rPr>
          <w:rFonts w:ascii="Arial" w:hAnsi="Arial" w:cs="Arial"/>
          <w:sz w:val="24"/>
          <w:szCs w:val="24"/>
          <w:lang w:val="it-IT"/>
        </w:rPr>
      </w:pPr>
      <w:r w:rsidRPr="00067FEF">
        <w:rPr>
          <w:rFonts w:ascii="Arial" w:hAnsi="Arial" w:cs="Arial"/>
          <w:sz w:val="24"/>
          <w:szCs w:val="24"/>
          <w:lang w:val="it-IT"/>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7A21BD" w:rsidRPr="00067FEF" w:rsidRDefault="007A21BD" w:rsidP="007A21BD">
      <w:pPr>
        <w:shd w:val="clear" w:color="auto" w:fill="FFFFFF" w:themeFill="background1"/>
        <w:tabs>
          <w:tab w:val="left" w:pos="1176"/>
          <w:tab w:val="left" w:leader="dot" w:pos="9356"/>
        </w:tabs>
        <w:spacing w:after="0" w:line="240" w:lineRule="auto"/>
        <w:ind w:left="993"/>
        <w:rPr>
          <w:rFonts w:ascii="Arial" w:hAnsi="Arial" w:cs="Arial"/>
          <w:sz w:val="24"/>
          <w:szCs w:val="24"/>
        </w:rPr>
      </w:pPr>
    </w:p>
    <w:p w:rsidR="007A21BD" w:rsidRPr="00067FEF" w:rsidRDefault="007A21BD" w:rsidP="007A21BD">
      <w:pPr>
        <w:shd w:val="clear" w:color="auto" w:fill="FFFFFF" w:themeFill="background1"/>
        <w:tabs>
          <w:tab w:val="left" w:leader="dot" w:pos="9356"/>
        </w:tabs>
        <w:spacing w:after="0" w:line="240" w:lineRule="auto"/>
        <w:ind w:left="1498"/>
        <w:rPr>
          <w:rFonts w:ascii="Arial" w:hAnsi="Arial" w:cs="Arial"/>
          <w:sz w:val="24"/>
          <w:szCs w:val="24"/>
        </w:rPr>
      </w:pPr>
      <w:r w:rsidRPr="00067FEF">
        <w:rPr>
          <w:rFonts w:ascii="Arial" w:hAnsi="Arial" w:cs="Arial"/>
          <w:b/>
          <w:sz w:val="24"/>
          <w:szCs w:val="24"/>
        </w:rPr>
        <w:t>V.1.5.1 Exploatarea forestieră</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Raportul dintre creşterea şi tăierea arborilor poate oferi o imagine asupra sustenabilității producţiei de masă lemnoasă în timp, cât şi asupra disponibilității actuale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w:t>
      </w:r>
      <w:r w:rsidRPr="00067FEF">
        <w:rPr>
          <w:rFonts w:ascii="Arial" w:eastAsia="Times New Roman" w:hAnsi="Arial" w:cs="Arial"/>
          <w:sz w:val="24"/>
          <w:szCs w:val="24"/>
        </w:rPr>
        <w:lastRenderedPageBreak/>
        <w:t>potenţialul producţiei de masă lemnoasă şi pentru starea biodiversităţii, a sănătăţii şi funcţiilor pădurilor.</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Suprafaţa fondului forestier al judeţului Brăila este de 28296 ha, ceea ce reprezintă numai 5,93 % din suprafaţa judeţului, din care cea mai mare parte este proprietate de stat. Potrivit Codului silvic (Legea nr. 46/2008) judeţul Brăila este zonă deficitară în păduri deoarece suprafaţa acestora reprezintă mai puţin de 30% din suprafaţa totală a judeţului. În aceste condiții modul de planificare a producției devine un aspect foarte sensibil al planificării gestionării pădurilor de care trebuie ținut cont la momentul proiectării și aprobării amenajamentelor silvice. </w:t>
      </w:r>
    </w:p>
    <w:p w:rsidR="007A21BD" w:rsidRPr="00067FEF" w:rsidRDefault="007A21BD" w:rsidP="007A21BD">
      <w:pPr>
        <w:shd w:val="clear" w:color="auto" w:fill="FFFFFF" w:themeFill="background1"/>
        <w:spacing w:after="0" w:line="240" w:lineRule="auto"/>
        <w:ind w:left="142" w:hanging="142"/>
        <w:rPr>
          <w:rFonts w:ascii="Arial" w:hAnsi="Arial" w:cs="Arial"/>
          <w:sz w:val="24"/>
          <w:szCs w:val="24"/>
        </w:rPr>
      </w:pPr>
      <w:r w:rsidRPr="00067FEF">
        <w:rPr>
          <w:rFonts w:ascii="Arial" w:hAnsi="Arial" w:cs="Arial"/>
          <w:b/>
          <w:sz w:val="24"/>
          <w:szCs w:val="24"/>
        </w:rPr>
        <w:tab/>
        <w:t>Tabel nr. V.1.5.1.- 1</w:t>
      </w:r>
      <w:r w:rsidRPr="00067FEF">
        <w:rPr>
          <w:rFonts w:ascii="Arial" w:hAnsi="Arial" w:cs="Arial"/>
          <w:sz w:val="24"/>
          <w:szCs w:val="24"/>
        </w:rPr>
        <w:t xml:space="preserve"> Evolutia cresterii fondului forestier comparativ cu taierea masei lemnoase la nivelul judetului Braila in perioada 2013-2017 (mc/an/ha);</w:t>
      </w:r>
    </w:p>
    <w:p w:rsidR="007A21BD" w:rsidRPr="00067FEF" w:rsidRDefault="007A21BD" w:rsidP="007A21BD">
      <w:pPr>
        <w:shd w:val="clear" w:color="auto" w:fill="FFFFFF" w:themeFill="background1"/>
        <w:spacing w:after="0" w:line="240" w:lineRule="auto"/>
        <w:ind w:left="142" w:hanging="142"/>
        <w:rPr>
          <w:rFonts w:ascii="Arial" w:hAnsi="Arial" w:cs="Arial"/>
          <w:sz w:val="24"/>
          <w:szCs w:val="24"/>
        </w:rPr>
      </w:pP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083"/>
        <w:gridCol w:w="3579"/>
      </w:tblGrid>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Anul</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Cresterea anuala a fondului forestier (mc/an/ha)</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Cantitatea de masa lemnoasa recoltata anual (mc/an/ha)</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2012</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5,4</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2013</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5,2</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2014</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2015</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5,3</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2016</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5,3</w:t>
            </w:r>
          </w:p>
        </w:tc>
      </w:tr>
      <w:tr w:rsidR="007A21BD" w:rsidRPr="00067FEF" w:rsidTr="004E444C">
        <w:tc>
          <w:tcPr>
            <w:tcW w:w="1101"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2017</w:t>
            </w:r>
          </w:p>
        </w:tc>
        <w:tc>
          <w:tcPr>
            <w:tcW w:w="3083"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5,5</w:t>
            </w:r>
          </w:p>
        </w:tc>
        <w:tc>
          <w:tcPr>
            <w:tcW w:w="3579" w:type="dxa"/>
            <w:shd w:val="clear" w:color="auto" w:fill="auto"/>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5,3</w:t>
            </w:r>
          </w:p>
        </w:tc>
      </w:tr>
    </w:tbl>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jc w:val="both"/>
        <w:rPr>
          <w:rFonts w:ascii="Arial" w:hAnsi="Arial" w:cs="Arial"/>
          <w:sz w:val="24"/>
          <w:szCs w:val="24"/>
          <w:lang w:val="fr-FR"/>
        </w:rPr>
      </w:pP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Pentru pădurile din județul Brăila cantitatea de masă lemnoasă recoltată anual s-a situat sub valoarea stabilită de creșterea anuală, excepție fiind anul 2014 în care cantitatea recoltată a fost este egală cu  creșterea anuală.</w:t>
      </w: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rPr>
      </w:pPr>
      <w:r w:rsidRPr="00067FEF">
        <w:rPr>
          <w:rFonts w:ascii="Arial" w:hAnsi="Arial" w:cs="Arial"/>
          <w:b/>
          <w:sz w:val="24"/>
          <w:szCs w:val="24"/>
          <w:lang w:val="fr-FR"/>
        </w:rPr>
        <w:t>Figura nr. V.1.5.1.1-</w:t>
      </w:r>
      <w:r w:rsidRPr="00067FEF">
        <w:rPr>
          <w:rFonts w:ascii="Arial" w:hAnsi="Arial" w:cs="Arial"/>
          <w:sz w:val="24"/>
          <w:szCs w:val="24"/>
        </w:rPr>
        <w:t xml:space="preserve"> Evolutia cresterii fondului forestier comparativ cu taierea masei lemnoase la nivelul judetului Braila in perioada 2012-2016 (mc/an/ha);</w:t>
      </w:r>
    </w:p>
    <w:p w:rsidR="007A21BD" w:rsidRPr="00067FEF" w:rsidRDefault="007A21BD" w:rsidP="007A21BD">
      <w:pPr>
        <w:shd w:val="clear" w:color="auto" w:fill="FFFFFF" w:themeFill="background1"/>
        <w:spacing w:after="0" w:line="240" w:lineRule="auto"/>
        <w:ind w:firstLine="720"/>
        <w:jc w:val="both"/>
        <w:rPr>
          <w:rFonts w:ascii="Arial" w:hAnsi="Arial" w:cs="Arial"/>
          <w:b/>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r w:rsidRPr="00067FEF">
        <w:rPr>
          <w:rFonts w:ascii="Arial" w:hAnsi="Arial" w:cs="Arial"/>
          <w:noProof/>
          <w:sz w:val="24"/>
          <w:szCs w:val="24"/>
        </w:rPr>
        <w:drawing>
          <wp:inline distT="0" distB="0" distL="0" distR="0">
            <wp:extent cx="5200650" cy="2305050"/>
            <wp:effectExtent l="19050" t="0" r="19050" b="0"/>
            <wp:docPr id="2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p>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lang w:val="fr-FR"/>
        </w:rPr>
      </w:pPr>
      <w:r w:rsidRPr="00067FEF">
        <w:rPr>
          <w:rFonts w:ascii="Arial" w:hAnsi="Arial" w:cs="Arial"/>
          <w:sz w:val="24"/>
          <w:szCs w:val="24"/>
          <w:lang w:val="fr-FR"/>
        </w:rPr>
        <w:t>Ca urmare, în județul Brăila nu se poate vorbi de o supraexploatare a fondului forestier.</w:t>
      </w:r>
    </w:p>
    <w:p w:rsidR="007A21BD" w:rsidRPr="00067FEF" w:rsidRDefault="007A21BD" w:rsidP="007A21BD">
      <w:pPr>
        <w:shd w:val="clear" w:color="auto" w:fill="FFFFFF" w:themeFill="background1"/>
        <w:tabs>
          <w:tab w:val="left" w:leader="dot" w:pos="9356"/>
        </w:tabs>
        <w:spacing w:after="0" w:line="240" w:lineRule="auto"/>
        <w:jc w:val="both"/>
        <w:rPr>
          <w:rFonts w:ascii="Arial" w:hAnsi="Arial" w:cs="Arial"/>
          <w:b/>
          <w:sz w:val="24"/>
          <w:szCs w:val="24"/>
        </w:rPr>
      </w:pPr>
    </w:p>
    <w:p w:rsidR="007A21BD" w:rsidRPr="00067FEF" w:rsidRDefault="007A21BD" w:rsidP="007A21BD">
      <w:pPr>
        <w:shd w:val="clear" w:color="auto" w:fill="FFFFFF" w:themeFill="background1"/>
        <w:tabs>
          <w:tab w:val="left" w:leader="dot" w:pos="9356"/>
        </w:tabs>
        <w:spacing w:after="0" w:line="240" w:lineRule="auto"/>
        <w:jc w:val="both"/>
        <w:rPr>
          <w:rFonts w:ascii="Arial" w:hAnsi="Arial" w:cs="Arial"/>
          <w:i/>
          <w:sz w:val="24"/>
          <w:szCs w:val="24"/>
        </w:rPr>
      </w:pPr>
      <w:r w:rsidRPr="00067FEF">
        <w:rPr>
          <w:rFonts w:ascii="Arial" w:hAnsi="Arial" w:cs="Arial"/>
          <w:b/>
          <w:sz w:val="24"/>
          <w:szCs w:val="24"/>
        </w:rPr>
        <w:t>V.2.Protecţia naturii şi biodiversitatea: prognoze şi acţiuni întreprinse</w:t>
      </w:r>
      <w:r w:rsidRPr="00067FEF">
        <w:rPr>
          <w:rFonts w:ascii="Arial" w:hAnsi="Arial" w:cs="Arial"/>
          <w:sz w:val="24"/>
          <w:szCs w:val="24"/>
        </w:rPr>
        <w:t xml:space="preserve">       </w:t>
      </w:r>
    </w:p>
    <w:p w:rsidR="007A21BD" w:rsidRPr="00067FEF" w:rsidRDefault="007A21BD" w:rsidP="007A21BD">
      <w:pPr>
        <w:shd w:val="clear" w:color="auto" w:fill="FFFFFF" w:themeFill="background1"/>
        <w:tabs>
          <w:tab w:val="left" w:pos="1204"/>
          <w:tab w:val="left" w:leader="dot" w:pos="9356"/>
        </w:tabs>
        <w:spacing w:after="0" w:line="240" w:lineRule="auto"/>
        <w:ind w:left="426"/>
        <w:jc w:val="both"/>
        <w:rPr>
          <w:rFonts w:ascii="Arial" w:hAnsi="Arial" w:cs="Arial"/>
          <w:b/>
          <w:sz w:val="24"/>
          <w:szCs w:val="24"/>
        </w:rPr>
      </w:pPr>
    </w:p>
    <w:p w:rsidR="007A21BD" w:rsidRPr="00067FEF" w:rsidRDefault="007A21BD" w:rsidP="007A21BD">
      <w:pPr>
        <w:shd w:val="clear" w:color="auto" w:fill="FFFFFF" w:themeFill="background1"/>
        <w:tabs>
          <w:tab w:val="left" w:pos="1204"/>
          <w:tab w:val="left" w:leader="dot" w:pos="9356"/>
        </w:tabs>
        <w:spacing w:after="0" w:line="240" w:lineRule="auto"/>
        <w:ind w:left="426"/>
        <w:jc w:val="both"/>
        <w:rPr>
          <w:rFonts w:ascii="Arial" w:hAnsi="Arial" w:cs="Arial"/>
          <w:b/>
          <w:i/>
          <w:sz w:val="24"/>
          <w:szCs w:val="24"/>
        </w:rPr>
      </w:pPr>
      <w:r w:rsidRPr="00067FEF">
        <w:rPr>
          <w:rFonts w:ascii="Arial" w:hAnsi="Arial" w:cs="Arial"/>
          <w:b/>
          <w:sz w:val="24"/>
          <w:szCs w:val="24"/>
        </w:rPr>
        <w:t>V.2.1.</w:t>
      </w:r>
      <w:r w:rsidRPr="00067FEF">
        <w:rPr>
          <w:rFonts w:ascii="Arial" w:hAnsi="Arial" w:cs="Arial"/>
          <w:b/>
          <w:i/>
          <w:sz w:val="24"/>
          <w:szCs w:val="24"/>
        </w:rPr>
        <w:t xml:space="preserve">Reţeaua de arii protejate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În România au fost desemnate, în scopul asigurării măsurilor speciale de protecţie şi conservare in situ a bunurilor patrimoniului natural, următoarele categorii de arii naturale protejate, definite la art. 5, alin. (1) din O.U.G. nr. 57/2007 privind regimul ariilor naturale protejate, conservarea habitatelor naturale, a florei şi faunei sălbatice, aprobată cu modificări şi completări prin Legea nr. 49/2011, cu completările ulterioare:</w:t>
      </w:r>
    </w:p>
    <w:p w:rsidR="007A21BD" w:rsidRPr="00076C41" w:rsidRDefault="007A21BD" w:rsidP="007A21BD">
      <w:pPr>
        <w:shd w:val="clear" w:color="auto" w:fill="FFFFFF" w:themeFill="background1"/>
        <w:spacing w:after="0" w:line="240" w:lineRule="auto"/>
        <w:ind w:firstLine="426"/>
        <w:jc w:val="both"/>
        <w:rPr>
          <w:rFonts w:ascii="Arial" w:hAnsi="Arial" w:cs="Arial"/>
          <w:sz w:val="24"/>
          <w:szCs w:val="24"/>
          <w:lang w:val="it-IT"/>
        </w:rPr>
      </w:pPr>
      <w:r w:rsidRPr="00076C41">
        <w:rPr>
          <w:rStyle w:val="li1"/>
          <w:rFonts w:ascii="Arial" w:hAnsi="Arial" w:cs="Arial"/>
          <w:color w:val="auto"/>
          <w:sz w:val="24"/>
          <w:szCs w:val="24"/>
          <w:lang w:val="it-IT"/>
        </w:rPr>
        <w:t xml:space="preserve">a) </w:t>
      </w:r>
      <w:r w:rsidRPr="00076C41">
        <w:rPr>
          <w:rStyle w:val="tli1"/>
          <w:rFonts w:ascii="Arial" w:hAnsi="Arial" w:cs="Arial"/>
          <w:sz w:val="24"/>
          <w:szCs w:val="24"/>
          <w:u w:val="single"/>
          <w:lang w:val="it-IT"/>
        </w:rPr>
        <w:t>de interes naţional</w:t>
      </w:r>
      <w:r w:rsidRPr="00076C41">
        <w:rPr>
          <w:rStyle w:val="tli1"/>
          <w:rFonts w:ascii="Arial" w:hAnsi="Arial" w:cs="Arial"/>
          <w:sz w:val="24"/>
          <w:szCs w:val="24"/>
          <w:lang w:val="it-IT"/>
        </w:rPr>
        <w:t>: parcuri naţionale, monumente ale naturii, rezervaţii naturale, parcuri naturale;</w:t>
      </w:r>
    </w:p>
    <w:p w:rsidR="007A21BD" w:rsidRPr="00076C41" w:rsidRDefault="007A21BD" w:rsidP="007A21BD">
      <w:pPr>
        <w:shd w:val="clear" w:color="auto" w:fill="FFFFFF" w:themeFill="background1"/>
        <w:spacing w:after="0" w:line="240" w:lineRule="auto"/>
        <w:ind w:firstLine="426"/>
        <w:jc w:val="both"/>
        <w:rPr>
          <w:rFonts w:ascii="Arial" w:hAnsi="Arial" w:cs="Arial"/>
          <w:sz w:val="24"/>
          <w:szCs w:val="24"/>
          <w:lang w:val="it-IT"/>
        </w:rPr>
      </w:pPr>
      <w:r w:rsidRPr="00076C41">
        <w:rPr>
          <w:rStyle w:val="li1"/>
          <w:rFonts w:ascii="Arial" w:hAnsi="Arial" w:cs="Arial"/>
          <w:color w:val="auto"/>
          <w:sz w:val="24"/>
          <w:szCs w:val="24"/>
          <w:lang w:val="it-IT"/>
        </w:rPr>
        <w:t xml:space="preserve">b) </w:t>
      </w:r>
      <w:r w:rsidRPr="00076C41">
        <w:rPr>
          <w:rStyle w:val="tli1"/>
          <w:rFonts w:ascii="Arial" w:hAnsi="Arial" w:cs="Arial"/>
          <w:sz w:val="24"/>
          <w:szCs w:val="24"/>
          <w:u w:val="single"/>
          <w:lang w:val="it-IT"/>
        </w:rPr>
        <w:t>de interes internaţional</w:t>
      </w:r>
      <w:r w:rsidRPr="00076C41">
        <w:rPr>
          <w:rStyle w:val="tli1"/>
          <w:rFonts w:ascii="Arial" w:hAnsi="Arial" w:cs="Arial"/>
          <w:sz w:val="24"/>
          <w:szCs w:val="24"/>
          <w:lang w:val="it-IT"/>
        </w:rPr>
        <w:t>: zone umede de importanţă internaţională, rezervaţii ale biosferei;</w:t>
      </w:r>
    </w:p>
    <w:p w:rsidR="007A21BD" w:rsidRPr="00076C41" w:rsidRDefault="007A21BD" w:rsidP="007A21BD">
      <w:pPr>
        <w:shd w:val="clear" w:color="auto" w:fill="FFFFFF" w:themeFill="background1"/>
        <w:spacing w:after="0" w:line="240" w:lineRule="auto"/>
        <w:ind w:firstLine="426"/>
        <w:jc w:val="both"/>
        <w:rPr>
          <w:rStyle w:val="tli1"/>
          <w:rFonts w:ascii="Arial" w:hAnsi="Arial" w:cs="Arial"/>
          <w:sz w:val="24"/>
          <w:szCs w:val="24"/>
          <w:lang w:val="it-IT"/>
        </w:rPr>
      </w:pPr>
      <w:r w:rsidRPr="00076C41">
        <w:rPr>
          <w:rStyle w:val="li1"/>
          <w:rFonts w:ascii="Arial" w:hAnsi="Arial" w:cs="Arial"/>
          <w:color w:val="auto"/>
          <w:sz w:val="24"/>
          <w:szCs w:val="24"/>
          <w:lang w:val="it-IT"/>
        </w:rPr>
        <w:lastRenderedPageBreak/>
        <w:t xml:space="preserve">c) </w:t>
      </w:r>
      <w:r w:rsidRPr="00076C41">
        <w:rPr>
          <w:rStyle w:val="tli1"/>
          <w:rFonts w:ascii="Arial" w:hAnsi="Arial" w:cs="Arial"/>
          <w:sz w:val="24"/>
          <w:szCs w:val="24"/>
          <w:u w:val="single"/>
          <w:lang w:val="it-IT"/>
        </w:rPr>
        <w:t>de interes comunitar sau situri "Natura 2000"</w:t>
      </w:r>
      <w:r w:rsidRPr="00076C41">
        <w:rPr>
          <w:rStyle w:val="tli1"/>
          <w:rFonts w:ascii="Arial" w:hAnsi="Arial" w:cs="Arial"/>
          <w:sz w:val="24"/>
          <w:szCs w:val="24"/>
          <w:lang w:val="it-IT"/>
        </w:rPr>
        <w:t xml:space="preserve">, </w:t>
      </w:r>
      <w:r w:rsidRPr="00076C41">
        <w:rPr>
          <w:rFonts w:ascii="Arial" w:hAnsi="Arial" w:cs="Arial"/>
          <w:bCs/>
          <w:sz w:val="24"/>
          <w:szCs w:val="24"/>
        </w:rPr>
        <w:t>parte integrantă a reţelei ecologice europene Natura 2000 în România</w:t>
      </w:r>
      <w:r w:rsidRPr="00076C41">
        <w:rPr>
          <w:rStyle w:val="tli1"/>
          <w:rFonts w:ascii="Arial" w:hAnsi="Arial" w:cs="Arial"/>
          <w:sz w:val="24"/>
          <w:szCs w:val="24"/>
          <w:lang w:val="it-IT"/>
        </w:rPr>
        <w:t xml:space="preserve">: </w:t>
      </w:r>
    </w:p>
    <w:p w:rsidR="007A21BD" w:rsidRPr="00076C41" w:rsidRDefault="007A21BD" w:rsidP="00EF3940">
      <w:pPr>
        <w:pStyle w:val="ListParagraph"/>
        <w:numPr>
          <w:ilvl w:val="0"/>
          <w:numId w:val="55"/>
        </w:numPr>
        <w:shd w:val="clear" w:color="auto" w:fill="FFFFFF" w:themeFill="background1"/>
        <w:autoSpaceDE w:val="0"/>
        <w:autoSpaceDN w:val="0"/>
        <w:adjustRightInd w:val="0"/>
        <w:jc w:val="both"/>
        <w:rPr>
          <w:rFonts w:ascii="Arial" w:hAnsi="Arial" w:cs="Arial"/>
        </w:rPr>
      </w:pPr>
      <w:r w:rsidRPr="00076C41">
        <w:rPr>
          <w:rStyle w:val="tli1"/>
          <w:rFonts w:ascii="Arial" w:eastAsia="Calibri" w:hAnsi="Arial" w:cs="Arial"/>
          <w:lang w:val="it-IT"/>
        </w:rPr>
        <w:t>arii de protecţie specială avifaunistică</w:t>
      </w:r>
      <w:r w:rsidRPr="00076C41">
        <w:rPr>
          <w:rFonts w:ascii="Arial" w:hAnsi="Arial" w:cs="Arial"/>
        </w:rPr>
        <w:t xml:space="preserve"> -SPA (Special Protection Areas) desemnate pentru specii de păsări; </w:t>
      </w:r>
    </w:p>
    <w:p w:rsidR="007A21BD" w:rsidRPr="00076C41" w:rsidRDefault="007A21BD" w:rsidP="00EF3940">
      <w:pPr>
        <w:pStyle w:val="ListParagraph"/>
        <w:numPr>
          <w:ilvl w:val="0"/>
          <w:numId w:val="55"/>
        </w:numPr>
        <w:shd w:val="clear" w:color="auto" w:fill="FFFFFF" w:themeFill="background1"/>
        <w:autoSpaceDE w:val="0"/>
        <w:autoSpaceDN w:val="0"/>
        <w:adjustRightInd w:val="0"/>
        <w:jc w:val="both"/>
        <w:rPr>
          <w:rFonts w:ascii="Arial" w:hAnsi="Arial" w:cs="Arial"/>
          <w:lang w:val="it-IT"/>
        </w:rPr>
      </w:pPr>
      <w:r w:rsidRPr="00076C41">
        <w:rPr>
          <w:rStyle w:val="tli1"/>
          <w:rFonts w:ascii="Arial" w:eastAsia="Calibri" w:hAnsi="Arial" w:cs="Arial"/>
          <w:lang w:val="it-IT"/>
        </w:rPr>
        <w:t>situri de importanţă comunitară -</w:t>
      </w:r>
      <w:r w:rsidRPr="00076C41">
        <w:rPr>
          <w:rFonts w:ascii="Arial" w:hAnsi="Arial" w:cs="Arial"/>
        </w:rPr>
        <w:t xml:space="preserve">SCI (Sites of Community Importance) desemnate pentru habitate naturale şi specii de floră şi faună sălbatică, altele decât păsări </w:t>
      </w:r>
    </w:p>
    <w:p w:rsidR="007A21BD" w:rsidRPr="00067FEF" w:rsidRDefault="007A21BD" w:rsidP="007A21BD">
      <w:pPr>
        <w:shd w:val="clear" w:color="auto" w:fill="FFFFFF" w:themeFill="background1"/>
        <w:autoSpaceDE w:val="0"/>
        <w:autoSpaceDN w:val="0"/>
        <w:adjustRightInd w:val="0"/>
        <w:spacing w:after="0" w:line="240" w:lineRule="auto"/>
        <w:ind w:firstLine="360"/>
        <w:jc w:val="both"/>
        <w:rPr>
          <w:rFonts w:ascii="Arial" w:hAnsi="Arial" w:cs="Arial"/>
          <w:sz w:val="24"/>
          <w:szCs w:val="24"/>
          <w:lang w:val="it-IT"/>
        </w:rPr>
      </w:pPr>
      <w:r w:rsidRPr="00076C41">
        <w:rPr>
          <w:rStyle w:val="li1"/>
          <w:rFonts w:ascii="Arial" w:hAnsi="Arial" w:cs="Arial"/>
          <w:color w:val="auto"/>
          <w:sz w:val="24"/>
          <w:szCs w:val="24"/>
          <w:lang w:val="it-IT"/>
        </w:rPr>
        <w:t>d)</w:t>
      </w:r>
      <w:r w:rsidRPr="00067FEF">
        <w:rPr>
          <w:rStyle w:val="li1"/>
          <w:rFonts w:ascii="Arial" w:hAnsi="Arial" w:cs="Arial"/>
          <w:sz w:val="24"/>
          <w:szCs w:val="24"/>
          <w:lang w:val="it-IT"/>
        </w:rPr>
        <w:t xml:space="preserve"> </w:t>
      </w:r>
      <w:r w:rsidRPr="00067FEF">
        <w:rPr>
          <w:rStyle w:val="tli1"/>
          <w:rFonts w:ascii="Arial" w:hAnsi="Arial" w:cs="Arial"/>
          <w:sz w:val="24"/>
          <w:szCs w:val="24"/>
          <w:u w:val="single"/>
          <w:lang w:val="it-IT"/>
        </w:rPr>
        <w:t>de interes judeţean sau local</w:t>
      </w:r>
      <w:r w:rsidRPr="00067FEF">
        <w:rPr>
          <w:rStyle w:val="tli1"/>
          <w:rFonts w:ascii="Arial" w:hAnsi="Arial" w:cs="Arial"/>
          <w:sz w:val="24"/>
          <w:szCs w:val="24"/>
          <w:lang w:val="it-IT"/>
        </w:rPr>
        <w:t>: stabilite numai pe domeniul public/privat al unităţilor administrativ-teritoriale.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Desemnarea ariilor naturale protejate a inceput în județul Brăila în anul 1994 cănd prin HCJ Brăila nr. 20/1994 privind zonele naturale protejate și monumentele naturii de pe raza județului Brăila au fost desemnate 5 arii naturale protejate, cu o suprafață totală de aproape 17691,1ha.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Prin Legea 5/2000 privind aprobarea Planului de amenajare a teritoriului naţional, secţiunea III-Arii protejate, o parte din ariile desemnate pe plan local în 1994 au fost încadrate la categoria arii protejate de interes național (Tabelul nr. V.2.1-1.).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În alte două etape, 2007 și 2011 au fost desemnate ariile protejate de interes comunitar, 7SPA și 4 SCI în 2007 la care s-au mai adăugat 2 SPA și 5 SCI în 2011,  prin HG 1284/2007 privind declararea ariilor de protecţie specială avifaunistică ca parte integrantă a reţelei ecologice europene Natura 2000 în România, cu completările ulterioare și Ord. MMDD nr. 1964/2007 privind instituirea regimului de arie naturală protejată a siturilor de importanţă comunitară, ca parte integrantă a reţelei ecologice europene Natura 2000 în România, cu completările ulterioare.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În anul 2015 Ministerul Mediului, Apelor şi Pădurilor (MMAP), prin Institutul Naţional de Cercetare – Dezvoltare Delta Dunării (INCDDD) a avut în curs de implementare proiectul “Consolidarea Reţelei Natura 2000”. Acest proiect a avut ca scop îndeplinirea obligaţiilor ce revin Romaniei ca stat membru al Uniunii Europene în domeniul protecţiei naturii, cu privire la implementarea Directivelor Habitate şi Păsări prin asigurarea suficienţei siturilor Natura 2000 desemnate și în vederea rezolvării calificativelor de insuficiență primite în cadrul seminariilor biogeografice din anul 2011. În acest sens, pentru județul Brăila au fost propuse două noi arii de protecţie specială avifaunistică precum și extinderea altor 5 situri existente în cadrul rețelei de arii naturale Natura 2000 (un sit de importanță comunitară și 4 arii de protecţie specială avifaunistică). În anul 2016 ROSCI0103 Lunca Buzăului a fost extins iar ulterior a fost declarat și ROSPA0160 cu același nume.</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Totodată, au fost desemnate și două situri Ramsar (zone umede de importanţă internaţională ca habitat al păsărilor acvatice migratoare), Insula Mică a Brăilei în anul 2001 și Dunărea Veche Brațul Măcin în anul 2013.</w:t>
      </w:r>
    </w:p>
    <w:p w:rsidR="007A21BD" w:rsidRPr="00067FEF" w:rsidRDefault="007A21BD" w:rsidP="007A21BD">
      <w:pPr>
        <w:shd w:val="clear" w:color="auto" w:fill="FFFFFF" w:themeFill="background1"/>
        <w:autoSpaceDE w:val="0"/>
        <w:autoSpaceDN w:val="0"/>
        <w:adjustRightInd w:val="0"/>
        <w:spacing w:after="0" w:line="240" w:lineRule="auto"/>
        <w:ind w:firstLine="360"/>
        <w:jc w:val="both"/>
        <w:rPr>
          <w:rFonts w:ascii="Arial" w:eastAsia="Times New Roman" w:hAnsi="Arial" w:cs="Arial"/>
          <w:sz w:val="24"/>
          <w:szCs w:val="24"/>
        </w:rPr>
      </w:pPr>
      <w:r w:rsidRPr="00067FEF">
        <w:rPr>
          <w:rFonts w:ascii="Arial" w:eastAsia="Times New Roman" w:hAnsi="Arial" w:cs="Arial"/>
          <w:sz w:val="24"/>
          <w:szCs w:val="24"/>
        </w:rPr>
        <w:t xml:space="preserve">Ca urmare, s-a ajuns la un total de </w:t>
      </w:r>
      <w:r w:rsidRPr="00067FEF">
        <w:rPr>
          <w:rFonts w:ascii="Arial" w:eastAsia="Times New Roman" w:hAnsi="Arial" w:cs="Arial"/>
          <w:b/>
          <w:sz w:val="24"/>
          <w:szCs w:val="24"/>
          <w:u w:val="single"/>
        </w:rPr>
        <w:t>26 arii naturale protejate desemnate</w:t>
      </w:r>
      <w:r w:rsidRPr="00067FEF">
        <w:rPr>
          <w:rFonts w:ascii="Arial" w:eastAsia="Times New Roman" w:hAnsi="Arial" w:cs="Arial"/>
          <w:sz w:val="24"/>
          <w:szCs w:val="24"/>
        </w:rPr>
        <w:t xml:space="preserve">: </w:t>
      </w:r>
    </w:p>
    <w:p w:rsidR="007A21BD" w:rsidRPr="00067FEF" w:rsidRDefault="007A21BD" w:rsidP="00EF3940">
      <w:pPr>
        <w:pStyle w:val="ListParagraph"/>
        <w:numPr>
          <w:ilvl w:val="0"/>
          <w:numId w:val="52"/>
        </w:numPr>
        <w:shd w:val="clear" w:color="auto" w:fill="FFFFFF" w:themeFill="background1"/>
        <w:autoSpaceDE w:val="0"/>
        <w:autoSpaceDN w:val="0"/>
        <w:adjustRightInd w:val="0"/>
        <w:jc w:val="both"/>
        <w:rPr>
          <w:rFonts w:ascii="Arial" w:hAnsi="Arial" w:cs="Arial"/>
        </w:rPr>
      </w:pPr>
      <w:r w:rsidRPr="00067FEF">
        <w:rPr>
          <w:rFonts w:ascii="Arial" w:hAnsi="Arial" w:cs="Arial"/>
        </w:rPr>
        <w:t>3 de interes naţional: Parcul Natural Balta Mică a Brăilei și Rezervațiile Naturale Camnița și Jirlău-Trup vișani</w:t>
      </w:r>
    </w:p>
    <w:p w:rsidR="007A21BD" w:rsidRPr="00067FEF" w:rsidRDefault="007A21BD" w:rsidP="00EF3940">
      <w:pPr>
        <w:pStyle w:val="ListParagraph"/>
        <w:numPr>
          <w:ilvl w:val="0"/>
          <w:numId w:val="52"/>
        </w:numPr>
        <w:shd w:val="clear" w:color="auto" w:fill="FFFFFF" w:themeFill="background1"/>
        <w:autoSpaceDE w:val="0"/>
        <w:autoSpaceDN w:val="0"/>
        <w:adjustRightInd w:val="0"/>
        <w:jc w:val="both"/>
        <w:rPr>
          <w:rFonts w:ascii="Arial" w:hAnsi="Arial" w:cs="Arial"/>
        </w:rPr>
      </w:pPr>
      <w:r w:rsidRPr="00067FEF">
        <w:rPr>
          <w:rFonts w:ascii="Arial" w:hAnsi="Arial" w:cs="Arial"/>
        </w:rPr>
        <w:t xml:space="preserve">2 de interes judeţean şi local: Rezervația Forestieră Pădurea Viișoara și Popina Blasova, monument al naturii, martor de eroziune hercinică, </w:t>
      </w:r>
    </w:p>
    <w:p w:rsidR="007A21BD" w:rsidRPr="00067FEF" w:rsidRDefault="007A21BD" w:rsidP="00EF3940">
      <w:pPr>
        <w:pStyle w:val="ListParagraph"/>
        <w:numPr>
          <w:ilvl w:val="0"/>
          <w:numId w:val="52"/>
        </w:numPr>
        <w:shd w:val="clear" w:color="auto" w:fill="FFFFFF" w:themeFill="background1"/>
        <w:autoSpaceDE w:val="0"/>
        <w:autoSpaceDN w:val="0"/>
        <w:adjustRightInd w:val="0"/>
        <w:jc w:val="both"/>
        <w:rPr>
          <w:rFonts w:ascii="Arial" w:hAnsi="Arial" w:cs="Arial"/>
        </w:rPr>
      </w:pPr>
      <w:r w:rsidRPr="00067FEF">
        <w:rPr>
          <w:rFonts w:ascii="Arial" w:hAnsi="Arial" w:cs="Arial"/>
        </w:rPr>
        <w:t xml:space="preserve">2 de interes internaţional: cele două situri Ramsar </w:t>
      </w:r>
    </w:p>
    <w:p w:rsidR="007A21BD" w:rsidRPr="00067FEF" w:rsidRDefault="007A21BD" w:rsidP="00EF3940">
      <w:pPr>
        <w:pStyle w:val="ListParagraph"/>
        <w:numPr>
          <w:ilvl w:val="0"/>
          <w:numId w:val="52"/>
        </w:numPr>
        <w:shd w:val="clear" w:color="auto" w:fill="FFFFFF" w:themeFill="background1"/>
        <w:autoSpaceDE w:val="0"/>
        <w:autoSpaceDN w:val="0"/>
        <w:adjustRightInd w:val="0"/>
        <w:jc w:val="both"/>
        <w:rPr>
          <w:rFonts w:ascii="Arial" w:hAnsi="Arial" w:cs="Arial"/>
        </w:rPr>
      </w:pPr>
      <w:r w:rsidRPr="00067FEF">
        <w:rPr>
          <w:rFonts w:ascii="Arial" w:hAnsi="Arial" w:cs="Arial"/>
        </w:rPr>
        <w:t>19 de interes comunitar (10 arii de protecție specială avifaunistică-SPA și 9 situri de importanță comunitară -SCI). (Tabelele nr. V.2.1- 2 și V.2.1-3).</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 xml:space="preserve">Aceste arii se suprapun parţial (Tabel </w:t>
      </w:r>
      <w:r w:rsidRPr="00067FEF">
        <w:rPr>
          <w:rFonts w:ascii="Arial" w:hAnsi="Arial" w:cs="Arial"/>
          <w:sz w:val="24"/>
          <w:szCs w:val="24"/>
        </w:rPr>
        <w:t>V.2.1- 4</w:t>
      </w:r>
      <w:r w:rsidRPr="00067FEF">
        <w:rPr>
          <w:rFonts w:ascii="Arial" w:hAnsi="Arial" w:cs="Arial"/>
          <w:b/>
          <w:sz w:val="24"/>
          <w:szCs w:val="24"/>
        </w:rPr>
        <w:t xml:space="preserve">) </w:t>
      </w:r>
      <w:r w:rsidRPr="00067FEF">
        <w:rPr>
          <w:rFonts w:ascii="Arial" w:eastAsia="Times New Roman" w:hAnsi="Arial" w:cs="Arial"/>
          <w:sz w:val="24"/>
          <w:szCs w:val="24"/>
        </w:rPr>
        <w:t>astfel încât acelaşi teritoriu poate avea statut dublu sau triplu de protecţie. Unele arii cum sunt Parcul natural Balta Mică a Brăilei, Situl Ramsar Dunărea Veche Brațul Măcin și o parte a ariilor de interes comunitar acoperă și suprafețe din județele învecinate. Cu un total de aproximativ 62000 ha, suprafața ocupată de ariile protejate  reprezinta aproximativ 13% din suprafaţa judeţului Brăila.</w:t>
      </w:r>
    </w:p>
    <w:p w:rsidR="007A21BD" w:rsidRDefault="007A21BD" w:rsidP="007A21BD">
      <w:pPr>
        <w:shd w:val="clear" w:color="auto" w:fill="FFFFFF" w:themeFill="background1"/>
        <w:autoSpaceDE w:val="0"/>
        <w:autoSpaceDN w:val="0"/>
        <w:adjustRightInd w:val="0"/>
        <w:spacing w:after="0" w:line="240" w:lineRule="auto"/>
        <w:ind w:firstLine="737"/>
        <w:jc w:val="center"/>
        <w:rPr>
          <w:rFonts w:ascii="Arial" w:eastAsia="Times New Roman" w:hAnsi="Arial" w:cs="Arial"/>
          <w:sz w:val="24"/>
          <w:szCs w:val="24"/>
        </w:rPr>
      </w:pPr>
      <w:r w:rsidRPr="00067FEF">
        <w:rPr>
          <w:rFonts w:ascii="Arial" w:eastAsia="Times New Roman" w:hAnsi="Arial" w:cs="Arial"/>
          <w:noProof/>
          <w:sz w:val="24"/>
          <w:szCs w:val="24"/>
        </w:rPr>
        <w:lastRenderedPageBreak/>
        <w:drawing>
          <wp:inline distT="0" distB="0" distL="0" distR="0">
            <wp:extent cx="4594225" cy="2200275"/>
            <wp:effectExtent l="19050" t="0" r="15875" b="0"/>
            <wp:docPr id="2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054F4" w:rsidRPr="00067FEF" w:rsidRDefault="006054F4" w:rsidP="007A21BD">
      <w:pPr>
        <w:shd w:val="clear" w:color="auto" w:fill="FFFFFF" w:themeFill="background1"/>
        <w:autoSpaceDE w:val="0"/>
        <w:autoSpaceDN w:val="0"/>
        <w:adjustRightInd w:val="0"/>
        <w:spacing w:after="0" w:line="240" w:lineRule="auto"/>
        <w:ind w:firstLine="737"/>
        <w:jc w:val="center"/>
        <w:rPr>
          <w:rFonts w:ascii="Arial" w:eastAsia="Times New Roman" w:hAnsi="Arial" w:cs="Arial"/>
          <w:sz w:val="24"/>
          <w:szCs w:val="24"/>
        </w:rPr>
      </w:pPr>
    </w:p>
    <w:p w:rsidR="007A21BD" w:rsidRPr="00067FEF" w:rsidRDefault="007A21BD" w:rsidP="007A21BD">
      <w:pPr>
        <w:shd w:val="clear" w:color="auto" w:fill="FFFFFF" w:themeFill="background1"/>
        <w:autoSpaceDE w:val="0"/>
        <w:autoSpaceDN w:val="0"/>
        <w:adjustRightInd w:val="0"/>
        <w:spacing w:after="0" w:line="240" w:lineRule="auto"/>
        <w:rPr>
          <w:rFonts w:ascii="Arial" w:eastAsia="Times New Roman" w:hAnsi="Arial" w:cs="Arial"/>
          <w:sz w:val="24"/>
          <w:szCs w:val="24"/>
        </w:rPr>
      </w:pPr>
      <w:r w:rsidRPr="00067FEF">
        <w:rPr>
          <w:rFonts w:ascii="Arial" w:eastAsia="Times New Roman" w:hAnsi="Arial" w:cs="Arial"/>
          <w:sz w:val="24"/>
          <w:szCs w:val="24"/>
        </w:rPr>
        <w:t xml:space="preserve">      </w:t>
      </w:r>
      <w:r w:rsidRPr="00067FEF">
        <w:rPr>
          <w:rFonts w:ascii="Arial" w:eastAsia="Times New Roman" w:hAnsi="Arial" w:cs="Arial"/>
          <w:b/>
          <w:sz w:val="24"/>
          <w:szCs w:val="24"/>
        </w:rPr>
        <w:t>Figura nr. V.2.1.1.</w:t>
      </w:r>
      <w:r w:rsidRPr="00067FEF">
        <w:rPr>
          <w:rFonts w:ascii="Arial" w:eastAsia="Times New Roman" w:hAnsi="Arial" w:cs="Arial"/>
          <w:sz w:val="24"/>
          <w:szCs w:val="24"/>
        </w:rPr>
        <w:t xml:space="preserve"> </w:t>
      </w:r>
      <w:r w:rsidRPr="00067FEF">
        <w:rPr>
          <w:rFonts w:ascii="Arial" w:hAnsi="Arial" w:cs="Arial"/>
          <w:sz w:val="24"/>
          <w:szCs w:val="24"/>
        </w:rPr>
        <w:t>Numărul de arii naturale protejate desemnate în perioada 1994 - 2016</w:t>
      </w:r>
      <w:r w:rsidRPr="00067FEF">
        <w:rPr>
          <w:rFonts w:ascii="Arial" w:eastAsia="Times New Roman" w:hAnsi="Arial" w:cs="Arial"/>
          <w:sz w:val="24"/>
          <w:szCs w:val="24"/>
        </w:rPr>
        <w:t xml:space="preserve"> </w:t>
      </w:r>
    </w:p>
    <w:p w:rsidR="007A21BD" w:rsidRPr="00067FEF" w:rsidRDefault="007A21BD" w:rsidP="007A21BD">
      <w:pPr>
        <w:shd w:val="clear" w:color="auto" w:fill="FFFFFF" w:themeFill="background1"/>
        <w:autoSpaceDE w:val="0"/>
        <w:autoSpaceDN w:val="0"/>
        <w:adjustRightInd w:val="0"/>
        <w:spacing w:after="0" w:line="240" w:lineRule="auto"/>
        <w:ind w:firstLine="737"/>
        <w:rPr>
          <w:rFonts w:ascii="Arial" w:eastAsia="Times New Roman" w:hAnsi="Arial" w:cs="Arial"/>
          <w:sz w:val="24"/>
          <w:szCs w:val="24"/>
        </w:rPr>
      </w:pPr>
    </w:p>
    <w:p w:rsidR="007A21BD" w:rsidRDefault="007A21BD" w:rsidP="007A21BD">
      <w:pPr>
        <w:shd w:val="clear" w:color="auto" w:fill="FFFFFF" w:themeFill="background1"/>
        <w:autoSpaceDE w:val="0"/>
        <w:autoSpaceDN w:val="0"/>
        <w:adjustRightInd w:val="0"/>
        <w:spacing w:after="0" w:line="240" w:lineRule="auto"/>
        <w:ind w:firstLine="737"/>
        <w:jc w:val="center"/>
        <w:rPr>
          <w:rFonts w:ascii="Arial" w:eastAsia="Times New Roman" w:hAnsi="Arial" w:cs="Arial"/>
          <w:sz w:val="24"/>
          <w:szCs w:val="24"/>
        </w:rPr>
      </w:pPr>
      <w:r w:rsidRPr="00067FEF">
        <w:rPr>
          <w:rFonts w:ascii="Arial" w:eastAsia="Times New Roman" w:hAnsi="Arial" w:cs="Arial"/>
          <w:noProof/>
          <w:sz w:val="24"/>
          <w:szCs w:val="24"/>
        </w:rPr>
        <w:drawing>
          <wp:inline distT="0" distB="0" distL="0" distR="0">
            <wp:extent cx="4661535" cy="1714500"/>
            <wp:effectExtent l="19050" t="0" r="24765" b="0"/>
            <wp:docPr id="2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054F4" w:rsidRPr="00067FEF" w:rsidRDefault="006054F4" w:rsidP="007A21BD">
      <w:pPr>
        <w:shd w:val="clear" w:color="auto" w:fill="FFFFFF" w:themeFill="background1"/>
        <w:autoSpaceDE w:val="0"/>
        <w:autoSpaceDN w:val="0"/>
        <w:adjustRightInd w:val="0"/>
        <w:spacing w:after="0" w:line="240" w:lineRule="auto"/>
        <w:ind w:firstLine="737"/>
        <w:jc w:val="center"/>
        <w:rPr>
          <w:rFonts w:ascii="Arial" w:eastAsia="Times New Roman" w:hAnsi="Arial" w:cs="Arial"/>
          <w:sz w:val="24"/>
          <w:szCs w:val="24"/>
        </w:rPr>
      </w:pPr>
    </w:p>
    <w:p w:rsidR="007A21BD" w:rsidRPr="00067FEF" w:rsidRDefault="007A21BD" w:rsidP="007A21BD">
      <w:pPr>
        <w:shd w:val="clear" w:color="auto" w:fill="FFFFFF" w:themeFill="background1"/>
        <w:autoSpaceDE w:val="0"/>
        <w:autoSpaceDN w:val="0"/>
        <w:adjustRightInd w:val="0"/>
        <w:spacing w:after="0" w:line="240" w:lineRule="auto"/>
        <w:rPr>
          <w:rFonts w:ascii="Arial" w:eastAsia="Times New Roman" w:hAnsi="Arial" w:cs="Arial"/>
          <w:sz w:val="24"/>
          <w:szCs w:val="24"/>
        </w:rPr>
      </w:pPr>
      <w:r w:rsidRPr="00067FEF">
        <w:rPr>
          <w:rFonts w:ascii="Arial" w:eastAsia="Times New Roman" w:hAnsi="Arial" w:cs="Arial"/>
          <w:b/>
          <w:sz w:val="24"/>
          <w:szCs w:val="24"/>
        </w:rPr>
        <w:t xml:space="preserve">Figura nr.V.2.1.- 2 </w:t>
      </w:r>
      <w:r w:rsidRPr="00067FEF">
        <w:rPr>
          <w:rFonts w:ascii="Arial" w:hAnsi="Arial" w:cs="Arial"/>
          <w:sz w:val="24"/>
          <w:szCs w:val="24"/>
        </w:rPr>
        <w:t>Evoluţia suprafeţei totale a ariilor naturale protejate în perioada 1994 - 2016</w:t>
      </w:r>
      <w:r w:rsidRPr="00067FEF">
        <w:rPr>
          <w:rFonts w:ascii="Arial" w:eastAsia="Times New Roman" w:hAnsi="Arial" w:cs="Arial"/>
          <w:sz w:val="24"/>
          <w:szCs w:val="24"/>
        </w:rPr>
        <w:t xml:space="preserve"> </w:t>
      </w:r>
    </w:p>
    <w:p w:rsidR="007A21BD" w:rsidRPr="00067FEF" w:rsidRDefault="007A21BD" w:rsidP="007A21BD">
      <w:pPr>
        <w:shd w:val="clear" w:color="auto" w:fill="FFFFFF" w:themeFill="background1"/>
        <w:spacing w:after="0" w:line="240" w:lineRule="auto"/>
        <w:jc w:val="both"/>
        <w:rPr>
          <w:rFonts w:ascii="Arial" w:hAnsi="Arial" w:cs="Arial"/>
          <w:b/>
          <w:sz w:val="24"/>
          <w:szCs w:val="24"/>
        </w:rPr>
      </w:pPr>
    </w:p>
    <w:p w:rsidR="007A21BD" w:rsidRPr="00067FEF" w:rsidRDefault="007A21BD" w:rsidP="007A21BD">
      <w:pPr>
        <w:shd w:val="clear" w:color="auto" w:fill="FFFFFF" w:themeFill="background1"/>
        <w:spacing w:after="0" w:line="240" w:lineRule="auto"/>
        <w:jc w:val="both"/>
        <w:rPr>
          <w:rFonts w:ascii="Arial" w:hAnsi="Arial" w:cs="Arial"/>
          <w:b/>
          <w:sz w:val="24"/>
          <w:szCs w:val="24"/>
        </w:rPr>
      </w:pPr>
      <w:r w:rsidRPr="00067FEF">
        <w:rPr>
          <w:rFonts w:ascii="Arial" w:hAnsi="Arial" w:cs="Arial"/>
          <w:b/>
          <w:sz w:val="24"/>
          <w:szCs w:val="24"/>
        </w:rPr>
        <w:t xml:space="preserve">Arii naturale protejate de interes naţional </w:t>
      </w:r>
    </w:p>
    <w:p w:rsidR="007A21BD" w:rsidRPr="00067FEF" w:rsidRDefault="007A21BD" w:rsidP="007A21BD">
      <w:pPr>
        <w:shd w:val="clear" w:color="auto" w:fill="FFFFFF" w:themeFill="background1"/>
        <w:autoSpaceDE w:val="0"/>
        <w:autoSpaceDN w:val="0"/>
        <w:adjustRightInd w:val="0"/>
        <w:spacing w:after="0" w:line="240" w:lineRule="auto"/>
        <w:ind w:firstLine="708"/>
        <w:jc w:val="both"/>
        <w:rPr>
          <w:rFonts w:ascii="Arial" w:eastAsia="Times New Roman" w:hAnsi="Arial" w:cs="Arial"/>
          <w:sz w:val="24"/>
          <w:szCs w:val="24"/>
        </w:rPr>
      </w:pPr>
      <w:r w:rsidRPr="00067FEF">
        <w:rPr>
          <w:rFonts w:ascii="Arial" w:eastAsia="Times New Roman" w:hAnsi="Arial" w:cs="Arial"/>
          <w:sz w:val="24"/>
          <w:szCs w:val="24"/>
        </w:rPr>
        <w:t>În judeţul Brăila există 3 arii naturale protejate de interes naţional (un parc natural şi 2 rezervaţii naturale) declarate prin Legea 5/2000 privind aprobarea Planului de amenajare a teritoriului naţional, secţiunea III - Arii protejate, prezentate în tabelul următor:</w:t>
      </w:r>
    </w:p>
    <w:p w:rsidR="007A21BD" w:rsidRPr="00067FEF" w:rsidRDefault="007A21BD" w:rsidP="007A21BD">
      <w:pPr>
        <w:pStyle w:val="Heading2"/>
        <w:shd w:val="clear" w:color="auto" w:fill="FFFFFF" w:themeFill="background1"/>
        <w:spacing w:before="0" w:after="0"/>
        <w:jc w:val="both"/>
        <w:rPr>
          <w:rFonts w:ascii="Arial" w:hAnsi="Arial" w:cs="Arial"/>
          <w:sz w:val="24"/>
          <w:szCs w:val="24"/>
        </w:rPr>
      </w:pPr>
      <w:r w:rsidRPr="00067FEF">
        <w:rPr>
          <w:rFonts w:ascii="Arial" w:hAnsi="Arial" w:cs="Arial"/>
          <w:i w:val="0"/>
          <w:sz w:val="24"/>
          <w:szCs w:val="24"/>
        </w:rPr>
        <w:t xml:space="preserve">Tabel nr. V.2.1-1. - </w:t>
      </w:r>
      <w:r w:rsidRPr="00067FEF">
        <w:rPr>
          <w:rFonts w:ascii="Arial" w:hAnsi="Arial" w:cs="Arial"/>
          <w:b w:val="0"/>
          <w:i w:val="0"/>
          <w:sz w:val="24"/>
          <w:szCs w:val="24"/>
        </w:rPr>
        <w:t>Ariile  naturale protejate de interes naţional din judeţul Brăila</w:t>
      </w:r>
    </w:p>
    <w:tbl>
      <w:tblPr>
        <w:tblW w:w="9851" w:type="dxa"/>
        <w:jc w:val="center"/>
        <w:tblBorders>
          <w:top w:val="single" w:sz="12" w:space="0" w:color="000000"/>
          <w:left w:val="single" w:sz="12" w:space="0" w:color="000000"/>
          <w:bottom w:val="single" w:sz="12" w:space="0" w:color="000000"/>
          <w:right w:val="single" w:sz="12" w:space="0" w:color="000000"/>
        </w:tblBorders>
        <w:tblLayout w:type="fixed"/>
        <w:tblLook w:val="04A0"/>
      </w:tblPr>
      <w:tblGrid>
        <w:gridCol w:w="534"/>
        <w:gridCol w:w="1389"/>
        <w:gridCol w:w="1335"/>
        <w:gridCol w:w="1400"/>
        <w:gridCol w:w="997"/>
        <w:gridCol w:w="2334"/>
        <w:gridCol w:w="1862"/>
      </w:tblGrid>
      <w:tr w:rsidR="007A21BD" w:rsidRPr="00067FEF" w:rsidTr="009173C4">
        <w:trPr>
          <w:jc w:val="center"/>
        </w:trPr>
        <w:tc>
          <w:tcPr>
            <w:tcW w:w="534" w:type="dxa"/>
            <w:tcBorders>
              <w:top w:val="single" w:sz="4" w:space="0" w:color="auto"/>
              <w:left w:val="single" w:sz="4" w:space="0" w:color="auto"/>
              <w:bottom w:val="single" w:sz="4" w:space="0" w:color="auto"/>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Nr. crt.</w:t>
            </w:r>
          </w:p>
        </w:tc>
        <w:tc>
          <w:tcPr>
            <w:tcW w:w="1389"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Denumire</w:t>
            </w:r>
          </w:p>
        </w:tc>
        <w:tc>
          <w:tcPr>
            <w:tcW w:w="1335"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Actul de declarare</w:t>
            </w:r>
          </w:p>
        </w:tc>
        <w:tc>
          <w:tcPr>
            <w:tcW w:w="1400"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Categoria ariei protejate</w:t>
            </w:r>
          </w:p>
        </w:tc>
        <w:tc>
          <w:tcPr>
            <w:tcW w:w="997" w:type="dxa"/>
            <w:tcBorders>
              <w:top w:val="single" w:sz="4" w:space="0" w:color="auto"/>
              <w:left w:val="single" w:sz="6" w:space="0" w:color="000000"/>
              <w:bottom w:val="single" w:sz="4" w:space="0" w:color="auto"/>
              <w:right w:val="single" w:sz="4" w:space="0" w:color="auto"/>
            </w:tcBorders>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b/>
                <w:sz w:val="24"/>
                <w:szCs w:val="24"/>
                <w:lang w:val="es-ES"/>
              </w:rPr>
            </w:pPr>
            <w:r w:rsidRPr="00067FEF">
              <w:rPr>
                <w:rFonts w:ascii="Arial" w:hAnsi="Arial" w:cs="Arial"/>
                <w:b/>
                <w:sz w:val="24"/>
                <w:szCs w:val="24"/>
                <w:lang w:val="es-ES"/>
              </w:rPr>
              <w:t>Supra-faţa</w:t>
            </w:r>
          </w:p>
          <w:p w:rsidR="007A21BD" w:rsidRPr="00067FEF" w:rsidRDefault="007A21BD" w:rsidP="004E444C">
            <w:pPr>
              <w:shd w:val="clear" w:color="auto" w:fill="FFFFFF" w:themeFill="background1"/>
              <w:spacing w:after="0" w:line="240" w:lineRule="auto"/>
              <w:jc w:val="center"/>
              <w:rPr>
                <w:rFonts w:ascii="Arial" w:hAnsi="Arial" w:cs="Arial"/>
                <w:b/>
                <w:sz w:val="24"/>
                <w:szCs w:val="24"/>
                <w:lang w:val="es-ES"/>
              </w:rPr>
            </w:pPr>
            <w:r w:rsidRPr="00067FEF">
              <w:rPr>
                <w:rFonts w:ascii="Arial" w:hAnsi="Arial" w:cs="Arial"/>
                <w:b/>
                <w:sz w:val="24"/>
                <w:szCs w:val="24"/>
                <w:lang w:val="es-ES"/>
              </w:rPr>
              <w:t>(ha)</w:t>
            </w:r>
          </w:p>
          <w:p w:rsidR="007A21BD" w:rsidRPr="00067FEF" w:rsidRDefault="007A21BD" w:rsidP="004E444C">
            <w:pPr>
              <w:shd w:val="clear" w:color="auto" w:fill="FFFFFF" w:themeFill="background1"/>
              <w:spacing w:after="0" w:line="240" w:lineRule="auto"/>
              <w:jc w:val="center"/>
              <w:rPr>
                <w:rFonts w:ascii="Arial" w:hAnsi="Arial" w:cs="Arial"/>
                <w:b/>
                <w:sz w:val="24"/>
                <w:szCs w:val="24"/>
                <w:lang w:val="es-ES"/>
              </w:rPr>
            </w:pPr>
          </w:p>
        </w:tc>
        <w:tc>
          <w:tcPr>
            <w:tcW w:w="2334"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Localizare</w:t>
            </w:r>
          </w:p>
        </w:tc>
        <w:tc>
          <w:tcPr>
            <w:tcW w:w="1862" w:type="dxa"/>
            <w:tcBorders>
              <w:top w:val="single" w:sz="4" w:space="0" w:color="auto"/>
              <w:left w:val="single" w:sz="6" w:space="0" w:color="000000"/>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b/>
                <w:sz w:val="24"/>
                <w:szCs w:val="24"/>
              </w:rPr>
            </w:pPr>
            <w:r w:rsidRPr="00067FEF">
              <w:rPr>
                <w:rFonts w:ascii="Arial" w:hAnsi="Arial" w:cs="Arial"/>
                <w:b/>
                <w:sz w:val="24"/>
                <w:szCs w:val="24"/>
              </w:rPr>
              <w:t>Administrator</w:t>
            </w:r>
          </w:p>
        </w:tc>
      </w:tr>
      <w:tr w:rsidR="007A21BD" w:rsidRPr="00067FEF" w:rsidTr="009173C4">
        <w:trPr>
          <w:jc w:val="center"/>
        </w:trPr>
        <w:tc>
          <w:tcPr>
            <w:tcW w:w="534" w:type="dxa"/>
            <w:tcBorders>
              <w:top w:val="single" w:sz="4" w:space="0" w:color="auto"/>
              <w:left w:val="single" w:sz="4" w:space="0" w:color="auto"/>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w:t>
            </w:r>
          </w:p>
        </w:tc>
        <w:tc>
          <w:tcPr>
            <w:tcW w:w="1389" w:type="dxa"/>
            <w:tcBorders>
              <w:top w:val="single" w:sz="4" w:space="0" w:color="auto"/>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pStyle w:val="Header"/>
              <w:shd w:val="clear" w:color="auto" w:fill="FFFFFF" w:themeFill="background1"/>
              <w:jc w:val="center"/>
              <w:rPr>
                <w:rFonts w:ascii="Arial" w:hAnsi="Arial" w:cs="Arial"/>
                <w:sz w:val="24"/>
                <w:szCs w:val="24"/>
              </w:rPr>
            </w:pPr>
            <w:r w:rsidRPr="00067FEF">
              <w:rPr>
                <w:rFonts w:ascii="Arial" w:hAnsi="Arial" w:cs="Arial"/>
                <w:sz w:val="24"/>
                <w:szCs w:val="24"/>
              </w:rPr>
              <w:t>Balta</w:t>
            </w:r>
          </w:p>
          <w:p w:rsidR="007A21BD" w:rsidRPr="00067FEF" w:rsidRDefault="007A21BD" w:rsidP="004E444C">
            <w:pPr>
              <w:pStyle w:val="Header"/>
              <w:shd w:val="clear" w:color="auto" w:fill="FFFFFF" w:themeFill="background1"/>
              <w:jc w:val="center"/>
              <w:rPr>
                <w:rFonts w:ascii="Arial" w:hAnsi="Arial" w:cs="Arial"/>
                <w:sz w:val="24"/>
                <w:szCs w:val="24"/>
              </w:rPr>
            </w:pPr>
            <w:r w:rsidRPr="00067FEF">
              <w:rPr>
                <w:rFonts w:ascii="Arial" w:hAnsi="Arial" w:cs="Arial"/>
                <w:sz w:val="24"/>
                <w:szCs w:val="24"/>
              </w:rPr>
              <w:t>Mică a Brăilei</w:t>
            </w:r>
          </w:p>
        </w:tc>
        <w:tc>
          <w:tcPr>
            <w:tcW w:w="1335" w:type="dxa"/>
            <w:tcBorders>
              <w:top w:val="single" w:sz="4" w:space="0" w:color="auto"/>
              <w:left w:val="single" w:sz="6" w:space="0" w:color="000000"/>
              <w:bottom w:val="single" w:sz="6" w:space="0" w:color="000000"/>
              <w:right w:val="single" w:sz="6" w:space="0" w:color="000000"/>
            </w:tcBorders>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Legea 5/2000</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c>
          <w:tcPr>
            <w:tcW w:w="1400" w:type="dxa"/>
            <w:tcBorders>
              <w:top w:val="single" w:sz="4" w:space="0" w:color="auto"/>
              <w:left w:val="single" w:sz="6" w:space="0" w:color="000000"/>
              <w:bottom w:val="single" w:sz="6" w:space="0" w:color="000000"/>
              <w:right w:val="single" w:sz="6" w:space="0" w:color="000000"/>
            </w:tcBorders>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Parc natural</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p>
          <w:p w:rsidR="007A21BD" w:rsidRPr="00067FEF" w:rsidRDefault="007A21BD" w:rsidP="004E444C">
            <w:pPr>
              <w:pStyle w:val="Header"/>
              <w:shd w:val="clear" w:color="auto" w:fill="FFFFFF" w:themeFill="background1"/>
              <w:jc w:val="center"/>
              <w:rPr>
                <w:rFonts w:ascii="Arial" w:hAnsi="Arial" w:cs="Arial"/>
                <w:sz w:val="24"/>
                <w:szCs w:val="24"/>
              </w:rPr>
            </w:pPr>
          </w:p>
        </w:tc>
        <w:tc>
          <w:tcPr>
            <w:tcW w:w="997" w:type="dxa"/>
            <w:tcBorders>
              <w:top w:val="single" w:sz="4" w:space="0" w:color="auto"/>
              <w:left w:val="single" w:sz="6" w:space="0" w:color="000000"/>
              <w:bottom w:val="single" w:sz="6" w:space="0" w:color="000000"/>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24.123</w:t>
            </w:r>
          </w:p>
        </w:tc>
        <w:tc>
          <w:tcPr>
            <w:tcW w:w="2334" w:type="dxa"/>
            <w:tcBorders>
              <w:top w:val="single" w:sz="4" w:space="0" w:color="auto"/>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lang w:val="pt-BR"/>
              </w:rPr>
              <w:t xml:space="preserve">În lunca cu regim natural de inundaţie a fluviului Dunărea, UAT </w:t>
            </w:r>
            <w:r w:rsidRPr="00067FEF">
              <w:rPr>
                <w:rFonts w:ascii="Arial" w:hAnsi="Arial" w:cs="Arial"/>
                <w:sz w:val="24"/>
                <w:szCs w:val="24"/>
              </w:rPr>
              <w:t>Chiscani, Gropeni, Stăncuţa, Tichilești, Berteştii de Jos, Măraşu</w:t>
            </w:r>
          </w:p>
        </w:tc>
        <w:tc>
          <w:tcPr>
            <w:tcW w:w="1862" w:type="dxa"/>
            <w:tcBorders>
              <w:top w:val="single" w:sz="4" w:space="0" w:color="auto"/>
              <w:left w:val="single" w:sz="6" w:space="0" w:color="000000"/>
              <w:bottom w:val="single" w:sz="6" w:space="0" w:color="000000"/>
              <w:right w:val="single" w:sz="4" w:space="0" w:color="auto"/>
            </w:tcBorders>
            <w:shd w:val="clear" w:color="auto" w:fill="auto"/>
            <w:vAlign w:val="center"/>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RNP Romsilva prin structură de administrare special constituită</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r>
      <w:tr w:rsidR="007A21BD" w:rsidRPr="00067FEF" w:rsidTr="009173C4">
        <w:trPr>
          <w:jc w:val="center"/>
        </w:trPr>
        <w:tc>
          <w:tcPr>
            <w:tcW w:w="534" w:type="dxa"/>
            <w:tcBorders>
              <w:top w:val="single" w:sz="6" w:space="0" w:color="000000"/>
              <w:left w:val="single" w:sz="4" w:space="0" w:color="auto"/>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w:t>
            </w:r>
          </w:p>
        </w:tc>
        <w:tc>
          <w:tcPr>
            <w:tcW w:w="13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Lacul</w:t>
            </w:r>
          </w:p>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Jirlău –Trup Vișani</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838,66</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UAT Jirlău, Vişani şi Galbenu</w:t>
            </w:r>
          </w:p>
        </w:tc>
        <w:tc>
          <w:tcPr>
            <w:tcW w:w="1862"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r w:rsidR="007A21BD" w:rsidRPr="00067FEF" w:rsidTr="009173C4">
        <w:trPr>
          <w:jc w:val="center"/>
        </w:trPr>
        <w:tc>
          <w:tcPr>
            <w:tcW w:w="534" w:type="dxa"/>
            <w:tcBorders>
              <w:top w:val="single" w:sz="6" w:space="0" w:color="000000"/>
              <w:left w:val="single" w:sz="4" w:space="0" w:color="auto"/>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3</w:t>
            </w:r>
          </w:p>
        </w:tc>
        <w:tc>
          <w:tcPr>
            <w:tcW w:w="13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Pădurea Camniţa</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1,2</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UAT Râmnicelu</w:t>
            </w:r>
          </w:p>
        </w:tc>
        <w:tc>
          <w:tcPr>
            <w:tcW w:w="1862"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w:t>
            </w:r>
          </w:p>
        </w:tc>
      </w:tr>
    </w:tbl>
    <w:p w:rsidR="007A21BD" w:rsidRPr="00067FEF" w:rsidRDefault="007A21BD" w:rsidP="007A21BD">
      <w:pPr>
        <w:pStyle w:val="Footer"/>
        <w:shd w:val="clear" w:color="auto" w:fill="FFFFFF" w:themeFill="background1"/>
        <w:jc w:val="both"/>
        <w:rPr>
          <w:rFonts w:ascii="Arial" w:hAnsi="Arial" w:cs="Arial"/>
          <w:b/>
          <w:sz w:val="24"/>
          <w:szCs w:val="24"/>
          <w:u w:val="single"/>
        </w:rPr>
      </w:pPr>
    </w:p>
    <w:p w:rsidR="007A21BD" w:rsidRPr="00067FEF" w:rsidRDefault="007A21BD" w:rsidP="007A21BD">
      <w:pPr>
        <w:pStyle w:val="Footer"/>
        <w:shd w:val="clear" w:color="auto" w:fill="FFFFFF" w:themeFill="background1"/>
        <w:jc w:val="both"/>
        <w:rPr>
          <w:rFonts w:ascii="Arial" w:hAnsi="Arial" w:cs="Arial"/>
          <w:b/>
          <w:sz w:val="24"/>
          <w:szCs w:val="24"/>
          <w:u w:val="single"/>
        </w:rPr>
      </w:pPr>
      <w:r w:rsidRPr="00067FEF">
        <w:rPr>
          <w:rFonts w:ascii="Arial" w:hAnsi="Arial" w:cs="Arial"/>
          <w:b/>
          <w:sz w:val="24"/>
          <w:szCs w:val="24"/>
          <w:u w:val="single"/>
        </w:rPr>
        <w:t>Parcul Natural Balta Mică a Brăilei</w:t>
      </w:r>
    </w:p>
    <w:p w:rsidR="007A21BD" w:rsidRPr="00067FEF" w:rsidRDefault="007A21BD" w:rsidP="007A21BD">
      <w:pPr>
        <w:pStyle w:val="BodyTextIndent2"/>
        <w:shd w:val="clear" w:color="auto" w:fill="FFFFFF" w:themeFill="background1"/>
        <w:tabs>
          <w:tab w:val="left" w:pos="180"/>
        </w:tabs>
        <w:spacing w:after="0" w:line="240" w:lineRule="auto"/>
        <w:ind w:left="0"/>
        <w:jc w:val="both"/>
        <w:rPr>
          <w:rFonts w:ascii="Arial" w:hAnsi="Arial" w:cs="Arial"/>
          <w:i/>
          <w:u w:val="single"/>
          <w:lang w:val="pt-BR"/>
        </w:rPr>
      </w:pPr>
      <w:r w:rsidRPr="00067FEF">
        <w:rPr>
          <w:rFonts w:ascii="Arial" w:hAnsi="Arial" w:cs="Arial"/>
          <w:i/>
          <w:u w:val="single"/>
          <w:lang w:val="pt-BR"/>
        </w:rPr>
        <w:t>Amplasament</w:t>
      </w:r>
    </w:p>
    <w:p w:rsidR="007A21BD" w:rsidRPr="00067FEF" w:rsidRDefault="007A21BD" w:rsidP="007A21BD">
      <w:pPr>
        <w:shd w:val="clear" w:color="auto" w:fill="FFFFFF" w:themeFill="background1"/>
        <w:autoSpaceDE w:val="0"/>
        <w:autoSpaceDN w:val="0"/>
        <w:adjustRightInd w:val="0"/>
        <w:spacing w:after="0" w:line="240" w:lineRule="auto"/>
        <w:jc w:val="both"/>
        <w:rPr>
          <w:rFonts w:ascii="Arial" w:hAnsi="Arial" w:cs="Arial"/>
          <w:sz w:val="24"/>
          <w:szCs w:val="24"/>
          <w:lang w:val="pt-BR"/>
        </w:rPr>
      </w:pPr>
      <w:r w:rsidRPr="00067FEF">
        <w:rPr>
          <w:rFonts w:ascii="Arial" w:hAnsi="Arial" w:cs="Arial"/>
          <w:sz w:val="24"/>
          <w:szCs w:val="24"/>
          <w:lang w:val="pt-BR"/>
        </w:rPr>
        <w:t xml:space="preserve">Parcul Natural Balta Mică a Brăilei este situat în lunca cu regim natural de inundaţie a fluviului Dunărea, între Vadu Oii şi municipiul Brăila, fiind delimitat de </w:t>
      </w:r>
      <w:r w:rsidRPr="00067FEF">
        <w:rPr>
          <w:rStyle w:val="tpa1"/>
          <w:rFonts w:ascii="Arial" w:hAnsi="Arial" w:cs="Arial"/>
          <w:sz w:val="24"/>
          <w:szCs w:val="24"/>
          <w:lang w:val="pt-BR"/>
        </w:rPr>
        <w:t xml:space="preserve">fluviul şi braţele Dunării la cotele maxime de inundaţie. </w:t>
      </w:r>
      <w:r w:rsidRPr="00067FEF">
        <w:rPr>
          <w:rFonts w:ascii="Arial" w:hAnsi="Arial" w:cs="Arial"/>
          <w:sz w:val="24"/>
          <w:szCs w:val="24"/>
          <w:lang w:val="pt-BR"/>
        </w:rPr>
        <w:t xml:space="preserve">Parcul  integrează toate cele 10 ostroave (insule) situate între braţele </w:t>
      </w:r>
      <w:r w:rsidRPr="00067FEF">
        <w:rPr>
          <w:rFonts w:ascii="Arial" w:hAnsi="Arial" w:cs="Arial"/>
          <w:sz w:val="24"/>
          <w:szCs w:val="24"/>
          <w:lang w:val="pt-BR"/>
        </w:rPr>
        <w:lastRenderedPageBreak/>
        <w:t>Dunării: O. Vărsătura, O. Popa, O. Crăcănel (Chiciul), O.Orbul, O. Calia (Lupului), O. Fundu Mare, O. Arapu, precum şi braţele adiacente ale Dunării.Se poate spune că este o deltă interioară pe traseul inferior al Dunării de Jos.</w:t>
      </w:r>
    </w:p>
    <w:p w:rsidR="007A21BD" w:rsidRPr="00067FEF" w:rsidRDefault="007A21BD" w:rsidP="007A21BD">
      <w:pPr>
        <w:shd w:val="clear" w:color="auto" w:fill="FFFFFF" w:themeFill="background1"/>
        <w:spacing w:after="0" w:line="240" w:lineRule="auto"/>
        <w:jc w:val="both"/>
        <w:rPr>
          <w:rFonts w:ascii="Arial" w:hAnsi="Arial" w:cs="Arial"/>
          <w:i/>
          <w:vanish/>
          <w:sz w:val="24"/>
          <w:szCs w:val="24"/>
          <w:u w:val="single"/>
          <w:lang w:val="pt-BR"/>
        </w:rPr>
      </w:pPr>
      <w:r w:rsidRPr="00067FEF">
        <w:rPr>
          <w:rFonts w:ascii="Arial" w:hAnsi="Arial" w:cs="Arial"/>
          <w:i/>
          <w:sz w:val="24"/>
          <w:szCs w:val="24"/>
          <w:u w:val="single"/>
          <w:lang w:val="pt-BR"/>
        </w:rPr>
        <w:t>Suprafaţa</w:t>
      </w:r>
    </w:p>
    <w:p w:rsidR="007A21BD" w:rsidRPr="00067FEF" w:rsidRDefault="007A21BD" w:rsidP="007A21BD">
      <w:pPr>
        <w:shd w:val="clear" w:color="auto" w:fill="FFFFFF" w:themeFill="background1"/>
        <w:autoSpaceDE w:val="0"/>
        <w:autoSpaceDN w:val="0"/>
        <w:adjustRightInd w:val="0"/>
        <w:spacing w:after="0" w:line="240" w:lineRule="auto"/>
        <w:jc w:val="both"/>
        <w:rPr>
          <w:rFonts w:ascii="Arial" w:hAnsi="Arial" w:cs="Arial"/>
          <w:sz w:val="24"/>
          <w:szCs w:val="24"/>
          <w:lang w:val="pt-BR"/>
        </w:rPr>
      </w:pPr>
    </w:p>
    <w:p w:rsidR="007A21BD" w:rsidRPr="00067FEF" w:rsidRDefault="007A21BD" w:rsidP="007A21BD">
      <w:pPr>
        <w:shd w:val="clear" w:color="auto" w:fill="FFFFFF" w:themeFill="background1"/>
        <w:autoSpaceDE w:val="0"/>
        <w:autoSpaceDN w:val="0"/>
        <w:adjustRightInd w:val="0"/>
        <w:spacing w:after="0" w:line="240" w:lineRule="auto"/>
        <w:jc w:val="both"/>
        <w:rPr>
          <w:rFonts w:ascii="Arial" w:hAnsi="Arial" w:cs="Arial"/>
          <w:sz w:val="24"/>
          <w:szCs w:val="24"/>
          <w:lang w:val="pt-BR"/>
        </w:rPr>
      </w:pPr>
      <w:r w:rsidRPr="00067FEF">
        <w:rPr>
          <w:rFonts w:ascii="Arial" w:hAnsi="Arial" w:cs="Arial"/>
          <w:sz w:val="24"/>
          <w:szCs w:val="24"/>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067FEF">
          <w:rPr>
            <w:rFonts w:ascii="Arial" w:hAnsi="Arial" w:cs="Arial"/>
            <w:sz w:val="24"/>
            <w:szCs w:val="24"/>
            <w:lang w:val="pt-BR"/>
          </w:rPr>
          <w:t>17529 ha</w:t>
        </w:r>
      </w:smartTag>
      <w:r w:rsidRPr="00067FEF">
        <w:rPr>
          <w:rFonts w:ascii="Arial" w:hAnsi="Arial" w:cs="Arial"/>
          <w:sz w:val="24"/>
          <w:szCs w:val="24"/>
          <w:lang w:val="pt-BR"/>
        </w:rPr>
        <w:t xml:space="preserve">. Având în vedere prevederile HG nr. 230/2003 </w:t>
      </w:r>
      <w:r w:rsidRPr="00067FEF">
        <w:rPr>
          <w:rFonts w:ascii="Arial" w:hAnsi="Arial" w:cs="Arial"/>
          <w:bCs/>
          <w:sz w:val="24"/>
          <w:szCs w:val="24"/>
        </w:rPr>
        <w:t>privind delimitarea rezervaţiilor biosferei, parcurilor naţionale şi parcurilor naturale şi constituirea administraţiilor acestora, conform căreia</w:t>
      </w:r>
      <w:r w:rsidRPr="00067FEF">
        <w:rPr>
          <w:rFonts w:ascii="Arial" w:hAnsi="Arial" w:cs="Arial"/>
          <w:sz w:val="24"/>
          <w:szCs w:val="24"/>
          <w:lang w:val="pt-BR"/>
        </w:rPr>
        <w:t xml:space="preserve"> limita „</w:t>
      </w:r>
      <w:r w:rsidRPr="00067FEF">
        <w:rPr>
          <w:rFonts w:ascii="Arial" w:hAnsi="Arial" w:cs="Arial"/>
          <w:sz w:val="24"/>
          <w:szCs w:val="24"/>
        </w:rPr>
        <w:t xml:space="preserve">este reprezentată de fluviul şi braţele Dunării la cotele maxime de inundaţie între podul de la Giurgeni - Vadul Oii şi până la sud de Brăila”, </w:t>
      </w:r>
      <w:r w:rsidRPr="00067FEF">
        <w:rPr>
          <w:rFonts w:ascii="Arial" w:hAnsi="Arial" w:cs="Arial"/>
          <w:sz w:val="24"/>
          <w:szCs w:val="24"/>
          <w:lang w:val="pt-BR"/>
        </w:rPr>
        <w:t>Oficiul de Cadastru şi Publicitate Imobiliară Brăila</w:t>
      </w:r>
      <w:r w:rsidRPr="00067FEF">
        <w:rPr>
          <w:rFonts w:ascii="Arial" w:hAnsi="Arial" w:cs="Arial"/>
          <w:sz w:val="24"/>
          <w:szCs w:val="24"/>
        </w:rPr>
        <w:t xml:space="preserve"> a</w:t>
      </w:r>
      <w:r w:rsidRPr="00067FEF">
        <w:rPr>
          <w:rFonts w:ascii="Arial" w:hAnsi="Arial" w:cs="Arial"/>
          <w:sz w:val="24"/>
          <w:szCs w:val="24"/>
          <w:lang w:val="pt-BR"/>
        </w:rPr>
        <w:t xml:space="preserve"> reevaluat suprafaţa la </w:t>
      </w:r>
      <w:smartTag w:uri="urn:schemas-microsoft-com:office:smarttags" w:element="metricconverter">
        <w:smartTagPr>
          <w:attr w:name="ProductID" w:val="24.123 ha"/>
        </w:smartTagPr>
        <w:r w:rsidRPr="00067FEF">
          <w:rPr>
            <w:rFonts w:ascii="Arial" w:hAnsi="Arial" w:cs="Arial"/>
            <w:sz w:val="24"/>
            <w:szCs w:val="24"/>
            <w:lang w:val="pt-BR"/>
          </w:rPr>
          <w:t>24.123 ha</w:t>
        </w:r>
      </w:smartTag>
      <w:r w:rsidRPr="00067FEF">
        <w:rPr>
          <w:rFonts w:ascii="Arial" w:hAnsi="Arial" w:cs="Arial"/>
          <w:sz w:val="24"/>
          <w:szCs w:val="24"/>
          <w:lang w:val="pt-BR"/>
        </w:rPr>
        <w:t>.</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lang w:val="pt-BR"/>
        </w:rPr>
      </w:pPr>
      <w:r w:rsidRPr="00067FEF">
        <w:rPr>
          <w:rFonts w:ascii="Arial" w:hAnsi="Arial" w:cs="Arial"/>
          <w:i/>
          <w:sz w:val="24"/>
          <w:szCs w:val="24"/>
          <w:u w:val="single"/>
          <w:lang w:val="pt-BR"/>
        </w:rPr>
        <w:t>Valori naturale protejate</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În ciuda modificărilor survenite atât în structura sistemelor ecologice integratoare cât şi la nivelul ei, Balta Mică a Brăilei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Brăilei şi crearea incintei agricole Insula Mare a Brăilei.</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Datorită atributelor sale – zonă umedă în regim hidrologic natural, complex de ecosisteme în diferite stadii succesionale şi zonă tampon, Balta Mică a Brăilei reprezintă un sistem de referinţă al fostei delte interioare şi baza pentru reconstrucţia ecologică în Sistemul Dunării Inferioare.</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 xml:space="preserve">Din suprafaţa totală, cca 56,5% o ocupă pădurile aluviale, 0,3% păşunile inundabile şi 43% zonele umede (25% braţele Dunării, 13,1% lacuri permanente şi 4,9% mlaştini). Habitatele terestre sunt reprezentate prin păduri, pajişti şi tufărişuri. Pădurile pot fi cultivate cu plop euroamerican sau sunt păduri de sălcii sau de amestec cu plop alb, plop negru şi salcie. 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7A21BD" w:rsidRPr="00067FEF" w:rsidRDefault="007A21BD" w:rsidP="007A21BD">
      <w:pPr>
        <w:shd w:val="clear" w:color="auto" w:fill="FFFFFF" w:themeFill="background1"/>
        <w:autoSpaceDE w:val="0"/>
        <w:autoSpaceDN w:val="0"/>
        <w:adjustRightInd w:val="0"/>
        <w:spacing w:after="0" w:line="240" w:lineRule="auto"/>
        <w:jc w:val="both"/>
        <w:rPr>
          <w:rFonts w:ascii="Arial" w:hAnsi="Arial" w:cs="Arial"/>
          <w:sz w:val="24"/>
          <w:szCs w:val="24"/>
          <w:lang w:val="pt-BR"/>
        </w:rPr>
      </w:pPr>
      <w:r w:rsidRPr="00067FEF">
        <w:rPr>
          <w:rFonts w:ascii="Arial" w:hAnsi="Arial" w:cs="Arial"/>
          <w:sz w:val="24"/>
          <w:szCs w:val="24"/>
          <w:lang w:val="pt-BR"/>
        </w:rPr>
        <w:t>Jumătate din ecosistemele identificate – bălţi şi păduri specifice de luncă inundabilă- sunt naturale, această zonă conservând în cea mai mare parte structura şi funcţiile vechii Bălţi a Brăilei din anii ’50. Acestea sunt totodată habitate naturale de interes comunitar faţă de care s-au stabilit priorităţi de conservare.</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 xml:space="preserve">Balta Mică a Brăilei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Pentru că o mare parte dintre acestea sunt păsări acvatice, în anul 2001 Balta Mică a Brăilei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 xml:space="preserve">Din anul 2007 Parcul Natural Balta Mică a Brăilei a fost inclus în Rețeaua europeană de arii naturale protejate Natura 2000 fiind declarată atât ca arie de protecţie specială avifaunistică (cod </w:t>
      </w:r>
      <w:r w:rsidRPr="00067FEF">
        <w:rPr>
          <w:rFonts w:ascii="Arial" w:hAnsi="Arial" w:cs="Arial"/>
          <w:sz w:val="24"/>
          <w:szCs w:val="24"/>
          <w:lang w:val="it-IT"/>
        </w:rPr>
        <w:t xml:space="preserve">ROSPA0005), </w:t>
      </w:r>
      <w:r w:rsidRPr="00067FEF">
        <w:rPr>
          <w:rFonts w:ascii="Arial" w:hAnsi="Arial" w:cs="Arial"/>
          <w:sz w:val="24"/>
          <w:szCs w:val="24"/>
          <w:lang w:val="pt-BR"/>
        </w:rPr>
        <w:t xml:space="preserve">cu o suprafaţă totală extinsă în anul 2011 la </w:t>
      </w:r>
      <w:smartTag w:uri="urn:schemas-microsoft-com:office:smarttags" w:element="metricconverter">
        <w:smartTagPr>
          <w:attr w:name="ProductID" w:val="25856 ha"/>
        </w:smartTagPr>
        <w:r w:rsidRPr="00067FEF">
          <w:rPr>
            <w:rFonts w:ascii="Arial" w:hAnsi="Arial" w:cs="Arial"/>
            <w:sz w:val="24"/>
            <w:szCs w:val="24"/>
            <w:lang w:val="pt-BR"/>
          </w:rPr>
          <w:t>25856 ha</w:t>
        </w:r>
      </w:smartTag>
      <w:r w:rsidRPr="00067FEF">
        <w:rPr>
          <w:rFonts w:ascii="Arial" w:hAnsi="Arial" w:cs="Arial"/>
          <w:sz w:val="24"/>
          <w:szCs w:val="24"/>
          <w:lang w:val="pt-BR"/>
        </w:rPr>
        <w:t xml:space="preserve">, din care 24821 în judeţul Brăila, cât şi ca sit de importanţă comunitară (cod </w:t>
      </w:r>
      <w:r w:rsidRPr="00067FEF">
        <w:rPr>
          <w:rFonts w:ascii="Arial" w:hAnsi="Arial" w:cs="Arial"/>
          <w:sz w:val="24"/>
          <w:szCs w:val="24"/>
          <w:lang w:val="it-IT"/>
        </w:rPr>
        <w:t>ROSCI0006)</w:t>
      </w:r>
      <w:r w:rsidRPr="00067FEF">
        <w:rPr>
          <w:rFonts w:ascii="Arial" w:hAnsi="Arial" w:cs="Arial"/>
          <w:sz w:val="24"/>
          <w:szCs w:val="24"/>
          <w:lang w:val="pt-BR"/>
        </w:rPr>
        <w:t>, cu o suprafaţă de 20872 ha (integral în judeţul Brăila), ambele cu denumirea Balta Mică a Brăilei.</w:t>
      </w:r>
    </w:p>
    <w:p w:rsidR="007A21BD" w:rsidRPr="00067FEF" w:rsidRDefault="007A21BD" w:rsidP="009173C4">
      <w:pPr>
        <w:shd w:val="clear" w:color="auto" w:fill="FFFFFF" w:themeFill="background1"/>
        <w:autoSpaceDE w:val="0"/>
        <w:autoSpaceDN w:val="0"/>
        <w:adjustRightInd w:val="0"/>
        <w:spacing w:after="0" w:line="240" w:lineRule="auto"/>
        <w:ind w:firstLine="708"/>
        <w:jc w:val="both"/>
        <w:rPr>
          <w:rFonts w:ascii="Arial" w:hAnsi="Arial" w:cs="Arial"/>
          <w:sz w:val="24"/>
          <w:szCs w:val="24"/>
          <w:lang w:val="pt-BR"/>
        </w:rPr>
      </w:pPr>
      <w:r w:rsidRPr="00067FEF">
        <w:rPr>
          <w:rFonts w:ascii="Arial" w:hAnsi="Arial" w:cs="Arial"/>
          <w:sz w:val="24"/>
          <w:szCs w:val="24"/>
          <w:lang w:val="pt-BR"/>
        </w:rPr>
        <w:t xml:space="preserve">Zonarea funcţională, detaliată în planul de management aprobat prin HG nr. 538/2011, împarte suprafaţa parcului natural în cele 4 categorii de zone definite prin </w:t>
      </w:r>
      <w:r w:rsidRPr="00067FEF">
        <w:rPr>
          <w:rFonts w:ascii="Arial" w:hAnsi="Arial" w:cs="Arial"/>
          <w:bCs/>
          <w:sz w:val="24"/>
          <w:szCs w:val="24"/>
        </w:rPr>
        <w:t>OUG nr. 57/2007 privind regimul ariilor naturale protejate, conservarea habitatelor naturale, a florei şi faunei sălbatice, aprobată cu modificări şi completări prin Legea nr. 49/2011</w:t>
      </w:r>
      <w:r w:rsidRPr="00067FEF">
        <w:rPr>
          <w:rFonts w:ascii="Arial" w:hAnsi="Arial" w:cs="Arial"/>
          <w:sz w:val="24"/>
          <w:szCs w:val="24"/>
        </w:rPr>
        <w:t xml:space="preserve"> cu completările ulterioare</w:t>
      </w:r>
      <w:r w:rsidRPr="00067FEF">
        <w:rPr>
          <w:rFonts w:ascii="Arial" w:hAnsi="Arial" w:cs="Arial"/>
          <w:bCs/>
          <w:sz w:val="24"/>
          <w:szCs w:val="24"/>
        </w:rPr>
        <w:t>: zone cu protecţie strictă, de protecţie integrală, de management durabil şi de dezvoltare durabilă a activităţilor umane</w:t>
      </w:r>
      <w:r w:rsidRPr="00067FEF">
        <w:rPr>
          <w:rFonts w:ascii="Arial" w:hAnsi="Arial" w:cs="Arial"/>
          <w:sz w:val="24"/>
          <w:szCs w:val="24"/>
          <w:lang w:val="pt-BR"/>
        </w:rPr>
        <w:t xml:space="preserve">. Cea mai mare suprafaţă este ocupată de cele 8 zone </w:t>
      </w:r>
      <w:r w:rsidRPr="00067FEF">
        <w:rPr>
          <w:rFonts w:ascii="Arial" w:hAnsi="Arial" w:cs="Arial"/>
          <w:bCs/>
          <w:sz w:val="24"/>
          <w:szCs w:val="24"/>
        </w:rPr>
        <w:t xml:space="preserve">de </w:t>
      </w:r>
      <w:r w:rsidRPr="00067FEF">
        <w:rPr>
          <w:rFonts w:ascii="Arial" w:hAnsi="Arial" w:cs="Arial"/>
          <w:bCs/>
          <w:sz w:val="24"/>
          <w:szCs w:val="24"/>
        </w:rPr>
        <w:lastRenderedPageBreak/>
        <w:t xml:space="preserve">management durabil (zone tampon), însumând </w:t>
      </w:r>
      <w:smartTag w:uri="urn:schemas-microsoft-com:office:smarttags" w:element="metricconverter">
        <w:smartTagPr>
          <w:attr w:name="ProductID" w:val="9027,8 ha"/>
        </w:smartTagPr>
        <w:r w:rsidRPr="00067FEF">
          <w:rPr>
            <w:rFonts w:ascii="Arial" w:hAnsi="Arial" w:cs="Arial"/>
            <w:bCs/>
            <w:sz w:val="24"/>
            <w:szCs w:val="24"/>
          </w:rPr>
          <w:t>9027,8 ha</w:t>
        </w:r>
      </w:smartTag>
      <w:r w:rsidRPr="00067FEF">
        <w:rPr>
          <w:rFonts w:ascii="Arial" w:hAnsi="Arial" w:cs="Arial"/>
          <w:bCs/>
          <w:sz w:val="24"/>
          <w:szCs w:val="24"/>
        </w:rPr>
        <w:t xml:space="preserve">, care cuprind toate păşunile din arie şi terenuri forestiere pe </w:t>
      </w:r>
      <w:smartTag w:uri="urn:schemas-microsoft-com:office:smarttags" w:element="metricconverter">
        <w:smartTagPr>
          <w:attr w:name="ProductID" w:val="7.289,9 ha"/>
        </w:smartTagPr>
        <w:r w:rsidRPr="00067FEF">
          <w:rPr>
            <w:rFonts w:ascii="Arial" w:hAnsi="Arial" w:cs="Arial"/>
            <w:sz w:val="24"/>
            <w:szCs w:val="24"/>
            <w:lang w:val="pt-BR"/>
          </w:rPr>
          <w:t>7.289,9</w:t>
        </w:r>
        <w:r w:rsidRPr="00067FEF">
          <w:rPr>
            <w:rFonts w:ascii="Arial" w:hAnsi="Arial" w:cs="Arial"/>
            <w:bCs/>
            <w:sz w:val="24"/>
            <w:szCs w:val="24"/>
          </w:rPr>
          <w:t xml:space="preserve"> ha</w:t>
        </w:r>
      </w:smartTag>
      <w:r w:rsidRPr="00067FEF">
        <w:rPr>
          <w:rFonts w:ascii="Arial" w:hAnsi="Arial" w:cs="Arial"/>
          <w:bCs/>
          <w:sz w:val="24"/>
          <w:szCs w:val="24"/>
        </w:rPr>
        <w:t>. Cele mai multe lacuri din parc au statut de zone de protecţie integrală, iar braţele Dunării sunt cuprinse integral în zona de dezvoltare durabilă a activităţilor umane</w:t>
      </w:r>
      <w:r w:rsidRPr="00067FEF">
        <w:rPr>
          <w:rFonts w:ascii="Arial" w:hAnsi="Arial" w:cs="Arial"/>
          <w:sz w:val="24"/>
          <w:szCs w:val="24"/>
          <w:lang w:val="pt-BR"/>
        </w:rPr>
        <w:t>.</w:t>
      </w:r>
      <w:r w:rsidRPr="00067FEF">
        <w:rPr>
          <w:rFonts w:ascii="Arial" w:hAnsi="Arial" w:cs="Arial"/>
          <w:noProof/>
          <w:sz w:val="24"/>
          <w:szCs w:val="24"/>
          <w:lang w:val="pt-BR"/>
        </w:rPr>
        <w:t xml:space="preserve">     </w:t>
      </w:r>
    </w:p>
    <w:p w:rsidR="007A21BD" w:rsidRPr="00067FEF" w:rsidRDefault="007A21BD" w:rsidP="007A21BD">
      <w:pPr>
        <w:shd w:val="clear" w:color="auto" w:fill="FFFFFF" w:themeFill="background1"/>
        <w:spacing w:after="0" w:line="240" w:lineRule="auto"/>
        <w:jc w:val="both"/>
        <w:rPr>
          <w:rFonts w:ascii="Arial" w:hAnsi="Arial" w:cs="Arial"/>
          <w:noProof/>
          <w:sz w:val="24"/>
          <w:szCs w:val="24"/>
        </w:rPr>
      </w:pPr>
      <w:r w:rsidRPr="00067FEF">
        <w:rPr>
          <w:rFonts w:ascii="Arial" w:hAnsi="Arial" w:cs="Arial"/>
          <w:noProof/>
          <w:sz w:val="24"/>
          <w:szCs w:val="24"/>
        </w:rPr>
        <w:t xml:space="preserve">Asupra complexelor de ecosisteme din Parcul Natural Balta Mică a Brăilei trebuie luate în considerare următoarele </w:t>
      </w:r>
      <w:r w:rsidRPr="00067FEF">
        <w:rPr>
          <w:rFonts w:ascii="Arial" w:hAnsi="Arial" w:cs="Arial"/>
          <w:noProof/>
          <w:sz w:val="24"/>
          <w:szCs w:val="24"/>
          <w:u w:val="single"/>
        </w:rPr>
        <w:t>presiuni antropice</w:t>
      </w:r>
      <w:r w:rsidRPr="00067FEF">
        <w:rPr>
          <w:rFonts w:ascii="Arial" w:hAnsi="Arial" w:cs="Arial"/>
          <w:noProof/>
          <w:sz w:val="24"/>
          <w:szCs w:val="24"/>
        </w:rPr>
        <w:t xml:space="preserve"> :</w:t>
      </w:r>
    </w:p>
    <w:p w:rsidR="007A21BD" w:rsidRPr="00067FEF" w:rsidRDefault="007A21BD" w:rsidP="00EF3940">
      <w:pPr>
        <w:numPr>
          <w:ilvl w:val="0"/>
          <w:numId w:val="40"/>
        </w:numPr>
        <w:shd w:val="clear" w:color="auto" w:fill="FFFFFF" w:themeFill="background1"/>
        <w:spacing w:after="0" w:line="240" w:lineRule="auto"/>
        <w:jc w:val="both"/>
        <w:rPr>
          <w:rFonts w:ascii="Arial" w:hAnsi="Arial" w:cs="Arial"/>
          <w:noProof/>
          <w:sz w:val="24"/>
          <w:szCs w:val="24"/>
        </w:rPr>
      </w:pPr>
      <w:r w:rsidRPr="00067FEF">
        <w:rPr>
          <w:rFonts w:ascii="Arial" w:hAnsi="Arial" w:cs="Arial"/>
          <w:i/>
          <w:noProof/>
          <w:sz w:val="24"/>
          <w:szCs w:val="24"/>
        </w:rPr>
        <w:t xml:space="preserve">braconajul piscicol şi supraexploatarea piscicolă fără o fundamentare a efortului de pescuit </w:t>
      </w:r>
      <w:r w:rsidRPr="00067FEF">
        <w:rPr>
          <w:rFonts w:ascii="Arial" w:hAnsi="Arial" w:cs="Arial"/>
          <w:noProof/>
          <w:sz w:val="24"/>
          <w:szCs w:val="24"/>
        </w:rPr>
        <w:t>– una dintre cele mai mari ameninţări asupra biodiversităţii, având drept consecinţe: diminuarea necontrolată a populaţiilor de peşti în sensul depăşirii capacităţii de suport, recoltarea neselectivă a ihtiofaunei (mai ales braconajul cu curent electric), dezechilibrarea lanţurilor trofice;</w:t>
      </w:r>
    </w:p>
    <w:p w:rsidR="007A21BD" w:rsidRPr="00067FEF" w:rsidRDefault="007A21BD" w:rsidP="00EF3940">
      <w:pPr>
        <w:numPr>
          <w:ilvl w:val="0"/>
          <w:numId w:val="40"/>
        </w:numPr>
        <w:shd w:val="clear" w:color="auto" w:fill="FFFFFF" w:themeFill="background1"/>
        <w:spacing w:after="0" w:line="240" w:lineRule="auto"/>
        <w:jc w:val="both"/>
        <w:rPr>
          <w:rFonts w:ascii="Arial" w:hAnsi="Arial" w:cs="Arial"/>
          <w:bCs/>
          <w:noProof/>
          <w:sz w:val="24"/>
          <w:szCs w:val="24"/>
        </w:rPr>
      </w:pPr>
      <w:r w:rsidRPr="00067FEF">
        <w:rPr>
          <w:rFonts w:ascii="Arial" w:hAnsi="Arial" w:cs="Arial"/>
          <w:i/>
          <w:noProof/>
          <w:sz w:val="24"/>
          <w:szCs w:val="24"/>
        </w:rPr>
        <w:t>păşunatul abuziv în regim semisălbatic</w:t>
      </w:r>
      <w:r w:rsidRPr="00067FEF">
        <w:rPr>
          <w:rFonts w:ascii="Arial" w:hAnsi="Arial" w:cs="Arial"/>
          <w:noProof/>
          <w:sz w:val="24"/>
          <w:szCs w:val="24"/>
        </w:rPr>
        <w:t xml:space="preserve">, are ca efect deteriorarea unor habitate de interes comunitar prin distrugerea vegetaţiei, în special a celei lemnoase prin roaderea scoarţei şi a vârfului lăstarilor de plop şi salcie; </w:t>
      </w:r>
    </w:p>
    <w:p w:rsidR="007A21BD" w:rsidRPr="00067FEF" w:rsidRDefault="007A21BD" w:rsidP="00EF3940">
      <w:pPr>
        <w:numPr>
          <w:ilvl w:val="0"/>
          <w:numId w:val="40"/>
        </w:numPr>
        <w:shd w:val="clear" w:color="auto" w:fill="FFFFFF" w:themeFill="background1"/>
        <w:spacing w:after="0" w:line="240" w:lineRule="auto"/>
        <w:jc w:val="both"/>
        <w:rPr>
          <w:rFonts w:ascii="Arial" w:hAnsi="Arial" w:cs="Arial"/>
          <w:noProof/>
          <w:sz w:val="24"/>
          <w:szCs w:val="24"/>
        </w:rPr>
      </w:pPr>
      <w:r w:rsidRPr="00067FEF">
        <w:rPr>
          <w:rFonts w:ascii="Arial" w:hAnsi="Arial" w:cs="Arial"/>
          <w:i/>
          <w:noProof/>
          <w:sz w:val="24"/>
          <w:szCs w:val="24"/>
        </w:rPr>
        <w:t>delictele silvice</w:t>
      </w:r>
      <w:r w:rsidRPr="00067FEF">
        <w:rPr>
          <w:rFonts w:ascii="Arial" w:hAnsi="Arial" w:cs="Arial"/>
          <w:noProof/>
          <w:sz w:val="24"/>
          <w:szCs w:val="24"/>
        </w:rPr>
        <w:t xml:space="preserve"> (pot avea implicaţii în echilibrul trofic al ecosistemului): </w:t>
      </w:r>
      <w:r w:rsidRPr="00067FEF">
        <w:rPr>
          <w:rFonts w:ascii="Arial" w:hAnsi="Arial" w:cs="Arial"/>
          <w:i/>
          <w:noProof/>
          <w:sz w:val="24"/>
          <w:szCs w:val="24"/>
        </w:rPr>
        <w:t xml:space="preserve">recoltarea ilegală a unor elemente din flora şi fauna parcului </w:t>
      </w:r>
      <w:r w:rsidRPr="00067FEF">
        <w:rPr>
          <w:rFonts w:ascii="Arial" w:hAnsi="Arial" w:cs="Arial"/>
          <w:noProof/>
          <w:sz w:val="24"/>
          <w:szCs w:val="24"/>
        </w:rPr>
        <w:t>care poate conduce la afectarea efectivelor unor specii .</w:t>
      </w:r>
    </w:p>
    <w:p w:rsidR="007A21BD" w:rsidRPr="00067FEF" w:rsidRDefault="007A21BD" w:rsidP="00EF3940">
      <w:pPr>
        <w:numPr>
          <w:ilvl w:val="0"/>
          <w:numId w:val="40"/>
        </w:numPr>
        <w:shd w:val="clear" w:color="auto" w:fill="FFFFFF" w:themeFill="background1"/>
        <w:spacing w:after="0" w:line="240" w:lineRule="auto"/>
        <w:jc w:val="both"/>
        <w:rPr>
          <w:rFonts w:ascii="Arial" w:hAnsi="Arial" w:cs="Arial"/>
          <w:noProof/>
          <w:sz w:val="24"/>
          <w:szCs w:val="24"/>
        </w:rPr>
      </w:pPr>
      <w:r w:rsidRPr="00067FEF">
        <w:rPr>
          <w:rFonts w:ascii="Arial" w:hAnsi="Arial" w:cs="Arial"/>
          <w:i/>
          <w:noProof/>
          <w:sz w:val="24"/>
          <w:szCs w:val="24"/>
        </w:rPr>
        <w:t>turismul necontrolat</w:t>
      </w:r>
      <w:r w:rsidRPr="00067FEF">
        <w:rPr>
          <w:rFonts w:ascii="Arial" w:hAnsi="Arial" w:cs="Arial"/>
          <w:noProof/>
          <w:sz w:val="24"/>
          <w:szCs w:val="24"/>
        </w:rPr>
        <w:t xml:space="preserve"> practicat în special în week-end are ca efect acumularea de deşeuri de tip menajer (în special ambalaje tip PET) mai ales în zonele dig-mal. În zonele de protecţie integrală turismul poate deranja unele specii de păsări în special în perioada clocitului când poate determina părăsirea locurilor de cuibărit şi poate reprezenta un factor de stres în timpul pasajului.</w:t>
      </w:r>
    </w:p>
    <w:p w:rsidR="007A21BD" w:rsidRPr="00067FEF" w:rsidRDefault="007A21BD" w:rsidP="007A21BD">
      <w:pPr>
        <w:pStyle w:val="Footer"/>
        <w:shd w:val="clear" w:color="auto" w:fill="FFFFFF" w:themeFill="background1"/>
        <w:tabs>
          <w:tab w:val="left" w:pos="180"/>
        </w:tabs>
        <w:jc w:val="both"/>
        <w:rPr>
          <w:rFonts w:ascii="Arial" w:hAnsi="Arial" w:cs="Arial"/>
          <w:b/>
          <w:sz w:val="24"/>
          <w:szCs w:val="24"/>
          <w:u w:val="single"/>
        </w:rPr>
      </w:pPr>
    </w:p>
    <w:p w:rsidR="007A21BD" w:rsidRPr="00067FEF" w:rsidRDefault="007A21BD" w:rsidP="007A21BD">
      <w:pPr>
        <w:pStyle w:val="Footer"/>
        <w:shd w:val="clear" w:color="auto" w:fill="FFFFFF" w:themeFill="background1"/>
        <w:tabs>
          <w:tab w:val="left" w:pos="180"/>
        </w:tabs>
        <w:jc w:val="both"/>
        <w:rPr>
          <w:rFonts w:ascii="Arial" w:hAnsi="Arial" w:cs="Arial"/>
          <w:b/>
          <w:sz w:val="24"/>
          <w:szCs w:val="24"/>
          <w:u w:val="single"/>
        </w:rPr>
      </w:pPr>
      <w:r w:rsidRPr="00067FEF">
        <w:rPr>
          <w:rFonts w:ascii="Arial" w:hAnsi="Arial" w:cs="Arial"/>
          <w:b/>
          <w:sz w:val="24"/>
          <w:szCs w:val="24"/>
          <w:u w:val="single"/>
        </w:rPr>
        <w:t>Rezervaţia Naturală Pădurea Camniţa</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Localizare</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 xml:space="preserve">Rezervaţia are o suprafaţă de </w:t>
      </w:r>
      <w:smartTag w:uri="urn:schemas-microsoft-com:office:smarttags" w:element="metricconverter">
        <w:smartTagPr>
          <w:attr w:name="ProductID" w:val="1,2 ha"/>
        </w:smartTagPr>
        <w:r w:rsidRPr="00067FEF">
          <w:rPr>
            <w:rFonts w:ascii="Arial" w:hAnsi="Arial" w:cs="Arial"/>
            <w:sz w:val="24"/>
            <w:szCs w:val="24"/>
          </w:rPr>
          <w:t>1,2 ha</w:t>
        </w:r>
      </w:smartTag>
      <w:r w:rsidRPr="00067FEF">
        <w:rPr>
          <w:rFonts w:ascii="Arial" w:hAnsi="Arial" w:cs="Arial"/>
          <w:sz w:val="24"/>
          <w:szCs w:val="24"/>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067FEF">
          <w:rPr>
            <w:rFonts w:ascii="Arial" w:hAnsi="Arial" w:cs="Arial"/>
            <w:sz w:val="24"/>
            <w:szCs w:val="24"/>
          </w:rPr>
          <w:t>550 ha</w:t>
        </w:r>
      </w:smartTag>
      <w:r w:rsidRPr="00067FEF">
        <w:rPr>
          <w:rFonts w:ascii="Arial" w:hAnsi="Arial" w:cs="Arial"/>
          <w:sz w:val="24"/>
          <w:szCs w:val="24"/>
        </w:rPr>
        <w:t xml:space="preserve">, formată preponderent din salcâm, plop alb,  plop negru şi salcie. </w:t>
      </w:r>
    </w:p>
    <w:p w:rsidR="007A21BD" w:rsidRPr="00067FEF" w:rsidRDefault="007A21BD" w:rsidP="007A21BD">
      <w:pPr>
        <w:shd w:val="clear" w:color="auto" w:fill="FFFFFF" w:themeFill="background1"/>
        <w:spacing w:after="0" w:line="240" w:lineRule="auto"/>
        <w:jc w:val="both"/>
        <w:rPr>
          <w:rFonts w:ascii="Arial" w:eastAsia="Times New Roman" w:hAnsi="Arial" w:cs="Arial"/>
          <w:bCs/>
          <w:iCs/>
          <w:sz w:val="24"/>
          <w:szCs w:val="24"/>
          <w:lang w:val="it-IT"/>
        </w:rPr>
      </w:pPr>
      <w:r w:rsidRPr="00067FEF">
        <w:rPr>
          <w:rFonts w:ascii="Arial" w:eastAsia="Times New Roman" w:hAnsi="Arial" w:cs="Arial"/>
          <w:sz w:val="24"/>
          <w:szCs w:val="24"/>
        </w:rPr>
        <w:t xml:space="preserve">Rezervația este situată în perimetrul ariilor de interes comunitar ROSPA0160 </w:t>
      </w:r>
      <w:r w:rsidRPr="00067FEF">
        <w:rPr>
          <w:rFonts w:ascii="Arial" w:eastAsia="Times New Roman" w:hAnsi="Arial" w:cs="Arial"/>
          <w:bCs/>
          <w:iCs/>
          <w:sz w:val="24"/>
          <w:szCs w:val="24"/>
        </w:rPr>
        <w:t>și ROSCI0103 ambele cu denumirea Lunca Buzăului</w:t>
      </w:r>
      <w:r w:rsidRPr="00067FEF">
        <w:rPr>
          <w:rFonts w:ascii="Arial" w:eastAsia="Times New Roman" w:hAnsi="Arial" w:cs="Arial"/>
          <w:bCs/>
          <w:iCs/>
          <w:sz w:val="24"/>
          <w:szCs w:val="24"/>
          <w:lang w:val="it-IT"/>
        </w:rPr>
        <w:t>.</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Valori naturale protejate</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Pădurea este un arboret natural de frasin - hibrizi de frasin de Pennsylvania (Fraxinus pennsylvanica şi Fraxinus angustifolia), în amestec cu salcâm, de origine necunoscută. A fost declarată rezervaţie pentru că frasinul constituie o raritate în peisajul judeţului Brăila.</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Anul declarării şi documentele prin care a fost declarată</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ab/>
      </w:r>
      <w:r w:rsidRPr="00067FEF">
        <w:rPr>
          <w:rFonts w:ascii="Arial" w:hAnsi="Arial" w:cs="Arial"/>
          <w:sz w:val="24"/>
          <w:szCs w:val="24"/>
        </w:rPr>
        <w:tab/>
        <w:t>1994 - H.C.J. Brăila nr. 20/1994 - rezervaţie forestieră</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ab/>
      </w:r>
      <w:r w:rsidRPr="00067FEF">
        <w:rPr>
          <w:rFonts w:ascii="Arial" w:hAnsi="Arial" w:cs="Arial"/>
          <w:sz w:val="24"/>
          <w:szCs w:val="24"/>
        </w:rPr>
        <w:tab/>
        <w:t xml:space="preserve">2000 - </w:t>
      </w:r>
      <w:r w:rsidRPr="00067FEF">
        <w:rPr>
          <w:rFonts w:ascii="Arial" w:hAnsi="Arial" w:cs="Arial"/>
          <w:i/>
          <w:sz w:val="24"/>
          <w:szCs w:val="24"/>
        </w:rPr>
        <w:t>Legea nr. 5/2000 pentru aprobarea Planului de amenajare a teritoriului naţional</w:t>
      </w:r>
      <w:r w:rsidRPr="00067FEF">
        <w:rPr>
          <w:rFonts w:ascii="Arial" w:hAnsi="Arial" w:cs="Arial"/>
          <w:sz w:val="24"/>
          <w:szCs w:val="24"/>
        </w:rPr>
        <w:t xml:space="preserve"> – secţiunea a III-a – zone protejate - rezervaţie naturală, cod 2259.</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Starea ecosistemelor</w:t>
      </w:r>
    </w:p>
    <w:p w:rsidR="007A21BD" w:rsidRPr="00067FEF" w:rsidRDefault="007A21BD" w:rsidP="007A21BD">
      <w:pPr>
        <w:shd w:val="clear" w:color="auto" w:fill="FFFFFF" w:themeFill="background1"/>
        <w:suppressAutoHyphens/>
        <w:spacing w:after="0" w:line="240" w:lineRule="auto"/>
        <w:jc w:val="both"/>
        <w:rPr>
          <w:rFonts w:ascii="Arial" w:eastAsia="Times New Roman" w:hAnsi="Arial" w:cs="Arial"/>
          <w:sz w:val="24"/>
          <w:szCs w:val="24"/>
        </w:rPr>
      </w:pPr>
      <w:r w:rsidRPr="00067FEF">
        <w:rPr>
          <w:rFonts w:ascii="Arial" w:hAnsi="Arial" w:cs="Arial"/>
          <w:sz w:val="24"/>
          <w:szCs w:val="24"/>
        </w:rPr>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067FEF">
        <w:rPr>
          <w:rFonts w:ascii="Arial" w:eastAsia="Times New Roman" w:hAnsi="Arial" w:cs="Arial"/>
          <w:sz w:val="24"/>
          <w:szCs w:val="24"/>
          <w:lang w:val="it-IT"/>
        </w:rPr>
        <w:t>la nivelul anului 2017 nu au fost semnalate evenimente deosebite care să afecteze negativ starea de conservare a ariei protejate</w:t>
      </w:r>
      <w:r w:rsidRPr="00067FEF">
        <w:rPr>
          <w:rFonts w:ascii="Arial" w:eastAsia="Times New Roman" w:hAnsi="Arial" w:cs="Arial"/>
          <w:sz w:val="24"/>
          <w:szCs w:val="24"/>
        </w:rPr>
        <w:t>.</w:t>
      </w:r>
    </w:p>
    <w:p w:rsidR="007A21BD" w:rsidRPr="00067FEF" w:rsidRDefault="007A21BD" w:rsidP="007A21BD">
      <w:pPr>
        <w:shd w:val="clear" w:color="auto" w:fill="FFFFFF" w:themeFill="background1"/>
        <w:suppressAutoHyphens/>
        <w:spacing w:after="0" w:line="240" w:lineRule="auto"/>
        <w:jc w:val="both"/>
        <w:rPr>
          <w:rFonts w:ascii="Arial" w:eastAsia="Times New Roman" w:hAnsi="Arial" w:cs="Arial"/>
          <w:sz w:val="24"/>
          <w:szCs w:val="24"/>
        </w:rPr>
      </w:pPr>
    </w:p>
    <w:p w:rsidR="007A21BD" w:rsidRPr="00067FEF" w:rsidRDefault="007A21BD" w:rsidP="007A21BD">
      <w:pPr>
        <w:pStyle w:val="Footer"/>
        <w:shd w:val="clear" w:color="auto" w:fill="FFFFFF" w:themeFill="background1"/>
        <w:tabs>
          <w:tab w:val="left" w:pos="180"/>
        </w:tabs>
        <w:jc w:val="both"/>
        <w:rPr>
          <w:rFonts w:ascii="Arial" w:hAnsi="Arial" w:cs="Arial"/>
          <w:b/>
          <w:sz w:val="24"/>
          <w:szCs w:val="24"/>
          <w:u w:val="single"/>
        </w:rPr>
      </w:pPr>
      <w:r w:rsidRPr="00067FEF">
        <w:rPr>
          <w:rFonts w:ascii="Arial" w:hAnsi="Arial" w:cs="Arial"/>
          <w:b/>
          <w:sz w:val="24"/>
          <w:szCs w:val="24"/>
          <w:u w:val="single"/>
        </w:rPr>
        <w:t>Rezervaţia Naturală Lacul Jirlău Vişani</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 xml:space="preserve">Localizare </w:t>
      </w:r>
    </w:p>
    <w:p w:rsidR="007A21BD" w:rsidRPr="00067FEF" w:rsidRDefault="007A21BD" w:rsidP="007A21BD">
      <w:pPr>
        <w:shd w:val="clear" w:color="auto" w:fill="FFFFFF" w:themeFill="background1"/>
        <w:suppressAutoHyphens/>
        <w:spacing w:after="0" w:line="240" w:lineRule="auto"/>
        <w:jc w:val="both"/>
        <w:rPr>
          <w:rFonts w:ascii="Arial" w:hAnsi="Arial" w:cs="Arial"/>
          <w:sz w:val="24"/>
          <w:szCs w:val="24"/>
        </w:rPr>
      </w:pPr>
      <w:r w:rsidRPr="00067FEF">
        <w:rPr>
          <w:rFonts w:ascii="Arial" w:hAnsi="Arial" w:cs="Arial"/>
          <w:sz w:val="24"/>
          <w:szCs w:val="24"/>
        </w:rPr>
        <w:t xml:space="preserve">Rezervaţia este situată în vestul judeţului Brăila, pe malul stâng al râului Buzău, pe teritoriul comunelor Jirlău, Vişani şi Galbenu, având o  suprafaţă de </w:t>
      </w:r>
      <w:smartTag w:uri="urn:schemas-microsoft-com:office:smarttags" w:element="metricconverter">
        <w:smartTagPr>
          <w:attr w:name="ProductID" w:val="838,66 ha"/>
        </w:smartTagPr>
        <w:r w:rsidRPr="00067FEF">
          <w:rPr>
            <w:rFonts w:ascii="Arial" w:hAnsi="Arial" w:cs="Arial"/>
            <w:sz w:val="24"/>
            <w:szCs w:val="24"/>
          </w:rPr>
          <w:t>838,66 ha</w:t>
        </w:r>
      </w:smartTag>
      <w:r w:rsidRPr="00067FEF">
        <w:rPr>
          <w:rFonts w:ascii="Arial" w:hAnsi="Arial" w:cs="Arial"/>
          <w:sz w:val="24"/>
          <w:szCs w:val="24"/>
        </w:rPr>
        <w:t>.</w:t>
      </w:r>
    </w:p>
    <w:p w:rsidR="007A21BD" w:rsidRPr="00067FEF" w:rsidRDefault="007A21BD" w:rsidP="007A21BD">
      <w:pPr>
        <w:shd w:val="clear" w:color="auto" w:fill="FFFFFF" w:themeFill="background1"/>
        <w:suppressAutoHyphens/>
        <w:spacing w:after="0" w:line="240" w:lineRule="auto"/>
        <w:jc w:val="both"/>
        <w:rPr>
          <w:rFonts w:ascii="Arial" w:hAnsi="Arial" w:cs="Arial"/>
          <w:sz w:val="24"/>
          <w:szCs w:val="24"/>
        </w:rPr>
      </w:pPr>
      <w:r w:rsidRPr="00067FEF">
        <w:rPr>
          <w:rFonts w:ascii="Arial" w:hAnsi="Arial" w:cs="Arial"/>
          <w:sz w:val="24"/>
          <w:szCs w:val="24"/>
        </w:rPr>
        <w:t>Rezervația este situată în perimetrul ariilor de interes comunitar ROSPA0004 Balta Albă-Amara-Jirlău și ROSCI0005 Balta Albă-Amara-Jirlău-Lacul Sărat Câineni.</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t>Anul declarării şi actele prin care a fost declarată</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ab/>
      </w:r>
      <w:r w:rsidRPr="00067FEF">
        <w:rPr>
          <w:rFonts w:ascii="Arial" w:hAnsi="Arial" w:cs="Arial"/>
          <w:sz w:val="24"/>
          <w:szCs w:val="24"/>
        </w:rPr>
        <w:tab/>
        <w:t>1994 - H.C.J. Brăila nr. 20/1994 - refugiu ornitologic</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ab/>
      </w:r>
      <w:r w:rsidRPr="00067FEF">
        <w:rPr>
          <w:rFonts w:ascii="Arial" w:hAnsi="Arial" w:cs="Arial"/>
          <w:sz w:val="24"/>
          <w:szCs w:val="24"/>
        </w:rPr>
        <w:tab/>
        <w:t xml:space="preserve">2000 - </w:t>
      </w:r>
      <w:r w:rsidRPr="00067FEF">
        <w:rPr>
          <w:rFonts w:ascii="Arial" w:hAnsi="Arial" w:cs="Arial"/>
          <w:i/>
          <w:sz w:val="24"/>
          <w:szCs w:val="24"/>
        </w:rPr>
        <w:t>Legea nr. 5/2000 pentru aprobarea Planului de amenajare a teritoriului naţional</w:t>
      </w:r>
      <w:r w:rsidRPr="00067FEF">
        <w:rPr>
          <w:rFonts w:ascii="Arial" w:hAnsi="Arial" w:cs="Arial"/>
          <w:sz w:val="24"/>
          <w:szCs w:val="24"/>
        </w:rPr>
        <w:t xml:space="preserve"> – secţiunea a III-a – zone protejate - rezervaţie naturală, cod 2260.</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i/>
          <w:sz w:val="24"/>
          <w:szCs w:val="24"/>
          <w:u w:val="single"/>
        </w:rPr>
      </w:pPr>
      <w:r w:rsidRPr="00067FEF">
        <w:rPr>
          <w:rFonts w:ascii="Arial" w:hAnsi="Arial" w:cs="Arial"/>
          <w:i/>
          <w:sz w:val="24"/>
          <w:szCs w:val="24"/>
          <w:u w:val="single"/>
        </w:rPr>
        <w:lastRenderedPageBreak/>
        <w:t>Valori naturale protejate</w:t>
      </w:r>
    </w:p>
    <w:p w:rsidR="007A21BD" w:rsidRPr="00067FEF" w:rsidRDefault="007A21BD" w:rsidP="007A21BD">
      <w:pPr>
        <w:shd w:val="clear" w:color="auto" w:fill="FFFFFF" w:themeFill="background1"/>
        <w:tabs>
          <w:tab w:val="left" w:pos="180"/>
        </w:tabs>
        <w:spacing w:after="0" w:line="240" w:lineRule="auto"/>
        <w:jc w:val="both"/>
        <w:rPr>
          <w:rFonts w:ascii="Arial" w:hAnsi="Arial" w:cs="Arial"/>
          <w:sz w:val="24"/>
          <w:szCs w:val="24"/>
        </w:rPr>
      </w:pPr>
      <w:r w:rsidRPr="00067FEF">
        <w:rPr>
          <w:rFonts w:ascii="Arial" w:hAnsi="Arial" w:cs="Arial"/>
          <w:sz w:val="24"/>
          <w:szCs w:val="24"/>
        </w:rPr>
        <w:t>Rezervaţia este un lac eutrof, puţin adânc, cu vegetaţie tipică de baltă permanentă, cu asociaţii în care predomină stuful, papura şi pipirigul. Lacul asigură habitate de pasaj, 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7A21BD" w:rsidRPr="00067FEF" w:rsidRDefault="007A21BD" w:rsidP="007A21BD">
      <w:pPr>
        <w:pStyle w:val="Heading3"/>
        <w:shd w:val="clear" w:color="auto" w:fill="FFFFFF" w:themeFill="background1"/>
        <w:tabs>
          <w:tab w:val="left" w:pos="180"/>
        </w:tabs>
        <w:spacing w:before="0" w:after="0"/>
        <w:jc w:val="both"/>
        <w:rPr>
          <w:rFonts w:ascii="Arial" w:hAnsi="Arial" w:cs="Arial"/>
          <w:sz w:val="24"/>
          <w:szCs w:val="24"/>
          <w:u w:val="single"/>
        </w:rPr>
      </w:pPr>
      <w:r w:rsidRPr="00067FEF">
        <w:rPr>
          <w:rFonts w:ascii="Arial" w:hAnsi="Arial" w:cs="Arial"/>
          <w:sz w:val="24"/>
          <w:szCs w:val="24"/>
          <w:u w:val="single"/>
        </w:rPr>
        <w:t>Starea ecosistemelor</w:t>
      </w:r>
    </w:p>
    <w:p w:rsidR="007A21BD" w:rsidRPr="00067FEF" w:rsidRDefault="007A21BD" w:rsidP="007A21BD">
      <w:pPr>
        <w:shd w:val="clear" w:color="auto" w:fill="FFFFFF" w:themeFill="background1"/>
        <w:spacing w:after="0" w:line="240" w:lineRule="auto"/>
        <w:jc w:val="both"/>
        <w:rPr>
          <w:rFonts w:ascii="Arial" w:hAnsi="Arial" w:cs="Arial"/>
          <w:sz w:val="24"/>
          <w:szCs w:val="24"/>
        </w:rPr>
      </w:pPr>
      <w:r w:rsidRPr="00067FEF">
        <w:rPr>
          <w:rFonts w:ascii="Arial" w:hAnsi="Arial" w:cs="Arial"/>
          <w:sz w:val="24"/>
          <w:szCs w:val="24"/>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7A21BD" w:rsidRPr="00067FEF" w:rsidRDefault="007A21BD" w:rsidP="007A21BD">
      <w:pPr>
        <w:shd w:val="clear" w:color="auto" w:fill="FFFFFF" w:themeFill="background1"/>
        <w:spacing w:after="0" w:line="240" w:lineRule="auto"/>
        <w:jc w:val="both"/>
        <w:rPr>
          <w:rFonts w:ascii="Arial" w:hAnsi="Arial" w:cs="Arial"/>
          <w:b/>
          <w:bCs/>
          <w:sz w:val="24"/>
          <w:szCs w:val="24"/>
        </w:rPr>
      </w:pPr>
    </w:p>
    <w:p w:rsidR="007A21BD" w:rsidRPr="00067FEF" w:rsidRDefault="007A21BD" w:rsidP="007A21BD">
      <w:pPr>
        <w:shd w:val="clear" w:color="auto" w:fill="FFFFFF" w:themeFill="background1"/>
        <w:tabs>
          <w:tab w:val="left" w:leader="dot" w:pos="8640"/>
        </w:tabs>
        <w:spacing w:after="0" w:line="240" w:lineRule="auto"/>
        <w:jc w:val="both"/>
        <w:rPr>
          <w:rFonts w:ascii="Arial" w:hAnsi="Arial" w:cs="Arial"/>
          <w:b/>
          <w:bCs/>
          <w:sz w:val="24"/>
          <w:szCs w:val="24"/>
        </w:rPr>
      </w:pPr>
      <w:r w:rsidRPr="00067FEF">
        <w:rPr>
          <w:rFonts w:ascii="Arial" w:hAnsi="Arial" w:cs="Arial"/>
          <w:b/>
          <w:bCs/>
          <w:sz w:val="24"/>
          <w:szCs w:val="24"/>
        </w:rPr>
        <w:t xml:space="preserve">Arii naturale protejate de interes internaţional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Potrivit OUG nr. 57/2007 privind regimul ariilor naturale protejate, conservarea habitatelor naturale, a florei şi faunei sălbatice, aprobată cu modificări şi completări prin Legea nr. 49/2011, cu completările ulterioare, ariile naturale protejate </w:t>
      </w:r>
      <w:r w:rsidRPr="00067FEF">
        <w:rPr>
          <w:rStyle w:val="tli1"/>
          <w:rFonts w:ascii="Arial" w:hAnsi="Arial" w:cs="Arial"/>
          <w:sz w:val="24"/>
          <w:szCs w:val="24"/>
        </w:rPr>
        <w:t>de interes internaţional sunt reprezentate prin situri naturale ale patrimoniului natural universal, geoparcuri, zone umede de importanţă internaţională, rezervaţii ale biosferei.</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Conform Convenţiei Ramsar prin care se protejează zonele umede de importanţă internaţională ca habitat al păsărilor  acvatice, convenţie la care România este parte semnatară, în anul 2001 teritoriul declarat Parcul Natural Balta Mică a Brăilei a fost declarată sit RAMSAR (poziţia 1074 pe lista Ramsar) sub denumirea de Insula Mică a Brăilei.</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Această zonă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 xml:space="preserve">Măsurile de protecţie ce derivă din legislaţia referitoare la siturile RAMSAR sunt integrate planului de management pe care îl implementează Administraţia Parcului Natural Balta Mică a Brăilei.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În anul 2013 a fost declarat și situl Ramsar Dunărea Veche Brațul Măcin, (poziţia 2116 pe lista Ramsar) astfel încât județul Brăila contribuie semnificativ la conservarea păsărilor migratoare acvatice, pe teritoriul acestuia existând două din cele 12 situri desemnate în România. Acest sit  Ramsar are o suprafață totală de 26792ha  cuprinzând terenuri situate și în județele Tulcea și Constanța. Cu ecosisteme de râuri, lacuri, mlaștini, turbării, stepe, pajiști naturale, terenuri arabile cultivate, păduri de foioase situl asigură condiții de hrană, cuibărit și viețuire pentru mai multe specii de </w:t>
      </w:r>
      <w:hyperlink r:id="rId109" w:tooltip="Păsări migratoare" w:history="1">
        <w:r w:rsidRPr="00067FEF">
          <w:rPr>
            <w:rFonts w:ascii="Arial" w:hAnsi="Arial" w:cs="Arial"/>
            <w:sz w:val="24"/>
            <w:szCs w:val="24"/>
          </w:rPr>
          <w:t>păsări migratoare</w:t>
        </w:r>
      </w:hyperlink>
      <w:r w:rsidRPr="00067FEF">
        <w:rPr>
          <w:rFonts w:ascii="Arial" w:hAnsi="Arial" w:cs="Arial"/>
          <w:sz w:val="24"/>
          <w:szCs w:val="24"/>
        </w:rPr>
        <w:t>, de pasaj sau sedentare.</w:t>
      </w:r>
    </w:p>
    <w:p w:rsidR="007A21BD" w:rsidRPr="00067FEF" w:rsidRDefault="007A21BD" w:rsidP="007A21BD">
      <w:pPr>
        <w:shd w:val="clear" w:color="auto" w:fill="FFFFFF" w:themeFill="background1"/>
        <w:tabs>
          <w:tab w:val="left" w:leader="dot" w:pos="8640"/>
        </w:tabs>
        <w:spacing w:after="0" w:line="240" w:lineRule="auto"/>
        <w:jc w:val="both"/>
        <w:rPr>
          <w:rFonts w:ascii="Arial" w:hAnsi="Arial" w:cs="Arial"/>
          <w:b/>
          <w:bCs/>
          <w:sz w:val="24"/>
          <w:szCs w:val="24"/>
        </w:rPr>
      </w:pPr>
    </w:p>
    <w:p w:rsidR="007A21BD" w:rsidRPr="00067FEF" w:rsidRDefault="007A21BD" w:rsidP="007A21BD">
      <w:pPr>
        <w:shd w:val="clear" w:color="auto" w:fill="FFFFFF" w:themeFill="background1"/>
        <w:tabs>
          <w:tab w:val="left" w:leader="dot" w:pos="8640"/>
        </w:tabs>
        <w:spacing w:after="0" w:line="240" w:lineRule="auto"/>
        <w:jc w:val="both"/>
        <w:rPr>
          <w:rFonts w:ascii="Arial" w:hAnsi="Arial" w:cs="Arial"/>
          <w:b/>
          <w:bCs/>
          <w:sz w:val="24"/>
          <w:szCs w:val="24"/>
        </w:rPr>
      </w:pPr>
      <w:r w:rsidRPr="00067FEF">
        <w:rPr>
          <w:rFonts w:ascii="Arial" w:hAnsi="Arial" w:cs="Arial"/>
          <w:b/>
          <w:bCs/>
          <w:sz w:val="24"/>
          <w:szCs w:val="24"/>
        </w:rPr>
        <w:t xml:space="preserve">Arii naturale protejate, de interes comunitar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Conform OUG nr. 57/2007 privind regimul ariilor naturale protejate, conservarea habitatelor naturale, a florei şi faunei sălbatice, aprobată cu modificări şi completări prin Legea nr. 49/2011, cu completările ulterioare,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Ariile de protecţie specială avifaunistică (SPA) au drept scop conservarea, mentinerea şi, acolo unde este cazul, readucea într-o stare de conservare favorabilă a tuturor speciilor de păsări şi a habitatelor specifice. Desemnarea acestora în România s-a realizat prin H.G. nr. 1284/2007 cu modificările şi completările ulterioare și HG 663/2016 privind instituirea regimului de arie naturală protejată și declararea ariilor de protecţie specială avifaunistică ca parte integrantă a reţelei ecologice europene Natura 2000 în România.</w:t>
      </w:r>
    </w:p>
    <w:p w:rsidR="007A21BD" w:rsidRPr="00067FEF" w:rsidRDefault="007A21BD" w:rsidP="007A21BD">
      <w:pPr>
        <w:pStyle w:val="BodyTextIndent2"/>
        <w:shd w:val="clear" w:color="auto" w:fill="FFFFFF" w:themeFill="background1"/>
        <w:spacing w:after="0" w:line="240" w:lineRule="auto"/>
        <w:ind w:left="0"/>
        <w:jc w:val="both"/>
        <w:rPr>
          <w:rFonts w:ascii="Arial" w:hAnsi="Arial" w:cs="Arial"/>
          <w:lang w:val="ro-RO" w:eastAsia="ro-RO"/>
        </w:rPr>
      </w:pPr>
    </w:p>
    <w:p w:rsidR="007A21BD" w:rsidRPr="00067FEF" w:rsidRDefault="007A21BD" w:rsidP="007A21BD">
      <w:pPr>
        <w:shd w:val="clear" w:color="auto" w:fill="FFFFFF" w:themeFill="background1"/>
        <w:spacing w:after="0" w:line="240" w:lineRule="auto"/>
        <w:ind w:firstLine="426"/>
        <w:jc w:val="both"/>
        <w:rPr>
          <w:rFonts w:ascii="Arial" w:hAnsi="Arial" w:cs="Arial"/>
          <w:sz w:val="24"/>
          <w:szCs w:val="24"/>
        </w:rPr>
      </w:pPr>
      <w:r w:rsidRPr="00067FEF">
        <w:rPr>
          <w:rFonts w:ascii="Arial" w:hAnsi="Arial" w:cs="Arial"/>
          <w:sz w:val="24"/>
          <w:szCs w:val="24"/>
        </w:rPr>
        <w:t xml:space="preserve">Astfel, pe teritoriul judeţului Brăila sunt desemnate 10 arii de protecţie specială avifaunistică, totalizând o suprafaţă de </w:t>
      </w:r>
      <w:smartTag w:uri="urn:schemas-microsoft-com:office:smarttags" w:element="metricconverter">
        <w:smartTagPr>
          <w:attr w:name="ProductID" w:val="59788,37 ha"/>
        </w:smartTagPr>
        <w:r w:rsidRPr="00067FEF">
          <w:rPr>
            <w:rFonts w:ascii="Arial" w:hAnsi="Arial" w:cs="Arial"/>
            <w:sz w:val="24"/>
            <w:szCs w:val="24"/>
          </w:rPr>
          <w:t>59788,37 ha</w:t>
        </w:r>
      </w:smartTag>
      <w:r w:rsidRPr="00067FEF">
        <w:rPr>
          <w:rFonts w:ascii="Arial" w:hAnsi="Arial" w:cs="Arial"/>
          <w:sz w:val="24"/>
          <w:szCs w:val="24"/>
        </w:rPr>
        <w:t xml:space="preserve"> şi reprezentând 12,54% din suprafaţa judeţului, aşa cum se poate observa în tabelul nr. V.2.1-2:</w:t>
      </w:r>
    </w:p>
    <w:p w:rsidR="007A21BD" w:rsidRPr="00067FEF" w:rsidRDefault="007A21BD" w:rsidP="007A21BD">
      <w:pPr>
        <w:pStyle w:val="BodyTextIndent2"/>
        <w:shd w:val="clear" w:color="auto" w:fill="FFFFFF" w:themeFill="background1"/>
        <w:spacing w:after="0" w:line="240" w:lineRule="auto"/>
        <w:ind w:left="0"/>
        <w:jc w:val="both"/>
        <w:rPr>
          <w:rFonts w:ascii="Arial" w:hAnsi="Arial" w:cs="Arial"/>
          <w:b/>
          <w:lang w:val="ro-RO" w:eastAsia="ro-RO"/>
        </w:rPr>
      </w:pPr>
      <w:r w:rsidRPr="00067FEF">
        <w:rPr>
          <w:rFonts w:ascii="Arial" w:hAnsi="Arial" w:cs="Arial"/>
          <w:b/>
        </w:rPr>
        <w:t>Tabel nr. V.2.1- 2</w:t>
      </w:r>
      <w:r w:rsidRPr="00067FEF">
        <w:rPr>
          <w:rFonts w:ascii="Arial" w:hAnsi="Arial" w:cs="Arial"/>
          <w:b/>
          <w:lang w:val="ro-RO" w:eastAsia="ro-RO"/>
        </w:rPr>
        <w:t>. - Arii de protecţie specială avifaunistică din judeţul Brăila</w:t>
      </w:r>
    </w:p>
    <w:p w:rsidR="007A21BD" w:rsidRPr="00067FEF" w:rsidRDefault="007A21BD" w:rsidP="007A21BD">
      <w:pPr>
        <w:pStyle w:val="BodyTextIndent2"/>
        <w:shd w:val="clear" w:color="auto" w:fill="FFFFFF" w:themeFill="background1"/>
        <w:spacing w:after="0" w:line="240" w:lineRule="auto"/>
        <w:ind w:left="0"/>
        <w:jc w:val="both"/>
        <w:rPr>
          <w:rStyle w:val="tpa1"/>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90"/>
        <w:gridCol w:w="1620"/>
        <w:gridCol w:w="1323"/>
        <w:gridCol w:w="1329"/>
        <w:gridCol w:w="3094"/>
      </w:tblGrid>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Nr. crt.</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Denumire</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Cod</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Suprafaţă totală a ariei</w:t>
            </w:r>
          </w:p>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(ha)</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lang w:val="es-ES"/>
              </w:rPr>
            </w:pPr>
            <w:r w:rsidRPr="00067FEF">
              <w:rPr>
                <w:rFonts w:ascii="Arial" w:hAnsi="Arial" w:cs="Arial"/>
                <w:b/>
                <w:lang w:val="es-ES"/>
              </w:rPr>
              <w:t>Suprafaţa (ha)</w:t>
            </w:r>
          </w:p>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lang w:val="es-ES"/>
              </w:rPr>
            </w:pPr>
            <w:r w:rsidRPr="00067FEF">
              <w:rPr>
                <w:rFonts w:ascii="Arial" w:hAnsi="Arial" w:cs="Arial"/>
                <w:b/>
                <w:lang w:val="es-ES"/>
              </w:rPr>
              <w:t>la nivelul judeţului</w:t>
            </w:r>
          </w:p>
        </w:tc>
        <w:tc>
          <w:tcPr>
            <w:tcW w:w="3094"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b/>
              </w:rPr>
            </w:pPr>
            <w:r w:rsidRPr="00067FEF">
              <w:rPr>
                <w:rFonts w:ascii="Arial" w:hAnsi="Arial" w:cs="Arial"/>
                <w:b/>
              </w:rPr>
              <w:t>Unităţi administrativ teritoriale din judeţul Brăila în care este localizată aria</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lang w:val="it-IT" w:eastAsia="ro-RO"/>
              </w:rPr>
              <w:t>Balta Albă-Amara-Jirlău</w:t>
            </w:r>
          </w:p>
        </w:tc>
        <w:tc>
          <w:tcPr>
            <w:tcW w:w="1620"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lang w:val="it-IT" w:eastAsia="ro-RO"/>
              </w:rPr>
              <w:t>ROSPA0004</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2023</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1213,8</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Galbenu, Gradiştea, Jirlău, Vişani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2.</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Balta Mică a Brăilei</w:t>
            </w:r>
          </w:p>
        </w:tc>
        <w:tc>
          <w:tcPr>
            <w:tcW w:w="1620"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ROSPA0005</w:t>
            </w:r>
          </w:p>
        </w:tc>
        <w:tc>
          <w:tcPr>
            <w:tcW w:w="1323" w:type="dxa"/>
            <w:shd w:val="clear" w:color="auto" w:fill="auto"/>
            <w:vAlign w:val="center"/>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25856</w:t>
            </w:r>
          </w:p>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24821,76</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Brăila, Chiscani, Gropeni, Tichilești, Berteştii de Jos, Stăncuţa,  Măraşu</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3.</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Balta Tătaru</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ROSPA0006</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9981</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8583,66</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Bărăganul, Ciocile, Cireşu, Dudeşti, Roşiori, Ulmu, Însurăţei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4.</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Dunărea Veche-Braţul Măcin</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ROSPA0040</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18759</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6228,05</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Frecăţei, Măraşu</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5.</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Ianca-Plopu-Sărat</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ROSPA0048</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1982</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1982</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pt-BR"/>
              </w:rPr>
            </w:pPr>
            <w:r w:rsidRPr="00067FEF">
              <w:rPr>
                <w:rFonts w:ascii="Arial" w:hAnsi="Arial" w:cs="Arial"/>
                <w:lang w:val="pt-BR"/>
              </w:rPr>
              <w:t>Ianca, Movila Miresii, Traian, Gemenele, Tudor Vladimirescu</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6.</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Lunca Siretului Inferior</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ROSPA0071</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36492</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1824,6</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Măxineni, Siliştea, Vădeni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7.</w:t>
            </w:r>
          </w:p>
        </w:tc>
        <w:tc>
          <w:tcPr>
            <w:tcW w:w="199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Măxineni</w:t>
            </w:r>
          </w:p>
        </w:tc>
        <w:tc>
          <w:tcPr>
            <w:tcW w:w="1620"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ROSPA0077</w:t>
            </w:r>
          </w:p>
        </w:tc>
        <w:tc>
          <w:tcPr>
            <w:tcW w:w="1323"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1504</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1504</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Măxineni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8.</w:t>
            </w:r>
          </w:p>
        </w:tc>
        <w:tc>
          <w:tcPr>
            <w:tcW w:w="199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Berteştii de Sus - Gura Ialomiţei</w:t>
            </w:r>
          </w:p>
        </w:tc>
        <w:tc>
          <w:tcPr>
            <w:tcW w:w="162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ROSPA0111</w:t>
            </w:r>
          </w:p>
        </w:tc>
        <w:tc>
          <w:tcPr>
            <w:tcW w:w="1323" w:type="dxa"/>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6890</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2962,7</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Berteştii de Jos, Victoria, Însurăţei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9.</w:t>
            </w:r>
          </w:p>
        </w:tc>
        <w:tc>
          <w:tcPr>
            <w:tcW w:w="199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Valea Călmăţuiului</w:t>
            </w:r>
          </w:p>
        </w:tc>
        <w:tc>
          <w:tcPr>
            <w:tcW w:w="162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ROSPA0145</w:t>
            </w:r>
          </w:p>
        </w:tc>
        <w:tc>
          <w:tcPr>
            <w:tcW w:w="1323" w:type="dxa"/>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20515</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r w:rsidRPr="00067FEF">
              <w:rPr>
                <w:rFonts w:ascii="Arial" w:hAnsi="Arial" w:cs="Arial"/>
              </w:rPr>
              <w:t>10667,8</w:t>
            </w: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Bordei Verde, Cireşu, Însurăţei, Surdila-Greci, Ulmu, Zăvoaia, Dudeşti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10</w:t>
            </w:r>
          </w:p>
          <w:p w:rsidR="007A21BD" w:rsidRPr="00067FEF" w:rsidRDefault="007A21BD" w:rsidP="004E444C">
            <w:pPr>
              <w:pStyle w:val="BodyTextIndent2"/>
              <w:shd w:val="clear" w:color="auto" w:fill="FFFFFF" w:themeFill="background1"/>
              <w:spacing w:after="0" w:line="240" w:lineRule="auto"/>
              <w:ind w:left="0"/>
              <w:rPr>
                <w:rFonts w:ascii="Arial" w:hAnsi="Arial" w:cs="Arial"/>
              </w:rPr>
            </w:pPr>
          </w:p>
        </w:tc>
        <w:tc>
          <w:tcPr>
            <w:tcW w:w="199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Lunca Buzăului</w:t>
            </w:r>
          </w:p>
        </w:tc>
        <w:tc>
          <w:tcPr>
            <w:tcW w:w="162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eastAsia="Times New Roman" w:hAnsi="Arial" w:cs="Arial"/>
                <w:sz w:val="24"/>
                <w:szCs w:val="24"/>
              </w:rPr>
              <w:t>ROSPA0160</w:t>
            </w:r>
          </w:p>
        </w:tc>
        <w:tc>
          <w:tcPr>
            <w:tcW w:w="1323" w:type="dxa"/>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r w:rsidRPr="00067FEF">
              <w:rPr>
                <w:rFonts w:ascii="Arial" w:hAnsi="Arial" w:cs="Arial"/>
                <w:sz w:val="24"/>
                <w:szCs w:val="24"/>
              </w:rPr>
              <w:t>9575</w:t>
            </w: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Făurei, Grădiştea, Jirlău, Racoviţa, Râmnicelu, Surdila-Greci, Şuţeşti, Vişani</w:t>
            </w:r>
          </w:p>
        </w:tc>
      </w:tr>
      <w:tr w:rsidR="007A21BD" w:rsidRPr="00067FEF" w:rsidTr="004E444C">
        <w:tc>
          <w:tcPr>
            <w:tcW w:w="567"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p>
        </w:tc>
        <w:tc>
          <w:tcPr>
            <w:tcW w:w="199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p>
        </w:tc>
        <w:tc>
          <w:tcPr>
            <w:tcW w:w="1620" w:type="dxa"/>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p>
        </w:tc>
        <w:tc>
          <w:tcPr>
            <w:tcW w:w="1323" w:type="dxa"/>
            <w:shd w:val="clear" w:color="auto" w:fill="auto"/>
            <w:vAlign w:val="center"/>
            <w:hideMark/>
          </w:tcPr>
          <w:p w:rsidR="007A21BD" w:rsidRPr="00067FEF" w:rsidRDefault="007A21BD" w:rsidP="004E444C">
            <w:pPr>
              <w:shd w:val="clear" w:color="auto" w:fill="FFFFFF" w:themeFill="background1"/>
              <w:spacing w:after="0" w:line="240" w:lineRule="auto"/>
              <w:jc w:val="center"/>
              <w:rPr>
                <w:rFonts w:ascii="Arial" w:hAnsi="Arial" w:cs="Arial"/>
                <w:sz w:val="24"/>
                <w:szCs w:val="24"/>
              </w:rPr>
            </w:pPr>
          </w:p>
        </w:tc>
        <w:tc>
          <w:tcPr>
            <w:tcW w:w="1329" w:type="dxa"/>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jc w:val="center"/>
              <w:rPr>
                <w:rFonts w:ascii="Arial" w:hAnsi="Arial" w:cs="Arial"/>
              </w:rPr>
            </w:pPr>
          </w:p>
        </w:tc>
        <w:tc>
          <w:tcPr>
            <w:tcW w:w="3094" w:type="dxa"/>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p>
        </w:tc>
      </w:tr>
    </w:tbl>
    <w:p w:rsidR="007A21BD" w:rsidRPr="00067FEF" w:rsidRDefault="007A21BD" w:rsidP="007A21BD">
      <w:pPr>
        <w:pStyle w:val="BodyTextIndent2"/>
        <w:shd w:val="clear" w:color="auto" w:fill="FFFFFF" w:themeFill="background1"/>
        <w:spacing w:after="0" w:line="240" w:lineRule="auto"/>
        <w:ind w:left="0"/>
        <w:jc w:val="both"/>
        <w:rPr>
          <w:rFonts w:ascii="Arial" w:hAnsi="Arial" w:cs="Arial"/>
        </w:rPr>
      </w:pPr>
    </w:p>
    <w:p w:rsidR="007A21BD" w:rsidRPr="00067FEF" w:rsidRDefault="007A21BD" w:rsidP="007A21BD">
      <w:pPr>
        <w:shd w:val="clear" w:color="auto" w:fill="FFFFFF" w:themeFill="background1"/>
        <w:spacing w:after="0" w:line="240" w:lineRule="auto"/>
        <w:jc w:val="both"/>
        <w:rPr>
          <w:rFonts w:ascii="Arial" w:hAnsi="Arial" w:cs="Arial"/>
          <w:i/>
          <w:sz w:val="24"/>
          <w:szCs w:val="24"/>
          <w:u w:val="single"/>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Siturile de importanţă comunitară (SCI) 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În România au fost desemnate prin Ord. M.M.D.D. nr. 1964/2007 privind instituirea regimului de arie naturală protejată a siturilor de importanţă comunitară, ca parte integrantă a reţelei ecologice europene Natura 2000 în România, cu modificările şi completările ulterioare - Ord. MMP 2387/2011 și Ord. MMAP nr. 46/2016 privind instituirea regimului de arie naturală protejată şi declararea siturilor de importanţă comunitară ca parte integrantă a reţelei ecologice europene Natura 2000 în România, În baza recunoaşterii lor de către Comisia Europeană, siturile de importanţă comunitară vor fi declarate arii speciale de conservare prin hotărâre de guvern. Acestea au scopul de a conserva, menţine şi, acolo unde este cazul, de a readuce într-o stare de conservare favorabilă habitatele şi speciile de interes comunitar pentru care au fost desemnate.</w:t>
      </w:r>
    </w:p>
    <w:p w:rsidR="007A21BD" w:rsidRPr="00067FEF" w:rsidRDefault="007A21BD" w:rsidP="007A21BD">
      <w:pPr>
        <w:shd w:val="clear" w:color="auto" w:fill="FFFFFF" w:themeFill="background1"/>
        <w:spacing w:after="0" w:line="240" w:lineRule="auto"/>
        <w:ind w:firstLine="426"/>
        <w:jc w:val="both"/>
        <w:rPr>
          <w:rFonts w:ascii="Arial" w:hAnsi="Arial" w:cs="Arial"/>
          <w:sz w:val="24"/>
          <w:szCs w:val="24"/>
        </w:rPr>
      </w:pPr>
      <w:r w:rsidRPr="00067FEF">
        <w:rPr>
          <w:rFonts w:ascii="Arial" w:hAnsi="Arial" w:cs="Arial"/>
          <w:sz w:val="24"/>
          <w:szCs w:val="24"/>
        </w:rPr>
        <w:lastRenderedPageBreak/>
        <w:t xml:space="preserve">Pe teritoriul judeţului Brăila au fost declarate 9 situri de importanţă comunitară, totalizând o suprafaţă de </w:t>
      </w:r>
      <w:smartTag w:uri="urn:schemas-microsoft-com:office:smarttags" w:element="metricconverter">
        <w:smartTagPr>
          <w:attr w:name="ProductID" w:val="43318,74 ha"/>
        </w:smartTagPr>
        <w:r w:rsidRPr="00067FEF">
          <w:rPr>
            <w:rFonts w:ascii="Arial" w:hAnsi="Arial" w:cs="Arial"/>
            <w:sz w:val="24"/>
            <w:szCs w:val="24"/>
          </w:rPr>
          <w:t>43318,74 ha</w:t>
        </w:r>
      </w:smartTag>
      <w:r w:rsidRPr="00067FEF">
        <w:rPr>
          <w:rFonts w:ascii="Arial" w:hAnsi="Arial" w:cs="Arial"/>
          <w:sz w:val="24"/>
          <w:szCs w:val="24"/>
        </w:rPr>
        <w:t xml:space="preserve"> şi reprezentând 9,08% din suprafaţa judeţului, aşa cum se poate observa în tabelul nr. tabelul nr. V.2.1-3.:</w:t>
      </w:r>
    </w:p>
    <w:p w:rsidR="007A21BD" w:rsidRPr="00067FEF" w:rsidRDefault="007A21BD" w:rsidP="007A21BD">
      <w:pPr>
        <w:shd w:val="clear" w:color="auto" w:fill="FFFFFF" w:themeFill="background1"/>
        <w:spacing w:after="0" w:line="240" w:lineRule="auto"/>
        <w:jc w:val="both"/>
        <w:rPr>
          <w:rFonts w:ascii="Arial" w:hAnsi="Arial" w:cs="Arial"/>
          <w:sz w:val="24"/>
          <w:szCs w:val="24"/>
        </w:rPr>
      </w:pPr>
    </w:p>
    <w:p w:rsidR="007A21BD" w:rsidRPr="00067FEF" w:rsidRDefault="007A21BD" w:rsidP="007A21BD">
      <w:pPr>
        <w:pStyle w:val="BodyTextIndent2"/>
        <w:shd w:val="clear" w:color="auto" w:fill="FFFFFF" w:themeFill="background1"/>
        <w:spacing w:after="0" w:line="240" w:lineRule="auto"/>
        <w:ind w:left="0"/>
        <w:jc w:val="both"/>
        <w:rPr>
          <w:rStyle w:val="tpa1"/>
          <w:rFonts w:ascii="Arial" w:hAnsi="Arial" w:cs="Arial"/>
          <w:b/>
        </w:rPr>
      </w:pPr>
      <w:r w:rsidRPr="00067FEF">
        <w:rPr>
          <w:rFonts w:ascii="Arial" w:hAnsi="Arial" w:cs="Arial"/>
          <w:b/>
        </w:rPr>
        <w:t xml:space="preserve">Tabel nr. V.2.1- 3. - </w:t>
      </w:r>
      <w:r w:rsidRPr="00067FEF">
        <w:rPr>
          <w:rFonts w:ascii="Arial" w:hAnsi="Arial" w:cs="Arial"/>
          <w:b/>
          <w:lang w:eastAsia="ro-RO"/>
        </w:rPr>
        <w:t>Situri de importanţă comunitară din judeţul Brăila</w:t>
      </w:r>
    </w:p>
    <w:tbl>
      <w:tblPr>
        <w:tblW w:w="1005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
        <w:gridCol w:w="1610"/>
        <w:gridCol w:w="1512"/>
        <w:gridCol w:w="1281"/>
        <w:gridCol w:w="1313"/>
        <w:gridCol w:w="3677"/>
      </w:tblGrid>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Nr. crt.</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Denumire</w:t>
            </w:r>
          </w:p>
        </w:tc>
        <w:tc>
          <w:tcPr>
            <w:tcW w:w="1512" w:type="dxa"/>
            <w:tcBorders>
              <w:top w:val="single" w:sz="4" w:space="0" w:color="auto"/>
              <w:left w:val="single" w:sz="4" w:space="0" w:color="auto"/>
              <w:bottom w:val="single" w:sz="4" w:space="0" w:color="auto"/>
              <w:right w:val="single" w:sz="4" w:space="0" w:color="auto"/>
            </w:tcBorders>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Cod</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Suprafaţă totală a sitului</w:t>
            </w:r>
          </w:p>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(ha)</w:t>
            </w:r>
          </w:p>
        </w:tc>
        <w:tc>
          <w:tcPr>
            <w:tcW w:w="1313" w:type="dxa"/>
            <w:tcBorders>
              <w:top w:val="single" w:sz="4" w:space="0" w:color="auto"/>
              <w:left w:val="single" w:sz="4" w:space="0" w:color="auto"/>
              <w:bottom w:val="single" w:sz="4" w:space="0" w:color="auto"/>
              <w:right w:val="single" w:sz="4" w:space="0" w:color="auto"/>
            </w:tcBorders>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lang w:val="es-ES"/>
              </w:rPr>
            </w:pPr>
            <w:r w:rsidRPr="00067FEF">
              <w:rPr>
                <w:rFonts w:ascii="Arial" w:hAnsi="Arial" w:cs="Arial"/>
                <w:b/>
                <w:lang w:val="es-ES"/>
              </w:rPr>
              <w:t>Suprafaţa (ha)</w:t>
            </w:r>
          </w:p>
          <w:p w:rsidR="007A21BD" w:rsidRPr="00067FEF" w:rsidRDefault="007A21BD" w:rsidP="004E444C">
            <w:pPr>
              <w:pStyle w:val="BodyTextIndent2"/>
              <w:shd w:val="clear" w:color="auto" w:fill="FFFFFF" w:themeFill="background1"/>
              <w:spacing w:after="0" w:line="240" w:lineRule="auto"/>
              <w:ind w:left="0"/>
              <w:rPr>
                <w:rFonts w:ascii="Arial" w:hAnsi="Arial" w:cs="Arial"/>
                <w:b/>
                <w:lang w:val="es-ES"/>
              </w:rPr>
            </w:pPr>
            <w:r w:rsidRPr="00067FEF">
              <w:rPr>
                <w:rFonts w:ascii="Arial" w:hAnsi="Arial" w:cs="Arial"/>
                <w:b/>
                <w:lang w:val="es-ES"/>
              </w:rPr>
              <w:t xml:space="preserve">la nivelul judeţului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b/>
              </w:rPr>
            </w:pPr>
            <w:r w:rsidRPr="00067FEF">
              <w:rPr>
                <w:rFonts w:ascii="Arial" w:hAnsi="Arial" w:cs="Arial"/>
                <w:b/>
              </w:rPr>
              <w:t>Unităţi administrativ teritoriale din judeţul Brăila în care este localizată aria</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lang w:eastAsia="ro-RO"/>
              </w:rPr>
              <w:t>Balta Albă-Amara-Jirlău</w:t>
            </w:r>
            <w:r w:rsidRPr="00067FEF">
              <w:rPr>
                <w:rStyle w:val="tpt1"/>
                <w:rFonts w:ascii="Arial" w:hAnsi="Arial" w:cs="Arial"/>
              </w:rPr>
              <w:t>-Lacul Sărat Câineni</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lang w:val="it-IT" w:eastAsia="ro-RO"/>
              </w:rPr>
              <w:t>ROSCI0005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6300</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2835</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Galbenu, Gradiştea, Jirlău, Vişani</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2.</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eastAsia="ro-RO"/>
              </w:rPr>
            </w:pPr>
            <w:r w:rsidRPr="00067FEF">
              <w:rPr>
                <w:rStyle w:val="tpt1"/>
                <w:rFonts w:ascii="Arial" w:hAnsi="Arial" w:cs="Arial"/>
                <w:lang w:val="it-IT"/>
              </w:rPr>
              <w:t>Balta Mică a Brăilei</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ROSCI0006</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20872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20872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Berteştii de Jos, Brăila, Chiscani, Gropeni, Măraşu, Stăncuţa</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3.</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Style w:val="tpt1"/>
                <w:rFonts w:ascii="Arial" w:hAnsi="Arial" w:cs="Arial"/>
                <w:lang w:val="it-IT"/>
              </w:rPr>
            </w:pPr>
            <w:r w:rsidRPr="00067FEF">
              <w:rPr>
                <w:rFonts w:ascii="Arial" w:hAnsi="Arial" w:cs="Arial"/>
                <w:lang w:val="it-IT" w:eastAsia="ro-RO"/>
              </w:rPr>
              <w:t>Braţul Măcin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ROSCI0012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10235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4503,4</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Frecăţei, Măraşu</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4.</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Lunca Buzăului</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ROSCI0103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9575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978,18</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sz w:val="24"/>
                <w:szCs w:val="24"/>
                <w:lang w:val="it-IT"/>
              </w:rPr>
              <w:t>Făurei, Grădiştea, Jirlău, Racoviţa, Râmnicelu, Surdila-Greci, Şuţeşti,Vişani</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5.</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Lunca Siretului Inferior</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ROSCI0162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25081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1755,67</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Măxineni, Siliştea, Vădeni</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6.</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Valea Călmăţuiului</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lang w:val="it-IT" w:eastAsia="ro-RO"/>
              </w:rPr>
            </w:pPr>
            <w:r w:rsidRPr="00067FEF">
              <w:rPr>
                <w:rFonts w:ascii="Arial" w:hAnsi="Arial" w:cs="Arial"/>
                <w:lang w:val="it-IT" w:eastAsia="ro-RO"/>
              </w:rPr>
              <w:t>ROSCI0259</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17923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8603,04</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BordeiVerde, Cireşu, Însurăţei, Surdila-Greci, Ulmu, Zăvoaia</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7.</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Ianca - Plopu - Sărat - Comăneasca</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ROSCI0305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3222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3222</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pt-BR"/>
              </w:rPr>
            </w:pPr>
            <w:r w:rsidRPr="00067FEF">
              <w:rPr>
                <w:rFonts w:ascii="Arial" w:hAnsi="Arial" w:cs="Arial"/>
                <w:sz w:val="24"/>
                <w:szCs w:val="24"/>
                <w:lang w:val="pt-BR"/>
              </w:rPr>
              <w:t>Ianca, Movila Miresii, Romanu, Traian, Tudor Vladimirescu</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 xml:space="preserve"> 8.</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Lacul Sărat – Brăila</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ROSCI0307</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377</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377</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Brăila, Chiscani, Tichileşti</w:t>
            </w:r>
          </w:p>
        </w:tc>
      </w:tr>
      <w:tr w:rsidR="007A21BD" w:rsidRPr="00067FEF" w:rsidTr="004E444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9.</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lang w:val="it-IT"/>
              </w:rPr>
            </w:pPr>
            <w:r w:rsidRPr="00067FEF">
              <w:rPr>
                <w:rFonts w:ascii="Arial" w:hAnsi="Arial" w:cs="Arial"/>
                <w:bCs/>
                <w:iCs/>
                <w:sz w:val="24"/>
                <w:szCs w:val="24"/>
                <w:lang w:val="it-IT"/>
              </w:rPr>
              <w:t>Sărăturile de la Gura Ialomiţei - Mihai Bravu</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bCs/>
                <w:iCs/>
                <w:sz w:val="24"/>
                <w:szCs w:val="24"/>
              </w:rPr>
              <w:t>ROSCI0389</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3449</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pStyle w:val="BodyTextIndent2"/>
              <w:shd w:val="clear" w:color="auto" w:fill="FFFFFF" w:themeFill="background1"/>
              <w:spacing w:after="0" w:line="240" w:lineRule="auto"/>
              <w:ind w:left="0"/>
              <w:rPr>
                <w:rFonts w:ascii="Arial" w:hAnsi="Arial" w:cs="Arial"/>
              </w:rPr>
            </w:pPr>
            <w:r w:rsidRPr="00067FEF">
              <w:rPr>
                <w:rFonts w:ascii="Arial" w:hAnsi="Arial" w:cs="Arial"/>
              </w:rPr>
              <w:t>172,45</w:t>
            </w:r>
          </w:p>
        </w:tc>
        <w:tc>
          <w:tcPr>
            <w:tcW w:w="3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1BD" w:rsidRPr="00067FEF" w:rsidRDefault="007A21BD" w:rsidP="004E444C">
            <w:pPr>
              <w:shd w:val="clear" w:color="auto" w:fill="FFFFFF" w:themeFill="background1"/>
              <w:spacing w:after="0" w:line="240" w:lineRule="auto"/>
              <w:rPr>
                <w:rFonts w:ascii="Arial" w:hAnsi="Arial" w:cs="Arial"/>
                <w:sz w:val="24"/>
                <w:szCs w:val="24"/>
              </w:rPr>
            </w:pPr>
            <w:r w:rsidRPr="00067FEF">
              <w:rPr>
                <w:rFonts w:ascii="Arial" w:hAnsi="Arial" w:cs="Arial"/>
                <w:sz w:val="24"/>
                <w:szCs w:val="24"/>
              </w:rPr>
              <w:t>Berteştii de Jos, Victoria</w:t>
            </w:r>
          </w:p>
        </w:tc>
      </w:tr>
    </w:tbl>
    <w:p w:rsidR="007A21BD" w:rsidRPr="00067FEF" w:rsidRDefault="007A21BD" w:rsidP="007A21BD">
      <w:pPr>
        <w:shd w:val="clear" w:color="auto" w:fill="FFFFFF" w:themeFill="background1"/>
        <w:spacing w:after="0" w:line="240" w:lineRule="auto"/>
        <w:ind w:firstLine="720"/>
        <w:jc w:val="both"/>
        <w:rPr>
          <w:rFonts w:ascii="Arial" w:hAnsi="Arial" w:cs="Arial"/>
          <w:sz w:val="24"/>
          <w:szCs w:val="24"/>
        </w:rPr>
      </w:pPr>
    </w:p>
    <w:p w:rsidR="007A21BD" w:rsidRPr="00067FEF" w:rsidRDefault="007A21BD" w:rsidP="007A21BD">
      <w:pPr>
        <w:pStyle w:val="BodyTextIndent2"/>
        <w:shd w:val="clear" w:color="auto" w:fill="FFFFFF" w:themeFill="background1"/>
        <w:tabs>
          <w:tab w:val="left" w:pos="1080"/>
        </w:tabs>
        <w:spacing w:after="0" w:line="240" w:lineRule="auto"/>
        <w:ind w:left="990"/>
        <w:jc w:val="both"/>
        <w:rPr>
          <w:rStyle w:val="tpt1"/>
          <w:rFonts w:ascii="Arial" w:hAnsi="Arial" w:cs="Arial"/>
        </w:rPr>
      </w:pPr>
    </w:p>
    <w:p w:rsidR="007A21BD" w:rsidRPr="00067FEF" w:rsidRDefault="007A21BD" w:rsidP="007A21BD">
      <w:pPr>
        <w:pStyle w:val="BodyTextIndent2"/>
        <w:shd w:val="clear" w:color="auto" w:fill="FFFFFF" w:themeFill="background1"/>
        <w:spacing w:after="0" w:line="240" w:lineRule="auto"/>
        <w:ind w:left="0"/>
        <w:jc w:val="both"/>
        <w:rPr>
          <w:rFonts w:ascii="Arial" w:hAnsi="Arial" w:cs="Arial"/>
          <w:b/>
        </w:rPr>
      </w:pPr>
      <w:r w:rsidRPr="00067FEF">
        <w:rPr>
          <w:rFonts w:ascii="Arial" w:hAnsi="Arial" w:cs="Arial"/>
          <w:b/>
        </w:rPr>
        <w:t>Managementul ariilor naturale protejate</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 xml:space="preserve">Conform OUG 57/2007 cu modificările ulterioare, administrarea ariilor naturale protejate se asigură prin structuri de administrare special constituite sau persoane fizice și juridice care au calitatea de custode.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 xml:space="preserve">Conform </w:t>
      </w:r>
      <w:r w:rsidRPr="00067FEF">
        <w:rPr>
          <w:rFonts w:ascii="Arial" w:hAnsi="Arial" w:cs="Arial"/>
          <w:i/>
          <w:sz w:val="24"/>
          <w:szCs w:val="24"/>
          <w:shd w:val="clear" w:color="auto" w:fill="FFFFFF"/>
        </w:rPr>
        <w:t xml:space="preserve">Ord. MMSC nr. 1447/2017 privind aprobarea </w:t>
      </w:r>
      <w:hyperlink r:id="rId110" w:history="1">
        <w:r w:rsidRPr="00067FEF">
          <w:rPr>
            <w:rFonts w:ascii="Arial" w:hAnsi="Arial" w:cs="Arial"/>
            <w:i/>
            <w:sz w:val="24"/>
            <w:szCs w:val="24"/>
            <w:shd w:val="clear" w:color="auto" w:fill="FFFFFF"/>
          </w:rPr>
          <w:t>Metodologiei de atribuire a administrării şi a custodiei ariilor naturale protejate</w:t>
        </w:r>
      </w:hyperlink>
      <w:r w:rsidRPr="00067FEF">
        <w:rPr>
          <w:rFonts w:ascii="Arial" w:eastAsia="Times New Roman" w:hAnsi="Arial" w:cs="Arial"/>
          <w:bCs/>
          <w:sz w:val="24"/>
          <w:szCs w:val="24"/>
          <w:lang w:val="en-US"/>
        </w:rPr>
        <w:t xml:space="preserve">, </w:t>
      </w:r>
      <w:r w:rsidRPr="00067FEF">
        <w:rPr>
          <w:rFonts w:ascii="Arial" w:hAnsi="Arial" w:cs="Arial"/>
          <w:sz w:val="24"/>
          <w:szCs w:val="24"/>
          <w:shd w:val="clear" w:color="auto" w:fill="FFFFFF"/>
        </w:rPr>
        <w:t>autoritatea responsabilă pentru atribuirea în administrare/custodie este Agenţia Naţională pentru Arii Naturale Protejate care a devenit funcțională din semestrul al II lea al anului 2017.</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În județul Brăila, din 26 arii protejate, un număr de13 arii au fost atribuite în administrare (conform tabelului nr. V.2.1-4): două arii de interes naţional, 9 arii de interes comunitar, o arie de interes internaţional și o arie de interes județean, existând 5 administratori (o structură de administrare și 4 custozi):</w:t>
      </w:r>
    </w:p>
    <w:p w:rsidR="007A21BD" w:rsidRPr="00067FEF" w:rsidRDefault="007A21BD" w:rsidP="00EF3940">
      <w:pPr>
        <w:pStyle w:val="Implicit"/>
        <w:numPr>
          <w:ilvl w:val="0"/>
          <w:numId w:val="41"/>
        </w:numPr>
        <w:shd w:val="clear" w:color="auto" w:fill="FFFFFF" w:themeFill="background1"/>
        <w:tabs>
          <w:tab w:val="left" w:pos="187"/>
        </w:tabs>
        <w:spacing w:after="0" w:line="240" w:lineRule="auto"/>
        <w:ind w:left="561" w:firstLine="0"/>
        <w:jc w:val="both"/>
        <w:rPr>
          <w:rFonts w:ascii="Arial" w:hAnsi="Arial" w:cs="Arial"/>
          <w:color w:val="auto"/>
          <w:lang w:val="ro-RO"/>
        </w:rPr>
      </w:pPr>
      <w:r w:rsidRPr="00067FEF">
        <w:rPr>
          <w:rFonts w:ascii="Arial" w:hAnsi="Arial" w:cs="Arial"/>
          <w:color w:val="auto"/>
          <w:lang w:val="ro-RO"/>
        </w:rPr>
        <w:t xml:space="preserve">RNP Romsilva – Administraţie - pentru Parcul Natural Balta Mică a Brăilei, situl Ramsar Insula Mică a Brăilei, ROSPA0005 și ROSCI0006  Balta Mică a Brăilei </w:t>
      </w:r>
    </w:p>
    <w:p w:rsidR="007A21BD" w:rsidRPr="00067FEF" w:rsidRDefault="007A21BD" w:rsidP="00EF3940">
      <w:pPr>
        <w:pStyle w:val="Implicit"/>
        <w:numPr>
          <w:ilvl w:val="0"/>
          <w:numId w:val="41"/>
        </w:numPr>
        <w:shd w:val="clear" w:color="auto" w:fill="FFFFFF" w:themeFill="background1"/>
        <w:tabs>
          <w:tab w:val="left" w:pos="187"/>
        </w:tabs>
        <w:spacing w:after="0" w:line="240" w:lineRule="auto"/>
        <w:ind w:left="561" w:firstLine="0"/>
        <w:jc w:val="both"/>
        <w:rPr>
          <w:rFonts w:ascii="Arial" w:hAnsi="Arial" w:cs="Arial"/>
          <w:color w:val="auto"/>
          <w:lang w:val="ro-RO"/>
        </w:rPr>
      </w:pPr>
      <w:r w:rsidRPr="00067FEF">
        <w:rPr>
          <w:rFonts w:ascii="Arial" w:hAnsi="Arial" w:cs="Arial"/>
          <w:color w:val="auto"/>
          <w:lang w:val="ro-RO"/>
        </w:rPr>
        <w:t>Asociaţia pentru Conservarea Diversităţii Biologice Focșani custode pentru ROSPA0071 Lunca Siretului Inferior și ROSCI0162 Lunca Siretului Inferior;</w:t>
      </w:r>
    </w:p>
    <w:p w:rsidR="007A21BD" w:rsidRPr="00067FEF" w:rsidRDefault="007A21BD" w:rsidP="00EF3940">
      <w:pPr>
        <w:pStyle w:val="Implicit"/>
        <w:numPr>
          <w:ilvl w:val="0"/>
          <w:numId w:val="41"/>
        </w:numPr>
        <w:shd w:val="clear" w:color="auto" w:fill="FFFFFF" w:themeFill="background1"/>
        <w:tabs>
          <w:tab w:val="left" w:pos="187"/>
        </w:tabs>
        <w:spacing w:after="0" w:line="240" w:lineRule="auto"/>
        <w:ind w:left="561" w:firstLine="0"/>
        <w:jc w:val="both"/>
        <w:rPr>
          <w:rFonts w:ascii="Arial" w:hAnsi="Arial" w:cs="Arial"/>
          <w:color w:val="auto"/>
          <w:lang w:val="ro-RO"/>
        </w:rPr>
      </w:pPr>
      <w:r w:rsidRPr="00067FEF">
        <w:rPr>
          <w:rFonts w:ascii="Arial" w:hAnsi="Arial" w:cs="Arial"/>
          <w:color w:val="auto"/>
          <w:lang w:val="ro-RO"/>
        </w:rPr>
        <w:lastRenderedPageBreak/>
        <w:t>Asociaţia Maximilian Buzău – custode pentru și ROSCI0005 Balta Albă-Amara-Jirlău-Lacul Sărat Câineni care include ROSPA0004 Balta Albă-Amara-Jirlău și Rezervația naturală Lacul Jirlău-Trup Vișani cod 2260</w:t>
      </w:r>
    </w:p>
    <w:p w:rsidR="007A21BD" w:rsidRPr="00067FEF" w:rsidRDefault="007A21BD" w:rsidP="00EF3940">
      <w:pPr>
        <w:pStyle w:val="Implicit"/>
        <w:numPr>
          <w:ilvl w:val="0"/>
          <w:numId w:val="41"/>
        </w:numPr>
        <w:shd w:val="clear" w:color="auto" w:fill="FFFFFF" w:themeFill="background1"/>
        <w:tabs>
          <w:tab w:val="left" w:pos="187"/>
        </w:tabs>
        <w:spacing w:after="0" w:line="240" w:lineRule="auto"/>
        <w:ind w:left="561" w:firstLine="0"/>
        <w:jc w:val="both"/>
        <w:rPr>
          <w:rFonts w:ascii="Arial" w:hAnsi="Arial" w:cs="Arial"/>
          <w:color w:val="auto"/>
          <w:lang w:val="ro-RO"/>
        </w:rPr>
      </w:pPr>
      <w:r w:rsidRPr="00067FEF">
        <w:rPr>
          <w:rFonts w:ascii="Arial" w:hAnsi="Arial" w:cs="Arial"/>
          <w:color w:val="auto"/>
          <w:lang w:val="ro-RO"/>
        </w:rPr>
        <w:t>Societatea Ornitologica Romană –custode pentru ROSPA0077 Măxineni și ROSCI0389 Sărăturile de la Gura Ialomiţei - Mihai Bravu împreună cu ROSPA0111 Berteştii de Sus - Gura Ialomiţei care include și Rezervația forestieră Pădurea Viișoara.</w:t>
      </w:r>
    </w:p>
    <w:p w:rsidR="007A21BD" w:rsidRPr="00067FEF" w:rsidRDefault="007A21BD" w:rsidP="00EF3940">
      <w:pPr>
        <w:pStyle w:val="Implicit"/>
        <w:numPr>
          <w:ilvl w:val="0"/>
          <w:numId w:val="41"/>
        </w:numPr>
        <w:shd w:val="clear" w:color="auto" w:fill="FFFFFF" w:themeFill="background1"/>
        <w:tabs>
          <w:tab w:val="left" w:pos="187"/>
        </w:tabs>
        <w:spacing w:after="0" w:line="240" w:lineRule="auto"/>
        <w:ind w:left="561" w:firstLine="0"/>
        <w:jc w:val="both"/>
        <w:rPr>
          <w:rFonts w:ascii="Arial" w:hAnsi="Arial" w:cs="Arial"/>
          <w:color w:val="auto"/>
          <w:lang w:val="ro-RO"/>
        </w:rPr>
      </w:pPr>
      <w:r w:rsidRPr="00067FEF">
        <w:rPr>
          <w:rFonts w:ascii="Arial" w:hAnsi="Arial" w:cs="Arial"/>
          <w:color w:val="auto"/>
          <w:lang w:val="ro-RO"/>
        </w:rPr>
        <w:t xml:space="preserve">Asociaţia Community Aid România pentru </w:t>
      </w:r>
      <w:hyperlink r:id="rId111" w:tgtFrame="_blank" w:history="1">
        <w:r w:rsidRPr="00067FEF">
          <w:rPr>
            <w:rFonts w:ascii="Arial" w:hAnsi="Arial" w:cs="Arial"/>
            <w:color w:val="auto"/>
            <w:lang w:val="ro-RO"/>
          </w:rPr>
          <w:t>ROSCI0307</w:t>
        </w:r>
      </w:hyperlink>
      <w:r w:rsidRPr="00067FEF">
        <w:rPr>
          <w:rFonts w:ascii="Arial" w:hAnsi="Arial" w:cs="Arial"/>
          <w:color w:val="auto"/>
          <w:lang w:val="ro-RO"/>
        </w:rPr>
        <w:t xml:space="preserve"> Lacu Sărat – Brăila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La data de 20.09.2017 a fost reziliată convenția de custodie pentru Asociația Community Aid astfel încât numai 12 arii (46 %) aveau administratori (o structură de administrare și 3 custozi).</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p>
    <w:p w:rsidR="007A21BD" w:rsidRPr="00067FEF" w:rsidRDefault="007A21BD" w:rsidP="007A21BD">
      <w:pPr>
        <w:shd w:val="clear" w:color="auto" w:fill="FFFFFF" w:themeFill="background1"/>
        <w:spacing w:after="0" w:line="240" w:lineRule="auto"/>
        <w:ind w:firstLine="708"/>
        <w:jc w:val="both"/>
        <w:rPr>
          <w:rFonts w:ascii="Arial" w:hAnsi="Arial" w:cs="Arial"/>
          <w:b/>
          <w:sz w:val="24"/>
          <w:szCs w:val="24"/>
          <w:shd w:val="clear" w:color="auto" w:fill="FFFFFF"/>
        </w:rPr>
      </w:pPr>
      <w:r w:rsidRPr="00067FEF">
        <w:rPr>
          <w:rFonts w:ascii="Arial" w:hAnsi="Arial" w:cs="Arial"/>
          <w:b/>
          <w:sz w:val="24"/>
          <w:szCs w:val="24"/>
          <w:shd w:val="clear" w:color="auto" w:fill="FFFFFF"/>
        </w:rPr>
        <w:t>Situația elaborării și implementării planurilor de management și a regulamentelor: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Există 7 planuri de management aprobate pentru 11 arii naturale protejate (parte din ele suprapuse), care includ și regulamentul ariei:</w:t>
      </w:r>
    </w:p>
    <w:p w:rsidR="007A21BD" w:rsidRPr="00067FEF" w:rsidRDefault="007A21BD" w:rsidP="00EF3940">
      <w:pPr>
        <w:pStyle w:val="ListParagraph"/>
        <w:numPr>
          <w:ilvl w:val="0"/>
          <w:numId w:val="75"/>
        </w:numPr>
        <w:shd w:val="clear" w:color="auto" w:fill="FFFFFF" w:themeFill="background1"/>
        <w:tabs>
          <w:tab w:val="left" w:pos="720"/>
        </w:tabs>
        <w:suppressAutoHyphens/>
        <w:contextualSpacing w:val="0"/>
        <w:jc w:val="both"/>
        <w:rPr>
          <w:rFonts w:ascii="Arial" w:hAnsi="Arial" w:cs="Arial"/>
        </w:rPr>
      </w:pPr>
      <w:r w:rsidRPr="00067FEF">
        <w:rPr>
          <w:rFonts w:ascii="Arial" w:hAnsi="Arial" w:cs="Arial"/>
        </w:rPr>
        <w:t>Pentru Parcul Natural Balta Mică a Brăilei care se suprapune cu ROSPA0005 Balta Mică a Brăilei şi ROSCI0006 Balta Mică a Brăilei și cu Situl Ramsar cu aceeași denumire, există plan de management aprobat prin HG 538/2011.</w:t>
      </w:r>
    </w:p>
    <w:p w:rsidR="007A21BD" w:rsidRPr="00067FEF" w:rsidRDefault="007A21BD" w:rsidP="00EF3940">
      <w:pPr>
        <w:pStyle w:val="ListParagraph"/>
        <w:numPr>
          <w:ilvl w:val="0"/>
          <w:numId w:val="75"/>
        </w:numPr>
        <w:shd w:val="clear" w:color="auto" w:fill="FFFFFF" w:themeFill="background1"/>
        <w:tabs>
          <w:tab w:val="left" w:pos="720"/>
        </w:tabs>
        <w:suppressAutoHyphens/>
        <w:contextualSpacing w:val="0"/>
        <w:jc w:val="both"/>
        <w:rPr>
          <w:rFonts w:ascii="Arial" w:hAnsi="Arial" w:cs="Arial"/>
        </w:rPr>
      </w:pPr>
      <w:r w:rsidRPr="00067FEF">
        <w:rPr>
          <w:rFonts w:ascii="Arial" w:hAnsi="Arial" w:cs="Arial"/>
        </w:rPr>
        <w:t>Prin proiectul ”Evaluarea stării de conservare a ariilor de protecţie speciale avifaunistice ROSPA0006, ROSPA0038, ROSPA0048, ROSPA0077, ROSPA0058 şi ROSPA0064” Asociația OTUS a realizat planuri de management  pentru 3  arii protejate din Județul Brăila: ROSPA0006 Balta Tătaru, ROSPA0048 Ianca-Plopu-Sărat şi ROSPA0077 Măxineni aprobate prin Ordinele Ministerului Mediului Apelor și Pădurilor (MMAP) nr. 1217/29.06.2016, 1215/29.06.2016 și respectiv 1221/29.06.2016 .</w:t>
      </w:r>
    </w:p>
    <w:p w:rsidR="007A21BD" w:rsidRPr="00067FEF" w:rsidRDefault="007A21BD" w:rsidP="00EF3940">
      <w:pPr>
        <w:pStyle w:val="ListParagraph"/>
        <w:numPr>
          <w:ilvl w:val="0"/>
          <w:numId w:val="75"/>
        </w:numPr>
        <w:shd w:val="clear" w:color="auto" w:fill="FFFFFF" w:themeFill="background1"/>
        <w:tabs>
          <w:tab w:val="left" w:pos="720"/>
        </w:tabs>
        <w:suppressAutoHyphens/>
        <w:contextualSpacing w:val="0"/>
        <w:jc w:val="both"/>
        <w:rPr>
          <w:rFonts w:ascii="Arial" w:hAnsi="Arial" w:cs="Arial"/>
        </w:rPr>
      </w:pPr>
      <w:r w:rsidRPr="00067FEF">
        <w:rPr>
          <w:rFonts w:ascii="Arial" w:hAnsi="Arial" w:cs="Arial"/>
        </w:rPr>
        <w:t>Tot în anul 2016 au fost aprobate planurile de management pentru  ROSPA0071 și ROSCI0162 ambele  denumite Lunca Siretului Inferior și pentru ROSCI0103 Lunca Buzăului ( Ordinele MMAP 949/19.05.2016 și respectiv 1075/2016).</w:t>
      </w:r>
    </w:p>
    <w:p w:rsidR="007A21BD" w:rsidRPr="00067FEF" w:rsidRDefault="007A21BD" w:rsidP="00EF3940">
      <w:pPr>
        <w:pStyle w:val="ListParagraph"/>
        <w:numPr>
          <w:ilvl w:val="0"/>
          <w:numId w:val="75"/>
        </w:numPr>
        <w:shd w:val="clear" w:color="auto" w:fill="FFFFFF" w:themeFill="background1"/>
        <w:tabs>
          <w:tab w:val="left" w:pos="720"/>
        </w:tabs>
        <w:suppressAutoHyphens/>
        <w:contextualSpacing w:val="0"/>
        <w:jc w:val="both"/>
        <w:rPr>
          <w:rFonts w:ascii="Arial" w:hAnsi="Arial" w:cs="Arial"/>
        </w:rPr>
      </w:pPr>
      <w:r w:rsidRPr="00067FEF">
        <w:rPr>
          <w:rFonts w:ascii="Arial" w:hAnsi="Arial" w:cs="Arial"/>
        </w:rPr>
        <w:t xml:space="preserve">Prin proiectul ”Conservarea biodiversităţii în ariile naturale protejate Pădurea Breana Roșcani, Pădurea Pogănești, Pădurea Fundeanu, Pădurea Tălășmani, Pădurea Camniţa”,  cod SMIS-CSNR 35635 Asociaţia Judeţeană a Pescarilor Sportivi (AJPS) Galaţi a elaborat planul de management pentru Rezervația Naturală Camnița (care este inclusă în ariile protejate ROSCI0103 și ROSPA0160 Lunca Buzăului), aprobat prin Ord. MMAP nr. 211/8.02.2016. </w:t>
      </w:r>
    </w:p>
    <w:p w:rsidR="007A21BD" w:rsidRPr="00067FEF" w:rsidRDefault="007A21BD" w:rsidP="00EF3940">
      <w:pPr>
        <w:pStyle w:val="ListParagraph"/>
        <w:numPr>
          <w:ilvl w:val="0"/>
          <w:numId w:val="75"/>
        </w:numPr>
        <w:shd w:val="clear" w:color="auto" w:fill="FFFFFF" w:themeFill="background1"/>
        <w:tabs>
          <w:tab w:val="left" w:pos="720"/>
        </w:tabs>
        <w:suppressAutoHyphens/>
        <w:contextualSpacing w:val="0"/>
        <w:jc w:val="both"/>
        <w:rPr>
          <w:rFonts w:ascii="Arial" w:hAnsi="Arial" w:cs="Arial"/>
        </w:rPr>
      </w:pPr>
      <w:r w:rsidRPr="00067FEF">
        <w:rPr>
          <w:rFonts w:ascii="Arial" w:hAnsi="Arial" w:cs="Arial"/>
        </w:rPr>
        <w:t>Pentru ROSPA0004 Balta Albă-Amara-Jirlău și ROSCI0005 Balta Albă-Amara-Jirlău-Lacul Sărat Câineni care sunt din anul 2014 în custodia Asociației Maximilian Buzău custodele  a elaborat în 2016 Regulamentul și l-a trimis spre aprobare la ANPM.</w:t>
      </w:r>
    </w:p>
    <w:p w:rsidR="007A21BD" w:rsidRPr="00067FEF" w:rsidRDefault="007A21BD" w:rsidP="007A21BD">
      <w:pPr>
        <w:pStyle w:val="Implicit"/>
        <w:shd w:val="clear" w:color="auto" w:fill="FFFFFF" w:themeFill="background1"/>
        <w:spacing w:after="0" w:line="240" w:lineRule="auto"/>
        <w:ind w:left="720"/>
        <w:jc w:val="both"/>
        <w:rPr>
          <w:rFonts w:ascii="Arial" w:hAnsi="Arial" w:cs="Arial"/>
          <w:b/>
          <w:color w:val="auto"/>
          <w:lang w:val="ro-RO"/>
        </w:rPr>
      </w:pPr>
    </w:p>
    <w:p w:rsidR="007A21BD" w:rsidRPr="00067FEF" w:rsidRDefault="007A21BD" w:rsidP="007A21BD">
      <w:pPr>
        <w:pStyle w:val="Footer"/>
        <w:shd w:val="clear" w:color="auto" w:fill="FFFFFF" w:themeFill="background1"/>
        <w:ind w:right="-402" w:firstLine="720"/>
        <w:jc w:val="both"/>
        <w:rPr>
          <w:rFonts w:ascii="Arial" w:hAnsi="Arial" w:cs="Arial"/>
          <w:b/>
          <w:sz w:val="24"/>
          <w:szCs w:val="24"/>
          <w:u w:val="single"/>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b/>
          <w:sz w:val="24"/>
          <w:szCs w:val="24"/>
          <w:u w:val="single"/>
          <w:shd w:val="clear" w:color="auto" w:fill="FFFFFF"/>
        </w:rPr>
        <w:t xml:space="preserve">Balta Mică a Brăilei </w:t>
      </w:r>
      <w:r w:rsidRPr="00067FEF">
        <w:rPr>
          <w:rFonts w:ascii="Arial" w:hAnsi="Arial" w:cs="Arial"/>
          <w:sz w:val="24"/>
          <w:szCs w:val="24"/>
          <w:shd w:val="clear" w:color="auto" w:fill="FFFFFF"/>
        </w:rPr>
        <w:t>- parc natural, arie de protecţie specială avifaunistică ROSPA0005, sit de importanţă comunitară ROSCI0006, zonă umedă de importanţă comunitară (Sit Ramsar).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 xml:space="preserve">Parcul a fost încredinţat spre administrare de către Ministerul Mediului şi Gospodăririi Apelor Regiei Naţionale a Pădurilor „Romsilva” (RNP) în anul 2003.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 xml:space="preserve">Structura de administrare a parcului natural este stabilită prin HG 230/2003 privind delimitarea rezervaţiilor biosferei, parcurilor naţionale şi parcurilor naturale şi constituirea administraţiilor acestora şi cuprinde 13 posturi. Această structură este funcţională, îndeplinindu-şi atribuţiile conform "Regulamentului de organizare şi funcţionare al structurii de administrare", avizat de către R.N.P. Romsilva.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 xml:space="preserve">Regulamentul şi planul de management realizate în cadrul proiectului LIFE 99NAT/RO/006400 şi aprobate prin Ord. MAPM nr. 1456/2003 au fost revizuite, iar noua formă a acestora a fost aprobată prin H.G. nr. 538/2011. </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Consiliul Științific, CCAdm</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În perioada 2011-2015  administraţia parcului a implementat proiectul ”Managementul capitalului natural din Balta Mică a Brăilei prin abordare integrată, evaluare şi conştientizare” finanţat în cadrul Programului Operaţional Sectorial Mediu, Axa 4, care a avut ca obiective:</w:t>
      </w:r>
    </w:p>
    <w:p w:rsidR="007A21BD" w:rsidRPr="00067FEF" w:rsidRDefault="007A21BD" w:rsidP="00EF3940">
      <w:pPr>
        <w:pStyle w:val="ListParagraph"/>
        <w:numPr>
          <w:ilvl w:val="0"/>
          <w:numId w:val="53"/>
        </w:numPr>
        <w:shd w:val="clear" w:color="auto" w:fill="FFFFFF" w:themeFill="background1"/>
        <w:tabs>
          <w:tab w:val="num" w:pos="1476"/>
        </w:tabs>
        <w:jc w:val="both"/>
        <w:rPr>
          <w:rFonts w:ascii="Arial" w:hAnsi="Arial" w:cs="Arial"/>
        </w:rPr>
      </w:pPr>
      <w:r w:rsidRPr="00067FEF">
        <w:rPr>
          <w:rFonts w:ascii="Arial" w:hAnsi="Arial" w:cs="Arial"/>
          <w:noProof/>
        </w:rPr>
        <w:lastRenderedPageBreak/>
        <w:t>Îmbunătăţirea managementului Parcului Natural Balta Mică a Brăilei în contextul instituirii statutului de sit de importanţă comunitară şi arie de protecţie specială avifaunistică pentru această arie naturală protejată şi creşterea capacităţii instituţionale de gestionare a reţelei Natura 2000;</w:t>
      </w:r>
    </w:p>
    <w:p w:rsidR="007A21BD" w:rsidRPr="00067FEF" w:rsidRDefault="007A21BD" w:rsidP="00EF3940">
      <w:pPr>
        <w:pStyle w:val="ListParagraph"/>
        <w:numPr>
          <w:ilvl w:val="0"/>
          <w:numId w:val="53"/>
        </w:numPr>
        <w:shd w:val="clear" w:color="auto" w:fill="FFFFFF" w:themeFill="background1"/>
        <w:tabs>
          <w:tab w:val="num" w:pos="1476"/>
        </w:tabs>
        <w:jc w:val="both"/>
        <w:rPr>
          <w:rFonts w:ascii="Arial" w:hAnsi="Arial" w:cs="Arial"/>
        </w:rPr>
      </w:pPr>
      <w:r w:rsidRPr="00067FEF">
        <w:rPr>
          <w:rFonts w:ascii="Arial" w:hAnsi="Arial" w:cs="Arial"/>
          <w:noProof/>
        </w:rPr>
        <w:t>Creşterea magnitudinii biodiversităţii Parcului Natural Balta Mică a Brăilei după modelul complexelor de ecosisteme acvatice şi terestre existente înainte de deceniul 6 şi îmbunătăţirea serviciilor oferite de ecosisteme;</w:t>
      </w:r>
    </w:p>
    <w:p w:rsidR="007A21BD" w:rsidRPr="00067FEF" w:rsidRDefault="007A21BD" w:rsidP="00EF3940">
      <w:pPr>
        <w:pStyle w:val="ListParagraph"/>
        <w:numPr>
          <w:ilvl w:val="0"/>
          <w:numId w:val="53"/>
        </w:numPr>
        <w:shd w:val="clear" w:color="auto" w:fill="FFFFFF" w:themeFill="background1"/>
        <w:tabs>
          <w:tab w:val="num" w:pos="1476"/>
        </w:tabs>
        <w:jc w:val="both"/>
        <w:rPr>
          <w:rFonts w:ascii="Arial" w:hAnsi="Arial" w:cs="Arial"/>
        </w:rPr>
      </w:pPr>
      <w:r w:rsidRPr="00067FEF">
        <w:rPr>
          <w:rFonts w:ascii="Arial" w:hAnsi="Arial" w:cs="Arial"/>
          <w:noProof/>
        </w:rPr>
        <w:t>Îmbunătăţirea percepţiei în rândul celor 4 grupuri ţintă-comunităţile locale, elevi, vizitatori, utilizatori de resurse şi servicii oferite de ecosistemele din parc,despre valoarea patrimoniului natural din Parcul Natural Balta Mică a Brăilei.</w:t>
      </w:r>
    </w:p>
    <w:p w:rsidR="007A21BD" w:rsidRPr="00067FEF" w:rsidRDefault="007A21BD" w:rsidP="007A21BD">
      <w:pPr>
        <w:pStyle w:val="ListParagraph"/>
        <w:shd w:val="clear" w:color="auto" w:fill="FFFFFF" w:themeFill="background1"/>
        <w:jc w:val="both"/>
        <w:rPr>
          <w:rFonts w:ascii="Arial" w:hAnsi="Arial" w:cs="Arial"/>
        </w:rPr>
      </w:pP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Beneficiarul proiectului a fost administraţia parcului , iar APM Brăila şi Muzeul Brăilei au fost parteneri în implementarea acestuia.În cadrul proiectului s-a realizat un centru de vizitare plutitor cu spații amenajate destinate administrării ariei protejate și informării (sală de conferințe și muzeu).</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shd w:val="clear" w:color="auto" w:fill="FFFFFF"/>
        </w:rPr>
        <w:t>Până la elaborarea planului de management, custozii au obligația de a aplica planul de acțiuni prevăzut în dosarul de candidatură cu care au participat la sesiunea de atribuire în custodie.</w:t>
      </w:r>
    </w:p>
    <w:p w:rsidR="007A21BD" w:rsidRPr="00067FEF" w:rsidRDefault="007A21BD" w:rsidP="007A21BD">
      <w:pPr>
        <w:shd w:val="clear" w:color="auto" w:fill="FFFFFF" w:themeFill="background1"/>
        <w:spacing w:after="0" w:line="240" w:lineRule="auto"/>
        <w:ind w:firstLine="708"/>
        <w:jc w:val="both"/>
        <w:rPr>
          <w:rFonts w:ascii="Arial" w:hAnsi="Arial" w:cs="Arial"/>
          <w:b/>
          <w:sz w:val="24"/>
          <w:szCs w:val="24"/>
        </w:rPr>
      </w:pPr>
    </w:p>
    <w:p w:rsidR="007A21BD" w:rsidRPr="00067FEF" w:rsidRDefault="007A21BD" w:rsidP="007A21BD">
      <w:pPr>
        <w:shd w:val="clear" w:color="auto" w:fill="FFFFFF" w:themeFill="background1"/>
        <w:spacing w:after="0" w:line="240" w:lineRule="auto"/>
        <w:ind w:firstLine="708"/>
        <w:jc w:val="both"/>
        <w:rPr>
          <w:rFonts w:ascii="Arial" w:hAnsi="Arial" w:cs="Arial"/>
          <w:b/>
          <w:sz w:val="24"/>
          <w:szCs w:val="24"/>
        </w:rPr>
      </w:pPr>
      <w:r w:rsidRPr="00067FEF">
        <w:rPr>
          <w:rFonts w:ascii="Arial" w:hAnsi="Arial" w:cs="Arial"/>
          <w:b/>
          <w:sz w:val="24"/>
          <w:szCs w:val="24"/>
        </w:rPr>
        <w:t>Situația la sfărșitul anului 2017 pentru ariile neatribuite:</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rPr>
      </w:pPr>
      <w:r w:rsidRPr="00067FEF">
        <w:rPr>
          <w:rFonts w:ascii="Arial" w:hAnsi="Arial" w:cs="Arial"/>
          <w:sz w:val="24"/>
          <w:szCs w:val="24"/>
        </w:rPr>
        <w:t>Conform deciziei Agenţiei Naţionale pentru Protecţia Mediului pentru ariile naturale protejate de interes comunitar neatribuite în custodie, competenţa de management a revenit până la date de 30.04.2017 Agenţiei pentru Protecţia Mediului (APM) pe al cărui judeţ se regăseşte cea mai mare suprafaţă din arie. Pentru judeţul Brăila situaţia a fost următoarea:</w:t>
      </w:r>
    </w:p>
    <w:p w:rsidR="007A21BD" w:rsidRPr="00067FEF" w:rsidRDefault="007A21BD" w:rsidP="00EF3940">
      <w:pPr>
        <w:pStyle w:val="Implicit"/>
        <w:numPr>
          <w:ilvl w:val="0"/>
          <w:numId w:val="42"/>
        </w:numPr>
        <w:shd w:val="clear" w:color="auto" w:fill="FFFFFF" w:themeFill="background1"/>
        <w:tabs>
          <w:tab w:val="clear" w:pos="720"/>
          <w:tab w:val="left" w:pos="374"/>
          <w:tab w:val="left" w:pos="1094"/>
        </w:tabs>
        <w:spacing w:after="0" w:line="240" w:lineRule="auto"/>
        <w:ind w:left="748" w:firstLine="0"/>
        <w:jc w:val="both"/>
        <w:rPr>
          <w:rFonts w:ascii="Arial" w:hAnsi="Arial" w:cs="Arial"/>
          <w:bCs/>
          <w:color w:val="auto"/>
          <w:lang w:val="ro-RO"/>
        </w:rPr>
      </w:pPr>
      <w:r w:rsidRPr="00067FEF">
        <w:rPr>
          <w:rFonts w:ascii="Arial" w:hAnsi="Arial" w:cs="Arial"/>
          <w:bCs/>
          <w:color w:val="auto"/>
          <w:lang w:val="ro-RO"/>
        </w:rPr>
        <w:t xml:space="preserve">APM Brăila pentru 3 arii: </w:t>
      </w:r>
      <w:r w:rsidRPr="00067FEF">
        <w:rPr>
          <w:rFonts w:ascii="Arial" w:hAnsi="Arial" w:cs="Arial"/>
          <w:color w:val="auto"/>
          <w:lang w:val="ro-RO"/>
        </w:rPr>
        <w:t xml:space="preserve">ROSPA0048 Ianca-Plopu-Sărat, </w:t>
      </w:r>
      <w:r w:rsidRPr="00067FEF">
        <w:rPr>
          <w:rFonts w:ascii="Arial" w:hAnsi="Arial" w:cs="Arial"/>
          <w:bCs/>
          <w:iCs/>
          <w:color w:val="auto"/>
          <w:lang w:val="ro-RO"/>
        </w:rPr>
        <w:t>ROSCI0305 Ianca - Plopu - Sărat – Comăneasca şi</w:t>
      </w:r>
      <w:r w:rsidRPr="00067FEF">
        <w:rPr>
          <w:rFonts w:ascii="Arial" w:hAnsi="Arial" w:cs="Arial"/>
          <w:color w:val="auto"/>
          <w:lang w:val="ro-RO"/>
        </w:rPr>
        <w:t xml:space="preserve"> ROSPA0006 Balta Tătaru, </w:t>
      </w:r>
    </w:p>
    <w:p w:rsidR="007A21BD" w:rsidRPr="00067FEF" w:rsidRDefault="007A21BD" w:rsidP="00EF3940">
      <w:pPr>
        <w:pStyle w:val="Implicit"/>
        <w:numPr>
          <w:ilvl w:val="0"/>
          <w:numId w:val="42"/>
        </w:numPr>
        <w:shd w:val="clear" w:color="auto" w:fill="FFFFFF" w:themeFill="background1"/>
        <w:tabs>
          <w:tab w:val="clear" w:pos="720"/>
          <w:tab w:val="left" w:pos="374"/>
          <w:tab w:val="left" w:pos="1094"/>
        </w:tabs>
        <w:spacing w:after="0" w:line="240" w:lineRule="auto"/>
        <w:ind w:left="748" w:firstLine="0"/>
        <w:jc w:val="both"/>
        <w:rPr>
          <w:rFonts w:ascii="Arial" w:hAnsi="Arial" w:cs="Arial"/>
          <w:bCs/>
          <w:color w:val="auto"/>
          <w:lang w:val="ro-RO"/>
        </w:rPr>
      </w:pPr>
      <w:r w:rsidRPr="00067FEF">
        <w:rPr>
          <w:rFonts w:ascii="Arial" w:hAnsi="Arial" w:cs="Arial"/>
          <w:bCs/>
          <w:color w:val="auto"/>
          <w:lang w:val="ro-RO"/>
        </w:rPr>
        <w:t>APM Buzău pentru 2 arii:</w:t>
      </w:r>
      <w:r w:rsidRPr="00067FEF">
        <w:rPr>
          <w:rFonts w:ascii="Arial" w:hAnsi="Arial" w:cs="Arial"/>
          <w:bCs/>
          <w:color w:val="auto"/>
        </w:rPr>
        <w:t xml:space="preserve"> </w:t>
      </w:r>
      <w:r w:rsidRPr="00067FEF">
        <w:rPr>
          <w:rFonts w:ascii="Arial" w:hAnsi="Arial" w:cs="Arial"/>
          <w:bCs/>
          <w:color w:val="auto"/>
          <w:lang w:val="ro-RO"/>
        </w:rPr>
        <w:t xml:space="preserve">ROSPA0145 Valea Călmăţuiului şi ROSCI0259 Valea Călmăţuiului </w:t>
      </w:r>
    </w:p>
    <w:p w:rsidR="007A21BD" w:rsidRPr="00067FEF" w:rsidRDefault="007A21BD" w:rsidP="00EF3940">
      <w:pPr>
        <w:pStyle w:val="Implicit"/>
        <w:numPr>
          <w:ilvl w:val="0"/>
          <w:numId w:val="42"/>
        </w:numPr>
        <w:shd w:val="clear" w:color="auto" w:fill="FFFFFF" w:themeFill="background1"/>
        <w:tabs>
          <w:tab w:val="clear" w:pos="720"/>
          <w:tab w:val="left" w:pos="374"/>
          <w:tab w:val="left" w:pos="1094"/>
        </w:tabs>
        <w:spacing w:after="0" w:line="240" w:lineRule="auto"/>
        <w:ind w:left="748" w:firstLine="0"/>
        <w:jc w:val="both"/>
        <w:rPr>
          <w:rFonts w:ascii="Arial" w:hAnsi="Arial" w:cs="Arial"/>
          <w:bCs/>
          <w:color w:val="auto"/>
          <w:lang w:val="ro-RO"/>
        </w:rPr>
      </w:pPr>
      <w:r w:rsidRPr="00067FEF">
        <w:rPr>
          <w:rFonts w:ascii="Arial" w:hAnsi="Arial" w:cs="Arial"/>
          <w:bCs/>
          <w:color w:val="auto"/>
          <w:lang w:val="ro-RO"/>
        </w:rPr>
        <w:t>APM Tulcea  pentru ROSPA0040 Dunărea Veche-Braţul Măcin și ROSCI0012 Braţul Măcin, și sit Ramsar</w:t>
      </w:r>
    </w:p>
    <w:p w:rsidR="007A21BD" w:rsidRPr="00067FEF"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r w:rsidRPr="00067FEF">
        <w:rPr>
          <w:rFonts w:ascii="Arial" w:hAnsi="Arial" w:cs="Arial"/>
          <w:sz w:val="24"/>
          <w:szCs w:val="24"/>
        </w:rPr>
        <w:t xml:space="preserve">Până la atribuirea efectivă în administrare, responsabilitatea administrării ariilor naturale protejate aparţinând reţelei naţionale de arii naturale protejate revine </w:t>
      </w:r>
      <w:r w:rsidRPr="00067FEF">
        <w:rPr>
          <w:rFonts w:ascii="Arial" w:hAnsi="Arial" w:cs="Arial"/>
          <w:sz w:val="24"/>
          <w:szCs w:val="24"/>
          <w:shd w:val="clear" w:color="auto" w:fill="FFFFFF"/>
        </w:rPr>
        <w:t>Agenţiei Naţionale pentru Arii Naturale Protejate care a intrat în funcțiune la data de 1.05.2017 .</w:t>
      </w:r>
    </w:p>
    <w:p w:rsidR="007A21BD" w:rsidRPr="008666F5" w:rsidRDefault="007A21BD" w:rsidP="007A21BD">
      <w:pPr>
        <w:shd w:val="clear" w:color="auto" w:fill="FFFFFF" w:themeFill="background1"/>
        <w:spacing w:after="0" w:line="240" w:lineRule="auto"/>
        <w:ind w:firstLine="708"/>
        <w:jc w:val="both"/>
        <w:rPr>
          <w:rFonts w:ascii="Arial" w:hAnsi="Arial" w:cs="Arial"/>
          <w:sz w:val="24"/>
          <w:szCs w:val="24"/>
          <w:shd w:val="clear" w:color="auto" w:fill="FFFFFF"/>
        </w:rPr>
      </w:pPr>
    </w:p>
    <w:p w:rsidR="007A21BD" w:rsidRPr="008666F5" w:rsidRDefault="007A21BD" w:rsidP="007A21BD">
      <w:pPr>
        <w:pStyle w:val="Footer"/>
        <w:shd w:val="clear" w:color="auto" w:fill="FFFFFF" w:themeFill="background1"/>
        <w:jc w:val="both"/>
        <w:rPr>
          <w:rFonts w:ascii="Arial" w:hAnsi="Arial" w:cs="Arial"/>
          <w:b/>
          <w:sz w:val="24"/>
          <w:szCs w:val="24"/>
        </w:rPr>
      </w:pPr>
      <w:r w:rsidRPr="008666F5">
        <w:rPr>
          <w:rFonts w:ascii="Arial" w:hAnsi="Arial" w:cs="Arial"/>
          <w:b/>
          <w:sz w:val="24"/>
          <w:szCs w:val="24"/>
        </w:rPr>
        <w:t>Tabel nr. V.2.1- 4- Asigurarea managementului ariilor naturale protejate din judeţul Brăila</w:t>
      </w:r>
    </w:p>
    <w:p w:rsidR="007A21BD" w:rsidRPr="008666F5" w:rsidRDefault="007A21BD" w:rsidP="007A21BD">
      <w:pPr>
        <w:pStyle w:val="Footer"/>
        <w:shd w:val="clear" w:color="auto" w:fill="FFFFFF" w:themeFill="background1"/>
        <w:jc w:val="both"/>
        <w:rPr>
          <w:rFonts w:ascii="Arial" w:hAnsi="Arial" w:cs="Arial"/>
          <w:b/>
          <w:sz w:val="24"/>
          <w:szCs w:val="24"/>
        </w:rPr>
      </w:pPr>
      <w:r w:rsidRPr="008666F5">
        <w:rPr>
          <w:rFonts w:ascii="Arial" w:hAnsi="Arial" w:cs="Arial"/>
          <w:b/>
          <w:sz w:val="24"/>
          <w:szCs w:val="24"/>
        </w:rPr>
        <w:t>Legendă:</w:t>
      </w:r>
    </w:p>
    <w:p w:rsidR="007A21BD" w:rsidRPr="008666F5" w:rsidRDefault="007A21BD" w:rsidP="007A21BD">
      <w:pPr>
        <w:shd w:val="clear" w:color="auto" w:fill="FFFFFF" w:themeFill="background1"/>
        <w:spacing w:after="0" w:line="240" w:lineRule="auto"/>
        <w:ind w:left="708"/>
        <w:rPr>
          <w:rFonts w:ascii="Arial" w:hAnsi="Arial" w:cs="Arial"/>
          <w:sz w:val="24"/>
          <w:szCs w:val="24"/>
        </w:rPr>
      </w:pPr>
      <w:r w:rsidRPr="008666F5">
        <w:rPr>
          <w:rFonts w:ascii="Arial" w:hAnsi="Arial" w:cs="Arial"/>
          <w:b/>
          <w:sz w:val="24"/>
          <w:szCs w:val="24"/>
        </w:rPr>
        <w:t xml:space="preserve">ROSPA </w:t>
      </w:r>
      <w:r w:rsidRPr="008666F5">
        <w:rPr>
          <w:rFonts w:ascii="Arial" w:hAnsi="Arial" w:cs="Arial"/>
          <w:sz w:val="24"/>
          <w:szCs w:val="24"/>
        </w:rPr>
        <w:t xml:space="preserve"> =  arie de protecție specială avifaunistică,  </w:t>
      </w:r>
      <w:r w:rsidRPr="008666F5">
        <w:rPr>
          <w:rFonts w:ascii="Arial" w:eastAsia="Times New Roman" w:hAnsi="Arial" w:cs="Arial"/>
          <w:bCs/>
          <w:sz w:val="24"/>
          <w:szCs w:val="24"/>
        </w:rPr>
        <w:t>parte integrantă a reţelei ecologice europene Natura 2000 în România</w:t>
      </w:r>
    </w:p>
    <w:p w:rsidR="007A21BD" w:rsidRPr="008666F5" w:rsidRDefault="007A21BD" w:rsidP="007A21BD">
      <w:pPr>
        <w:shd w:val="clear" w:color="auto" w:fill="FFFFFF" w:themeFill="background1"/>
        <w:spacing w:after="0" w:line="240" w:lineRule="auto"/>
        <w:ind w:left="708"/>
        <w:rPr>
          <w:rFonts w:ascii="Arial" w:hAnsi="Arial" w:cs="Arial"/>
          <w:sz w:val="24"/>
          <w:szCs w:val="24"/>
        </w:rPr>
      </w:pPr>
      <w:r w:rsidRPr="008666F5">
        <w:rPr>
          <w:rFonts w:ascii="Arial" w:hAnsi="Arial" w:cs="Arial"/>
          <w:b/>
          <w:sz w:val="24"/>
          <w:szCs w:val="24"/>
        </w:rPr>
        <w:t>ROSCI</w:t>
      </w:r>
      <w:r w:rsidRPr="008666F5">
        <w:rPr>
          <w:rFonts w:ascii="Arial" w:hAnsi="Arial" w:cs="Arial"/>
          <w:sz w:val="24"/>
          <w:szCs w:val="24"/>
        </w:rPr>
        <w:t xml:space="preserve"> =  sit de importanță comunitară,  </w:t>
      </w:r>
      <w:r w:rsidRPr="008666F5">
        <w:rPr>
          <w:rFonts w:ascii="Arial" w:eastAsia="Times New Roman" w:hAnsi="Arial" w:cs="Arial"/>
          <w:bCs/>
          <w:sz w:val="24"/>
          <w:szCs w:val="24"/>
        </w:rPr>
        <w:t>parte integrantă a reţelei ecologice europene Natura 2000 în România</w:t>
      </w:r>
    </w:p>
    <w:tbl>
      <w:tblPr>
        <w:tblpPr w:leftFromText="180" w:rightFromText="180" w:vertAnchor="text" w:horzAnchor="margin" w:tblpXSpec="center" w:tblpY="60"/>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3206"/>
        <w:gridCol w:w="1941"/>
        <w:gridCol w:w="2216"/>
        <w:gridCol w:w="2006"/>
      </w:tblGrid>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Nr. crt.</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Denumirea ariei naturale protejate și categoria</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Stadiul elaborării regulamentului</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Stadiul elaborării planului de management</w:t>
            </w:r>
          </w:p>
        </w:tc>
        <w:tc>
          <w:tcPr>
            <w:tcW w:w="2006" w:type="dxa"/>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Administrator / Custode</w:t>
            </w:r>
          </w:p>
        </w:tc>
      </w:tr>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 xml:space="preserve">ROSPA0005 </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 xml:space="preserve">Balta Mică a Brăilei </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006" w:type="dxa"/>
            <w:vMerge w:val="restart"/>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Administraţia  PNBMB</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Direcția Silvică Brăila</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Regia Națională a Pădurilor Romsilva</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w:t>
            </w:r>
          </w:p>
        </w:tc>
        <w:tc>
          <w:tcPr>
            <w:tcW w:w="3206"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b/>
                <w:sz w:val="24"/>
                <w:szCs w:val="24"/>
              </w:rPr>
              <w:t xml:space="preserve">Parcul Natural Balta Mică a Brăilei </w:t>
            </w:r>
            <w:r w:rsidRPr="00F612D9">
              <w:rPr>
                <w:rFonts w:ascii="Arial" w:hAnsi="Arial" w:cs="Arial"/>
                <w:sz w:val="24"/>
                <w:szCs w:val="24"/>
              </w:rPr>
              <w:t>(PNBMB)</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eastAsia="Times New Roman" w:hAnsi="Arial" w:cs="Arial"/>
                <w:sz w:val="24"/>
                <w:szCs w:val="24"/>
              </w:rPr>
            </w:pPr>
            <w:r w:rsidRPr="00F612D9">
              <w:rPr>
                <w:rFonts w:ascii="Arial" w:hAnsi="Arial" w:cs="Arial"/>
                <w:sz w:val="24"/>
                <w:szCs w:val="24"/>
                <w:lang w:val="it-IT"/>
              </w:rPr>
              <w:t>inclus în ROSPA0005</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006" w:type="dxa"/>
            <w:vMerge/>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3</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Insula Mică a Brăilei</w:t>
            </w:r>
          </w:p>
          <w:p w:rsidR="007A21BD" w:rsidRPr="00F612D9" w:rsidRDefault="007A21BD" w:rsidP="004E444C">
            <w:pPr>
              <w:shd w:val="clear" w:color="auto" w:fill="FFFFFF" w:themeFill="background1"/>
              <w:spacing w:after="0" w:line="240" w:lineRule="auto"/>
              <w:rPr>
                <w:rFonts w:ascii="Arial" w:eastAsia="Times New Roman" w:hAnsi="Arial" w:cs="Arial"/>
                <w:sz w:val="24"/>
                <w:szCs w:val="24"/>
              </w:rPr>
            </w:pPr>
            <w:r w:rsidRPr="00F612D9">
              <w:rPr>
                <w:rFonts w:ascii="Arial" w:eastAsia="Times New Roman" w:hAnsi="Arial" w:cs="Arial"/>
                <w:sz w:val="24"/>
                <w:szCs w:val="24"/>
              </w:rPr>
              <w:t>Zonă umedă de importanţă internaţională-</w:t>
            </w:r>
          </w:p>
          <w:p w:rsidR="007A21BD" w:rsidRPr="00F612D9" w:rsidRDefault="007A21BD" w:rsidP="004E444C">
            <w:pPr>
              <w:shd w:val="clear" w:color="auto" w:fill="FFFFFF" w:themeFill="background1"/>
              <w:spacing w:after="0" w:line="240" w:lineRule="auto"/>
              <w:rPr>
                <w:rFonts w:ascii="Arial" w:eastAsia="Times New Roman" w:hAnsi="Arial" w:cs="Arial"/>
                <w:b/>
                <w:sz w:val="24"/>
                <w:szCs w:val="24"/>
              </w:rPr>
            </w:pPr>
            <w:r w:rsidRPr="00F612D9">
              <w:rPr>
                <w:rFonts w:ascii="Arial" w:eastAsia="Times New Roman" w:hAnsi="Arial" w:cs="Arial"/>
                <w:b/>
                <w:sz w:val="24"/>
                <w:szCs w:val="24"/>
              </w:rPr>
              <w:t>Sit Ramsar 1074</w:t>
            </w:r>
          </w:p>
          <w:p w:rsidR="007A21BD" w:rsidRPr="00F612D9" w:rsidRDefault="007A21BD" w:rsidP="004E444C">
            <w:pPr>
              <w:shd w:val="clear" w:color="auto" w:fill="FFFFFF" w:themeFill="background1"/>
              <w:spacing w:after="0" w:line="240" w:lineRule="auto"/>
              <w:rPr>
                <w:rFonts w:ascii="Arial" w:hAnsi="Arial" w:cs="Arial"/>
                <w:sz w:val="24"/>
                <w:szCs w:val="24"/>
                <w:lang w:val="it-IT"/>
              </w:rPr>
            </w:pPr>
            <w:r w:rsidRPr="00F612D9">
              <w:rPr>
                <w:rFonts w:ascii="Arial" w:eastAsia="Times New Roman" w:hAnsi="Arial" w:cs="Arial"/>
                <w:sz w:val="24"/>
                <w:szCs w:val="24"/>
              </w:rPr>
              <w:lastRenderedPageBreak/>
              <w:t>Se suprapune cu PNBMB</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lastRenderedPageBreak/>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006" w:type="dxa"/>
            <w:vMerge/>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lastRenderedPageBreak/>
              <w:t>4</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ROSCI0006</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Balta Mică a Brăilei</w:t>
            </w:r>
          </w:p>
          <w:p w:rsidR="007A21BD" w:rsidRPr="00F612D9" w:rsidRDefault="007A21BD" w:rsidP="004E444C">
            <w:pPr>
              <w:shd w:val="clear" w:color="auto" w:fill="FFFFFF" w:themeFill="background1"/>
              <w:spacing w:after="0" w:line="240" w:lineRule="auto"/>
              <w:rPr>
                <w:rFonts w:ascii="Arial" w:hAnsi="Arial" w:cs="Arial"/>
                <w:sz w:val="24"/>
                <w:szCs w:val="24"/>
                <w:lang w:val="it-IT"/>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lang w:val="it-IT"/>
              </w:rPr>
              <w:t>inclusă în ROSPA0005</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HG 538/2011</w:t>
            </w:r>
          </w:p>
        </w:tc>
        <w:tc>
          <w:tcPr>
            <w:tcW w:w="2006" w:type="dxa"/>
            <w:vMerge/>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5</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ROSPA0071</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b/>
                <w:sz w:val="24"/>
                <w:szCs w:val="24"/>
              </w:rPr>
              <w:t>Lunca Siretului Inferior</w:t>
            </w: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lang w:val="fr-FR"/>
              </w:rPr>
              <w:t xml:space="preserve">Ord. MMAP </w:t>
            </w:r>
            <w:r w:rsidRPr="00F612D9">
              <w:rPr>
                <w:rFonts w:ascii="Arial" w:hAnsi="Arial" w:cs="Arial"/>
                <w:sz w:val="24"/>
                <w:szCs w:val="24"/>
              </w:rPr>
              <w:t>949/19.05.2016</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lang w:val="fr-FR"/>
              </w:rPr>
              <w:t xml:space="preserve">Ord. MMAP </w:t>
            </w:r>
            <w:r w:rsidRPr="00F612D9">
              <w:rPr>
                <w:rFonts w:ascii="Arial" w:hAnsi="Arial" w:cs="Arial"/>
                <w:sz w:val="24"/>
                <w:szCs w:val="24"/>
              </w:rPr>
              <w:t>949/19.05.2016</w:t>
            </w:r>
          </w:p>
        </w:tc>
        <w:tc>
          <w:tcPr>
            <w:tcW w:w="2006" w:type="dxa"/>
            <w:vMerge w:val="restart"/>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Asociaţia pentru Conservarea Diversităţii Biologice</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Focșani</w:t>
            </w:r>
          </w:p>
        </w:tc>
      </w:tr>
      <w:tr w:rsidR="007A21BD" w:rsidRPr="00F612D9" w:rsidTr="004E444C">
        <w:trPr>
          <w:trHeight w:val="1386"/>
        </w:trPr>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6</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bCs/>
                <w:iCs/>
                <w:sz w:val="24"/>
                <w:szCs w:val="24"/>
              </w:rPr>
            </w:pPr>
            <w:r w:rsidRPr="00F612D9">
              <w:rPr>
                <w:rFonts w:ascii="Arial" w:hAnsi="Arial" w:cs="Arial"/>
                <w:b/>
                <w:bCs/>
                <w:iCs/>
                <w:sz w:val="24"/>
                <w:szCs w:val="24"/>
              </w:rPr>
              <w:t>ROSCI0162</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Lunca Siretului Inferior</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Inclusă în ROSPA 0071</w:t>
            </w: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lang w:val="fr-FR"/>
              </w:rPr>
              <w:t xml:space="preserve">Ord. MMAP </w:t>
            </w:r>
            <w:r w:rsidRPr="00F612D9">
              <w:rPr>
                <w:rFonts w:ascii="Arial" w:hAnsi="Arial" w:cs="Arial"/>
                <w:sz w:val="24"/>
                <w:szCs w:val="24"/>
              </w:rPr>
              <w:t>949/19.05.2016</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lang w:val="fr-FR"/>
              </w:rPr>
            </w:pPr>
            <w:r w:rsidRPr="00F612D9">
              <w:rPr>
                <w:rFonts w:ascii="Arial" w:hAnsi="Arial" w:cs="Arial"/>
                <w:sz w:val="24"/>
                <w:szCs w:val="24"/>
                <w:lang w:val="fr-FR"/>
              </w:rPr>
              <w:t>Ord. MMAP 949/19.05.2016</w:t>
            </w:r>
          </w:p>
        </w:tc>
        <w:tc>
          <w:tcPr>
            <w:tcW w:w="2006" w:type="dxa"/>
            <w:vMerge/>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rPr>
          <w:trHeight w:val="727"/>
        </w:trPr>
        <w:tc>
          <w:tcPr>
            <w:tcW w:w="542"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7</w:t>
            </w:r>
          </w:p>
        </w:tc>
        <w:tc>
          <w:tcPr>
            <w:tcW w:w="3206"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ROSPA0077</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b/>
                <w:sz w:val="24"/>
                <w:szCs w:val="24"/>
              </w:rPr>
              <w:t>Măxineni</w:t>
            </w:r>
          </w:p>
        </w:tc>
        <w:tc>
          <w:tcPr>
            <w:tcW w:w="1941"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1221/29.06.2016</w:t>
            </w:r>
          </w:p>
        </w:tc>
        <w:tc>
          <w:tcPr>
            <w:tcW w:w="2216"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1221/29.06.2016</w:t>
            </w:r>
          </w:p>
        </w:tc>
        <w:tc>
          <w:tcPr>
            <w:tcW w:w="2006"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Societatea Ornitologică</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Română</w:t>
            </w:r>
          </w:p>
        </w:tc>
      </w:tr>
      <w:tr w:rsidR="007A21BD" w:rsidRPr="00F612D9" w:rsidTr="004E444C">
        <w:trPr>
          <w:trHeight w:val="799"/>
        </w:trPr>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8</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ROSCI0005</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Balta Albă-Amara- Jirlău-Lacul Sărat Câineni</w:t>
            </w: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prin proiect cu finanțare POIM neaprobat</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vMerge w:val="restart"/>
            <w:tcBorders>
              <w:top w:val="single" w:sz="18" w:space="0" w:color="auto"/>
            </w:tcBorders>
            <w:vAlign w:val="center"/>
          </w:tcPr>
          <w:p w:rsidR="007A21BD" w:rsidRPr="00F612D9" w:rsidRDefault="007A21BD" w:rsidP="004E444C">
            <w:pPr>
              <w:shd w:val="clear" w:color="auto" w:fill="FFFFFF" w:themeFill="background1"/>
              <w:autoSpaceDE w:val="0"/>
              <w:autoSpaceDN w:val="0"/>
              <w:adjustRightInd w:val="0"/>
              <w:spacing w:after="0" w:line="240" w:lineRule="auto"/>
              <w:jc w:val="center"/>
              <w:rPr>
                <w:rFonts w:ascii="Arial" w:hAnsi="Arial" w:cs="Arial"/>
                <w:b/>
                <w:sz w:val="24"/>
                <w:szCs w:val="24"/>
              </w:rPr>
            </w:pPr>
            <w:r w:rsidRPr="00F612D9">
              <w:rPr>
                <w:rFonts w:ascii="Arial" w:hAnsi="Arial" w:cs="Arial"/>
                <w:b/>
                <w:sz w:val="24"/>
                <w:szCs w:val="24"/>
              </w:rPr>
              <w:t>Asociaţia</w:t>
            </w:r>
          </w:p>
          <w:p w:rsidR="007A21BD" w:rsidRPr="00F612D9" w:rsidRDefault="007A21BD" w:rsidP="004E444C">
            <w:pPr>
              <w:shd w:val="clear" w:color="auto" w:fill="FFFFFF" w:themeFill="background1"/>
              <w:autoSpaceDE w:val="0"/>
              <w:autoSpaceDN w:val="0"/>
              <w:adjustRightInd w:val="0"/>
              <w:spacing w:after="0" w:line="240" w:lineRule="auto"/>
              <w:jc w:val="center"/>
              <w:rPr>
                <w:rFonts w:ascii="Arial" w:hAnsi="Arial" w:cs="Arial"/>
                <w:b/>
                <w:sz w:val="24"/>
                <w:szCs w:val="24"/>
              </w:rPr>
            </w:pPr>
            <w:r w:rsidRPr="00F612D9">
              <w:rPr>
                <w:rFonts w:ascii="Arial" w:hAnsi="Arial" w:cs="Arial"/>
                <w:b/>
                <w:sz w:val="24"/>
                <w:szCs w:val="24"/>
              </w:rPr>
              <w:t>Maximilian</w:t>
            </w:r>
          </w:p>
          <w:p w:rsidR="007A21BD" w:rsidRPr="00F612D9" w:rsidRDefault="007A21BD" w:rsidP="004E444C">
            <w:pPr>
              <w:shd w:val="clear" w:color="auto" w:fill="FFFFFF" w:themeFill="background1"/>
              <w:autoSpaceDE w:val="0"/>
              <w:autoSpaceDN w:val="0"/>
              <w:adjustRightInd w:val="0"/>
              <w:spacing w:after="0" w:line="240" w:lineRule="auto"/>
              <w:jc w:val="center"/>
              <w:rPr>
                <w:rFonts w:ascii="Arial" w:hAnsi="Arial" w:cs="Arial"/>
                <w:b/>
                <w:sz w:val="24"/>
                <w:szCs w:val="24"/>
              </w:rPr>
            </w:pPr>
            <w:r w:rsidRPr="00F612D9">
              <w:rPr>
                <w:rFonts w:ascii="Arial" w:hAnsi="Arial" w:cs="Arial"/>
                <w:b/>
                <w:sz w:val="24"/>
                <w:szCs w:val="24"/>
              </w:rPr>
              <w:t>Buzău</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p w:rsidR="007A21BD" w:rsidRPr="00F612D9" w:rsidRDefault="007A21BD" w:rsidP="004E444C">
            <w:pPr>
              <w:shd w:val="clear" w:color="auto" w:fill="FFFFFF" w:themeFill="background1"/>
              <w:spacing w:after="0" w:line="240" w:lineRule="auto"/>
              <w:ind w:firstLine="180"/>
              <w:jc w:val="center"/>
              <w:rPr>
                <w:rFonts w:ascii="Arial" w:hAnsi="Arial" w:cs="Arial"/>
                <w:b/>
                <w:sz w:val="24"/>
                <w:szCs w:val="24"/>
              </w:rPr>
            </w:pPr>
          </w:p>
        </w:tc>
      </w:tr>
      <w:tr w:rsidR="007A21BD" w:rsidRPr="00F612D9" w:rsidTr="004E444C">
        <w:trPr>
          <w:trHeight w:val="488"/>
        </w:trPr>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9</w:t>
            </w:r>
          </w:p>
        </w:tc>
        <w:tc>
          <w:tcPr>
            <w:tcW w:w="3206" w:type="dxa"/>
          </w:tcPr>
          <w:p w:rsidR="007A21BD" w:rsidRPr="00F612D9" w:rsidRDefault="007A21BD" w:rsidP="004E444C">
            <w:pPr>
              <w:pStyle w:val="BodyTextIndent2"/>
              <w:shd w:val="clear" w:color="auto" w:fill="FFFFFF" w:themeFill="background1"/>
              <w:spacing w:after="0" w:line="240" w:lineRule="auto"/>
              <w:ind w:left="0"/>
              <w:rPr>
                <w:rFonts w:ascii="Arial" w:hAnsi="Arial" w:cs="Arial"/>
                <w:b/>
                <w:lang w:val="it-IT" w:eastAsia="ro-RO"/>
              </w:rPr>
            </w:pPr>
            <w:r w:rsidRPr="00F612D9">
              <w:rPr>
                <w:rFonts w:ascii="Arial" w:hAnsi="Arial" w:cs="Arial"/>
                <w:b/>
                <w:lang w:val="it-IT" w:eastAsia="ro-RO"/>
              </w:rPr>
              <w:t>ROSPA0004</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Balta Albă-Amara-Jirlău</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lang w:val="it-IT"/>
              </w:rPr>
            </w:pPr>
            <w:r w:rsidRPr="00F612D9">
              <w:rPr>
                <w:rFonts w:ascii="Arial" w:hAnsi="Arial" w:cs="Arial"/>
                <w:sz w:val="24"/>
                <w:szCs w:val="24"/>
                <w:lang w:val="it-IT"/>
              </w:rPr>
              <w:t xml:space="preserve">Inclusă în ROSCI0005 </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prin proiect cu finanțare POIM neaprobat</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vMerge/>
            <w:vAlign w:val="center"/>
          </w:tcPr>
          <w:p w:rsidR="007A21BD" w:rsidRPr="00F612D9" w:rsidRDefault="007A21BD" w:rsidP="004E444C">
            <w:pPr>
              <w:shd w:val="clear" w:color="auto" w:fill="FFFFFF" w:themeFill="background1"/>
              <w:spacing w:after="0" w:line="240" w:lineRule="auto"/>
              <w:ind w:firstLine="180"/>
              <w:jc w:val="center"/>
              <w:rPr>
                <w:rFonts w:ascii="Arial" w:hAnsi="Arial" w:cs="Arial"/>
                <w:b/>
                <w:sz w:val="24"/>
                <w:szCs w:val="24"/>
              </w:rPr>
            </w:pPr>
          </w:p>
        </w:tc>
      </w:tr>
      <w:tr w:rsidR="007A21BD" w:rsidRPr="00F612D9" w:rsidTr="004E444C">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10</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Rezervația naturală Lacul Jirlău Vişani2260</w:t>
            </w:r>
          </w:p>
          <w:p w:rsidR="007A21BD" w:rsidRPr="00F612D9" w:rsidRDefault="007A21BD" w:rsidP="004E444C">
            <w:pPr>
              <w:shd w:val="clear" w:color="auto" w:fill="FFFFFF" w:themeFill="background1"/>
              <w:spacing w:after="0" w:line="240" w:lineRule="auto"/>
              <w:rPr>
                <w:rFonts w:ascii="Arial" w:hAnsi="Arial" w:cs="Arial"/>
                <w:sz w:val="24"/>
                <w:szCs w:val="24"/>
                <w:lang w:val="it-IT"/>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lang w:val="it-IT"/>
              </w:rPr>
              <w:t xml:space="preserve">Inclusă în ROSCI0005 </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prin proiect cu finanțare POIM neaprobat</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vMerge/>
            <w:tcBorders>
              <w:bottom w:val="single" w:sz="18" w:space="0" w:color="auto"/>
            </w:tcBorders>
            <w:vAlign w:val="center"/>
          </w:tcPr>
          <w:p w:rsidR="007A21BD" w:rsidRPr="00F612D9" w:rsidRDefault="007A21BD" w:rsidP="004E444C">
            <w:pPr>
              <w:shd w:val="clear" w:color="auto" w:fill="FFFFFF" w:themeFill="background1"/>
              <w:spacing w:after="0" w:line="240" w:lineRule="auto"/>
              <w:ind w:firstLine="180"/>
              <w:jc w:val="center"/>
              <w:rPr>
                <w:rFonts w:ascii="Arial" w:hAnsi="Arial" w:cs="Arial"/>
                <w:b/>
                <w:sz w:val="24"/>
                <w:szCs w:val="24"/>
              </w:rPr>
            </w:pPr>
          </w:p>
        </w:tc>
      </w:tr>
      <w:tr w:rsidR="007A21BD" w:rsidRPr="00F612D9" w:rsidTr="004E444C">
        <w:trPr>
          <w:trHeight w:val="628"/>
        </w:trPr>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11</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ROSPA0111</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b/>
                <w:sz w:val="24"/>
                <w:szCs w:val="24"/>
              </w:rPr>
              <w:t>Berteştii de Sus-Gura Ialomiţei</w:t>
            </w: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vMerge w:val="restart"/>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Societatea Ornitologică</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Română</w:t>
            </w:r>
          </w:p>
        </w:tc>
      </w:tr>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12</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Rezervaţia Forestieră Pădurea Viişoara</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Inclusă în ROSPA0111</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vMerge/>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rPr>
          <w:trHeight w:val="1150"/>
        </w:trPr>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13</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bCs/>
                <w:iCs/>
                <w:sz w:val="24"/>
                <w:szCs w:val="24"/>
              </w:rPr>
            </w:pPr>
            <w:r w:rsidRPr="00F612D9">
              <w:rPr>
                <w:rFonts w:ascii="Arial" w:hAnsi="Arial" w:cs="Arial"/>
                <w:b/>
                <w:bCs/>
                <w:iCs/>
                <w:sz w:val="24"/>
                <w:szCs w:val="24"/>
              </w:rPr>
              <w:t>ROSCI0389</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Sărăturile de la Gura Ialomiţei - Mihai Bravu</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Inclusă în ROSPA0111</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În curs de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elaborare prin proiect cu finanțare POIM</w:t>
            </w:r>
          </w:p>
        </w:tc>
        <w:tc>
          <w:tcPr>
            <w:tcW w:w="2006" w:type="dxa"/>
            <w:vMerge/>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14</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ROSPA0048</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Ianca-Plopu-Sărat</w:t>
            </w:r>
          </w:p>
          <w:p w:rsidR="007A21BD" w:rsidRPr="00F612D9" w:rsidRDefault="007A21BD" w:rsidP="004E444C">
            <w:pPr>
              <w:shd w:val="clear" w:color="auto" w:fill="FFFFFF" w:themeFill="background1"/>
              <w:spacing w:after="0" w:line="240" w:lineRule="auto"/>
              <w:rPr>
                <w:rFonts w:ascii="Arial" w:hAnsi="Arial" w:cs="Arial"/>
                <w:sz w:val="24"/>
                <w:szCs w:val="24"/>
                <w:lang w:val="it-IT"/>
              </w:rPr>
            </w:pP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1215/29.06.2016</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1215/29.06.2016</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00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15</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bCs/>
                <w:iCs/>
                <w:sz w:val="24"/>
                <w:szCs w:val="24"/>
              </w:rPr>
              <w:t>ROSCI0305</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Ianca - Plopu - Sărat - Comăneasca</w:t>
            </w:r>
          </w:p>
          <w:p w:rsidR="007A21BD" w:rsidRPr="00F612D9" w:rsidRDefault="007A21BD" w:rsidP="004E444C">
            <w:pPr>
              <w:shd w:val="clear" w:color="auto" w:fill="FFFFFF" w:themeFill="background1"/>
              <w:spacing w:after="0" w:line="240" w:lineRule="auto"/>
              <w:rPr>
                <w:rFonts w:ascii="Arial" w:hAnsi="Arial" w:cs="Arial"/>
                <w:sz w:val="24"/>
                <w:szCs w:val="24"/>
                <w:lang w:val="it-IT"/>
              </w:rPr>
            </w:pPr>
            <w:r w:rsidRPr="00F612D9">
              <w:rPr>
                <w:rFonts w:ascii="Arial" w:hAnsi="Arial" w:cs="Arial"/>
                <w:sz w:val="24"/>
                <w:szCs w:val="24"/>
                <w:lang w:val="it-IT"/>
              </w:rPr>
              <w:t xml:space="preserve">Se suprapune parțial </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lang w:val="it-IT"/>
              </w:rPr>
              <w:t>cu ROSPA0048</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16</w:t>
            </w:r>
          </w:p>
        </w:tc>
        <w:tc>
          <w:tcPr>
            <w:tcW w:w="3206"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ROSPA0006</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lang w:val="it-IT"/>
              </w:rPr>
              <w:lastRenderedPageBreak/>
              <w:t>B</w:t>
            </w:r>
            <w:r w:rsidRPr="00F612D9">
              <w:rPr>
                <w:rFonts w:ascii="Arial" w:hAnsi="Arial" w:cs="Arial"/>
                <w:b/>
                <w:sz w:val="24"/>
                <w:szCs w:val="24"/>
              </w:rPr>
              <w:t>alta Tătaru</w:t>
            </w: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lastRenderedPageBreak/>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lastRenderedPageBreak/>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1217/29.06.2016</w:t>
            </w:r>
          </w:p>
        </w:tc>
        <w:tc>
          <w:tcPr>
            <w:tcW w:w="2216"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lastRenderedPageBreak/>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lastRenderedPageBreak/>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1217/29.06.2016</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006"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lastRenderedPageBreak/>
              <w:t>-</w:t>
            </w:r>
          </w:p>
        </w:tc>
      </w:tr>
      <w:tr w:rsidR="007A21BD" w:rsidRPr="00F612D9" w:rsidTr="004E444C">
        <w:tc>
          <w:tcPr>
            <w:tcW w:w="542" w:type="dxa"/>
            <w:tcBorders>
              <w:bottom w:val="single" w:sz="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lastRenderedPageBreak/>
              <w:t>17</w:t>
            </w:r>
          </w:p>
        </w:tc>
        <w:tc>
          <w:tcPr>
            <w:tcW w:w="3206" w:type="dxa"/>
            <w:tcBorders>
              <w:bottom w:val="single" w:sz="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ROSPA0160</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b/>
                <w:sz w:val="24"/>
                <w:szCs w:val="24"/>
              </w:rPr>
              <w:t>Lunca Buzăului</w:t>
            </w:r>
            <w:r w:rsidRPr="00F612D9">
              <w:rPr>
                <w:rFonts w:ascii="Arial" w:hAnsi="Arial" w:cs="Arial"/>
                <w:b/>
                <w:bCs/>
                <w:iCs/>
                <w:sz w:val="24"/>
                <w:szCs w:val="24"/>
              </w:rPr>
              <w:t xml:space="preserve"> </w:t>
            </w:r>
          </w:p>
        </w:tc>
        <w:tc>
          <w:tcPr>
            <w:tcW w:w="1941" w:type="dxa"/>
            <w:tcBorders>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216" w:type="dxa"/>
            <w:tcBorders>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006" w:type="dxa"/>
            <w:tcBorders>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top w:val="single" w:sz="8" w:space="0" w:color="auto"/>
              <w:bottom w:val="single" w:sz="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18</w:t>
            </w:r>
          </w:p>
        </w:tc>
        <w:tc>
          <w:tcPr>
            <w:tcW w:w="3206" w:type="dxa"/>
            <w:tcBorders>
              <w:top w:val="single" w:sz="8" w:space="0" w:color="auto"/>
              <w:bottom w:val="single" w:sz="8" w:space="0" w:color="auto"/>
            </w:tcBorders>
          </w:tcPr>
          <w:p w:rsidR="007A21BD" w:rsidRPr="00F612D9" w:rsidRDefault="007A21BD" w:rsidP="004E444C">
            <w:pPr>
              <w:shd w:val="clear" w:color="auto" w:fill="FFFFFF" w:themeFill="background1"/>
              <w:spacing w:after="0" w:line="240" w:lineRule="auto"/>
              <w:rPr>
                <w:rFonts w:ascii="Arial" w:hAnsi="Arial" w:cs="Arial"/>
                <w:b/>
                <w:bCs/>
                <w:iCs/>
                <w:sz w:val="24"/>
                <w:szCs w:val="24"/>
              </w:rPr>
            </w:pPr>
            <w:r w:rsidRPr="00F612D9">
              <w:rPr>
                <w:rFonts w:ascii="Arial" w:hAnsi="Arial" w:cs="Arial"/>
                <w:b/>
                <w:bCs/>
                <w:iCs/>
                <w:sz w:val="24"/>
                <w:szCs w:val="24"/>
              </w:rPr>
              <w:t>ROSCI0103</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Lunca Buzăului</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vertAlign w:val="superscript"/>
              </w:rPr>
            </w:pPr>
            <w:r w:rsidRPr="00F612D9">
              <w:rPr>
                <w:rFonts w:ascii="Arial" w:hAnsi="Arial" w:cs="Arial"/>
                <w:sz w:val="24"/>
                <w:szCs w:val="24"/>
              </w:rPr>
              <w:t>Inclusă în ROSPA 0160</w:t>
            </w: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tcBorders>
              <w:top w:val="single" w:sz="8" w:space="0" w:color="auto"/>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eastAsia="Times New Roman" w:hAnsi="Arial" w:cs="Arial"/>
                <w:bCs/>
                <w:sz w:val="24"/>
                <w:szCs w:val="24"/>
              </w:rPr>
            </w:pPr>
            <w:r w:rsidRPr="00F612D9">
              <w:rPr>
                <w:rFonts w:ascii="Arial" w:eastAsia="Times New Roman" w:hAnsi="Arial" w:cs="Arial"/>
                <w:bCs/>
                <w:sz w:val="24"/>
                <w:szCs w:val="24"/>
              </w:rPr>
              <w:t>aprobat prin</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eastAsia="Times New Roman" w:hAnsi="Arial" w:cs="Arial"/>
                <w:bCs/>
                <w:sz w:val="24"/>
                <w:szCs w:val="24"/>
              </w:rPr>
              <w:t>Ord. MMAP 1075/2016</w:t>
            </w:r>
          </w:p>
        </w:tc>
        <w:tc>
          <w:tcPr>
            <w:tcW w:w="2216" w:type="dxa"/>
            <w:tcBorders>
              <w:top w:val="single" w:sz="8" w:space="0" w:color="auto"/>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eastAsia="Times New Roman" w:hAnsi="Arial" w:cs="Arial"/>
                <w:bCs/>
                <w:sz w:val="24"/>
                <w:szCs w:val="24"/>
              </w:rPr>
            </w:pPr>
            <w:r w:rsidRPr="00F612D9">
              <w:rPr>
                <w:rFonts w:ascii="Arial" w:eastAsia="Times New Roman" w:hAnsi="Arial" w:cs="Arial"/>
                <w:bCs/>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eastAsia="Times New Roman" w:hAnsi="Arial" w:cs="Arial"/>
                <w:bCs/>
                <w:sz w:val="24"/>
                <w:szCs w:val="24"/>
              </w:rPr>
              <w:t>Ord. MMAP 1075/2016</w:t>
            </w:r>
          </w:p>
        </w:tc>
        <w:tc>
          <w:tcPr>
            <w:tcW w:w="2006" w:type="dxa"/>
            <w:tcBorders>
              <w:top w:val="single" w:sz="8" w:space="0" w:color="auto"/>
              <w:bottom w:val="single" w:sz="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top w:val="single" w:sz="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19</w:t>
            </w:r>
          </w:p>
        </w:tc>
        <w:tc>
          <w:tcPr>
            <w:tcW w:w="3206" w:type="dxa"/>
            <w:tcBorders>
              <w:top w:val="single" w:sz="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Rezervaţia  naturală Pădurea Camniţa 2259</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vertAlign w:val="superscript"/>
              </w:rPr>
            </w:pPr>
            <w:r w:rsidRPr="00F612D9">
              <w:rPr>
                <w:rFonts w:ascii="Arial" w:hAnsi="Arial" w:cs="Arial"/>
                <w:sz w:val="24"/>
                <w:szCs w:val="24"/>
              </w:rPr>
              <w:t>Inclusă în ROSCI 0103</w:t>
            </w:r>
          </w:p>
        </w:tc>
        <w:tc>
          <w:tcPr>
            <w:tcW w:w="1941" w:type="dxa"/>
            <w:tcBorders>
              <w:top w:val="single" w:sz="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elaborat,</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aprobat prin</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211/8.02.2016</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216" w:type="dxa"/>
            <w:tcBorders>
              <w:top w:val="single" w:sz="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elaborat,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 xml:space="preserve">aprobat prin </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Ord. MMAP 211/8.02.2016</w:t>
            </w:r>
          </w:p>
          <w:p w:rsidR="007A21BD" w:rsidRPr="00F612D9" w:rsidRDefault="007A21BD" w:rsidP="004E444C">
            <w:pPr>
              <w:shd w:val="clear" w:color="auto" w:fill="FFFFFF" w:themeFill="background1"/>
              <w:spacing w:after="0" w:line="240" w:lineRule="auto"/>
              <w:jc w:val="center"/>
              <w:rPr>
                <w:rFonts w:ascii="Arial" w:hAnsi="Arial" w:cs="Arial"/>
                <w:sz w:val="24"/>
                <w:szCs w:val="24"/>
              </w:rPr>
            </w:pPr>
          </w:p>
        </w:tc>
        <w:tc>
          <w:tcPr>
            <w:tcW w:w="2006" w:type="dxa"/>
            <w:tcBorders>
              <w:top w:val="single" w:sz="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rPr>
          <w:trHeight w:val="1325"/>
        </w:trPr>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20</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Dunărea Veche-Braţul Măcin</w:t>
            </w:r>
          </w:p>
          <w:p w:rsidR="007A21BD" w:rsidRPr="00F612D9" w:rsidRDefault="007A21BD" w:rsidP="004E444C">
            <w:pPr>
              <w:shd w:val="clear" w:color="auto" w:fill="FFFFFF" w:themeFill="background1"/>
              <w:spacing w:after="0" w:line="240" w:lineRule="auto"/>
              <w:rPr>
                <w:rFonts w:ascii="Arial" w:eastAsia="Times New Roman" w:hAnsi="Arial" w:cs="Arial"/>
                <w:sz w:val="24"/>
                <w:szCs w:val="24"/>
              </w:rPr>
            </w:pPr>
            <w:r w:rsidRPr="00F612D9">
              <w:rPr>
                <w:rFonts w:ascii="Arial" w:eastAsia="Times New Roman" w:hAnsi="Arial" w:cs="Arial"/>
                <w:sz w:val="24"/>
                <w:szCs w:val="24"/>
              </w:rPr>
              <w:t>Zonă umedă de importanţă internaţională-</w:t>
            </w:r>
          </w:p>
          <w:p w:rsidR="007A21BD" w:rsidRPr="00F612D9" w:rsidRDefault="007A21BD" w:rsidP="004E444C">
            <w:pPr>
              <w:shd w:val="clear" w:color="auto" w:fill="FFFFFF" w:themeFill="background1"/>
              <w:spacing w:after="0" w:line="240" w:lineRule="auto"/>
              <w:rPr>
                <w:rFonts w:ascii="Arial" w:eastAsia="Times New Roman" w:hAnsi="Arial" w:cs="Arial"/>
                <w:b/>
                <w:sz w:val="24"/>
                <w:szCs w:val="24"/>
              </w:rPr>
            </w:pPr>
            <w:r w:rsidRPr="00F612D9">
              <w:rPr>
                <w:rFonts w:ascii="Arial" w:hAnsi="Arial" w:cs="Arial"/>
                <w:b/>
                <w:sz w:val="24"/>
                <w:szCs w:val="24"/>
              </w:rPr>
              <w:t xml:space="preserve">Sit Ramsar </w:t>
            </w:r>
            <w:r w:rsidRPr="00F612D9">
              <w:rPr>
                <w:rFonts w:ascii="Arial" w:eastAsia="Times New Roman" w:hAnsi="Arial" w:cs="Arial"/>
                <w:b/>
                <w:sz w:val="24"/>
                <w:szCs w:val="24"/>
              </w:rPr>
              <w:t>2116</w:t>
            </w: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rPr>
          <w:trHeight w:val="775"/>
        </w:trPr>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21</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ROSPA0040</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Dunărea Veche-Braţul Măcin</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 xml:space="preserve">Inclusă în Situl Ramsar </w:t>
            </w:r>
            <w:r w:rsidRPr="00F612D9">
              <w:rPr>
                <w:rFonts w:ascii="Arial" w:eastAsia="Times New Roman" w:hAnsi="Arial" w:cs="Arial"/>
                <w:sz w:val="24"/>
                <w:szCs w:val="24"/>
              </w:rPr>
              <w:t>2116</w:t>
            </w: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rPr>
          <w:trHeight w:val="844"/>
        </w:trPr>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22</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ROSCI0012</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Braţul Măcin</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Inclusă în ROSPA 0040</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În curs de elaborare prin proiect cu finanțare POIM</w:t>
            </w:r>
          </w:p>
        </w:tc>
        <w:tc>
          <w:tcPr>
            <w:tcW w:w="200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23</w:t>
            </w:r>
          </w:p>
        </w:tc>
        <w:tc>
          <w:tcPr>
            <w:tcW w:w="3206" w:type="dxa"/>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ROSPA0145</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Valea Călmăţuiului</w:t>
            </w: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24</w:t>
            </w:r>
          </w:p>
        </w:tc>
        <w:tc>
          <w:tcPr>
            <w:tcW w:w="3206" w:type="dxa"/>
            <w:tcBorders>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lang w:val="it-IT"/>
              </w:rPr>
            </w:pPr>
            <w:r w:rsidRPr="00F612D9">
              <w:rPr>
                <w:rFonts w:ascii="Arial" w:hAnsi="Arial" w:cs="Arial"/>
                <w:b/>
                <w:sz w:val="24"/>
                <w:szCs w:val="24"/>
                <w:lang w:val="it-IT"/>
              </w:rPr>
              <w:t>ROSCI0259</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Valea Călmăţuiului</w:t>
            </w:r>
          </w:p>
          <w:p w:rsidR="007A21BD" w:rsidRPr="00F612D9" w:rsidRDefault="007A21BD" w:rsidP="004E444C">
            <w:pPr>
              <w:shd w:val="clear" w:color="auto" w:fill="FFFFFF" w:themeFill="background1"/>
              <w:spacing w:after="0" w:line="240" w:lineRule="auto"/>
              <w:rPr>
                <w:rFonts w:ascii="Arial" w:hAnsi="Arial" w:cs="Arial"/>
                <w:sz w:val="24"/>
                <w:szCs w:val="24"/>
              </w:rPr>
            </w:pP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Inclusă în ROSPA 0145</w:t>
            </w:r>
          </w:p>
        </w:tc>
        <w:tc>
          <w:tcPr>
            <w:tcW w:w="1941"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tcBorders>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r w:rsidR="007A21BD" w:rsidRPr="00F612D9" w:rsidTr="004E444C">
        <w:tc>
          <w:tcPr>
            <w:tcW w:w="542"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25</w:t>
            </w:r>
          </w:p>
        </w:tc>
        <w:tc>
          <w:tcPr>
            <w:tcW w:w="3206" w:type="dxa"/>
            <w:tcBorders>
              <w:top w:val="single" w:sz="18" w:space="0" w:color="auto"/>
              <w:bottom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bCs/>
                <w:iCs/>
                <w:sz w:val="24"/>
                <w:szCs w:val="24"/>
              </w:rPr>
            </w:pPr>
            <w:r w:rsidRPr="00F612D9">
              <w:rPr>
                <w:rFonts w:ascii="Arial" w:hAnsi="Arial" w:cs="Arial"/>
                <w:b/>
                <w:bCs/>
                <w:iCs/>
                <w:sz w:val="24"/>
                <w:szCs w:val="24"/>
              </w:rPr>
              <w:t>ROSCI0307</w:t>
            </w:r>
          </w:p>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Lacul Sărat - Brăila</w:t>
            </w:r>
          </w:p>
          <w:p w:rsidR="007A21BD" w:rsidRPr="00F612D9" w:rsidRDefault="007A21BD" w:rsidP="004E444C">
            <w:pPr>
              <w:shd w:val="clear" w:color="auto" w:fill="FFFFFF" w:themeFill="background1"/>
              <w:spacing w:after="0" w:line="240" w:lineRule="auto"/>
              <w:rPr>
                <w:rFonts w:ascii="Arial" w:hAnsi="Arial" w:cs="Arial"/>
                <w:sz w:val="24"/>
                <w:szCs w:val="24"/>
              </w:rPr>
            </w:pPr>
          </w:p>
        </w:tc>
        <w:tc>
          <w:tcPr>
            <w:tcW w:w="1941"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216" w:type="dxa"/>
            <w:tcBorders>
              <w:top w:val="single" w:sz="18" w:space="0" w:color="auto"/>
              <w:bottom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neelaborat</w:t>
            </w:r>
          </w:p>
        </w:tc>
        <w:tc>
          <w:tcPr>
            <w:tcW w:w="2006" w:type="dxa"/>
            <w:tcBorders>
              <w:top w:val="single" w:sz="18" w:space="0" w:color="auto"/>
              <w:bottom w:val="single" w:sz="18" w:space="0" w:color="auto"/>
            </w:tcBorders>
            <w:vAlign w:val="center"/>
          </w:tcPr>
          <w:p w:rsidR="007A21BD" w:rsidRPr="00F612D9" w:rsidRDefault="007A21BD" w:rsidP="004E444C">
            <w:pPr>
              <w:pStyle w:val="Implicit"/>
              <w:shd w:val="clear" w:color="auto" w:fill="FFFFFF" w:themeFill="background1"/>
              <w:tabs>
                <w:tab w:val="left" w:pos="187"/>
              </w:tabs>
              <w:spacing w:after="0" w:line="240" w:lineRule="auto"/>
              <w:jc w:val="center"/>
              <w:rPr>
                <w:rFonts w:ascii="Arial" w:hAnsi="Arial" w:cs="Arial"/>
                <w:b/>
                <w:color w:val="auto"/>
                <w:lang w:val="ro-RO"/>
              </w:rPr>
            </w:pPr>
            <w:r w:rsidRPr="00F612D9">
              <w:rPr>
                <w:rFonts w:ascii="Arial" w:hAnsi="Arial" w:cs="Arial"/>
                <w:b/>
                <w:color w:val="auto"/>
                <w:lang w:val="ro-RO"/>
              </w:rPr>
              <w:t>Asociaţia Community Aid România</w:t>
            </w:r>
          </w:p>
          <w:p w:rsidR="007A21BD" w:rsidRPr="00F612D9" w:rsidRDefault="007A21BD" w:rsidP="004E444C">
            <w:pPr>
              <w:pStyle w:val="Implicit"/>
              <w:shd w:val="clear" w:color="auto" w:fill="FFFFFF" w:themeFill="background1"/>
              <w:tabs>
                <w:tab w:val="left" w:pos="187"/>
              </w:tabs>
              <w:spacing w:after="0" w:line="240" w:lineRule="auto"/>
              <w:jc w:val="center"/>
              <w:rPr>
                <w:rFonts w:ascii="Arial" w:hAnsi="Arial" w:cs="Arial"/>
                <w:color w:val="auto"/>
                <w:lang w:val="ro-RO"/>
              </w:rPr>
            </w:pPr>
            <w:r w:rsidRPr="00F612D9">
              <w:rPr>
                <w:rFonts w:ascii="Arial" w:hAnsi="Arial" w:cs="Arial"/>
                <w:color w:val="auto"/>
                <w:lang w:val="ro-RO"/>
              </w:rPr>
              <w:t>(Pănă la 20.09.2017 când a fost reziliată convenția de custodie)</w:t>
            </w:r>
          </w:p>
          <w:p w:rsidR="007A21BD" w:rsidRPr="00F612D9" w:rsidRDefault="007A21BD" w:rsidP="004E444C">
            <w:pPr>
              <w:shd w:val="clear" w:color="auto" w:fill="FFFFFF" w:themeFill="background1"/>
              <w:spacing w:after="0" w:line="240" w:lineRule="auto"/>
              <w:jc w:val="center"/>
              <w:rPr>
                <w:rFonts w:ascii="Arial" w:hAnsi="Arial" w:cs="Arial"/>
                <w:b/>
                <w:sz w:val="24"/>
                <w:szCs w:val="24"/>
              </w:rPr>
            </w:pPr>
          </w:p>
        </w:tc>
      </w:tr>
      <w:tr w:rsidR="007A21BD" w:rsidRPr="00F612D9" w:rsidTr="004E444C">
        <w:tc>
          <w:tcPr>
            <w:tcW w:w="542"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26</w:t>
            </w:r>
          </w:p>
        </w:tc>
        <w:tc>
          <w:tcPr>
            <w:tcW w:w="3206" w:type="dxa"/>
            <w:tcBorders>
              <w:top w:val="single" w:sz="18" w:space="0" w:color="auto"/>
            </w:tcBorders>
          </w:tcPr>
          <w:p w:rsidR="007A21BD" w:rsidRPr="00F612D9" w:rsidRDefault="007A21BD" w:rsidP="004E444C">
            <w:pPr>
              <w:shd w:val="clear" w:color="auto" w:fill="FFFFFF" w:themeFill="background1"/>
              <w:spacing w:after="0" w:line="240" w:lineRule="auto"/>
              <w:rPr>
                <w:rFonts w:ascii="Arial" w:hAnsi="Arial" w:cs="Arial"/>
                <w:b/>
                <w:sz w:val="24"/>
                <w:szCs w:val="24"/>
              </w:rPr>
            </w:pPr>
            <w:r w:rsidRPr="00F612D9">
              <w:rPr>
                <w:rFonts w:ascii="Arial" w:hAnsi="Arial" w:cs="Arial"/>
                <w:b/>
                <w:sz w:val="24"/>
                <w:szCs w:val="24"/>
              </w:rPr>
              <w:t>Popina Blasova</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Monument al naturii -</w:t>
            </w:r>
          </w:p>
          <w:p w:rsidR="007A21BD" w:rsidRPr="00F612D9" w:rsidRDefault="007A21BD" w:rsidP="004E444C">
            <w:pPr>
              <w:shd w:val="clear" w:color="auto" w:fill="FFFFFF" w:themeFill="background1"/>
              <w:spacing w:after="0" w:line="240" w:lineRule="auto"/>
              <w:rPr>
                <w:rFonts w:ascii="Arial" w:hAnsi="Arial" w:cs="Arial"/>
                <w:sz w:val="24"/>
                <w:szCs w:val="24"/>
              </w:rPr>
            </w:pPr>
            <w:r w:rsidRPr="00F612D9">
              <w:rPr>
                <w:rFonts w:ascii="Arial" w:hAnsi="Arial" w:cs="Arial"/>
                <w:sz w:val="24"/>
                <w:szCs w:val="24"/>
              </w:rPr>
              <w:t>de interes judeţean</w:t>
            </w:r>
          </w:p>
        </w:tc>
        <w:tc>
          <w:tcPr>
            <w:tcW w:w="1941"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w:t>
            </w:r>
          </w:p>
        </w:tc>
        <w:tc>
          <w:tcPr>
            <w:tcW w:w="221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sz w:val="24"/>
                <w:szCs w:val="24"/>
              </w:rPr>
            </w:pPr>
            <w:r w:rsidRPr="00F612D9">
              <w:rPr>
                <w:rFonts w:ascii="Arial" w:hAnsi="Arial" w:cs="Arial"/>
                <w:sz w:val="24"/>
                <w:szCs w:val="24"/>
              </w:rPr>
              <w:t>-</w:t>
            </w:r>
          </w:p>
        </w:tc>
        <w:tc>
          <w:tcPr>
            <w:tcW w:w="2006" w:type="dxa"/>
            <w:tcBorders>
              <w:top w:val="single" w:sz="18" w:space="0" w:color="auto"/>
            </w:tcBorders>
            <w:vAlign w:val="center"/>
          </w:tcPr>
          <w:p w:rsidR="007A21BD" w:rsidRPr="00F612D9" w:rsidRDefault="007A21BD" w:rsidP="004E444C">
            <w:pPr>
              <w:shd w:val="clear" w:color="auto" w:fill="FFFFFF" w:themeFill="background1"/>
              <w:spacing w:after="0" w:line="240" w:lineRule="auto"/>
              <w:jc w:val="center"/>
              <w:rPr>
                <w:rFonts w:ascii="Arial" w:hAnsi="Arial" w:cs="Arial"/>
                <w:b/>
                <w:sz w:val="24"/>
                <w:szCs w:val="24"/>
              </w:rPr>
            </w:pPr>
            <w:r w:rsidRPr="00F612D9">
              <w:rPr>
                <w:rFonts w:ascii="Arial" w:hAnsi="Arial" w:cs="Arial"/>
                <w:b/>
                <w:sz w:val="24"/>
                <w:szCs w:val="24"/>
              </w:rPr>
              <w:t>-</w:t>
            </w:r>
          </w:p>
        </w:tc>
      </w:tr>
    </w:tbl>
    <w:p w:rsidR="007A21BD" w:rsidRPr="00067FEF" w:rsidRDefault="007A21BD" w:rsidP="007A21BD">
      <w:pPr>
        <w:shd w:val="clear" w:color="auto" w:fill="FFFFFF" w:themeFill="background1"/>
        <w:spacing w:after="0" w:line="240" w:lineRule="auto"/>
        <w:jc w:val="center"/>
        <w:rPr>
          <w:rFonts w:ascii="Times New Roman" w:hAnsi="Times New Roman"/>
          <w:sz w:val="24"/>
          <w:szCs w:val="24"/>
        </w:rPr>
      </w:pPr>
    </w:p>
    <w:p w:rsidR="007A21BD" w:rsidRPr="007A21BD" w:rsidRDefault="007A21BD" w:rsidP="007A21BD">
      <w:pPr>
        <w:shd w:val="clear" w:color="auto" w:fill="FFFFFF" w:themeFill="background1"/>
        <w:tabs>
          <w:tab w:val="left" w:pos="1204"/>
          <w:tab w:val="left" w:leader="dot" w:pos="9356"/>
        </w:tabs>
        <w:spacing w:after="0" w:line="240" w:lineRule="auto"/>
        <w:ind w:left="426"/>
        <w:jc w:val="both"/>
        <w:rPr>
          <w:rFonts w:ascii="Arial" w:hAnsi="Arial" w:cs="Arial"/>
          <w:b/>
          <w:sz w:val="24"/>
          <w:szCs w:val="24"/>
        </w:rPr>
      </w:pPr>
      <w:r w:rsidRPr="00067FEF">
        <w:rPr>
          <w:rFonts w:ascii="Arial" w:hAnsi="Arial" w:cs="Arial"/>
          <w:b/>
          <w:i/>
          <w:sz w:val="24"/>
          <w:szCs w:val="24"/>
        </w:rPr>
        <w:br w:type="textWrapping" w:clear="all"/>
      </w:r>
    </w:p>
    <w:p w:rsidR="009173C4" w:rsidRDefault="009173C4" w:rsidP="007A21BD">
      <w:pPr>
        <w:pStyle w:val="BodyTextIndent2"/>
        <w:spacing w:after="0" w:line="240" w:lineRule="auto"/>
        <w:ind w:left="0"/>
        <w:jc w:val="both"/>
        <w:rPr>
          <w:rFonts w:ascii="Arial" w:hAnsi="Arial" w:cs="Arial"/>
          <w:b/>
          <w:sz w:val="32"/>
          <w:szCs w:val="32"/>
          <w:lang w:val="en-US"/>
        </w:rPr>
      </w:pPr>
    </w:p>
    <w:p w:rsidR="007A21BD" w:rsidRDefault="007A21BD" w:rsidP="007A21BD">
      <w:pPr>
        <w:pStyle w:val="BodyTextIndent2"/>
        <w:spacing w:after="0" w:line="240" w:lineRule="auto"/>
        <w:ind w:left="0"/>
        <w:jc w:val="both"/>
        <w:rPr>
          <w:rFonts w:ascii="Arial" w:hAnsi="Arial" w:cs="Arial"/>
          <w:b/>
          <w:sz w:val="32"/>
          <w:szCs w:val="32"/>
          <w:lang w:val="en-US"/>
        </w:rPr>
      </w:pPr>
      <w:r w:rsidRPr="00131F16">
        <w:rPr>
          <w:rFonts w:ascii="Arial" w:hAnsi="Arial" w:cs="Arial"/>
          <w:b/>
          <w:sz w:val="32"/>
          <w:szCs w:val="32"/>
          <w:lang w:val="en-US"/>
        </w:rPr>
        <w:lastRenderedPageBreak/>
        <w:t>VI. PǍDURILE</w:t>
      </w:r>
    </w:p>
    <w:p w:rsidR="007A21BD" w:rsidRPr="00131F16" w:rsidRDefault="007A21BD" w:rsidP="007A21BD">
      <w:pPr>
        <w:pStyle w:val="BodyTextIndent2"/>
        <w:spacing w:after="0" w:line="240" w:lineRule="auto"/>
        <w:ind w:left="0"/>
        <w:jc w:val="both"/>
        <w:rPr>
          <w:rFonts w:ascii="Arial" w:hAnsi="Arial" w:cs="Arial"/>
          <w:b/>
          <w:sz w:val="32"/>
          <w:szCs w:val="32"/>
          <w:lang w:val="en-US"/>
        </w:rPr>
      </w:pPr>
    </w:p>
    <w:p w:rsidR="007A21BD" w:rsidRPr="00131F16" w:rsidRDefault="007A21BD" w:rsidP="007A21BD">
      <w:pPr>
        <w:spacing w:after="0" w:line="240" w:lineRule="auto"/>
        <w:ind w:firstLine="708"/>
        <w:rPr>
          <w:rFonts w:ascii="Arial" w:hAnsi="Arial" w:cs="Arial"/>
          <w:b/>
          <w:sz w:val="24"/>
          <w:szCs w:val="24"/>
        </w:rPr>
      </w:pPr>
      <w:r w:rsidRPr="00131F16">
        <w:rPr>
          <w:rFonts w:ascii="Arial" w:hAnsi="Arial" w:cs="Arial"/>
          <w:b/>
          <w:sz w:val="24"/>
          <w:szCs w:val="24"/>
          <w:lang w:val="en-US"/>
        </w:rPr>
        <w:t>VI.1. Fondul forestier național : stare și consecințe</w:t>
      </w:r>
    </w:p>
    <w:p w:rsidR="007A21BD" w:rsidRPr="00131F16" w:rsidRDefault="007A21BD" w:rsidP="007A21BD">
      <w:pPr>
        <w:spacing w:after="0" w:line="240" w:lineRule="auto"/>
        <w:ind w:firstLine="708"/>
        <w:rPr>
          <w:rFonts w:ascii="Arial" w:hAnsi="Arial" w:cs="Arial"/>
          <w:b/>
          <w:sz w:val="24"/>
          <w:szCs w:val="24"/>
          <w:lang w:val="en-US"/>
        </w:rPr>
      </w:pPr>
      <w:r w:rsidRPr="00131F16">
        <w:rPr>
          <w:rFonts w:ascii="Arial" w:hAnsi="Arial" w:cs="Arial"/>
          <w:b/>
          <w:i/>
          <w:sz w:val="24"/>
          <w:szCs w:val="24"/>
          <w:lang w:val="en-US"/>
        </w:rPr>
        <w:t xml:space="preserve">    VI.1.1. Evoluţia suprafeţei fondului forestier </w:t>
      </w:r>
    </w:p>
    <w:p w:rsidR="007A21BD" w:rsidRPr="00131F16" w:rsidRDefault="007A21BD" w:rsidP="007A21BD">
      <w:pPr>
        <w:spacing w:after="0" w:line="240" w:lineRule="auto"/>
        <w:ind w:firstLine="708"/>
        <w:jc w:val="both"/>
        <w:rPr>
          <w:rFonts w:ascii="Arial" w:hAnsi="Arial" w:cs="Arial"/>
          <w:sz w:val="24"/>
          <w:szCs w:val="24"/>
        </w:rPr>
      </w:pPr>
      <w:r w:rsidRPr="00131F16">
        <w:rPr>
          <w:rFonts w:ascii="Arial" w:hAnsi="Arial" w:cs="Arial"/>
          <w:sz w:val="24"/>
          <w:szCs w:val="24"/>
        </w:rPr>
        <w:t>Fondul forestier cuprinde păduri şi alte terenuri împădurite, clasificate în funcţie de tipul de pădure şi de disponibilitatea de furnizare a lemnului. Fondul forestier naţional cuprinde totalitatea pădurilor, a terenurilor destinate împăduririi, a terenurilor cu destinaţie forestieră şi neproductivă, cuprinse în amenajamentele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sz w:val="24"/>
          <w:szCs w:val="24"/>
          <w:lang w:val="en-US"/>
        </w:rPr>
        <w:t>Tabelul nr. VI.1.1. - 1  Evoluţia fondului forestier în judeţul Brăila, în perioada anilor  2013-2017</w:t>
      </w:r>
    </w:p>
    <w:tbl>
      <w:tblPr>
        <w:tblStyle w:val="TableGrid"/>
        <w:tblW w:w="0" w:type="auto"/>
        <w:jc w:val="center"/>
        <w:tblInd w:w="108" w:type="dxa"/>
        <w:shd w:val="clear" w:color="auto" w:fill="FDE9D9" w:themeFill="accent6" w:themeFillTint="33"/>
        <w:tblLook w:val="04A0"/>
      </w:tblPr>
      <w:tblGrid>
        <w:gridCol w:w="3828"/>
        <w:gridCol w:w="992"/>
        <w:gridCol w:w="1134"/>
        <w:gridCol w:w="1134"/>
        <w:gridCol w:w="992"/>
        <w:gridCol w:w="1100"/>
      </w:tblGrid>
      <w:tr w:rsidR="007A21BD" w:rsidRPr="00131F16" w:rsidTr="004E444C">
        <w:trPr>
          <w:jc w:val="center"/>
        </w:trPr>
        <w:tc>
          <w:tcPr>
            <w:tcW w:w="3828" w:type="dxa"/>
            <w:shd w:val="clear" w:color="auto" w:fill="FDE9D9" w:themeFill="accent6" w:themeFillTint="33"/>
          </w:tcPr>
          <w:p w:rsidR="007A21BD" w:rsidRPr="00131F16" w:rsidRDefault="007A21BD" w:rsidP="004E444C">
            <w:pPr>
              <w:rPr>
                <w:rFonts w:ascii="Arial" w:hAnsi="Arial" w:cs="Arial"/>
                <w:sz w:val="24"/>
                <w:szCs w:val="24"/>
              </w:rPr>
            </w:pPr>
          </w:p>
        </w:tc>
        <w:tc>
          <w:tcPr>
            <w:tcW w:w="992"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2013</w:t>
            </w:r>
          </w:p>
        </w:tc>
        <w:tc>
          <w:tcPr>
            <w:tcW w:w="1134"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2014</w:t>
            </w:r>
          </w:p>
        </w:tc>
        <w:tc>
          <w:tcPr>
            <w:tcW w:w="1134"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2015</w:t>
            </w:r>
          </w:p>
        </w:tc>
        <w:tc>
          <w:tcPr>
            <w:tcW w:w="992"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2016</w:t>
            </w:r>
          </w:p>
        </w:tc>
        <w:tc>
          <w:tcPr>
            <w:tcW w:w="1100"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2017</w:t>
            </w:r>
          </w:p>
        </w:tc>
      </w:tr>
      <w:tr w:rsidR="007A21BD" w:rsidRPr="00131F16" w:rsidTr="004E444C">
        <w:trPr>
          <w:jc w:val="center"/>
        </w:trPr>
        <w:tc>
          <w:tcPr>
            <w:tcW w:w="382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Fond forestier (ha)</w:t>
            </w:r>
          </w:p>
        </w:tc>
        <w:tc>
          <w:tcPr>
            <w:tcW w:w="992"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27835</w:t>
            </w:r>
          </w:p>
        </w:tc>
        <w:tc>
          <w:tcPr>
            <w:tcW w:w="1134"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27414</w:t>
            </w:r>
          </w:p>
        </w:tc>
        <w:tc>
          <w:tcPr>
            <w:tcW w:w="1134"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28026</w:t>
            </w:r>
          </w:p>
        </w:tc>
        <w:tc>
          <w:tcPr>
            <w:tcW w:w="992"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28230</w:t>
            </w:r>
          </w:p>
        </w:tc>
        <w:tc>
          <w:tcPr>
            <w:tcW w:w="1100"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28296</w:t>
            </w:r>
          </w:p>
        </w:tc>
      </w:tr>
    </w:tbl>
    <w:p w:rsidR="007A21BD" w:rsidRPr="00131F16" w:rsidRDefault="007A21BD" w:rsidP="007A21BD">
      <w:pPr>
        <w:spacing w:after="0" w:line="240" w:lineRule="auto"/>
        <w:jc w:val="both"/>
        <w:rPr>
          <w:rFonts w:ascii="Arial" w:hAnsi="Arial" w:cs="Arial"/>
          <w:sz w:val="24"/>
          <w:szCs w:val="24"/>
        </w:rPr>
      </w:pPr>
    </w:p>
    <w:p w:rsidR="007A21BD" w:rsidRPr="00131F16" w:rsidRDefault="007A21BD" w:rsidP="007A21BD">
      <w:pPr>
        <w:spacing w:after="0" w:line="240" w:lineRule="auto"/>
        <w:jc w:val="center"/>
        <w:rPr>
          <w:rFonts w:ascii="Arial" w:hAnsi="Arial" w:cs="Arial"/>
          <w:sz w:val="24"/>
          <w:szCs w:val="24"/>
        </w:rPr>
      </w:pPr>
      <w:r w:rsidRPr="00131F16">
        <w:rPr>
          <w:rFonts w:ascii="Arial" w:hAnsi="Arial" w:cs="Arial"/>
          <w:noProof/>
          <w:sz w:val="24"/>
          <w:szCs w:val="24"/>
        </w:rPr>
        <w:drawing>
          <wp:inline distT="0" distB="0" distL="0" distR="0">
            <wp:extent cx="4448175" cy="2019300"/>
            <wp:effectExtent l="19050" t="0" r="9525" b="0"/>
            <wp:docPr id="5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b/>
          <w:sz w:val="24"/>
          <w:szCs w:val="24"/>
        </w:rPr>
        <w:t xml:space="preserve">Figura nr.   </w:t>
      </w:r>
      <w:r w:rsidRPr="00131F16">
        <w:rPr>
          <w:rFonts w:ascii="Arial" w:hAnsi="Arial" w:cs="Arial"/>
          <w:b/>
          <w:sz w:val="24"/>
          <w:szCs w:val="24"/>
          <w:lang w:val="en-US"/>
        </w:rPr>
        <w:t xml:space="preserve">VI.1.1. - 1 </w:t>
      </w:r>
      <w:r w:rsidRPr="00131F16">
        <w:rPr>
          <w:rFonts w:ascii="Arial" w:hAnsi="Arial" w:cs="Arial"/>
          <w:sz w:val="24"/>
          <w:szCs w:val="24"/>
          <w:lang w:val="en-US"/>
        </w:rPr>
        <w:t>Evoluţia fondului forestier în judeţul Brăila, în perioada anilor  2013-2017</w:t>
      </w:r>
    </w:p>
    <w:p w:rsidR="007A21BD" w:rsidRPr="00131F16" w:rsidRDefault="007A21BD" w:rsidP="007A21BD">
      <w:pPr>
        <w:pStyle w:val="Header"/>
        <w:jc w:val="both"/>
        <w:rPr>
          <w:rFonts w:ascii="Arial" w:hAnsi="Arial" w:cs="Arial"/>
          <w:b/>
          <w:sz w:val="24"/>
          <w:szCs w:val="24"/>
        </w:rPr>
      </w:pPr>
      <w:r w:rsidRPr="00131F16">
        <w:rPr>
          <w:rFonts w:ascii="Arial" w:hAnsi="Arial" w:cs="Arial"/>
          <w:sz w:val="24"/>
          <w:szCs w:val="24"/>
        </w:rPr>
        <w:t xml:space="preserve">Conform datelor furnizate de către Garda Forestieră Focşani suprafaţa fondului forestier al judeţului Brăila era în anul 2017 de 28296 ha din care cea mai mare parte este proprietate de stat (23470 ha). </w:t>
      </w:r>
    </w:p>
    <w:p w:rsidR="007A21BD" w:rsidRPr="00131F16" w:rsidRDefault="007A21BD" w:rsidP="007A21BD">
      <w:pPr>
        <w:spacing w:after="0" w:line="240" w:lineRule="auto"/>
        <w:jc w:val="both"/>
        <w:rPr>
          <w:rFonts w:ascii="Arial" w:hAnsi="Arial" w:cs="Arial"/>
          <w:sz w:val="24"/>
          <w:szCs w:val="24"/>
        </w:rPr>
      </w:pPr>
      <w:r w:rsidRPr="00131F16">
        <w:rPr>
          <w:rFonts w:ascii="Arial" w:hAnsi="Arial" w:cs="Arial"/>
          <w:sz w:val="24"/>
          <w:szCs w:val="24"/>
        </w:rPr>
        <w:t>Repartizarea pe forme de proprietate a suprafeţelor din fondul forestier în perioada 2013-2017 este redată în tabelul următor:</w:t>
      </w:r>
    </w:p>
    <w:p w:rsidR="007A21BD" w:rsidRPr="00131F16" w:rsidRDefault="007A21BD" w:rsidP="007A21BD">
      <w:pPr>
        <w:spacing w:after="0" w:line="240" w:lineRule="auto"/>
        <w:jc w:val="both"/>
        <w:rPr>
          <w:rFonts w:ascii="Arial" w:hAnsi="Arial" w:cs="Arial"/>
          <w:sz w:val="24"/>
          <w:szCs w:val="24"/>
        </w:rPr>
      </w:pPr>
      <w:r w:rsidRPr="00131F16">
        <w:rPr>
          <w:rFonts w:ascii="Arial" w:hAnsi="Arial" w:cs="Arial"/>
          <w:sz w:val="24"/>
          <w:szCs w:val="24"/>
          <w:lang w:val="en-US"/>
        </w:rPr>
        <w:t>Tabelul nr.</w:t>
      </w:r>
      <w:r w:rsidRPr="00131F16">
        <w:rPr>
          <w:rFonts w:ascii="Arial" w:hAnsi="Arial" w:cs="Arial"/>
          <w:b/>
          <w:sz w:val="24"/>
          <w:szCs w:val="24"/>
          <w:lang w:val="en-US"/>
        </w:rPr>
        <w:t xml:space="preserve"> VI.1.1. - 2 </w:t>
      </w:r>
      <w:r w:rsidRPr="00131F16">
        <w:rPr>
          <w:rFonts w:ascii="Arial" w:hAnsi="Arial" w:cs="Arial"/>
          <w:sz w:val="24"/>
          <w:szCs w:val="24"/>
        </w:rPr>
        <w:t>Repartiția fondului forestier în judeţul Brăila, pe forme de proprietate, în perioada anilor 2013-2017</w:t>
      </w:r>
    </w:p>
    <w:tbl>
      <w:tblPr>
        <w:tblW w:w="9278" w:type="dxa"/>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4053"/>
        <w:gridCol w:w="927"/>
        <w:gridCol w:w="1057"/>
        <w:gridCol w:w="992"/>
        <w:gridCol w:w="993"/>
        <w:gridCol w:w="1256"/>
      </w:tblGrid>
      <w:tr w:rsidR="007A21BD" w:rsidRPr="00131F16" w:rsidTr="004E444C">
        <w:trPr>
          <w:trHeight w:val="211"/>
          <w:jc w:val="center"/>
        </w:trPr>
        <w:tc>
          <w:tcPr>
            <w:tcW w:w="405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Cs/>
                <w:sz w:val="24"/>
                <w:szCs w:val="24"/>
              </w:rPr>
            </w:pPr>
            <w:r w:rsidRPr="00131F16">
              <w:rPr>
                <w:rFonts w:ascii="Arial" w:hAnsi="Arial" w:cs="Arial"/>
                <w:bCs/>
                <w:sz w:val="24"/>
                <w:szCs w:val="24"/>
              </w:rPr>
              <w:t>Forma de proprietate</w:t>
            </w:r>
          </w:p>
        </w:tc>
        <w:tc>
          <w:tcPr>
            <w:tcW w:w="522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Cs/>
                <w:sz w:val="24"/>
                <w:szCs w:val="24"/>
              </w:rPr>
            </w:pPr>
            <w:r w:rsidRPr="00131F16">
              <w:rPr>
                <w:rFonts w:ascii="Arial" w:hAnsi="Arial" w:cs="Arial"/>
                <w:bCs/>
                <w:sz w:val="24"/>
                <w:szCs w:val="24"/>
              </w:rPr>
              <w:t>Suprafeţe (ha) pe ani</w:t>
            </w:r>
          </w:p>
        </w:tc>
      </w:tr>
      <w:tr w:rsidR="007A21BD" w:rsidRPr="00131F16" w:rsidTr="004E444C">
        <w:trPr>
          <w:trHeight w:val="211"/>
          <w:jc w:val="center"/>
        </w:trPr>
        <w:tc>
          <w:tcPr>
            <w:tcW w:w="4053"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bCs/>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
                <w:bCs/>
                <w:sz w:val="24"/>
                <w:szCs w:val="24"/>
              </w:rPr>
            </w:pPr>
            <w:r w:rsidRPr="00131F16">
              <w:rPr>
                <w:rFonts w:ascii="Arial" w:hAnsi="Arial" w:cs="Arial"/>
                <w:b/>
                <w:bCs/>
                <w:sz w:val="24"/>
                <w:szCs w:val="24"/>
              </w:rPr>
              <w:t>2013</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
                <w:bCs/>
                <w:sz w:val="24"/>
                <w:szCs w:val="24"/>
              </w:rPr>
            </w:pPr>
            <w:r w:rsidRPr="00131F16">
              <w:rPr>
                <w:rFonts w:ascii="Arial" w:hAnsi="Arial" w:cs="Arial"/>
                <w:b/>
                <w:bCs/>
                <w:sz w:val="24"/>
                <w:szCs w:val="24"/>
              </w:rPr>
              <w:t>2014</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
                <w:bCs/>
                <w:sz w:val="24"/>
                <w:szCs w:val="24"/>
              </w:rPr>
            </w:pPr>
            <w:r w:rsidRPr="00131F16">
              <w:rPr>
                <w:rFonts w:ascii="Arial" w:hAnsi="Arial" w:cs="Arial"/>
                <w:b/>
                <w:bCs/>
                <w:sz w:val="24"/>
                <w:szCs w:val="24"/>
              </w:rPr>
              <w:t>2015</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
                <w:bCs/>
                <w:sz w:val="24"/>
                <w:szCs w:val="24"/>
              </w:rPr>
            </w:pPr>
            <w:r w:rsidRPr="00131F16">
              <w:rPr>
                <w:rFonts w:ascii="Arial" w:hAnsi="Arial" w:cs="Arial"/>
                <w:b/>
                <w:bCs/>
                <w:sz w:val="24"/>
                <w:szCs w:val="24"/>
              </w:rPr>
              <w:t>2016</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
                <w:bCs/>
                <w:sz w:val="24"/>
                <w:szCs w:val="24"/>
              </w:rPr>
            </w:pPr>
            <w:r w:rsidRPr="00131F16">
              <w:rPr>
                <w:rFonts w:ascii="Arial" w:hAnsi="Arial" w:cs="Arial"/>
                <w:b/>
                <w:bCs/>
                <w:sz w:val="24"/>
                <w:szCs w:val="24"/>
              </w:rPr>
              <w:t>2017</w:t>
            </w:r>
          </w:p>
        </w:tc>
      </w:tr>
      <w:tr w:rsidR="007A21BD" w:rsidRPr="00131F16" w:rsidTr="004E444C">
        <w:trPr>
          <w:trHeight w:val="211"/>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bCs/>
                <w:sz w:val="24"/>
                <w:szCs w:val="24"/>
              </w:rPr>
            </w:pPr>
            <w:r w:rsidRPr="00131F16">
              <w:rPr>
                <w:rFonts w:ascii="Arial" w:hAnsi="Arial" w:cs="Arial"/>
                <w:sz w:val="24"/>
                <w:szCs w:val="24"/>
              </w:rPr>
              <w:t xml:space="preserve">Proprietate de stat </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24048</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bCs/>
                <w:sz w:val="24"/>
                <w:szCs w:val="24"/>
              </w:rPr>
            </w:pPr>
            <w:r w:rsidRPr="00131F16">
              <w:rPr>
                <w:rFonts w:ascii="Arial" w:hAnsi="Arial" w:cs="Arial"/>
                <w:bCs/>
                <w:sz w:val="24"/>
                <w:szCs w:val="24"/>
              </w:rPr>
              <w:t>24049</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bCs/>
                <w:sz w:val="24"/>
                <w:szCs w:val="24"/>
              </w:rPr>
            </w:pPr>
            <w:r w:rsidRPr="00131F16">
              <w:rPr>
                <w:rFonts w:ascii="Arial" w:hAnsi="Arial" w:cs="Arial"/>
                <w:bCs/>
                <w:sz w:val="24"/>
                <w:szCs w:val="24"/>
              </w:rPr>
              <w:t>24011</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bCs/>
                <w:sz w:val="24"/>
                <w:szCs w:val="24"/>
              </w:rPr>
            </w:pPr>
            <w:r w:rsidRPr="00131F16">
              <w:rPr>
                <w:rFonts w:ascii="Arial" w:hAnsi="Arial" w:cs="Arial"/>
                <w:bCs/>
                <w:sz w:val="24"/>
                <w:szCs w:val="24"/>
              </w:rPr>
              <w:t>24215</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bCs/>
                <w:sz w:val="24"/>
                <w:szCs w:val="24"/>
              </w:rPr>
            </w:pPr>
            <w:r w:rsidRPr="00131F16">
              <w:rPr>
                <w:rFonts w:ascii="Arial" w:hAnsi="Arial" w:cs="Arial"/>
                <w:bCs/>
                <w:sz w:val="24"/>
                <w:szCs w:val="24"/>
              </w:rPr>
              <w:t>22959</w:t>
            </w:r>
          </w:p>
        </w:tc>
      </w:tr>
      <w:tr w:rsidR="007A21BD" w:rsidRPr="00131F16" w:rsidTr="004E444C">
        <w:trPr>
          <w:trHeight w:val="398"/>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Proprietate publică a UAT</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449</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449</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bCs/>
                <w:sz w:val="24"/>
                <w:szCs w:val="24"/>
              </w:rPr>
              <w:t>449</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bCs/>
                <w:sz w:val="24"/>
                <w:szCs w:val="24"/>
              </w:rPr>
              <w:t>449</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511</w:t>
            </w:r>
          </w:p>
        </w:tc>
      </w:tr>
      <w:tr w:rsidR="007A21BD" w:rsidRPr="00131F16" w:rsidTr="004E444C">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Proprietate privată a persoanelor juridice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1520</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1520</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1566</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1566</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2236</w:t>
            </w:r>
          </w:p>
        </w:tc>
      </w:tr>
      <w:tr w:rsidR="007A21BD" w:rsidRPr="00131F16" w:rsidTr="004E444C">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sz w:val="24"/>
                <w:szCs w:val="24"/>
                <w:lang w:val="it-IT"/>
              </w:rPr>
            </w:pPr>
            <w:r w:rsidRPr="00131F16">
              <w:rPr>
                <w:rFonts w:ascii="Arial" w:hAnsi="Arial" w:cs="Arial"/>
                <w:sz w:val="24"/>
                <w:szCs w:val="24"/>
                <w:lang w:val="it-IT"/>
              </w:rPr>
              <w:t>Proprietate privată a persoanelor fizice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1818</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1396</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2000</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2000</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2590</w:t>
            </w:r>
          </w:p>
        </w:tc>
      </w:tr>
      <w:tr w:rsidR="007A21BD" w:rsidRPr="00131F16" w:rsidTr="004E444C">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Total</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27835</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27414</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28026</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28230</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28296</w:t>
            </w:r>
          </w:p>
        </w:tc>
      </w:tr>
      <w:tr w:rsidR="007A21BD" w:rsidRPr="00131F16" w:rsidTr="004E444C">
        <w:trPr>
          <w:trHeight w:val="284"/>
          <w:jc w:val="center"/>
        </w:trPr>
        <w:tc>
          <w:tcPr>
            <w:tcW w:w="40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 din suprafaţa judeţului</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rPr>
                <w:rFonts w:ascii="Arial" w:hAnsi="Arial" w:cs="Arial"/>
                <w:sz w:val="24"/>
                <w:szCs w:val="24"/>
              </w:rPr>
            </w:pPr>
            <w:r w:rsidRPr="00131F16">
              <w:rPr>
                <w:rFonts w:ascii="Arial" w:hAnsi="Arial" w:cs="Arial"/>
                <w:sz w:val="24"/>
                <w:szCs w:val="24"/>
              </w:rPr>
              <w:t>17,11</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17,38</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17,00</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17,10</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tabs>
                <w:tab w:val="left" w:pos="4860"/>
              </w:tabs>
              <w:spacing w:after="0" w:line="240" w:lineRule="auto"/>
              <w:rPr>
                <w:rFonts w:ascii="Arial" w:hAnsi="Arial" w:cs="Arial"/>
                <w:sz w:val="24"/>
                <w:szCs w:val="24"/>
              </w:rPr>
            </w:pPr>
            <w:r w:rsidRPr="00131F16">
              <w:rPr>
                <w:rFonts w:ascii="Arial" w:hAnsi="Arial" w:cs="Arial"/>
                <w:sz w:val="24"/>
                <w:szCs w:val="24"/>
              </w:rPr>
              <w:t>17,20</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VI.1.1. - 3 </w:t>
      </w:r>
      <w:r w:rsidRPr="00131F16">
        <w:rPr>
          <w:rFonts w:ascii="Arial" w:hAnsi="Arial" w:cs="Arial"/>
          <w:sz w:val="24"/>
          <w:szCs w:val="24"/>
          <w:lang w:val="en-US"/>
        </w:rPr>
        <w:t xml:space="preserve">  Evoluţia fondului forestier în judeţul Brăila, în perioada anilor  2013-2017</w:t>
      </w:r>
    </w:p>
    <w:tbl>
      <w:tblPr>
        <w:tblStyle w:val="TableGrid"/>
        <w:tblW w:w="0" w:type="auto"/>
        <w:jc w:val="center"/>
        <w:shd w:val="clear" w:color="auto" w:fill="E5DFEC" w:themeFill="accent4" w:themeFillTint="33"/>
        <w:tblLook w:val="04A0"/>
      </w:tblPr>
      <w:tblGrid>
        <w:gridCol w:w="3912"/>
        <w:gridCol w:w="1006"/>
        <w:gridCol w:w="1130"/>
        <w:gridCol w:w="1130"/>
        <w:gridCol w:w="1014"/>
        <w:gridCol w:w="1096"/>
      </w:tblGrid>
      <w:tr w:rsidR="007A21BD" w:rsidRPr="00131F16" w:rsidTr="004E444C">
        <w:trPr>
          <w:jc w:val="center"/>
        </w:trPr>
        <w:tc>
          <w:tcPr>
            <w:tcW w:w="3912" w:type="dxa"/>
            <w:shd w:val="clear" w:color="auto" w:fill="E5DFEC" w:themeFill="accent4" w:themeFillTint="33"/>
          </w:tcPr>
          <w:p w:rsidR="007A21BD" w:rsidRPr="00131F16" w:rsidRDefault="007A21BD" w:rsidP="004E444C">
            <w:pPr>
              <w:rPr>
                <w:rFonts w:ascii="Arial" w:hAnsi="Arial" w:cs="Arial"/>
                <w:sz w:val="24"/>
                <w:szCs w:val="24"/>
              </w:rPr>
            </w:pPr>
          </w:p>
        </w:tc>
        <w:tc>
          <w:tcPr>
            <w:tcW w:w="1006" w:type="dxa"/>
            <w:shd w:val="clear" w:color="auto" w:fill="E5DFEC" w:themeFill="accent4"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2013</w:t>
            </w:r>
          </w:p>
        </w:tc>
        <w:tc>
          <w:tcPr>
            <w:tcW w:w="1130" w:type="dxa"/>
            <w:shd w:val="clear" w:color="auto" w:fill="E5DFEC" w:themeFill="accent4"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2014</w:t>
            </w:r>
          </w:p>
        </w:tc>
        <w:tc>
          <w:tcPr>
            <w:tcW w:w="1130" w:type="dxa"/>
            <w:shd w:val="clear" w:color="auto" w:fill="E5DFEC" w:themeFill="accent4"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2015</w:t>
            </w:r>
          </w:p>
        </w:tc>
        <w:tc>
          <w:tcPr>
            <w:tcW w:w="1014" w:type="dxa"/>
            <w:shd w:val="clear" w:color="auto" w:fill="E5DFEC" w:themeFill="accent4"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2016</w:t>
            </w:r>
          </w:p>
        </w:tc>
        <w:tc>
          <w:tcPr>
            <w:tcW w:w="1096" w:type="dxa"/>
            <w:shd w:val="clear" w:color="auto" w:fill="E5DFEC" w:themeFill="accent4"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2017</w:t>
            </w:r>
          </w:p>
        </w:tc>
      </w:tr>
      <w:tr w:rsidR="007A21BD" w:rsidRPr="00131F16" w:rsidTr="004E444C">
        <w:trPr>
          <w:jc w:val="center"/>
        </w:trPr>
        <w:tc>
          <w:tcPr>
            <w:tcW w:w="391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Fond forestier/populaţie ( ha/loc)</w:t>
            </w:r>
          </w:p>
        </w:tc>
        <w:tc>
          <w:tcPr>
            <w:tcW w:w="1006"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0,074</w:t>
            </w:r>
          </w:p>
        </w:tc>
        <w:tc>
          <w:tcPr>
            <w:tcW w:w="1130"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0,073</w:t>
            </w:r>
          </w:p>
        </w:tc>
        <w:tc>
          <w:tcPr>
            <w:tcW w:w="1130"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0,075</w:t>
            </w:r>
          </w:p>
        </w:tc>
        <w:tc>
          <w:tcPr>
            <w:tcW w:w="1014"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0,076</w:t>
            </w:r>
          </w:p>
        </w:tc>
        <w:tc>
          <w:tcPr>
            <w:tcW w:w="1096"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0,076</w:t>
            </w:r>
          </w:p>
        </w:tc>
      </w:tr>
    </w:tbl>
    <w:p w:rsidR="007A21BD" w:rsidRPr="00131F16" w:rsidRDefault="007A21BD" w:rsidP="007A21BD">
      <w:pPr>
        <w:pStyle w:val="Default"/>
        <w:jc w:val="both"/>
        <w:rPr>
          <w:rFonts w:ascii="Arial" w:hAnsi="Arial" w:cs="Arial"/>
          <w:color w:val="auto"/>
        </w:rPr>
      </w:pPr>
    </w:p>
    <w:p w:rsidR="007A21BD" w:rsidRPr="00131F16" w:rsidRDefault="007A21BD" w:rsidP="007A21BD">
      <w:pPr>
        <w:pStyle w:val="Default"/>
        <w:jc w:val="center"/>
        <w:rPr>
          <w:rFonts w:ascii="Arial" w:hAnsi="Arial" w:cs="Arial"/>
          <w:color w:val="auto"/>
        </w:rPr>
      </w:pPr>
      <w:r w:rsidRPr="00131F16">
        <w:rPr>
          <w:rFonts w:ascii="Arial" w:hAnsi="Arial" w:cs="Arial"/>
          <w:noProof/>
          <w:color w:val="auto"/>
          <w:lang w:val="ro-RO" w:eastAsia="ro-RO"/>
        </w:rPr>
        <w:lastRenderedPageBreak/>
        <w:drawing>
          <wp:inline distT="0" distB="0" distL="0" distR="0">
            <wp:extent cx="4286250" cy="2247900"/>
            <wp:effectExtent l="19050" t="0" r="19050" b="0"/>
            <wp:docPr id="1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A21BD" w:rsidRPr="00131F16" w:rsidRDefault="007A21BD" w:rsidP="007A21BD">
      <w:pPr>
        <w:pStyle w:val="Default"/>
        <w:jc w:val="center"/>
        <w:rPr>
          <w:rFonts w:ascii="Arial" w:hAnsi="Arial" w:cs="Arial"/>
          <w:color w:val="auto"/>
        </w:rPr>
      </w:pPr>
    </w:p>
    <w:p w:rsidR="007A21BD" w:rsidRPr="00131F16" w:rsidRDefault="007A21BD" w:rsidP="007A21BD">
      <w:pPr>
        <w:spacing w:after="0" w:line="240" w:lineRule="auto"/>
        <w:rPr>
          <w:rFonts w:ascii="Arial" w:hAnsi="Arial" w:cs="Arial"/>
          <w:sz w:val="24"/>
          <w:szCs w:val="24"/>
        </w:rPr>
      </w:pPr>
      <w:r w:rsidRPr="00131F16">
        <w:rPr>
          <w:rFonts w:ascii="Arial" w:hAnsi="Arial" w:cs="Arial"/>
          <w:sz w:val="24"/>
          <w:szCs w:val="24"/>
        </w:rPr>
        <w:t xml:space="preserve">Figura nr.   </w:t>
      </w:r>
      <w:r w:rsidRPr="00131F16">
        <w:rPr>
          <w:rFonts w:ascii="Arial" w:hAnsi="Arial" w:cs="Arial"/>
          <w:b/>
          <w:sz w:val="24"/>
          <w:szCs w:val="24"/>
          <w:lang w:val="en-US"/>
        </w:rPr>
        <w:t xml:space="preserve">VI.1.1. - 2  </w:t>
      </w:r>
      <w:r w:rsidRPr="00131F16">
        <w:rPr>
          <w:rFonts w:ascii="Arial" w:hAnsi="Arial" w:cs="Arial"/>
          <w:sz w:val="24"/>
          <w:szCs w:val="24"/>
          <w:lang w:val="en-US"/>
        </w:rPr>
        <w:t>Evoluţia fondului forestier (ha/loc) în judeţul Brăila, în perioada anilor  2013-2017</w:t>
      </w:r>
    </w:p>
    <w:p w:rsidR="007A21BD" w:rsidRPr="00131F16" w:rsidRDefault="007A21BD" w:rsidP="007A21BD">
      <w:pPr>
        <w:pStyle w:val="Default"/>
        <w:ind w:firstLine="708"/>
        <w:jc w:val="both"/>
        <w:rPr>
          <w:rFonts w:ascii="Arial" w:hAnsi="Arial" w:cs="Arial"/>
          <w:color w:val="auto"/>
        </w:rPr>
      </w:pPr>
      <w:r w:rsidRPr="00131F16">
        <w:rPr>
          <w:rFonts w:ascii="Arial" w:hAnsi="Arial" w:cs="Arial"/>
          <w:color w:val="auto"/>
        </w:rPr>
        <w:t>Raportul dintre creşterea şi tăierea arborilor arată sustenabilitatea producţiei de masă lemnoasă în timp,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7A21BD" w:rsidRPr="00131F16" w:rsidRDefault="007A21BD" w:rsidP="007A21BD">
      <w:pPr>
        <w:pStyle w:val="Default"/>
        <w:jc w:val="both"/>
        <w:rPr>
          <w:rFonts w:ascii="Arial" w:hAnsi="Arial" w:cs="Arial"/>
          <w:color w:val="auto"/>
        </w:rPr>
      </w:pPr>
    </w:p>
    <w:p w:rsidR="007A21BD" w:rsidRPr="00131F16" w:rsidRDefault="007A21BD" w:rsidP="007A21BD">
      <w:pPr>
        <w:pStyle w:val="Default"/>
        <w:jc w:val="both"/>
        <w:rPr>
          <w:rFonts w:ascii="Arial" w:hAnsi="Arial" w:cs="Arial"/>
          <w:color w:val="auto"/>
        </w:rPr>
      </w:pPr>
      <w:r w:rsidRPr="00131F16">
        <w:rPr>
          <w:rFonts w:ascii="Arial" w:hAnsi="Arial" w:cs="Arial"/>
          <w:color w:val="auto"/>
        </w:rPr>
        <w:t>Tabelul nr.</w:t>
      </w:r>
      <w:r w:rsidRPr="00131F16">
        <w:rPr>
          <w:rFonts w:ascii="Arial" w:hAnsi="Arial" w:cs="Arial"/>
          <w:b/>
          <w:color w:val="auto"/>
        </w:rPr>
        <w:t xml:space="preserve"> VI.1.1. - 4 </w:t>
      </w:r>
      <w:r w:rsidRPr="00131F16">
        <w:rPr>
          <w:rFonts w:ascii="Arial" w:hAnsi="Arial" w:cs="Arial"/>
          <w:color w:val="auto"/>
        </w:rPr>
        <w:t>Evoluţia creşterii anuale a fondului forestier comparativ cu tăierea masei lemnoase, în judeţul Brăila, în perioada anilor 2013-2017</w:t>
      </w:r>
    </w:p>
    <w:p w:rsidR="007A21BD" w:rsidRPr="00131F16" w:rsidRDefault="007A21BD" w:rsidP="007A21BD">
      <w:pPr>
        <w:pStyle w:val="Default"/>
        <w:jc w:val="both"/>
        <w:rPr>
          <w:rFonts w:ascii="Arial" w:hAnsi="Arial" w:cs="Arial"/>
          <w:color w:val="auto"/>
        </w:rPr>
      </w:pPr>
    </w:p>
    <w:tbl>
      <w:tblPr>
        <w:tblStyle w:val="TableGrid"/>
        <w:tblW w:w="0" w:type="auto"/>
        <w:jc w:val="center"/>
        <w:tblLook w:val="04A0"/>
      </w:tblPr>
      <w:tblGrid>
        <w:gridCol w:w="3936"/>
        <w:gridCol w:w="992"/>
        <w:gridCol w:w="1134"/>
        <w:gridCol w:w="1134"/>
        <w:gridCol w:w="992"/>
        <w:gridCol w:w="1100"/>
      </w:tblGrid>
      <w:tr w:rsidR="007A21BD" w:rsidRPr="00131F16" w:rsidTr="004E444C">
        <w:trPr>
          <w:jc w:val="center"/>
        </w:trPr>
        <w:tc>
          <w:tcPr>
            <w:tcW w:w="3936" w:type="dxa"/>
            <w:shd w:val="clear" w:color="auto" w:fill="B2A1C7" w:themeFill="accent4" w:themeFillTint="99"/>
          </w:tcPr>
          <w:p w:rsidR="007A21BD" w:rsidRPr="00131F16" w:rsidRDefault="007A21BD" w:rsidP="004E444C">
            <w:pPr>
              <w:jc w:val="both"/>
              <w:rPr>
                <w:rFonts w:ascii="Arial" w:hAnsi="Arial" w:cs="Arial"/>
                <w:sz w:val="24"/>
                <w:szCs w:val="24"/>
              </w:rPr>
            </w:pPr>
          </w:p>
        </w:tc>
        <w:tc>
          <w:tcPr>
            <w:tcW w:w="992" w:type="dxa"/>
            <w:shd w:val="clear" w:color="auto" w:fill="B2A1C7" w:themeFill="accent4" w:themeFillTint="99"/>
            <w:vAlign w:val="center"/>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2013</w:t>
            </w:r>
          </w:p>
        </w:tc>
        <w:tc>
          <w:tcPr>
            <w:tcW w:w="1134" w:type="dxa"/>
            <w:shd w:val="clear" w:color="auto" w:fill="B2A1C7" w:themeFill="accent4" w:themeFillTint="99"/>
            <w:vAlign w:val="center"/>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2014</w:t>
            </w:r>
          </w:p>
        </w:tc>
        <w:tc>
          <w:tcPr>
            <w:tcW w:w="1134" w:type="dxa"/>
            <w:shd w:val="clear" w:color="auto" w:fill="B2A1C7" w:themeFill="accent4" w:themeFillTint="99"/>
            <w:vAlign w:val="center"/>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2015</w:t>
            </w:r>
          </w:p>
        </w:tc>
        <w:tc>
          <w:tcPr>
            <w:tcW w:w="992" w:type="dxa"/>
            <w:shd w:val="clear" w:color="auto" w:fill="B2A1C7" w:themeFill="accent4" w:themeFillTint="99"/>
            <w:vAlign w:val="center"/>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2016</w:t>
            </w:r>
          </w:p>
        </w:tc>
        <w:tc>
          <w:tcPr>
            <w:tcW w:w="1100" w:type="dxa"/>
            <w:shd w:val="clear" w:color="auto" w:fill="B2A1C7" w:themeFill="accent4" w:themeFillTint="99"/>
            <w:vAlign w:val="center"/>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2017</w:t>
            </w:r>
          </w:p>
        </w:tc>
      </w:tr>
      <w:tr w:rsidR="007A21BD" w:rsidRPr="00131F16" w:rsidTr="004E444C">
        <w:trPr>
          <w:jc w:val="center"/>
        </w:trPr>
        <w:tc>
          <w:tcPr>
            <w:tcW w:w="3936"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Creşterea anuală a fondului forestier  (m</w:t>
            </w:r>
            <w:r w:rsidRPr="00131F16">
              <w:rPr>
                <w:rFonts w:ascii="Arial" w:hAnsi="Arial" w:cs="Arial"/>
                <w:sz w:val="24"/>
                <w:szCs w:val="24"/>
                <w:vertAlign w:val="superscript"/>
              </w:rPr>
              <w:t>3</w:t>
            </w:r>
            <w:r w:rsidRPr="00131F16">
              <w:rPr>
                <w:rFonts w:ascii="Arial" w:hAnsi="Arial" w:cs="Arial"/>
                <w:sz w:val="24"/>
                <w:szCs w:val="24"/>
              </w:rPr>
              <w:t>/ha/an)</w:t>
            </w:r>
          </w:p>
          <w:p w:rsidR="007A21BD" w:rsidRPr="00131F16" w:rsidRDefault="007A21BD" w:rsidP="004E444C">
            <w:pPr>
              <w:rPr>
                <w:rFonts w:ascii="Arial" w:hAnsi="Arial" w:cs="Arial"/>
                <w:sz w:val="24"/>
                <w:szCs w:val="24"/>
              </w:rPr>
            </w:pPr>
            <w:r w:rsidRPr="00131F16">
              <w:rPr>
                <w:rFonts w:ascii="Arial" w:hAnsi="Arial" w:cs="Arial"/>
                <w:sz w:val="24"/>
                <w:szCs w:val="24"/>
              </w:rPr>
              <w:t>suprafaţa x creşterea medie anuală (0-2 m3/ha/an pt păduri naturale; 2-18 m3/ha/an pt plantaţii de pădure)</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c>
          <w:tcPr>
            <w:tcW w:w="1100"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r>
      <w:tr w:rsidR="007A21BD" w:rsidRPr="00131F16" w:rsidTr="004E444C">
        <w:trPr>
          <w:jc w:val="center"/>
        </w:trPr>
        <w:tc>
          <w:tcPr>
            <w:tcW w:w="3936"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Tăieri - cantitatea de masă lemnoasă recoltată anual (m</w:t>
            </w:r>
            <w:r w:rsidRPr="00131F16">
              <w:rPr>
                <w:rFonts w:ascii="Arial" w:hAnsi="Arial" w:cs="Arial"/>
                <w:sz w:val="24"/>
                <w:szCs w:val="24"/>
                <w:vertAlign w:val="superscript"/>
              </w:rPr>
              <w:t>3</w:t>
            </w:r>
            <w:r w:rsidRPr="00131F16">
              <w:rPr>
                <w:rFonts w:ascii="Arial" w:hAnsi="Arial" w:cs="Arial"/>
                <w:sz w:val="24"/>
                <w:szCs w:val="24"/>
              </w:rPr>
              <w:t xml:space="preserve">/ha/an) </w:t>
            </w:r>
          </w:p>
          <w:p w:rsidR="007A21BD" w:rsidRPr="00131F16" w:rsidRDefault="007A21BD" w:rsidP="004E444C">
            <w:pPr>
              <w:rPr>
                <w:rFonts w:ascii="Arial" w:hAnsi="Arial" w:cs="Arial"/>
                <w:sz w:val="24"/>
                <w:szCs w:val="24"/>
              </w:rPr>
            </w:pPr>
            <w:r w:rsidRPr="00131F16">
              <w:rPr>
                <w:rFonts w:ascii="Arial" w:hAnsi="Arial" w:cs="Arial"/>
                <w:sz w:val="24"/>
                <w:szCs w:val="24"/>
              </w:rPr>
              <w:t>(cuprinde tăieri pentru industrie, pentru alte utilizări, reziduuri de la rărire şi curăţare)</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5,2</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5,5</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5,3</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5,3</w:t>
            </w:r>
          </w:p>
        </w:tc>
        <w:tc>
          <w:tcPr>
            <w:tcW w:w="1100"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5,3</w:t>
            </w:r>
          </w:p>
        </w:tc>
      </w:tr>
      <w:tr w:rsidR="007A21BD" w:rsidRPr="00131F16" w:rsidTr="004E444C">
        <w:trPr>
          <w:jc w:val="center"/>
        </w:trPr>
        <w:tc>
          <w:tcPr>
            <w:tcW w:w="3936"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Rata de utilizare a pădurilor (%)</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94</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100</w:t>
            </w:r>
          </w:p>
        </w:tc>
        <w:tc>
          <w:tcPr>
            <w:tcW w:w="1134"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96</w:t>
            </w:r>
          </w:p>
        </w:tc>
        <w:tc>
          <w:tcPr>
            <w:tcW w:w="992"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96</w:t>
            </w:r>
          </w:p>
        </w:tc>
        <w:tc>
          <w:tcPr>
            <w:tcW w:w="1100" w:type="dxa"/>
            <w:shd w:val="clear" w:color="auto" w:fill="E5DFEC" w:themeFill="accent4" w:themeFillTint="33"/>
            <w:vAlign w:val="center"/>
          </w:tcPr>
          <w:p w:rsidR="007A21BD" w:rsidRPr="00131F16" w:rsidRDefault="007A21BD" w:rsidP="004E444C">
            <w:pPr>
              <w:jc w:val="center"/>
              <w:rPr>
                <w:rFonts w:ascii="Arial" w:hAnsi="Arial" w:cs="Arial"/>
                <w:sz w:val="24"/>
                <w:szCs w:val="24"/>
              </w:rPr>
            </w:pPr>
            <w:r w:rsidRPr="00131F16">
              <w:rPr>
                <w:rFonts w:ascii="Arial" w:hAnsi="Arial" w:cs="Arial"/>
                <w:sz w:val="24"/>
                <w:szCs w:val="24"/>
              </w:rPr>
              <w:t>96</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noProof/>
          <w:sz w:val="24"/>
          <w:szCs w:val="24"/>
        </w:rPr>
        <w:drawing>
          <wp:inline distT="0" distB="0" distL="0" distR="0">
            <wp:extent cx="5553075" cy="2543175"/>
            <wp:effectExtent l="19050" t="0" r="9525" b="0"/>
            <wp:docPr id="1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A21BD" w:rsidRPr="00131F16" w:rsidRDefault="007A21BD" w:rsidP="007A21BD">
      <w:pPr>
        <w:spacing w:after="0" w:line="240" w:lineRule="auto"/>
        <w:jc w:val="center"/>
        <w:rPr>
          <w:rFonts w:ascii="Arial" w:hAnsi="Arial" w:cs="Arial"/>
          <w:sz w:val="24"/>
          <w:szCs w:val="24"/>
        </w:rPr>
      </w:pP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sz w:val="24"/>
          <w:szCs w:val="24"/>
        </w:rPr>
        <w:lastRenderedPageBreak/>
        <w:t xml:space="preserve">Figura nr.   </w:t>
      </w:r>
      <w:r w:rsidRPr="00131F16">
        <w:rPr>
          <w:rFonts w:ascii="Arial" w:hAnsi="Arial" w:cs="Arial"/>
          <w:b/>
          <w:sz w:val="24"/>
          <w:szCs w:val="24"/>
          <w:lang w:val="en-US"/>
        </w:rPr>
        <w:t xml:space="preserve">VI.1.1. - 3  </w:t>
      </w:r>
      <w:r w:rsidRPr="00131F16">
        <w:rPr>
          <w:rFonts w:ascii="Arial" w:hAnsi="Arial" w:cs="Arial"/>
          <w:sz w:val="24"/>
          <w:szCs w:val="24"/>
        </w:rPr>
        <w:t>Evoluţia creşterii anuale a fondului forestier comparativ cu tăierea masei lemnoase</w:t>
      </w:r>
    </w:p>
    <w:p w:rsidR="007A21BD" w:rsidRPr="00131F16" w:rsidRDefault="007A21BD" w:rsidP="007A21BD">
      <w:pPr>
        <w:spacing w:after="0" w:line="240" w:lineRule="auto"/>
        <w:jc w:val="both"/>
        <w:rPr>
          <w:rFonts w:ascii="Arial" w:hAnsi="Arial" w:cs="Arial"/>
          <w:sz w:val="24"/>
          <w:szCs w:val="24"/>
          <w:lang w:val="en-US"/>
        </w:rPr>
      </w:pPr>
    </w:p>
    <w:p w:rsidR="007A21BD" w:rsidRPr="00131F16" w:rsidRDefault="007A21BD" w:rsidP="007A21BD">
      <w:pPr>
        <w:spacing w:after="0" w:line="240" w:lineRule="auto"/>
        <w:jc w:val="both"/>
        <w:rPr>
          <w:rFonts w:ascii="Arial" w:hAnsi="Arial" w:cs="Arial"/>
          <w:sz w:val="24"/>
          <w:szCs w:val="24"/>
        </w:rPr>
      </w:pPr>
      <w:r w:rsidRPr="00131F16">
        <w:rPr>
          <w:rFonts w:ascii="Arial" w:hAnsi="Arial" w:cs="Arial"/>
          <w:sz w:val="24"/>
          <w:szCs w:val="24"/>
          <w:lang w:val="en-US"/>
        </w:rPr>
        <w:t>Tabelul nr.</w:t>
      </w:r>
      <w:r w:rsidRPr="00131F16">
        <w:rPr>
          <w:rFonts w:ascii="Arial" w:hAnsi="Arial" w:cs="Arial"/>
          <w:b/>
          <w:sz w:val="24"/>
          <w:szCs w:val="24"/>
          <w:lang w:val="en-US"/>
        </w:rPr>
        <w:t xml:space="preserve"> VI.1.1. - 5 </w:t>
      </w:r>
      <w:r w:rsidRPr="00131F16">
        <w:rPr>
          <w:rFonts w:ascii="Arial" w:hAnsi="Arial" w:cs="Arial"/>
          <w:sz w:val="24"/>
          <w:szCs w:val="24"/>
        </w:rPr>
        <w:t xml:space="preserve">Masa lemnoasă pusă în circuitul economic în funcţie de tipul produselor şi esenţă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2"/>
        <w:gridCol w:w="1276"/>
        <w:gridCol w:w="1134"/>
        <w:gridCol w:w="3000"/>
      </w:tblGrid>
      <w:tr w:rsidR="007A21BD" w:rsidRPr="00131F16" w:rsidTr="004E444C">
        <w:trPr>
          <w:jc w:val="center"/>
        </w:trPr>
        <w:tc>
          <w:tcPr>
            <w:tcW w:w="3912"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Tipul produselor</w:t>
            </w:r>
          </w:p>
        </w:tc>
        <w:tc>
          <w:tcPr>
            <w:tcW w:w="541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Esenţa (mii mc)</w:t>
            </w:r>
          </w:p>
        </w:tc>
      </w:tr>
      <w:tr w:rsidR="007A21BD" w:rsidRPr="00131F16" w:rsidTr="004E444C">
        <w:trPr>
          <w:jc w:val="center"/>
        </w:trPr>
        <w:tc>
          <w:tcPr>
            <w:tcW w:w="391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spacing w:after="0" w:line="240" w:lineRule="auto"/>
              <w:jc w:val="both"/>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Plop</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Salcie</w:t>
            </w:r>
          </w:p>
        </w:tc>
        <w:tc>
          <w:tcPr>
            <w:tcW w:w="300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Alte esenţe</w:t>
            </w:r>
          </w:p>
        </w:tc>
      </w:tr>
      <w:tr w:rsidR="007A21BD" w:rsidRPr="00131F16" w:rsidTr="004E444C">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Principale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30,0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20,1</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1,5</w:t>
            </w:r>
          </w:p>
        </w:tc>
      </w:tr>
      <w:tr w:rsidR="007A21BD" w:rsidRPr="00131F16" w:rsidTr="004E444C">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Secundare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2,2</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2</w:t>
            </w:r>
          </w:p>
        </w:tc>
      </w:tr>
      <w:tr w:rsidR="007A21BD" w:rsidRPr="00131F16" w:rsidTr="004E444C">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Accidentale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0</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sz w:val="24"/>
                <w:szCs w:val="24"/>
              </w:rPr>
            </w:pPr>
            <w:r w:rsidRPr="00131F16">
              <w:rPr>
                <w:rFonts w:ascii="Arial" w:hAnsi="Arial" w:cs="Arial"/>
                <w:sz w:val="24"/>
                <w:szCs w:val="24"/>
              </w:rPr>
              <w:t>0</w:t>
            </w:r>
          </w:p>
        </w:tc>
      </w:tr>
      <w:tr w:rsidR="007A21BD" w:rsidRPr="00131F16" w:rsidTr="004E444C">
        <w:trPr>
          <w:jc w:val="center"/>
        </w:trPr>
        <w:tc>
          <w:tcPr>
            <w:tcW w:w="39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b/>
                <w:sz w:val="24"/>
                <w:szCs w:val="24"/>
              </w:rPr>
            </w:pPr>
            <w:r w:rsidRPr="00131F16">
              <w:rPr>
                <w:rFonts w:ascii="Arial" w:hAnsi="Arial" w:cs="Arial"/>
                <w:b/>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b/>
                <w:sz w:val="24"/>
                <w:szCs w:val="24"/>
              </w:rPr>
            </w:pPr>
            <w:r w:rsidRPr="00131F16">
              <w:rPr>
                <w:rFonts w:ascii="Arial" w:hAnsi="Arial" w:cs="Arial"/>
                <w:b/>
                <w:sz w:val="24"/>
                <w:szCs w:val="24"/>
              </w:rPr>
              <w:t>33,5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b/>
                <w:sz w:val="24"/>
                <w:szCs w:val="24"/>
              </w:rPr>
            </w:pPr>
            <w:r w:rsidRPr="00131F16">
              <w:rPr>
                <w:rFonts w:ascii="Arial" w:hAnsi="Arial" w:cs="Arial"/>
                <w:b/>
                <w:sz w:val="24"/>
                <w:szCs w:val="24"/>
              </w:rPr>
              <w:t>22,1</w:t>
            </w:r>
          </w:p>
        </w:tc>
        <w:tc>
          <w:tcPr>
            <w:tcW w:w="30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A21BD" w:rsidRPr="00131F16" w:rsidRDefault="007A21BD" w:rsidP="004E444C">
            <w:pPr>
              <w:tabs>
                <w:tab w:val="left" w:pos="4860"/>
              </w:tabs>
              <w:spacing w:after="0" w:line="240" w:lineRule="auto"/>
              <w:jc w:val="both"/>
              <w:rPr>
                <w:rFonts w:ascii="Arial" w:hAnsi="Arial" w:cs="Arial"/>
                <w:b/>
                <w:sz w:val="24"/>
                <w:szCs w:val="24"/>
              </w:rPr>
            </w:pPr>
            <w:r w:rsidRPr="00131F16">
              <w:rPr>
                <w:rFonts w:ascii="Arial" w:hAnsi="Arial" w:cs="Arial"/>
                <w:b/>
                <w:sz w:val="24"/>
                <w:szCs w:val="24"/>
              </w:rPr>
              <w:t>3,5</w:t>
            </w:r>
          </w:p>
        </w:tc>
      </w:tr>
    </w:tbl>
    <w:p w:rsidR="007A21BD" w:rsidRPr="00131F16" w:rsidRDefault="007A21BD" w:rsidP="007A21BD">
      <w:pPr>
        <w:spacing w:after="0" w:line="240" w:lineRule="auto"/>
        <w:jc w:val="both"/>
        <w:rPr>
          <w:rFonts w:ascii="Arial" w:hAnsi="Arial" w:cs="Arial"/>
          <w:sz w:val="24"/>
          <w:szCs w:val="24"/>
        </w:rPr>
      </w:pPr>
    </w:p>
    <w:p w:rsidR="007A21BD" w:rsidRPr="00131F16" w:rsidRDefault="007A21BD" w:rsidP="007A21BD">
      <w:pPr>
        <w:spacing w:after="0" w:line="240" w:lineRule="auto"/>
        <w:jc w:val="center"/>
        <w:rPr>
          <w:rFonts w:ascii="Arial" w:hAnsi="Arial" w:cs="Arial"/>
          <w:sz w:val="24"/>
          <w:szCs w:val="24"/>
        </w:rPr>
      </w:pPr>
      <w:r w:rsidRPr="00131F16">
        <w:rPr>
          <w:rFonts w:ascii="Arial" w:hAnsi="Arial" w:cs="Arial"/>
          <w:noProof/>
          <w:sz w:val="24"/>
          <w:szCs w:val="24"/>
        </w:rPr>
        <w:drawing>
          <wp:inline distT="0" distB="0" distL="0" distR="0">
            <wp:extent cx="4848225" cy="2495550"/>
            <wp:effectExtent l="19050" t="0" r="9525" b="0"/>
            <wp:docPr id="1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A21BD" w:rsidRPr="00131F16" w:rsidRDefault="007A21BD" w:rsidP="007A21BD">
      <w:pPr>
        <w:spacing w:after="0" w:line="240" w:lineRule="auto"/>
        <w:jc w:val="both"/>
        <w:rPr>
          <w:rFonts w:ascii="Arial" w:hAnsi="Arial" w:cs="Arial"/>
          <w:sz w:val="24"/>
          <w:szCs w:val="24"/>
        </w:rPr>
      </w:pPr>
      <w:r w:rsidRPr="00131F16">
        <w:rPr>
          <w:rFonts w:ascii="Arial" w:hAnsi="Arial" w:cs="Arial"/>
          <w:sz w:val="24"/>
          <w:szCs w:val="24"/>
        </w:rPr>
        <w:t xml:space="preserve">               Figura nr.   </w:t>
      </w:r>
      <w:r w:rsidRPr="00131F16">
        <w:rPr>
          <w:rFonts w:ascii="Arial" w:hAnsi="Arial" w:cs="Arial"/>
          <w:b/>
          <w:sz w:val="24"/>
          <w:szCs w:val="24"/>
          <w:lang w:val="en-US"/>
        </w:rPr>
        <w:t>VI.1.1. - 4    Masa lemnoasă pusă în circuitul economic</w:t>
      </w:r>
    </w:p>
    <w:p w:rsidR="007A21BD" w:rsidRPr="00131F16" w:rsidRDefault="007A21BD" w:rsidP="007A21BD">
      <w:pPr>
        <w:spacing w:after="0" w:line="240" w:lineRule="auto"/>
        <w:ind w:firstLine="708"/>
        <w:jc w:val="both"/>
        <w:rPr>
          <w:rFonts w:ascii="Arial" w:hAnsi="Arial" w:cs="Arial"/>
          <w:sz w:val="24"/>
          <w:szCs w:val="24"/>
          <w:lang w:val="en-US"/>
        </w:rPr>
      </w:pPr>
      <w:r w:rsidRPr="00131F16">
        <w:rPr>
          <w:rFonts w:ascii="Arial" w:hAnsi="Arial" w:cs="Arial"/>
          <w:sz w:val="24"/>
          <w:szCs w:val="24"/>
          <w:lang w:val="en-US"/>
        </w:rPr>
        <w:t>După cum rezultă din tabelul următor, aproape întreaga suprafață a fondului forestier brăilean este alcătuită din păduri de foioase.</w:t>
      </w:r>
    </w:p>
    <w:p w:rsidR="007A21BD" w:rsidRPr="00131F16" w:rsidRDefault="007A21BD" w:rsidP="007A21BD">
      <w:pPr>
        <w:spacing w:after="0" w:line="240" w:lineRule="auto"/>
        <w:jc w:val="both"/>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VI.1.1. - 6 </w:t>
      </w:r>
      <w:r w:rsidRPr="00131F16">
        <w:rPr>
          <w:rFonts w:ascii="Arial" w:hAnsi="Arial" w:cs="Arial"/>
          <w:sz w:val="24"/>
          <w:szCs w:val="24"/>
        </w:rPr>
        <w:t xml:space="preserve">Ponderea compoziţiei fondului forestier  în judeţul Brăila în perioada anilor  </w:t>
      </w:r>
      <w:r w:rsidRPr="00131F16">
        <w:rPr>
          <w:rFonts w:ascii="Arial" w:hAnsi="Arial" w:cs="Arial"/>
          <w:sz w:val="24"/>
          <w:szCs w:val="24"/>
          <w:lang w:val="en-US"/>
        </w:rPr>
        <w:t>2013-2017</w:t>
      </w:r>
    </w:p>
    <w:tbl>
      <w:tblPr>
        <w:tblStyle w:val="TableGrid"/>
        <w:tblW w:w="0" w:type="auto"/>
        <w:tblInd w:w="250" w:type="dxa"/>
        <w:tblLook w:val="04A0"/>
      </w:tblPr>
      <w:tblGrid>
        <w:gridCol w:w="3601"/>
        <w:gridCol w:w="962"/>
        <w:gridCol w:w="1119"/>
        <w:gridCol w:w="1119"/>
        <w:gridCol w:w="982"/>
        <w:gridCol w:w="1255"/>
      </w:tblGrid>
      <w:tr w:rsidR="007A21BD" w:rsidRPr="00131F16" w:rsidTr="004E444C">
        <w:tc>
          <w:tcPr>
            <w:tcW w:w="3601" w:type="dxa"/>
            <w:shd w:val="clear" w:color="auto" w:fill="CCC0D9" w:themeFill="accent4" w:themeFillTint="66"/>
          </w:tcPr>
          <w:p w:rsidR="007A21BD" w:rsidRPr="00131F16" w:rsidRDefault="007A21BD" w:rsidP="004E444C">
            <w:pPr>
              <w:jc w:val="both"/>
              <w:rPr>
                <w:rFonts w:ascii="Arial" w:hAnsi="Arial" w:cs="Arial"/>
                <w:b/>
                <w:sz w:val="24"/>
                <w:szCs w:val="24"/>
              </w:rPr>
            </w:pPr>
          </w:p>
        </w:tc>
        <w:tc>
          <w:tcPr>
            <w:tcW w:w="962" w:type="dxa"/>
            <w:shd w:val="clear" w:color="auto" w:fill="CCC0D9" w:themeFill="accent4" w:themeFillTint="66"/>
          </w:tcPr>
          <w:p w:rsidR="007A21BD" w:rsidRPr="00131F16" w:rsidRDefault="007A21BD" w:rsidP="004E444C">
            <w:pPr>
              <w:jc w:val="both"/>
              <w:rPr>
                <w:rFonts w:ascii="Arial" w:hAnsi="Arial" w:cs="Arial"/>
                <w:b/>
                <w:sz w:val="24"/>
                <w:szCs w:val="24"/>
              </w:rPr>
            </w:pPr>
            <w:r w:rsidRPr="00131F16">
              <w:rPr>
                <w:rFonts w:ascii="Arial" w:hAnsi="Arial" w:cs="Arial"/>
                <w:b/>
                <w:sz w:val="24"/>
                <w:szCs w:val="24"/>
              </w:rPr>
              <w:t>2013</w:t>
            </w:r>
          </w:p>
        </w:tc>
        <w:tc>
          <w:tcPr>
            <w:tcW w:w="1119" w:type="dxa"/>
            <w:shd w:val="clear" w:color="auto" w:fill="CCC0D9" w:themeFill="accent4" w:themeFillTint="66"/>
          </w:tcPr>
          <w:p w:rsidR="007A21BD" w:rsidRPr="00131F16" w:rsidRDefault="007A21BD" w:rsidP="004E444C">
            <w:pPr>
              <w:jc w:val="both"/>
              <w:rPr>
                <w:rFonts w:ascii="Arial" w:hAnsi="Arial" w:cs="Arial"/>
                <w:b/>
                <w:sz w:val="24"/>
                <w:szCs w:val="24"/>
              </w:rPr>
            </w:pPr>
            <w:r w:rsidRPr="00131F16">
              <w:rPr>
                <w:rFonts w:ascii="Arial" w:hAnsi="Arial" w:cs="Arial"/>
                <w:b/>
                <w:sz w:val="24"/>
                <w:szCs w:val="24"/>
              </w:rPr>
              <w:t>2014</w:t>
            </w:r>
          </w:p>
        </w:tc>
        <w:tc>
          <w:tcPr>
            <w:tcW w:w="1119" w:type="dxa"/>
            <w:shd w:val="clear" w:color="auto" w:fill="CCC0D9" w:themeFill="accent4" w:themeFillTint="66"/>
          </w:tcPr>
          <w:p w:rsidR="007A21BD" w:rsidRPr="00131F16" w:rsidRDefault="007A21BD" w:rsidP="004E444C">
            <w:pPr>
              <w:jc w:val="both"/>
              <w:rPr>
                <w:rFonts w:ascii="Arial" w:hAnsi="Arial" w:cs="Arial"/>
                <w:b/>
                <w:sz w:val="24"/>
                <w:szCs w:val="24"/>
              </w:rPr>
            </w:pPr>
            <w:r w:rsidRPr="00131F16">
              <w:rPr>
                <w:rFonts w:ascii="Arial" w:hAnsi="Arial" w:cs="Arial"/>
                <w:b/>
                <w:sz w:val="24"/>
                <w:szCs w:val="24"/>
              </w:rPr>
              <w:t>2015</w:t>
            </w:r>
          </w:p>
        </w:tc>
        <w:tc>
          <w:tcPr>
            <w:tcW w:w="982" w:type="dxa"/>
            <w:shd w:val="clear" w:color="auto" w:fill="CCC0D9" w:themeFill="accent4" w:themeFillTint="66"/>
          </w:tcPr>
          <w:p w:rsidR="007A21BD" w:rsidRPr="00131F16" w:rsidRDefault="007A21BD" w:rsidP="004E444C">
            <w:pPr>
              <w:jc w:val="both"/>
              <w:rPr>
                <w:rFonts w:ascii="Arial" w:hAnsi="Arial" w:cs="Arial"/>
                <w:b/>
                <w:sz w:val="24"/>
                <w:szCs w:val="24"/>
              </w:rPr>
            </w:pPr>
            <w:r w:rsidRPr="00131F16">
              <w:rPr>
                <w:rFonts w:ascii="Arial" w:hAnsi="Arial" w:cs="Arial"/>
                <w:b/>
                <w:sz w:val="24"/>
                <w:szCs w:val="24"/>
              </w:rPr>
              <w:t>2016</w:t>
            </w:r>
          </w:p>
        </w:tc>
        <w:tc>
          <w:tcPr>
            <w:tcW w:w="1255" w:type="dxa"/>
            <w:shd w:val="clear" w:color="auto" w:fill="CCC0D9" w:themeFill="accent4" w:themeFillTint="66"/>
          </w:tcPr>
          <w:p w:rsidR="007A21BD" w:rsidRPr="00131F16" w:rsidRDefault="007A21BD" w:rsidP="004E444C">
            <w:pPr>
              <w:jc w:val="both"/>
              <w:rPr>
                <w:rFonts w:ascii="Arial" w:hAnsi="Arial" w:cs="Arial"/>
                <w:b/>
                <w:sz w:val="24"/>
                <w:szCs w:val="24"/>
              </w:rPr>
            </w:pPr>
            <w:r w:rsidRPr="00131F16">
              <w:rPr>
                <w:rFonts w:ascii="Arial" w:hAnsi="Arial" w:cs="Arial"/>
                <w:b/>
                <w:sz w:val="24"/>
                <w:szCs w:val="24"/>
              </w:rPr>
              <w:t>2017</w:t>
            </w:r>
          </w:p>
        </w:tc>
      </w:tr>
      <w:tr w:rsidR="007A21BD" w:rsidRPr="00131F16" w:rsidTr="004E444C">
        <w:tc>
          <w:tcPr>
            <w:tcW w:w="3601" w:type="dxa"/>
            <w:shd w:val="clear" w:color="auto" w:fill="E5DFEC" w:themeFill="accent4" w:themeFillTint="33"/>
          </w:tcPr>
          <w:p w:rsidR="007A21BD" w:rsidRPr="00131F16" w:rsidRDefault="007A21BD" w:rsidP="004E444C">
            <w:pPr>
              <w:jc w:val="both"/>
              <w:rPr>
                <w:rFonts w:ascii="Arial" w:hAnsi="Arial" w:cs="Arial"/>
                <w:sz w:val="24"/>
                <w:szCs w:val="24"/>
              </w:rPr>
            </w:pPr>
            <w:r w:rsidRPr="00131F16">
              <w:rPr>
                <w:rFonts w:ascii="Arial" w:hAnsi="Arial" w:cs="Arial"/>
                <w:sz w:val="24"/>
                <w:szCs w:val="24"/>
              </w:rPr>
              <w:t>Păduri de foioase(%)</w:t>
            </w:r>
          </w:p>
        </w:tc>
        <w:tc>
          <w:tcPr>
            <w:tcW w:w="96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98,0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98,0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98,0</w:t>
            </w:r>
          </w:p>
        </w:tc>
        <w:tc>
          <w:tcPr>
            <w:tcW w:w="98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98,0</w:t>
            </w:r>
          </w:p>
        </w:tc>
        <w:tc>
          <w:tcPr>
            <w:tcW w:w="1255"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98,0</w:t>
            </w:r>
          </w:p>
        </w:tc>
      </w:tr>
      <w:tr w:rsidR="007A21BD" w:rsidRPr="00131F16" w:rsidTr="004E444C">
        <w:tc>
          <w:tcPr>
            <w:tcW w:w="3601" w:type="dxa"/>
            <w:shd w:val="clear" w:color="auto" w:fill="E5DFEC" w:themeFill="accent4" w:themeFillTint="33"/>
          </w:tcPr>
          <w:p w:rsidR="007A21BD" w:rsidRPr="00131F16" w:rsidRDefault="007A21BD" w:rsidP="004E444C">
            <w:pPr>
              <w:jc w:val="both"/>
              <w:rPr>
                <w:rFonts w:ascii="Arial" w:hAnsi="Arial" w:cs="Arial"/>
                <w:sz w:val="24"/>
                <w:szCs w:val="24"/>
              </w:rPr>
            </w:pPr>
            <w:r w:rsidRPr="00131F16">
              <w:rPr>
                <w:rFonts w:ascii="Arial" w:hAnsi="Arial" w:cs="Arial"/>
                <w:sz w:val="24"/>
                <w:szCs w:val="24"/>
              </w:rPr>
              <w:t>Păduri de cvercinee(%)</w:t>
            </w:r>
          </w:p>
        </w:tc>
        <w:tc>
          <w:tcPr>
            <w:tcW w:w="96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98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255"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r>
      <w:tr w:rsidR="007A21BD" w:rsidRPr="00131F16" w:rsidTr="004E444C">
        <w:tc>
          <w:tcPr>
            <w:tcW w:w="3601" w:type="dxa"/>
            <w:shd w:val="clear" w:color="auto" w:fill="E5DFEC" w:themeFill="accent4" w:themeFillTint="33"/>
          </w:tcPr>
          <w:p w:rsidR="007A21BD" w:rsidRPr="00131F16" w:rsidRDefault="007A21BD" w:rsidP="004E444C">
            <w:pPr>
              <w:jc w:val="both"/>
              <w:rPr>
                <w:rFonts w:ascii="Arial" w:hAnsi="Arial" w:cs="Arial"/>
                <w:sz w:val="24"/>
                <w:szCs w:val="24"/>
              </w:rPr>
            </w:pPr>
            <w:r w:rsidRPr="00131F16">
              <w:rPr>
                <w:rFonts w:ascii="Arial" w:hAnsi="Arial" w:cs="Arial"/>
                <w:sz w:val="24"/>
                <w:szCs w:val="24"/>
              </w:rPr>
              <w:t>Alte terenuri (%)</w:t>
            </w:r>
          </w:p>
        </w:tc>
        <w:tc>
          <w:tcPr>
            <w:tcW w:w="96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119"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982"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c>
          <w:tcPr>
            <w:tcW w:w="1255" w:type="dxa"/>
            <w:shd w:val="clear" w:color="auto" w:fill="E5DFEC" w:themeFill="accent4"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r>
    </w:tbl>
    <w:p w:rsidR="007A21BD" w:rsidRPr="00131F16" w:rsidRDefault="007A21BD" w:rsidP="007A21BD">
      <w:pPr>
        <w:pStyle w:val="Default"/>
        <w:rPr>
          <w:rFonts w:ascii="Arial" w:hAnsi="Arial" w:cs="Arial"/>
          <w:color w:val="auto"/>
        </w:rPr>
      </w:pP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noProof/>
          <w:sz w:val="24"/>
          <w:szCs w:val="24"/>
        </w:rPr>
        <w:drawing>
          <wp:inline distT="0" distB="0" distL="0" distR="0">
            <wp:extent cx="4752975" cy="2695575"/>
            <wp:effectExtent l="0" t="0" r="9525" b="9525"/>
            <wp:docPr id="24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A21BD" w:rsidRPr="00131F16" w:rsidRDefault="007A21BD" w:rsidP="007A21BD">
      <w:pPr>
        <w:pStyle w:val="Default"/>
        <w:jc w:val="center"/>
        <w:rPr>
          <w:rFonts w:ascii="Arial" w:hAnsi="Arial" w:cs="Arial"/>
          <w:color w:val="auto"/>
        </w:rPr>
      </w:pPr>
    </w:p>
    <w:p w:rsidR="007A21BD" w:rsidRPr="00131F16" w:rsidRDefault="007A21BD" w:rsidP="007A21BD">
      <w:pPr>
        <w:pStyle w:val="Default"/>
        <w:jc w:val="center"/>
        <w:rPr>
          <w:rFonts w:ascii="Arial" w:hAnsi="Arial" w:cs="Arial"/>
          <w:b/>
          <w:color w:val="auto"/>
        </w:rPr>
      </w:pPr>
      <w:r w:rsidRPr="00131F16">
        <w:rPr>
          <w:rFonts w:ascii="Arial" w:hAnsi="Arial" w:cs="Arial"/>
          <w:color w:val="auto"/>
        </w:rPr>
        <w:t xml:space="preserve">Figura nr.   </w:t>
      </w:r>
      <w:r w:rsidRPr="00131F16">
        <w:rPr>
          <w:rFonts w:ascii="Arial" w:hAnsi="Arial" w:cs="Arial"/>
          <w:b/>
          <w:color w:val="auto"/>
        </w:rPr>
        <w:t xml:space="preserve">VI.1.1. -5 </w:t>
      </w:r>
      <w:r w:rsidRPr="00131F16">
        <w:rPr>
          <w:rFonts w:ascii="Arial" w:hAnsi="Arial" w:cs="Arial"/>
          <w:color w:val="auto"/>
        </w:rPr>
        <w:t>Ponderea compoziţiei fondului forestier</w:t>
      </w:r>
    </w:p>
    <w:p w:rsidR="007A21BD" w:rsidRPr="00131F16" w:rsidRDefault="007A21BD" w:rsidP="007A21BD">
      <w:pPr>
        <w:pStyle w:val="Default"/>
        <w:jc w:val="center"/>
        <w:rPr>
          <w:rFonts w:ascii="Arial" w:hAnsi="Arial" w:cs="Arial"/>
          <w:color w:val="auto"/>
        </w:rPr>
      </w:pPr>
    </w:p>
    <w:p w:rsidR="007A21BD" w:rsidRPr="00131F16" w:rsidRDefault="007A21BD" w:rsidP="007A21BD">
      <w:pPr>
        <w:spacing w:after="0" w:line="240" w:lineRule="auto"/>
        <w:rPr>
          <w:rFonts w:ascii="Arial" w:hAnsi="Arial" w:cs="Arial"/>
          <w:b/>
          <w:sz w:val="24"/>
          <w:szCs w:val="24"/>
          <w:lang w:val="en-US"/>
        </w:rPr>
      </w:pPr>
    </w:p>
    <w:p w:rsidR="007A21BD" w:rsidRPr="00131F16" w:rsidRDefault="007A21BD" w:rsidP="007A21BD">
      <w:pPr>
        <w:spacing w:after="0" w:line="240" w:lineRule="auto"/>
        <w:rPr>
          <w:rFonts w:ascii="Arial" w:hAnsi="Arial" w:cs="Arial"/>
          <w:b/>
          <w:i/>
          <w:sz w:val="24"/>
          <w:szCs w:val="24"/>
          <w:lang w:val="en-US"/>
        </w:rPr>
      </w:pPr>
      <w:r w:rsidRPr="00131F16">
        <w:rPr>
          <w:rFonts w:ascii="Arial" w:hAnsi="Arial" w:cs="Arial"/>
          <w:b/>
          <w:i/>
          <w:sz w:val="24"/>
          <w:szCs w:val="24"/>
          <w:lang w:val="en-US"/>
        </w:rPr>
        <w:lastRenderedPageBreak/>
        <w:t>VI.1.2. Distribuţia pădurilor după principalele forme de relief</w:t>
      </w:r>
    </w:p>
    <w:p w:rsidR="007A21BD" w:rsidRPr="00131F16" w:rsidRDefault="007A21BD" w:rsidP="007A21BD">
      <w:pPr>
        <w:spacing w:after="0" w:line="240" w:lineRule="auto"/>
        <w:rPr>
          <w:rFonts w:ascii="Arial" w:hAnsi="Arial" w:cs="Arial"/>
          <w:b/>
          <w:sz w:val="24"/>
          <w:szCs w:val="24"/>
          <w:lang w:val="en-US"/>
        </w:rPr>
      </w:pPr>
    </w:p>
    <w:p w:rsidR="007A21BD" w:rsidRPr="00131F16" w:rsidRDefault="007A21BD" w:rsidP="007A21BD">
      <w:pPr>
        <w:spacing w:after="0" w:line="240" w:lineRule="auto"/>
        <w:ind w:firstLine="708"/>
        <w:jc w:val="both"/>
        <w:rPr>
          <w:rFonts w:ascii="Arial" w:hAnsi="Arial" w:cs="Arial"/>
          <w:sz w:val="24"/>
          <w:szCs w:val="24"/>
        </w:rPr>
      </w:pPr>
      <w:r w:rsidRPr="00131F16">
        <w:rPr>
          <w:rFonts w:ascii="Arial" w:hAnsi="Arial" w:cs="Arial"/>
          <w:sz w:val="24"/>
          <w:szCs w:val="24"/>
        </w:rPr>
        <w:t>Judeţul Brăila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 Dacă în trupurile izolate şi pe terasă predomină esenţele tari (ulm, stejar, frasin, salcâm), pădurile din luncă sunt alcătuite din plop şi salcie.</w:t>
      </w: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VI.1.2. -1</w:t>
      </w:r>
      <w:r w:rsidRPr="00131F16">
        <w:rPr>
          <w:rFonts w:ascii="Arial" w:hAnsi="Arial" w:cs="Arial"/>
          <w:sz w:val="24"/>
          <w:szCs w:val="24"/>
          <w:lang w:val="en-US"/>
        </w:rPr>
        <w:t xml:space="preserve"> Distribuţia pădurilor după principalele forme de relief </w:t>
      </w:r>
    </w:p>
    <w:tbl>
      <w:tblPr>
        <w:tblStyle w:val="TableGrid"/>
        <w:tblW w:w="0" w:type="auto"/>
        <w:jc w:val="center"/>
        <w:shd w:val="clear" w:color="auto" w:fill="FDE9D9" w:themeFill="accent6" w:themeFillTint="33"/>
        <w:tblLook w:val="04A0"/>
      </w:tblPr>
      <w:tblGrid>
        <w:gridCol w:w="4644"/>
        <w:gridCol w:w="4644"/>
      </w:tblGrid>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Principalele forme de relief</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Ponderea pădurilor după principalele forme de relief (%)</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Câmpie</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100%</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ind w:firstLine="708"/>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VI.1.2. - 2</w:t>
      </w:r>
      <w:r w:rsidRPr="00131F16">
        <w:rPr>
          <w:rFonts w:ascii="Arial" w:hAnsi="Arial" w:cs="Arial"/>
          <w:sz w:val="24"/>
          <w:szCs w:val="24"/>
          <w:lang w:val="en-US"/>
        </w:rPr>
        <w:t xml:space="preserve"> Distribuţia pădurilor pe specii şi grupe de specii </w:t>
      </w:r>
    </w:p>
    <w:tbl>
      <w:tblPr>
        <w:tblStyle w:val="TableGrid"/>
        <w:tblW w:w="0" w:type="auto"/>
        <w:jc w:val="center"/>
        <w:shd w:val="clear" w:color="auto" w:fill="FDE9D9" w:themeFill="accent6" w:themeFillTint="33"/>
        <w:tblLook w:val="04A0"/>
      </w:tblPr>
      <w:tblGrid>
        <w:gridCol w:w="4644"/>
        <w:gridCol w:w="4644"/>
      </w:tblGrid>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Principalele tipuri</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Ponderea speciilor  (%)</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Fag</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0</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Stejar</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1,0</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Diverse tari</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12,0</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Diverse moi</w:t>
            </w:r>
          </w:p>
        </w:tc>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87,0</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VI.1.2. -1</w:t>
      </w:r>
      <w:r w:rsidRPr="00131F16">
        <w:rPr>
          <w:rFonts w:ascii="Arial" w:hAnsi="Arial" w:cs="Arial"/>
          <w:sz w:val="24"/>
          <w:szCs w:val="24"/>
          <w:lang w:val="en-US"/>
        </w:rPr>
        <w:t xml:space="preserve"> Distribuţia pădurilor, grupe de specii, după principalele forme de relief  </w:t>
      </w: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sz w:val="24"/>
          <w:szCs w:val="24"/>
          <w:lang w:val="en-US"/>
        </w:rPr>
        <w:t>(ha)</w:t>
      </w:r>
    </w:p>
    <w:tbl>
      <w:tblPr>
        <w:tblStyle w:val="TableGrid"/>
        <w:tblW w:w="0" w:type="auto"/>
        <w:jc w:val="center"/>
        <w:shd w:val="clear" w:color="auto" w:fill="FDE9D9" w:themeFill="accent6" w:themeFillTint="33"/>
        <w:tblLook w:val="04A0"/>
      </w:tblPr>
      <w:tblGrid>
        <w:gridCol w:w="1548"/>
        <w:gridCol w:w="1548"/>
        <w:gridCol w:w="1548"/>
        <w:gridCol w:w="1548"/>
        <w:gridCol w:w="1565"/>
        <w:gridCol w:w="1565"/>
      </w:tblGrid>
      <w:tr w:rsidR="007A21BD" w:rsidRPr="00131F16" w:rsidTr="004E444C">
        <w:trPr>
          <w:jc w:val="center"/>
        </w:trPr>
        <w:tc>
          <w:tcPr>
            <w:tcW w:w="1548" w:type="dxa"/>
            <w:shd w:val="clear" w:color="auto" w:fill="FDE9D9" w:themeFill="accent6" w:themeFillTint="33"/>
          </w:tcPr>
          <w:p w:rsidR="007A21BD" w:rsidRPr="00131F16" w:rsidRDefault="007A21BD" w:rsidP="004E444C">
            <w:pPr>
              <w:rPr>
                <w:rFonts w:ascii="Arial" w:hAnsi="Arial" w:cs="Arial"/>
                <w:sz w:val="24"/>
                <w:szCs w:val="24"/>
              </w:rPr>
            </w:pP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Răşinoase</w:t>
            </w: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Fag</w:t>
            </w: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Cvercinee</w:t>
            </w:r>
          </w:p>
        </w:tc>
        <w:tc>
          <w:tcPr>
            <w:tcW w:w="1565"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Foioase tari</w:t>
            </w:r>
          </w:p>
        </w:tc>
        <w:tc>
          <w:tcPr>
            <w:tcW w:w="1565"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Foioase moi</w:t>
            </w:r>
          </w:p>
        </w:tc>
      </w:tr>
      <w:tr w:rsidR="007A21BD" w:rsidRPr="00131F16" w:rsidTr="004E444C">
        <w:trPr>
          <w:jc w:val="center"/>
        </w:trPr>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Câmpie</w:t>
            </w: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0</w:t>
            </w: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0</w:t>
            </w:r>
          </w:p>
        </w:tc>
        <w:tc>
          <w:tcPr>
            <w:tcW w:w="154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2304</w:t>
            </w:r>
          </w:p>
        </w:tc>
        <w:tc>
          <w:tcPr>
            <w:tcW w:w="1565"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3207</w:t>
            </w:r>
          </w:p>
          <w:p w:rsidR="007A21BD" w:rsidRPr="00131F16" w:rsidRDefault="007A21BD" w:rsidP="004E444C">
            <w:pPr>
              <w:rPr>
                <w:rFonts w:ascii="Arial" w:hAnsi="Arial" w:cs="Arial"/>
                <w:sz w:val="24"/>
                <w:szCs w:val="24"/>
              </w:rPr>
            </w:pPr>
          </w:p>
        </w:tc>
        <w:tc>
          <w:tcPr>
            <w:tcW w:w="1565"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22785</w:t>
            </w:r>
          </w:p>
          <w:p w:rsidR="007A21BD" w:rsidRPr="00131F16" w:rsidRDefault="007A21BD" w:rsidP="004E444C">
            <w:pPr>
              <w:rPr>
                <w:rFonts w:ascii="Arial" w:hAnsi="Arial" w:cs="Arial"/>
                <w:sz w:val="24"/>
                <w:szCs w:val="24"/>
              </w:rPr>
            </w:pPr>
          </w:p>
        </w:tc>
      </w:tr>
    </w:tbl>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sz w:val="24"/>
          <w:szCs w:val="24"/>
        </w:rPr>
      </w:pPr>
    </w:p>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b/>
          <w:sz w:val="24"/>
          <w:szCs w:val="24"/>
        </w:rPr>
      </w:pPr>
      <w:r w:rsidRPr="00131F16">
        <w:rPr>
          <w:rFonts w:ascii="Arial" w:hAnsi="Arial" w:cs="Arial"/>
          <w:b/>
          <w:sz w:val="24"/>
          <w:szCs w:val="24"/>
        </w:rPr>
        <w:t>Funcţia economică a pădurilor</w:t>
      </w:r>
    </w:p>
    <w:p w:rsidR="007A21BD" w:rsidRPr="00131F16" w:rsidRDefault="007A21BD" w:rsidP="007A21BD">
      <w:pPr>
        <w:spacing w:after="0" w:line="240" w:lineRule="auto"/>
        <w:ind w:firstLine="708"/>
        <w:jc w:val="both"/>
        <w:rPr>
          <w:rFonts w:ascii="Arial" w:hAnsi="Arial" w:cs="Arial"/>
          <w:sz w:val="24"/>
          <w:szCs w:val="24"/>
        </w:rPr>
      </w:pPr>
      <w:r w:rsidRPr="00131F16">
        <w:rPr>
          <w:rFonts w:ascii="Arial" w:hAnsi="Arial" w:cs="Arial"/>
          <w:sz w:val="24"/>
          <w:szCs w:val="24"/>
          <w:lang w:val="en-US"/>
        </w:rPr>
        <w:t xml:space="preserve">Pădurea îndeplineşte multiplele funcţii: ecologice, economice şi sociale, este un bun de interes naţional, care condiţionează diverse domenii de activitate, de la protecţia mediului, până la cele legate de valorificarea resurselor naturale. </w:t>
      </w:r>
      <w:r w:rsidRPr="00131F16">
        <w:rPr>
          <w:rFonts w:ascii="Arial" w:hAnsi="Arial" w:cs="Arial"/>
          <w:sz w:val="24"/>
          <w:szCs w:val="24"/>
        </w:rPr>
        <w:t>Lemnul constituie principalul produs valorificabil al pădurilor. Acesta este, deopotrivă, materie primă în industria de prelucrare şi industria materialelor de construcţii, cât şi combustibil.</w:t>
      </w:r>
    </w:p>
    <w:p w:rsidR="007A21BD" w:rsidRPr="00131F16" w:rsidRDefault="007A21BD" w:rsidP="007A21BD">
      <w:pPr>
        <w:spacing w:after="0" w:line="240" w:lineRule="auto"/>
        <w:ind w:firstLine="708"/>
        <w:jc w:val="both"/>
        <w:rPr>
          <w:rFonts w:ascii="Arial" w:hAnsi="Arial" w:cs="Arial"/>
          <w:sz w:val="24"/>
          <w:szCs w:val="24"/>
          <w:lang w:val="en-US"/>
        </w:rPr>
      </w:pPr>
      <w:r w:rsidRPr="00131F16">
        <w:rPr>
          <w:rFonts w:ascii="Arial" w:hAnsi="Arial" w:cs="Arial"/>
          <w:sz w:val="24"/>
          <w:szCs w:val="24"/>
        </w:rPr>
        <w:t>Cea mai mare suprafaţă a pădurilor din judeţul Brăila se încadrează în grupa a II –a funcţională, (1010,47 ha) având rol de producţie şi protecţie şi doar 482 ha (zona Insula Mică a Brăilei) au rol exclusiv de protecţie, încadrându-se în grupa a I-a de protecţie.</w:t>
      </w:r>
    </w:p>
    <w:p w:rsidR="007A21BD" w:rsidRPr="00131F16" w:rsidRDefault="007A21BD" w:rsidP="007A21BD">
      <w:pPr>
        <w:spacing w:after="0" w:line="240" w:lineRule="auto"/>
        <w:jc w:val="both"/>
        <w:rPr>
          <w:rFonts w:ascii="Arial" w:hAnsi="Arial" w:cs="Arial"/>
          <w:sz w:val="24"/>
          <w:szCs w:val="24"/>
          <w:lang w:val="en-US"/>
        </w:rPr>
      </w:pPr>
    </w:p>
    <w:p w:rsidR="007A21BD" w:rsidRPr="00131F16" w:rsidRDefault="007A21BD" w:rsidP="007A21BD">
      <w:pPr>
        <w:spacing w:after="0" w:line="240" w:lineRule="auto"/>
        <w:jc w:val="both"/>
        <w:rPr>
          <w:rFonts w:ascii="Arial" w:hAnsi="Arial" w:cs="Arial"/>
          <w:sz w:val="24"/>
          <w:szCs w:val="24"/>
        </w:rPr>
      </w:pPr>
      <w:r w:rsidRPr="00131F16">
        <w:rPr>
          <w:rFonts w:ascii="Arial" w:hAnsi="Arial" w:cs="Arial"/>
          <w:sz w:val="24"/>
          <w:szCs w:val="24"/>
          <w:lang w:val="en-US"/>
        </w:rPr>
        <w:t>Tabelul nr.</w:t>
      </w:r>
      <w:r w:rsidRPr="00131F16">
        <w:rPr>
          <w:rFonts w:ascii="Arial" w:hAnsi="Arial" w:cs="Arial"/>
          <w:b/>
          <w:sz w:val="24"/>
          <w:szCs w:val="24"/>
          <w:lang w:val="en-US"/>
        </w:rPr>
        <w:t xml:space="preserve"> VI.1.2. - 2</w:t>
      </w:r>
      <w:r w:rsidRPr="00131F16">
        <w:rPr>
          <w:rFonts w:ascii="Arial" w:hAnsi="Arial" w:cs="Arial"/>
          <w:sz w:val="24"/>
          <w:szCs w:val="24"/>
        </w:rPr>
        <w:t xml:space="preserve">Distribuţia pădurilor pe tipuri funcţionale </w:t>
      </w:r>
    </w:p>
    <w:tbl>
      <w:tblPr>
        <w:tblStyle w:val="TableGrid"/>
        <w:tblW w:w="0" w:type="auto"/>
        <w:jc w:val="center"/>
        <w:shd w:val="clear" w:color="auto" w:fill="FDE9D9" w:themeFill="accent6" w:themeFillTint="33"/>
        <w:tblLook w:val="04A0"/>
      </w:tblPr>
      <w:tblGrid>
        <w:gridCol w:w="4811"/>
        <w:gridCol w:w="4511"/>
      </w:tblGrid>
      <w:tr w:rsidR="007A21BD" w:rsidRPr="00131F16" w:rsidTr="004E444C">
        <w:trPr>
          <w:jc w:val="center"/>
        </w:trPr>
        <w:tc>
          <w:tcPr>
            <w:tcW w:w="4811" w:type="dxa"/>
            <w:shd w:val="clear" w:color="auto" w:fill="FDE9D9" w:themeFill="accent6" w:themeFillTint="33"/>
          </w:tcPr>
          <w:p w:rsidR="007A21BD" w:rsidRPr="00131F16" w:rsidRDefault="007A21BD" w:rsidP="004E444C">
            <w:pPr>
              <w:jc w:val="center"/>
              <w:rPr>
                <w:rFonts w:ascii="Arial" w:eastAsia="Calibri" w:hAnsi="Arial" w:cs="Arial"/>
                <w:b/>
                <w:sz w:val="24"/>
                <w:szCs w:val="24"/>
              </w:rPr>
            </w:pPr>
            <w:r w:rsidRPr="00131F16">
              <w:rPr>
                <w:rFonts w:ascii="Arial" w:eastAsia="Calibri" w:hAnsi="Arial" w:cs="Arial"/>
                <w:b/>
                <w:sz w:val="24"/>
                <w:szCs w:val="24"/>
              </w:rPr>
              <w:t xml:space="preserve">Tipuri functionale </w:t>
            </w:r>
          </w:p>
        </w:tc>
        <w:tc>
          <w:tcPr>
            <w:tcW w:w="4511" w:type="dxa"/>
            <w:shd w:val="clear" w:color="auto" w:fill="FDE9D9" w:themeFill="accent6" w:themeFillTint="33"/>
          </w:tcPr>
          <w:p w:rsidR="007A21BD" w:rsidRPr="00131F16" w:rsidRDefault="007A21BD" w:rsidP="004E444C">
            <w:pPr>
              <w:jc w:val="center"/>
              <w:rPr>
                <w:rFonts w:ascii="Arial" w:eastAsia="Calibri" w:hAnsi="Arial" w:cs="Arial"/>
                <w:b/>
                <w:sz w:val="24"/>
                <w:szCs w:val="24"/>
              </w:rPr>
            </w:pPr>
            <w:r w:rsidRPr="00131F16">
              <w:rPr>
                <w:rFonts w:ascii="Arial" w:eastAsia="Calibri" w:hAnsi="Arial" w:cs="Arial"/>
                <w:b/>
                <w:sz w:val="24"/>
                <w:szCs w:val="24"/>
              </w:rPr>
              <w:t>Suprafata (ha)</w:t>
            </w:r>
          </w:p>
        </w:tc>
      </w:tr>
      <w:tr w:rsidR="007A21BD" w:rsidRPr="00131F16" w:rsidTr="004E444C">
        <w:trPr>
          <w:jc w:val="center"/>
        </w:trPr>
        <w:tc>
          <w:tcPr>
            <w:tcW w:w="4811"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T1 - protectie</w:t>
            </w:r>
          </w:p>
        </w:tc>
        <w:tc>
          <w:tcPr>
            <w:tcW w:w="4511"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482</w:t>
            </w:r>
          </w:p>
        </w:tc>
      </w:tr>
      <w:tr w:rsidR="007A21BD" w:rsidRPr="00131F16" w:rsidTr="004E444C">
        <w:trPr>
          <w:jc w:val="center"/>
        </w:trPr>
        <w:tc>
          <w:tcPr>
            <w:tcW w:w="4811" w:type="dxa"/>
            <w:shd w:val="clear" w:color="auto" w:fill="FDE9D9" w:themeFill="accent6" w:themeFillTint="33"/>
          </w:tcPr>
          <w:p w:rsidR="007A21BD" w:rsidRPr="00131F16" w:rsidRDefault="007A21BD" w:rsidP="004E444C">
            <w:pPr>
              <w:rPr>
                <w:rFonts w:ascii="Arial" w:eastAsia="Calibri" w:hAnsi="Arial" w:cs="Arial"/>
                <w:sz w:val="24"/>
                <w:szCs w:val="24"/>
              </w:rPr>
            </w:pPr>
            <w:r w:rsidRPr="00131F16">
              <w:rPr>
                <w:rFonts w:ascii="Arial" w:eastAsia="Calibri" w:hAnsi="Arial" w:cs="Arial"/>
                <w:sz w:val="24"/>
                <w:szCs w:val="24"/>
              </w:rPr>
              <w:t>T2- productie si protectie</w:t>
            </w:r>
          </w:p>
        </w:tc>
        <w:tc>
          <w:tcPr>
            <w:tcW w:w="4511"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1010,47</w:t>
            </w:r>
          </w:p>
        </w:tc>
      </w:tr>
    </w:tbl>
    <w:p w:rsidR="007A21BD" w:rsidRPr="00131F16" w:rsidRDefault="007A21BD" w:rsidP="007A21BD">
      <w:pPr>
        <w:spacing w:after="0" w:line="240" w:lineRule="auto"/>
        <w:jc w:val="both"/>
        <w:rPr>
          <w:rFonts w:ascii="Arial" w:hAnsi="Arial" w:cs="Arial"/>
          <w:b/>
          <w:sz w:val="24"/>
          <w:szCs w:val="24"/>
        </w:rPr>
      </w:pPr>
    </w:p>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sz w:val="24"/>
          <w:szCs w:val="24"/>
          <w:lang w:val="en-US"/>
        </w:rPr>
      </w:pPr>
    </w:p>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sz w:val="24"/>
          <w:szCs w:val="24"/>
          <w:lang w:val="en-US"/>
        </w:rPr>
      </w:pPr>
    </w:p>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sz w:val="24"/>
          <w:szCs w:val="24"/>
          <w:lang w:val="it-IT"/>
        </w:rPr>
      </w:pPr>
      <w:r w:rsidRPr="00131F16">
        <w:rPr>
          <w:rFonts w:ascii="Arial" w:hAnsi="Arial" w:cs="Arial"/>
          <w:sz w:val="24"/>
          <w:szCs w:val="24"/>
          <w:lang w:val="en-US"/>
        </w:rPr>
        <w:tab/>
        <w:t>Tabelul nr.</w:t>
      </w:r>
      <w:r w:rsidRPr="00131F16">
        <w:rPr>
          <w:rFonts w:ascii="Arial" w:hAnsi="Arial" w:cs="Arial"/>
          <w:b/>
          <w:sz w:val="24"/>
          <w:szCs w:val="24"/>
          <w:lang w:val="en-US"/>
        </w:rPr>
        <w:t xml:space="preserve"> VI.1.2. - 3</w:t>
      </w:r>
      <w:r w:rsidRPr="00131F16">
        <w:rPr>
          <w:rFonts w:ascii="Arial" w:hAnsi="Arial" w:cs="Arial"/>
          <w:sz w:val="24"/>
          <w:szCs w:val="24"/>
          <w:lang w:val="it-IT"/>
        </w:rPr>
        <w:t>Păduri cu funcţii speciale de protecţie</w:t>
      </w:r>
    </w:p>
    <w:p w:rsidR="007A21BD" w:rsidRPr="00131F16" w:rsidRDefault="007A21BD" w:rsidP="007A21BD">
      <w:pPr>
        <w:tabs>
          <w:tab w:val="left" w:pos="0"/>
          <w:tab w:val="left" w:pos="2268"/>
          <w:tab w:val="left" w:leader="dot" w:pos="8640"/>
        </w:tabs>
        <w:spacing w:after="0" w:line="240"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845"/>
        <w:gridCol w:w="4405"/>
        <w:gridCol w:w="4072"/>
      </w:tblGrid>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Nr. crt.</w:t>
            </w: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b/>
                <w:sz w:val="24"/>
                <w:szCs w:val="24"/>
              </w:rPr>
            </w:pPr>
            <w:r w:rsidRPr="00131F16">
              <w:rPr>
                <w:rFonts w:ascii="Arial" w:hAnsi="Arial" w:cs="Arial"/>
                <w:b/>
                <w:sz w:val="24"/>
                <w:szCs w:val="24"/>
              </w:rPr>
              <w:t>Tipul de pădure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b/>
                <w:sz w:val="24"/>
                <w:szCs w:val="24"/>
              </w:rPr>
            </w:pPr>
            <w:r w:rsidRPr="00131F16">
              <w:rPr>
                <w:rFonts w:ascii="Arial" w:hAnsi="Arial" w:cs="Arial"/>
                <w:b/>
                <w:sz w:val="24"/>
                <w:szCs w:val="24"/>
              </w:rPr>
              <w:t>Suprafaţa (ha)</w:t>
            </w:r>
          </w:p>
          <w:p w:rsidR="007A21BD" w:rsidRPr="00131F16" w:rsidRDefault="007A21BD" w:rsidP="004E444C">
            <w:pPr>
              <w:spacing w:after="0" w:line="240" w:lineRule="auto"/>
              <w:jc w:val="both"/>
              <w:rPr>
                <w:rFonts w:ascii="Arial" w:hAnsi="Arial" w:cs="Arial"/>
                <w:b/>
                <w:sz w:val="24"/>
                <w:szCs w:val="24"/>
              </w:rPr>
            </w:pP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De protecţie a apelor</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12830</w:t>
            </w: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lang w:val="pt-BR"/>
              </w:rPr>
            </w:pPr>
            <w:r w:rsidRPr="00131F16">
              <w:rPr>
                <w:rFonts w:ascii="Arial" w:hAnsi="Arial" w:cs="Arial"/>
                <w:sz w:val="24"/>
                <w:szCs w:val="24"/>
                <w:lang w:val="pt-BR"/>
              </w:rPr>
              <w:t>De protecţie a terenurilor degradate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364</w:t>
            </w: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lang w:val="pt-BR"/>
              </w:rPr>
            </w:pPr>
            <w:r w:rsidRPr="00131F16">
              <w:rPr>
                <w:rFonts w:ascii="Arial" w:hAnsi="Arial" w:cs="Arial"/>
                <w:sz w:val="24"/>
                <w:szCs w:val="24"/>
                <w:lang w:val="pt-BR"/>
              </w:rPr>
              <w:t>De protecţie contra factorilor climatici</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150</w:t>
            </w: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Pentru recreere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320</w:t>
            </w: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Rezervaţii seminţe</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47</w:t>
            </w:r>
          </w:p>
        </w:tc>
      </w:tr>
      <w:tr w:rsidR="007A21BD" w:rsidRPr="00131F16" w:rsidTr="004E444C">
        <w:trPr>
          <w:jc w:val="center"/>
        </w:trPr>
        <w:tc>
          <w:tcPr>
            <w:tcW w:w="84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A21BD" w:rsidRPr="00131F16" w:rsidRDefault="007A21BD" w:rsidP="00EF3940">
            <w:pPr>
              <w:numPr>
                <w:ilvl w:val="0"/>
                <w:numId w:val="47"/>
              </w:numPr>
              <w:spacing w:after="0" w:line="240" w:lineRule="auto"/>
              <w:jc w:val="both"/>
              <w:rPr>
                <w:rFonts w:ascii="Arial" w:hAnsi="Arial" w:cs="Arial"/>
                <w:sz w:val="24"/>
                <w:szCs w:val="24"/>
              </w:rPr>
            </w:pPr>
          </w:p>
        </w:tc>
        <w:tc>
          <w:tcPr>
            <w:tcW w:w="44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A21BD" w:rsidRPr="00131F16" w:rsidRDefault="007A21BD" w:rsidP="004E444C">
            <w:pPr>
              <w:spacing w:after="0" w:line="240" w:lineRule="auto"/>
              <w:jc w:val="both"/>
              <w:rPr>
                <w:rFonts w:ascii="Arial" w:hAnsi="Arial" w:cs="Arial"/>
                <w:sz w:val="24"/>
                <w:szCs w:val="24"/>
                <w:lang w:val="it-IT"/>
              </w:rPr>
            </w:pPr>
            <w:r w:rsidRPr="00131F16">
              <w:rPr>
                <w:rFonts w:ascii="Arial" w:hAnsi="Arial" w:cs="Arial"/>
                <w:sz w:val="24"/>
                <w:szCs w:val="24"/>
                <w:lang w:val="it-IT"/>
              </w:rPr>
              <w:t>Destinate ocrotirii unor specii de faună</w:t>
            </w:r>
          </w:p>
        </w:tc>
        <w:tc>
          <w:tcPr>
            <w:tcW w:w="40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A21BD" w:rsidRPr="00131F16" w:rsidRDefault="007A21BD" w:rsidP="004E444C">
            <w:pPr>
              <w:spacing w:after="0" w:line="240" w:lineRule="auto"/>
              <w:jc w:val="both"/>
              <w:rPr>
                <w:rFonts w:ascii="Arial" w:hAnsi="Arial" w:cs="Arial"/>
                <w:sz w:val="24"/>
                <w:szCs w:val="24"/>
              </w:rPr>
            </w:pPr>
            <w:r w:rsidRPr="00131F16">
              <w:rPr>
                <w:rFonts w:ascii="Arial" w:hAnsi="Arial" w:cs="Arial"/>
                <w:sz w:val="24"/>
                <w:szCs w:val="24"/>
              </w:rPr>
              <w:t>14585</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noProof/>
          <w:sz w:val="24"/>
          <w:szCs w:val="24"/>
        </w:rPr>
        <w:lastRenderedPageBreak/>
        <w:drawing>
          <wp:inline distT="0" distB="0" distL="0" distR="0">
            <wp:extent cx="3648075" cy="2200275"/>
            <wp:effectExtent l="19050" t="0" r="9525" b="0"/>
            <wp:docPr id="24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sz w:val="24"/>
          <w:szCs w:val="24"/>
          <w:lang w:val="en-US"/>
        </w:rPr>
        <w:t xml:space="preserve">Figura nr. </w:t>
      </w:r>
      <w:r w:rsidRPr="00131F16">
        <w:rPr>
          <w:rFonts w:ascii="Arial" w:hAnsi="Arial" w:cs="Arial"/>
          <w:b/>
          <w:sz w:val="24"/>
          <w:szCs w:val="24"/>
          <w:lang w:val="en-US"/>
        </w:rPr>
        <w:t xml:space="preserve">VI.1.2. -1 </w:t>
      </w:r>
      <w:r w:rsidRPr="00131F16">
        <w:rPr>
          <w:rFonts w:ascii="Arial" w:hAnsi="Arial" w:cs="Arial"/>
          <w:sz w:val="24"/>
          <w:szCs w:val="24"/>
        </w:rPr>
        <w:t xml:space="preserve">Distribuţia pădurilor </w:t>
      </w:r>
      <w:r w:rsidRPr="00131F16">
        <w:rPr>
          <w:rFonts w:ascii="Arial" w:hAnsi="Arial" w:cs="Arial"/>
          <w:sz w:val="24"/>
          <w:szCs w:val="24"/>
          <w:lang w:val="it-IT"/>
        </w:rPr>
        <w:t>cu funcţii speciale de protecţie</w:t>
      </w:r>
    </w:p>
    <w:p w:rsidR="007A21BD" w:rsidRPr="00131F16" w:rsidRDefault="007A21BD" w:rsidP="007A21BD">
      <w:pPr>
        <w:spacing w:after="0" w:line="240" w:lineRule="auto"/>
        <w:rPr>
          <w:rFonts w:ascii="Arial" w:hAnsi="Arial" w:cs="Arial"/>
          <w:b/>
          <w:i/>
          <w:sz w:val="24"/>
          <w:szCs w:val="24"/>
          <w:lang w:val="en-US"/>
        </w:rPr>
      </w:pP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i/>
          <w:sz w:val="24"/>
          <w:szCs w:val="24"/>
          <w:lang w:val="en-US"/>
        </w:rPr>
        <w:t xml:space="preserve">         VI.1.3. Starea de sănătate a pădurilor</w:t>
      </w:r>
    </w:p>
    <w:p w:rsidR="007A21BD" w:rsidRPr="00131F16" w:rsidRDefault="007A21BD" w:rsidP="007A21BD">
      <w:pPr>
        <w:pStyle w:val="Default"/>
        <w:ind w:firstLine="708"/>
        <w:jc w:val="both"/>
        <w:rPr>
          <w:rFonts w:ascii="Arial" w:hAnsi="Arial" w:cs="Arial"/>
          <w:color w:val="auto"/>
        </w:rPr>
      </w:pPr>
      <w:r w:rsidRPr="00131F16">
        <w:rPr>
          <w:rFonts w:ascii="Arial" w:hAnsi="Arial" w:cs="Arial"/>
          <w:color w:val="auto"/>
        </w:rPr>
        <w:t xml:space="preserve">Masa lemnoasă uscată/moartă afectează în mod semnificativ fluxul de materie, energie şi nutrienţi în ecosistem. Lemnul mort din păduri reprezintă un sistem de microhabitate care evoluează continuu în timp, până la degradare, jucând un rol important în reciclarea nutrienţilor şi a materiei organice, fiind un indicator pentru biodiversitatea nevetrebratelor și pentru  valoarea de conservare a unei păduri.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picior. Dar ambele tipuri de lemn mort sunt importante. Creşterea cantităţii de lemn mort în păduri este considerată o măsură potenţială pentru creşterea biodiversităţii. </w:t>
      </w:r>
    </w:p>
    <w:p w:rsidR="007A21BD" w:rsidRPr="00131F16" w:rsidRDefault="007A21BD" w:rsidP="007A21BD">
      <w:pPr>
        <w:spacing w:after="0" w:line="240" w:lineRule="auto"/>
        <w:ind w:firstLine="708"/>
        <w:jc w:val="both"/>
        <w:rPr>
          <w:rFonts w:ascii="Arial" w:hAnsi="Arial" w:cs="Arial"/>
          <w:sz w:val="24"/>
          <w:szCs w:val="24"/>
        </w:rPr>
      </w:pPr>
      <w:r w:rsidRPr="00131F16">
        <w:rPr>
          <w:rFonts w:ascii="Arial" w:hAnsi="Arial" w:cs="Arial"/>
          <w:sz w:val="24"/>
          <w:szCs w:val="24"/>
        </w:rPr>
        <w:t xml:space="preserve">În general, în majoritatea ţărilor europene, cantitatea de lemn mort are o tendinţă crescătoare în ultimii ani. Această tendinţă poate fi datorată fie efectelor politicii de gestiune a pădurilor care stimulează managementul forestier orientat pe păstrarea naturaleţii pădurilor şi menţinerea pădurilor necurăţate de lemnul mort, fie unor perturbări puternice cum ar fi furtunile. În viitor, o sursă importantă de date va redeveni Inventarul Forestier Naţional, administrat de ICAS, care urmează să colecteze şi prelucreze inclusiv date referitoare la lemnul mort din păduri. </w:t>
      </w:r>
    </w:p>
    <w:p w:rsidR="006054F4" w:rsidRDefault="006054F4" w:rsidP="007A21BD">
      <w:pPr>
        <w:spacing w:after="0" w:line="240" w:lineRule="auto"/>
        <w:rPr>
          <w:rFonts w:ascii="Arial" w:hAnsi="Arial" w:cs="Arial"/>
          <w:b/>
          <w:i/>
          <w:sz w:val="24"/>
          <w:szCs w:val="24"/>
          <w:lang w:val="en-US"/>
        </w:rPr>
      </w:pPr>
      <w:r>
        <w:rPr>
          <w:rFonts w:ascii="Arial" w:hAnsi="Arial" w:cs="Arial"/>
          <w:b/>
          <w:i/>
          <w:sz w:val="24"/>
          <w:szCs w:val="24"/>
          <w:lang w:val="en-US"/>
        </w:rPr>
        <w:t xml:space="preserve">      </w:t>
      </w: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i/>
          <w:sz w:val="24"/>
          <w:szCs w:val="24"/>
          <w:lang w:val="en-US"/>
        </w:rPr>
        <w:t>VI.1.4. Suprafeţe de păduri regenerate</w:t>
      </w:r>
    </w:p>
    <w:p w:rsidR="007A21BD" w:rsidRDefault="007A21BD" w:rsidP="007A21BD">
      <w:pPr>
        <w:spacing w:after="0" w:line="240" w:lineRule="auto"/>
        <w:ind w:firstLine="708"/>
        <w:jc w:val="both"/>
        <w:rPr>
          <w:rFonts w:ascii="Arial" w:hAnsi="Arial" w:cs="Arial"/>
          <w:sz w:val="24"/>
          <w:szCs w:val="24"/>
          <w:lang w:val="en-US"/>
        </w:rPr>
      </w:pPr>
      <w:r w:rsidRPr="00131F16">
        <w:rPr>
          <w:rFonts w:ascii="Arial" w:hAnsi="Arial" w:cs="Arial"/>
          <w:sz w:val="24"/>
          <w:szCs w:val="24"/>
          <w:lang w:val="en-US"/>
        </w:rPr>
        <w:t>Conform datelor furnizate de către Garda Forestieră Focşani, în anul 2017 în judeţul Brăila a  fost împădurită o suprafaţă de 365 ha, cu 35 ha mai mult faţă de anul 2016, iar prin regenerare naturală s-a împădurit suprafaţa de 151 ha.</w:t>
      </w:r>
    </w:p>
    <w:p w:rsidR="006054F4" w:rsidRPr="00131F16" w:rsidRDefault="006054F4" w:rsidP="007A21BD">
      <w:pPr>
        <w:spacing w:after="0" w:line="240" w:lineRule="auto"/>
        <w:ind w:firstLine="708"/>
        <w:jc w:val="both"/>
        <w:rPr>
          <w:rFonts w:ascii="Arial" w:hAnsi="Arial" w:cs="Arial"/>
          <w:sz w:val="24"/>
          <w:szCs w:val="24"/>
          <w:lang w:val="en-US"/>
        </w:rPr>
      </w:pPr>
    </w:p>
    <w:p w:rsidR="007A21BD"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VI.1.4. -1 </w:t>
      </w:r>
      <w:r w:rsidRPr="00131F16">
        <w:rPr>
          <w:rFonts w:ascii="Arial" w:hAnsi="Arial" w:cs="Arial"/>
          <w:sz w:val="24"/>
          <w:szCs w:val="24"/>
          <w:lang w:val="en-US"/>
        </w:rPr>
        <w:t xml:space="preserve"> Evoluţia suprafeţelor de păduri regenerate la nivel judeţean (ha)</w:t>
      </w:r>
    </w:p>
    <w:p w:rsidR="006054F4" w:rsidRPr="00131F16" w:rsidRDefault="006054F4" w:rsidP="007A21BD">
      <w:pPr>
        <w:spacing w:after="0" w:line="240" w:lineRule="auto"/>
        <w:rPr>
          <w:rFonts w:ascii="Arial" w:hAnsi="Arial" w:cs="Arial"/>
          <w:sz w:val="24"/>
          <w:szCs w:val="24"/>
          <w:lang w:val="en-US"/>
        </w:rPr>
      </w:pPr>
    </w:p>
    <w:tbl>
      <w:tblPr>
        <w:tblStyle w:val="TableGrid"/>
        <w:tblW w:w="0" w:type="auto"/>
        <w:jc w:val="center"/>
        <w:tblInd w:w="-129" w:type="dxa"/>
        <w:shd w:val="clear" w:color="auto" w:fill="FDE9D9" w:themeFill="accent6" w:themeFillTint="33"/>
        <w:tblLayout w:type="fixed"/>
        <w:tblLook w:val="04A0"/>
      </w:tblPr>
      <w:tblGrid>
        <w:gridCol w:w="2476"/>
        <w:gridCol w:w="1417"/>
        <w:gridCol w:w="1418"/>
        <w:gridCol w:w="1289"/>
        <w:gridCol w:w="1120"/>
        <w:gridCol w:w="1418"/>
      </w:tblGrid>
      <w:tr w:rsidR="007A21BD" w:rsidRPr="00131F16" w:rsidTr="006054F4">
        <w:trPr>
          <w:jc w:val="center"/>
        </w:trPr>
        <w:tc>
          <w:tcPr>
            <w:tcW w:w="2476"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Tip</w:t>
            </w:r>
          </w:p>
        </w:tc>
        <w:tc>
          <w:tcPr>
            <w:tcW w:w="1417" w:type="dxa"/>
            <w:shd w:val="clear" w:color="auto" w:fill="FDE9D9" w:themeFill="accent6" w:themeFillTint="33"/>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2013</w:t>
            </w:r>
          </w:p>
        </w:tc>
        <w:tc>
          <w:tcPr>
            <w:tcW w:w="1418" w:type="dxa"/>
            <w:shd w:val="clear" w:color="auto" w:fill="FDE9D9" w:themeFill="accent6" w:themeFillTint="33"/>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2014</w:t>
            </w:r>
          </w:p>
        </w:tc>
        <w:tc>
          <w:tcPr>
            <w:tcW w:w="1289" w:type="dxa"/>
            <w:shd w:val="clear" w:color="auto" w:fill="FDE9D9" w:themeFill="accent6" w:themeFillTint="33"/>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2015</w:t>
            </w:r>
          </w:p>
        </w:tc>
        <w:tc>
          <w:tcPr>
            <w:tcW w:w="1120" w:type="dxa"/>
            <w:shd w:val="clear" w:color="auto" w:fill="FDE9D9" w:themeFill="accent6" w:themeFillTint="33"/>
          </w:tcPr>
          <w:p w:rsidR="007A21BD" w:rsidRPr="00131F16" w:rsidRDefault="007A21BD" w:rsidP="004E444C">
            <w:pPr>
              <w:jc w:val="center"/>
              <w:rPr>
                <w:rFonts w:ascii="Arial" w:hAnsi="Arial" w:cs="Arial"/>
                <w:b/>
                <w:sz w:val="24"/>
                <w:szCs w:val="24"/>
              </w:rPr>
            </w:pPr>
            <w:r w:rsidRPr="00131F16">
              <w:rPr>
                <w:rFonts w:ascii="Arial" w:hAnsi="Arial" w:cs="Arial"/>
                <w:b/>
                <w:sz w:val="24"/>
                <w:szCs w:val="24"/>
              </w:rPr>
              <w:t>2016</w:t>
            </w:r>
          </w:p>
        </w:tc>
        <w:tc>
          <w:tcPr>
            <w:tcW w:w="1418"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2017</w:t>
            </w:r>
          </w:p>
        </w:tc>
      </w:tr>
      <w:tr w:rsidR="007A21BD" w:rsidRPr="00131F16" w:rsidTr="006054F4">
        <w:trPr>
          <w:jc w:val="center"/>
        </w:trPr>
        <w:tc>
          <w:tcPr>
            <w:tcW w:w="2476" w:type="dxa"/>
            <w:shd w:val="clear" w:color="auto" w:fill="FDE9D9" w:themeFill="accent6" w:themeFillTint="33"/>
          </w:tcPr>
          <w:p w:rsidR="007A21BD" w:rsidRPr="00131F16" w:rsidRDefault="007A21BD" w:rsidP="004E444C">
            <w:pPr>
              <w:rPr>
                <w:rFonts w:ascii="Arial" w:hAnsi="Arial" w:cs="Arial"/>
                <w:b/>
                <w:sz w:val="24"/>
                <w:szCs w:val="24"/>
              </w:rPr>
            </w:pPr>
          </w:p>
        </w:tc>
        <w:tc>
          <w:tcPr>
            <w:tcW w:w="1417" w:type="dxa"/>
            <w:shd w:val="clear" w:color="auto" w:fill="FDE9D9" w:themeFill="accent6" w:themeFillTint="33"/>
          </w:tcPr>
          <w:p w:rsidR="007A21BD" w:rsidRPr="00131F16" w:rsidRDefault="007A21BD" w:rsidP="004E444C">
            <w:pPr>
              <w:rPr>
                <w:rFonts w:ascii="Arial" w:hAnsi="Arial" w:cs="Arial"/>
                <w:b/>
                <w:sz w:val="24"/>
                <w:szCs w:val="24"/>
              </w:rPr>
            </w:pPr>
          </w:p>
        </w:tc>
        <w:tc>
          <w:tcPr>
            <w:tcW w:w="1418" w:type="dxa"/>
            <w:shd w:val="clear" w:color="auto" w:fill="FDE9D9" w:themeFill="accent6" w:themeFillTint="33"/>
          </w:tcPr>
          <w:p w:rsidR="007A21BD" w:rsidRPr="00131F16" w:rsidRDefault="007A21BD" w:rsidP="004E444C">
            <w:pPr>
              <w:rPr>
                <w:rFonts w:ascii="Arial" w:hAnsi="Arial" w:cs="Arial"/>
                <w:b/>
                <w:sz w:val="24"/>
                <w:szCs w:val="24"/>
              </w:rPr>
            </w:pPr>
          </w:p>
        </w:tc>
        <w:tc>
          <w:tcPr>
            <w:tcW w:w="1289" w:type="dxa"/>
            <w:shd w:val="clear" w:color="auto" w:fill="FDE9D9" w:themeFill="accent6" w:themeFillTint="33"/>
          </w:tcPr>
          <w:p w:rsidR="007A21BD" w:rsidRPr="00131F16" w:rsidRDefault="007A21BD" w:rsidP="004E444C">
            <w:pPr>
              <w:rPr>
                <w:rFonts w:ascii="Arial" w:hAnsi="Arial" w:cs="Arial"/>
                <w:b/>
                <w:sz w:val="24"/>
                <w:szCs w:val="24"/>
              </w:rPr>
            </w:pPr>
          </w:p>
        </w:tc>
        <w:tc>
          <w:tcPr>
            <w:tcW w:w="1120" w:type="dxa"/>
            <w:shd w:val="clear" w:color="auto" w:fill="FDE9D9" w:themeFill="accent6" w:themeFillTint="33"/>
          </w:tcPr>
          <w:p w:rsidR="007A21BD" w:rsidRPr="00131F16" w:rsidRDefault="007A21BD" w:rsidP="004E444C">
            <w:pPr>
              <w:rPr>
                <w:rFonts w:ascii="Arial" w:hAnsi="Arial" w:cs="Arial"/>
                <w:b/>
                <w:sz w:val="24"/>
                <w:szCs w:val="24"/>
              </w:rPr>
            </w:pPr>
          </w:p>
        </w:tc>
        <w:tc>
          <w:tcPr>
            <w:tcW w:w="1418" w:type="dxa"/>
            <w:shd w:val="clear" w:color="auto" w:fill="FDE9D9" w:themeFill="accent6" w:themeFillTint="33"/>
          </w:tcPr>
          <w:p w:rsidR="007A21BD" w:rsidRPr="00131F16" w:rsidRDefault="007A21BD" w:rsidP="004E444C">
            <w:pPr>
              <w:rPr>
                <w:rFonts w:ascii="Arial" w:hAnsi="Arial" w:cs="Arial"/>
                <w:b/>
                <w:sz w:val="24"/>
                <w:szCs w:val="24"/>
              </w:rPr>
            </w:pPr>
          </w:p>
        </w:tc>
      </w:tr>
      <w:tr w:rsidR="007A21BD" w:rsidRPr="00131F16" w:rsidTr="004E444C">
        <w:trPr>
          <w:jc w:val="center"/>
        </w:trPr>
        <w:tc>
          <w:tcPr>
            <w:tcW w:w="2476"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Impădurire</w:t>
            </w:r>
          </w:p>
        </w:tc>
        <w:tc>
          <w:tcPr>
            <w:tcW w:w="1417"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280</w:t>
            </w:r>
          </w:p>
        </w:tc>
        <w:tc>
          <w:tcPr>
            <w:tcW w:w="1418"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444</w:t>
            </w:r>
          </w:p>
        </w:tc>
        <w:tc>
          <w:tcPr>
            <w:tcW w:w="1289"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324</w:t>
            </w:r>
          </w:p>
        </w:tc>
        <w:tc>
          <w:tcPr>
            <w:tcW w:w="1120"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330</w:t>
            </w:r>
          </w:p>
        </w:tc>
        <w:tc>
          <w:tcPr>
            <w:tcW w:w="1418"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365</w:t>
            </w:r>
          </w:p>
        </w:tc>
      </w:tr>
      <w:tr w:rsidR="007A21BD" w:rsidRPr="00131F16" w:rsidTr="004E444C">
        <w:trPr>
          <w:jc w:val="center"/>
        </w:trPr>
        <w:tc>
          <w:tcPr>
            <w:tcW w:w="2476"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Regenerare naturală</w:t>
            </w:r>
          </w:p>
        </w:tc>
        <w:tc>
          <w:tcPr>
            <w:tcW w:w="1417"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191</w:t>
            </w:r>
          </w:p>
        </w:tc>
        <w:tc>
          <w:tcPr>
            <w:tcW w:w="1418"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130</w:t>
            </w:r>
          </w:p>
        </w:tc>
        <w:tc>
          <w:tcPr>
            <w:tcW w:w="1289"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121</w:t>
            </w:r>
          </w:p>
        </w:tc>
        <w:tc>
          <w:tcPr>
            <w:tcW w:w="1120"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125</w:t>
            </w:r>
          </w:p>
        </w:tc>
        <w:tc>
          <w:tcPr>
            <w:tcW w:w="1418"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151</w:t>
            </w:r>
          </w:p>
        </w:tc>
      </w:tr>
      <w:tr w:rsidR="007A21BD" w:rsidRPr="00131F16" w:rsidTr="004E444C">
        <w:trPr>
          <w:jc w:val="center"/>
        </w:trPr>
        <w:tc>
          <w:tcPr>
            <w:tcW w:w="2476"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Total suprafeţe regenerate</w:t>
            </w:r>
          </w:p>
        </w:tc>
        <w:tc>
          <w:tcPr>
            <w:tcW w:w="1417"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471</w:t>
            </w:r>
          </w:p>
        </w:tc>
        <w:tc>
          <w:tcPr>
            <w:tcW w:w="1418"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574</w:t>
            </w:r>
          </w:p>
        </w:tc>
        <w:tc>
          <w:tcPr>
            <w:tcW w:w="1289"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445</w:t>
            </w:r>
          </w:p>
        </w:tc>
        <w:tc>
          <w:tcPr>
            <w:tcW w:w="1120" w:type="dxa"/>
            <w:shd w:val="clear" w:color="auto" w:fill="FDE9D9" w:themeFill="accent6" w:themeFillTint="33"/>
          </w:tcPr>
          <w:p w:rsidR="007A21BD" w:rsidRPr="00131F16" w:rsidRDefault="007A21BD" w:rsidP="004E444C">
            <w:pPr>
              <w:jc w:val="center"/>
              <w:rPr>
                <w:rFonts w:ascii="Arial" w:eastAsia="Calibri" w:hAnsi="Arial" w:cs="Arial"/>
                <w:sz w:val="24"/>
                <w:szCs w:val="24"/>
              </w:rPr>
            </w:pPr>
            <w:r w:rsidRPr="00131F16">
              <w:rPr>
                <w:rFonts w:ascii="Arial" w:eastAsia="Calibri" w:hAnsi="Arial" w:cs="Arial"/>
                <w:sz w:val="24"/>
                <w:szCs w:val="24"/>
              </w:rPr>
              <w:t>455</w:t>
            </w:r>
          </w:p>
        </w:tc>
        <w:tc>
          <w:tcPr>
            <w:tcW w:w="1418"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eastAsia="Calibri" w:hAnsi="Arial" w:cs="Arial"/>
                <w:sz w:val="24"/>
                <w:szCs w:val="24"/>
              </w:rPr>
              <w:t>516</w:t>
            </w:r>
          </w:p>
          <w:p w:rsidR="007A21BD" w:rsidRPr="00131F16" w:rsidRDefault="007A21BD" w:rsidP="004E444C">
            <w:pPr>
              <w:tabs>
                <w:tab w:val="left" w:pos="1890"/>
              </w:tabs>
              <w:jc w:val="center"/>
              <w:rPr>
                <w:rFonts w:ascii="Arial" w:eastAsia="Calibri" w:hAnsi="Arial" w:cs="Arial"/>
                <w:sz w:val="24"/>
                <w:szCs w:val="24"/>
              </w:rPr>
            </w:pPr>
          </w:p>
        </w:tc>
      </w:tr>
    </w:tbl>
    <w:p w:rsidR="007A21BD" w:rsidRPr="00131F16" w:rsidRDefault="007A21BD" w:rsidP="007A21BD">
      <w:pPr>
        <w:spacing w:after="0" w:line="240" w:lineRule="auto"/>
        <w:rPr>
          <w:rFonts w:ascii="Arial" w:hAnsi="Arial" w:cs="Arial"/>
          <w:b/>
          <w:sz w:val="24"/>
          <w:szCs w:val="24"/>
          <w:lang w:val="en-US"/>
        </w:rPr>
      </w:pPr>
    </w:p>
    <w:p w:rsidR="007A21BD" w:rsidRPr="00131F16" w:rsidRDefault="007A21BD" w:rsidP="007A21BD">
      <w:pPr>
        <w:spacing w:after="0" w:line="240" w:lineRule="auto"/>
        <w:jc w:val="center"/>
        <w:rPr>
          <w:rFonts w:ascii="Arial" w:hAnsi="Arial" w:cs="Arial"/>
          <w:b/>
          <w:sz w:val="24"/>
          <w:szCs w:val="24"/>
          <w:lang w:val="en-US"/>
        </w:rPr>
      </w:pPr>
      <w:r w:rsidRPr="00131F16">
        <w:rPr>
          <w:rFonts w:ascii="Arial" w:hAnsi="Arial" w:cs="Arial"/>
          <w:noProof/>
          <w:sz w:val="24"/>
          <w:szCs w:val="24"/>
        </w:rPr>
        <w:lastRenderedPageBreak/>
        <w:drawing>
          <wp:inline distT="0" distB="0" distL="0" distR="0">
            <wp:extent cx="3905250" cy="2247900"/>
            <wp:effectExtent l="19050" t="0" r="19050" b="0"/>
            <wp:docPr id="24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A21BD" w:rsidRPr="00131F16" w:rsidRDefault="007A21BD" w:rsidP="007A21BD">
      <w:pPr>
        <w:spacing w:after="0" w:line="240" w:lineRule="auto"/>
        <w:ind w:firstLine="708"/>
        <w:rPr>
          <w:rFonts w:ascii="Arial" w:hAnsi="Arial" w:cs="Arial"/>
          <w:b/>
          <w:sz w:val="24"/>
          <w:szCs w:val="24"/>
          <w:lang w:val="en-US"/>
        </w:rPr>
      </w:pPr>
      <w:r w:rsidRPr="00131F16">
        <w:rPr>
          <w:rFonts w:ascii="Arial" w:hAnsi="Arial" w:cs="Arial"/>
          <w:b/>
          <w:sz w:val="24"/>
          <w:szCs w:val="24"/>
          <w:lang w:val="en-US"/>
        </w:rPr>
        <w:t>Figura nr. VI.1.4. – 1</w:t>
      </w:r>
      <w:r w:rsidRPr="00131F16">
        <w:rPr>
          <w:rFonts w:ascii="Arial" w:hAnsi="Arial" w:cs="Arial"/>
          <w:sz w:val="24"/>
          <w:szCs w:val="24"/>
          <w:lang w:val="en-US"/>
        </w:rPr>
        <w:t xml:space="preserve"> Evoluţia suprafeţelor de păduri regenerate la nivel judeţean</w:t>
      </w:r>
    </w:p>
    <w:p w:rsidR="007A21BD" w:rsidRPr="00131F16" w:rsidRDefault="007A21BD" w:rsidP="007A21BD">
      <w:pPr>
        <w:spacing w:after="0" w:line="240" w:lineRule="auto"/>
        <w:rPr>
          <w:rFonts w:ascii="Arial" w:hAnsi="Arial" w:cs="Arial"/>
          <w:b/>
          <w:i/>
          <w:sz w:val="24"/>
          <w:szCs w:val="24"/>
          <w:lang w:val="en-US"/>
        </w:rPr>
      </w:pP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i/>
          <w:sz w:val="24"/>
          <w:szCs w:val="24"/>
          <w:lang w:val="en-US"/>
        </w:rPr>
        <w:t>VI.1.5. Zone cu deficit de vegetaţie forestieră şi disponibilităţi de împădurire</w:t>
      </w:r>
    </w:p>
    <w:p w:rsidR="007A21BD" w:rsidRPr="00131F16" w:rsidRDefault="007A21BD" w:rsidP="007A21BD">
      <w:pPr>
        <w:pStyle w:val="BodyText"/>
        <w:spacing w:after="0" w:line="240" w:lineRule="auto"/>
        <w:ind w:firstLine="708"/>
        <w:jc w:val="both"/>
        <w:rPr>
          <w:rFonts w:ascii="Arial" w:hAnsi="Arial" w:cs="Arial"/>
          <w:sz w:val="24"/>
          <w:szCs w:val="24"/>
          <w:lang w:val="ro-RO"/>
        </w:rPr>
      </w:pPr>
      <w:r w:rsidRPr="00131F16">
        <w:rPr>
          <w:rFonts w:ascii="Arial" w:hAnsi="Arial" w:cs="Arial"/>
          <w:sz w:val="24"/>
          <w:szCs w:val="24"/>
          <w:lang w:val="ro-RO"/>
        </w:rPr>
        <w:t xml:space="preserve">Judeţul Brăila este zonă deficitară în păduri deoarece suprafaţa acestora reprezintă numai 5,93% din suprafaţa totală a judeţului. </w:t>
      </w: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sz w:val="24"/>
          <w:szCs w:val="24"/>
          <w:lang w:val="en-US"/>
        </w:rPr>
        <w:t>Tabelul nr. VI.1.5. -1 Zone cu deficit de vegetaţie forestieră şi disponibilităţi de împădurire</w:t>
      </w:r>
    </w:p>
    <w:tbl>
      <w:tblPr>
        <w:tblStyle w:val="TableGrid"/>
        <w:tblW w:w="0" w:type="auto"/>
        <w:jc w:val="center"/>
        <w:tblInd w:w="1951" w:type="dxa"/>
        <w:shd w:val="clear" w:color="auto" w:fill="FDE9D9" w:themeFill="accent6" w:themeFillTint="33"/>
        <w:tblLook w:val="04A0"/>
      </w:tblPr>
      <w:tblGrid>
        <w:gridCol w:w="1418"/>
        <w:gridCol w:w="4394"/>
      </w:tblGrid>
      <w:tr w:rsidR="007A21BD" w:rsidRPr="00131F16" w:rsidTr="004E444C">
        <w:trPr>
          <w:jc w:val="center"/>
        </w:trPr>
        <w:tc>
          <w:tcPr>
            <w:tcW w:w="1418" w:type="dxa"/>
            <w:shd w:val="clear" w:color="auto" w:fill="auto"/>
          </w:tcPr>
          <w:p w:rsidR="007A21BD" w:rsidRPr="00131F16" w:rsidRDefault="007A21BD" w:rsidP="004E444C">
            <w:pPr>
              <w:rPr>
                <w:rFonts w:ascii="Arial" w:hAnsi="Arial" w:cs="Arial"/>
                <w:sz w:val="24"/>
                <w:szCs w:val="24"/>
              </w:rPr>
            </w:pPr>
            <w:r w:rsidRPr="00131F16">
              <w:rPr>
                <w:rFonts w:ascii="Arial" w:hAnsi="Arial" w:cs="Arial"/>
                <w:sz w:val="24"/>
                <w:szCs w:val="24"/>
              </w:rPr>
              <w:t>Judeţ</w:t>
            </w:r>
          </w:p>
        </w:tc>
        <w:tc>
          <w:tcPr>
            <w:tcW w:w="4394" w:type="dxa"/>
            <w:shd w:val="clear" w:color="auto" w:fill="auto"/>
          </w:tcPr>
          <w:p w:rsidR="007A21BD" w:rsidRPr="00131F16" w:rsidRDefault="007A21BD" w:rsidP="004E444C">
            <w:pPr>
              <w:rPr>
                <w:rFonts w:ascii="Arial" w:hAnsi="Arial" w:cs="Arial"/>
                <w:sz w:val="24"/>
                <w:szCs w:val="24"/>
              </w:rPr>
            </w:pPr>
            <w:r w:rsidRPr="00131F16">
              <w:rPr>
                <w:rFonts w:ascii="Arial" w:hAnsi="Arial" w:cs="Arial"/>
                <w:sz w:val="24"/>
                <w:szCs w:val="24"/>
              </w:rPr>
              <w:t>Procent de ocupare cu păduri (%)</w:t>
            </w:r>
          </w:p>
        </w:tc>
      </w:tr>
      <w:tr w:rsidR="007A21BD" w:rsidRPr="00131F16" w:rsidTr="004E444C">
        <w:trPr>
          <w:jc w:val="center"/>
        </w:trPr>
        <w:tc>
          <w:tcPr>
            <w:tcW w:w="1418" w:type="dxa"/>
            <w:shd w:val="clear" w:color="auto" w:fill="auto"/>
          </w:tcPr>
          <w:p w:rsidR="007A21BD" w:rsidRPr="00131F16" w:rsidRDefault="007A21BD" w:rsidP="004E444C">
            <w:pPr>
              <w:rPr>
                <w:rFonts w:ascii="Arial" w:hAnsi="Arial" w:cs="Arial"/>
                <w:sz w:val="24"/>
                <w:szCs w:val="24"/>
              </w:rPr>
            </w:pPr>
            <w:r w:rsidRPr="00131F16">
              <w:rPr>
                <w:rFonts w:ascii="Arial" w:hAnsi="Arial" w:cs="Arial"/>
                <w:sz w:val="24"/>
                <w:szCs w:val="24"/>
              </w:rPr>
              <w:t>Brăila</w:t>
            </w:r>
          </w:p>
        </w:tc>
        <w:tc>
          <w:tcPr>
            <w:tcW w:w="4394" w:type="dxa"/>
            <w:shd w:val="clear" w:color="auto" w:fill="auto"/>
          </w:tcPr>
          <w:p w:rsidR="007A21BD" w:rsidRPr="00131F16" w:rsidRDefault="007A21BD" w:rsidP="004E444C">
            <w:pPr>
              <w:jc w:val="center"/>
              <w:rPr>
                <w:rFonts w:ascii="Arial" w:hAnsi="Arial" w:cs="Arial"/>
                <w:sz w:val="24"/>
                <w:szCs w:val="24"/>
              </w:rPr>
            </w:pPr>
            <w:r w:rsidRPr="00131F16">
              <w:rPr>
                <w:rFonts w:ascii="Arial" w:hAnsi="Arial" w:cs="Arial"/>
                <w:sz w:val="24"/>
                <w:szCs w:val="24"/>
              </w:rPr>
              <w:t>5,93</w:t>
            </w:r>
          </w:p>
          <w:p w:rsidR="007A21BD" w:rsidRPr="00131F16" w:rsidRDefault="007A21BD" w:rsidP="004E444C">
            <w:pPr>
              <w:jc w:val="center"/>
              <w:rPr>
                <w:rFonts w:ascii="Arial" w:hAnsi="Arial" w:cs="Arial"/>
                <w:sz w:val="24"/>
                <w:szCs w:val="24"/>
              </w:rPr>
            </w:pPr>
          </w:p>
        </w:tc>
      </w:tr>
    </w:tbl>
    <w:p w:rsidR="007A21BD" w:rsidRPr="00131F16" w:rsidRDefault="007A21BD" w:rsidP="007A21BD">
      <w:pPr>
        <w:spacing w:after="0" w:line="240" w:lineRule="auto"/>
        <w:rPr>
          <w:rFonts w:ascii="Arial" w:hAnsi="Arial" w:cs="Arial"/>
          <w:b/>
          <w:sz w:val="24"/>
          <w:szCs w:val="24"/>
          <w:lang w:val="en-US"/>
        </w:rPr>
      </w:pPr>
    </w:p>
    <w:p w:rsidR="007A21BD" w:rsidRPr="00131F16" w:rsidRDefault="007A21BD" w:rsidP="007A21BD">
      <w:pPr>
        <w:spacing w:after="0" w:line="240" w:lineRule="auto"/>
        <w:rPr>
          <w:rFonts w:ascii="Arial" w:hAnsi="Arial" w:cs="Arial"/>
          <w:b/>
          <w:sz w:val="24"/>
          <w:szCs w:val="24"/>
          <w:lang w:val="en-US"/>
        </w:rPr>
      </w:pPr>
      <w:r w:rsidRPr="00131F16">
        <w:rPr>
          <w:rFonts w:ascii="Arial" w:hAnsi="Arial" w:cs="Arial"/>
          <w:b/>
          <w:sz w:val="24"/>
          <w:szCs w:val="24"/>
          <w:lang w:val="en-US"/>
        </w:rPr>
        <w:t>VI.2. Ameninţări şi presiuni exercitate asupra pădurilor, anul 2017</w:t>
      </w:r>
    </w:p>
    <w:p w:rsidR="007A21BD" w:rsidRPr="00131F16" w:rsidRDefault="007A21BD" w:rsidP="007A21BD">
      <w:pPr>
        <w:pStyle w:val="Default"/>
        <w:ind w:firstLine="360"/>
        <w:rPr>
          <w:rFonts w:ascii="Arial" w:eastAsiaTheme="minorHAnsi" w:hAnsi="Arial" w:cs="Arial"/>
          <w:color w:val="auto"/>
          <w:lang w:val="ro-RO"/>
        </w:rPr>
      </w:pPr>
      <w:r w:rsidRPr="00131F16">
        <w:rPr>
          <w:rFonts w:ascii="Arial" w:eastAsiaTheme="minorHAnsi" w:hAnsi="Arial" w:cs="Arial"/>
          <w:color w:val="auto"/>
          <w:lang w:val="ro-RO"/>
        </w:rPr>
        <w:t xml:space="preserve">Principalele ameninţări care afectează pădurile sunt: </w:t>
      </w:r>
    </w:p>
    <w:p w:rsidR="007A21BD" w:rsidRPr="00131F16" w:rsidRDefault="007A21BD" w:rsidP="00EF3940">
      <w:pPr>
        <w:pStyle w:val="Default"/>
        <w:numPr>
          <w:ilvl w:val="0"/>
          <w:numId w:val="79"/>
        </w:numPr>
        <w:rPr>
          <w:rFonts w:ascii="Arial" w:hAnsi="Arial" w:cs="Arial"/>
          <w:color w:val="auto"/>
        </w:rPr>
      </w:pPr>
      <w:r w:rsidRPr="00131F16">
        <w:rPr>
          <w:rFonts w:ascii="Arial" w:hAnsi="Arial" w:cs="Arial"/>
          <w:color w:val="auto"/>
        </w:rPr>
        <w:t xml:space="preserve">defrişările (în exces, în scopuri industriale sau pentru obţinerea de energie biocombustibili, dar mai ales cele ilegale; de asemenea, tăierile datorate conversiei pădurilor la terenuri agricole au rol important) </w:t>
      </w:r>
    </w:p>
    <w:p w:rsidR="007A21BD" w:rsidRPr="00131F16" w:rsidRDefault="007A21BD" w:rsidP="00EF3940">
      <w:pPr>
        <w:pStyle w:val="Default"/>
        <w:numPr>
          <w:ilvl w:val="0"/>
          <w:numId w:val="46"/>
        </w:numPr>
        <w:rPr>
          <w:rFonts w:ascii="Arial" w:hAnsi="Arial" w:cs="Arial"/>
          <w:color w:val="auto"/>
        </w:rPr>
      </w:pPr>
      <w:r w:rsidRPr="00131F16">
        <w:rPr>
          <w:rFonts w:ascii="Arial" w:hAnsi="Arial" w:cs="Arial"/>
          <w:color w:val="auto"/>
        </w:rPr>
        <w:t xml:space="preserve">fragmentarea ecosistemelor </w:t>
      </w:r>
    </w:p>
    <w:p w:rsidR="007A21BD" w:rsidRPr="00131F16" w:rsidRDefault="007A21BD" w:rsidP="00EF3940">
      <w:pPr>
        <w:pStyle w:val="Default"/>
        <w:numPr>
          <w:ilvl w:val="0"/>
          <w:numId w:val="46"/>
        </w:numPr>
        <w:rPr>
          <w:rFonts w:ascii="Arial" w:hAnsi="Arial" w:cs="Arial"/>
          <w:color w:val="auto"/>
        </w:rPr>
      </w:pPr>
      <w:r w:rsidRPr="00131F16">
        <w:rPr>
          <w:rFonts w:ascii="Arial" w:hAnsi="Arial" w:cs="Arial"/>
          <w:color w:val="auto"/>
        </w:rPr>
        <w:t xml:space="preserve">degradarea pădurilor, din cauza dăunătorilor sau bolilor sau a speciilor invazive </w:t>
      </w:r>
    </w:p>
    <w:p w:rsidR="007A21BD" w:rsidRPr="00131F16" w:rsidRDefault="007A21BD" w:rsidP="00EF3940">
      <w:pPr>
        <w:pStyle w:val="Default"/>
        <w:numPr>
          <w:ilvl w:val="0"/>
          <w:numId w:val="46"/>
        </w:numPr>
        <w:rPr>
          <w:rFonts w:ascii="Arial" w:hAnsi="Arial" w:cs="Arial"/>
          <w:color w:val="auto"/>
        </w:rPr>
      </w:pPr>
      <w:r w:rsidRPr="00131F16">
        <w:rPr>
          <w:rFonts w:ascii="Arial" w:hAnsi="Arial" w:cs="Arial"/>
          <w:color w:val="auto"/>
        </w:rPr>
        <w:t xml:space="preserve">schimbările climatice, inclusiv incendiile de pădure </w:t>
      </w:r>
    </w:p>
    <w:p w:rsidR="007A21BD" w:rsidRPr="00131F16" w:rsidRDefault="007A21BD" w:rsidP="00EF3940">
      <w:pPr>
        <w:pStyle w:val="Default"/>
        <w:numPr>
          <w:ilvl w:val="0"/>
          <w:numId w:val="46"/>
        </w:numPr>
        <w:rPr>
          <w:rFonts w:ascii="Arial" w:hAnsi="Arial" w:cs="Arial"/>
          <w:color w:val="auto"/>
        </w:rPr>
      </w:pPr>
      <w:r w:rsidRPr="00131F16">
        <w:rPr>
          <w:rFonts w:ascii="Arial" w:hAnsi="Arial" w:cs="Arial"/>
          <w:color w:val="auto"/>
        </w:rPr>
        <w:t xml:space="preserve">turismul negestionat. </w:t>
      </w:r>
    </w:p>
    <w:p w:rsidR="007A21BD" w:rsidRPr="00131F16" w:rsidRDefault="007A21BD" w:rsidP="007A21BD">
      <w:pPr>
        <w:pStyle w:val="Heading1"/>
        <w:spacing w:before="0" w:after="0"/>
        <w:ind w:firstLine="720"/>
        <w:rPr>
          <w:b w:val="0"/>
          <w:sz w:val="24"/>
          <w:szCs w:val="24"/>
          <w:lang w:val="ro-RO"/>
        </w:rPr>
      </w:pPr>
    </w:p>
    <w:p w:rsidR="007A21BD" w:rsidRPr="00131F16" w:rsidRDefault="007A21BD" w:rsidP="007A21BD">
      <w:pPr>
        <w:pStyle w:val="Heading1"/>
        <w:spacing w:before="0" w:after="0"/>
        <w:rPr>
          <w:sz w:val="24"/>
          <w:szCs w:val="24"/>
          <w:lang w:val="ro-RO"/>
        </w:rPr>
      </w:pPr>
      <w:r w:rsidRPr="00131F16">
        <w:rPr>
          <w:sz w:val="24"/>
          <w:szCs w:val="24"/>
          <w:lang w:val="ro-RO"/>
        </w:rPr>
        <w:t>Sensibilizarea publicului</w:t>
      </w:r>
    </w:p>
    <w:p w:rsidR="007A21BD" w:rsidRDefault="007A21BD" w:rsidP="007A21BD">
      <w:pPr>
        <w:spacing w:after="0" w:line="240" w:lineRule="auto"/>
        <w:ind w:firstLine="708"/>
        <w:jc w:val="both"/>
        <w:rPr>
          <w:rFonts w:ascii="Arial" w:hAnsi="Arial" w:cs="Arial"/>
          <w:sz w:val="24"/>
          <w:szCs w:val="24"/>
        </w:rPr>
      </w:pPr>
      <w:r w:rsidRPr="00131F16">
        <w:rPr>
          <w:rFonts w:ascii="Arial" w:hAnsi="Arial" w:cs="Arial"/>
          <w:sz w:val="24"/>
          <w:szCs w:val="24"/>
        </w:rPr>
        <w:t xml:space="preserve">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 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braconaj, păşunat abuziv şi altele, personalul silvic în colaborare cu organele de poliţie organizează permanent acţiuni de patrulare, pânde fixe şi controale ale circulaţiei materialului lemnos. </w:t>
      </w:r>
    </w:p>
    <w:p w:rsidR="00DA0508" w:rsidRPr="00131F16" w:rsidRDefault="00DA0508" w:rsidP="007A21BD">
      <w:pPr>
        <w:spacing w:after="0" w:line="240" w:lineRule="auto"/>
        <w:ind w:firstLine="708"/>
        <w:jc w:val="both"/>
        <w:rPr>
          <w:rFonts w:ascii="Arial" w:hAnsi="Arial" w:cs="Arial"/>
          <w:b/>
          <w:sz w:val="24"/>
          <w:szCs w:val="24"/>
          <w:lang w:val="en-US"/>
        </w:rPr>
      </w:pPr>
    </w:p>
    <w:p w:rsidR="007A21BD" w:rsidRDefault="007A21BD" w:rsidP="007A21BD">
      <w:pPr>
        <w:spacing w:after="0" w:line="240" w:lineRule="auto"/>
        <w:rPr>
          <w:rFonts w:ascii="Arial" w:hAnsi="Arial" w:cs="Arial"/>
          <w:b/>
          <w:i/>
          <w:sz w:val="24"/>
          <w:szCs w:val="24"/>
          <w:lang w:val="en-US"/>
        </w:rPr>
      </w:pPr>
      <w:r w:rsidRPr="00131F16">
        <w:rPr>
          <w:rFonts w:ascii="Arial" w:hAnsi="Arial" w:cs="Arial"/>
          <w:b/>
          <w:i/>
          <w:sz w:val="24"/>
          <w:szCs w:val="24"/>
          <w:lang w:val="en-US"/>
        </w:rPr>
        <w:t xml:space="preserve">        VI.2.1. Suprafeţe de pădure parcurse cu tăieri</w:t>
      </w:r>
    </w:p>
    <w:p w:rsidR="00DA0508" w:rsidRPr="00131F16" w:rsidRDefault="00DA0508" w:rsidP="007A21BD">
      <w:pPr>
        <w:spacing w:after="0" w:line="240" w:lineRule="auto"/>
        <w:rPr>
          <w:rFonts w:ascii="Arial" w:hAnsi="Arial" w:cs="Arial"/>
          <w:b/>
          <w:sz w:val="24"/>
          <w:szCs w:val="24"/>
          <w:lang w:val="en-US"/>
        </w:rPr>
      </w:pP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VI.2.1. -1 </w:t>
      </w:r>
      <w:r w:rsidRPr="00131F16">
        <w:rPr>
          <w:rFonts w:ascii="Arial" w:hAnsi="Arial" w:cs="Arial"/>
          <w:sz w:val="24"/>
          <w:szCs w:val="24"/>
          <w:lang w:val="en-US"/>
        </w:rPr>
        <w:t xml:space="preserve"> Suprafaţa parcursă de tăieri pe tipul de tăieri în perioada 2013-2017</w:t>
      </w:r>
    </w:p>
    <w:tbl>
      <w:tblPr>
        <w:tblStyle w:val="TableGrid"/>
        <w:tblW w:w="0" w:type="auto"/>
        <w:jc w:val="center"/>
        <w:tblInd w:w="392" w:type="dxa"/>
        <w:shd w:val="clear" w:color="auto" w:fill="FDE9D9" w:themeFill="accent6" w:themeFillTint="33"/>
        <w:tblLayout w:type="fixed"/>
        <w:tblLook w:val="04A0"/>
      </w:tblPr>
      <w:tblGrid>
        <w:gridCol w:w="4111"/>
        <w:gridCol w:w="850"/>
        <w:gridCol w:w="992"/>
        <w:gridCol w:w="993"/>
        <w:gridCol w:w="992"/>
        <w:gridCol w:w="958"/>
      </w:tblGrid>
      <w:tr w:rsidR="007A21BD" w:rsidRPr="00131F16" w:rsidTr="006054F4">
        <w:trPr>
          <w:jc w:val="center"/>
        </w:trPr>
        <w:tc>
          <w:tcPr>
            <w:tcW w:w="4111"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Tipul de tăieri</w:t>
            </w:r>
          </w:p>
        </w:tc>
        <w:tc>
          <w:tcPr>
            <w:tcW w:w="4785" w:type="dxa"/>
            <w:gridSpan w:val="5"/>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Suprafața parcursă cu tăieri (ha)</w:t>
            </w:r>
          </w:p>
        </w:tc>
      </w:tr>
      <w:tr w:rsidR="007A21BD" w:rsidRPr="00131F16" w:rsidTr="006054F4">
        <w:trPr>
          <w:jc w:val="center"/>
        </w:trPr>
        <w:tc>
          <w:tcPr>
            <w:tcW w:w="4111" w:type="dxa"/>
            <w:shd w:val="clear" w:color="auto" w:fill="FDE9D9" w:themeFill="accent6" w:themeFillTint="33"/>
          </w:tcPr>
          <w:p w:rsidR="007A21BD" w:rsidRPr="00131F16" w:rsidRDefault="007A21BD" w:rsidP="004E444C">
            <w:pPr>
              <w:rPr>
                <w:rFonts w:ascii="Arial" w:hAnsi="Arial" w:cs="Arial"/>
                <w:sz w:val="24"/>
                <w:szCs w:val="24"/>
              </w:rPr>
            </w:pPr>
          </w:p>
        </w:tc>
        <w:tc>
          <w:tcPr>
            <w:tcW w:w="850"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2013</w:t>
            </w:r>
          </w:p>
        </w:tc>
        <w:tc>
          <w:tcPr>
            <w:tcW w:w="992"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2014</w:t>
            </w:r>
          </w:p>
        </w:tc>
        <w:tc>
          <w:tcPr>
            <w:tcW w:w="993"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2015</w:t>
            </w:r>
          </w:p>
        </w:tc>
        <w:tc>
          <w:tcPr>
            <w:tcW w:w="992"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2016</w:t>
            </w:r>
          </w:p>
        </w:tc>
        <w:tc>
          <w:tcPr>
            <w:tcW w:w="958"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2017</w:t>
            </w:r>
          </w:p>
        </w:tc>
      </w:tr>
      <w:tr w:rsidR="007A21BD" w:rsidRPr="00131F16" w:rsidTr="004E444C">
        <w:trPr>
          <w:jc w:val="center"/>
        </w:trPr>
        <w:tc>
          <w:tcPr>
            <w:tcW w:w="4111"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Tăieri de regenerare în crâng</w:t>
            </w:r>
          </w:p>
        </w:tc>
        <w:tc>
          <w:tcPr>
            <w:tcW w:w="850"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70,7</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64,8</w:t>
            </w:r>
          </w:p>
        </w:tc>
        <w:tc>
          <w:tcPr>
            <w:tcW w:w="993"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47,7</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48</w:t>
            </w:r>
          </w:p>
        </w:tc>
        <w:tc>
          <w:tcPr>
            <w:tcW w:w="958"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47</w:t>
            </w:r>
          </w:p>
        </w:tc>
      </w:tr>
      <w:tr w:rsidR="007A21BD" w:rsidRPr="00131F16" w:rsidTr="004E444C">
        <w:trPr>
          <w:jc w:val="center"/>
        </w:trPr>
        <w:tc>
          <w:tcPr>
            <w:tcW w:w="4111"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Tăieri de substituiri-refacere a arboretelor slab productive şi degradate</w:t>
            </w:r>
          </w:p>
        </w:tc>
        <w:tc>
          <w:tcPr>
            <w:tcW w:w="850"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70,7</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64,8</w:t>
            </w:r>
          </w:p>
        </w:tc>
        <w:tc>
          <w:tcPr>
            <w:tcW w:w="993"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47,7</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48</w:t>
            </w:r>
          </w:p>
        </w:tc>
        <w:tc>
          <w:tcPr>
            <w:tcW w:w="958"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47</w:t>
            </w:r>
          </w:p>
        </w:tc>
      </w:tr>
      <w:tr w:rsidR="007A21BD" w:rsidRPr="00131F16" w:rsidTr="004E444C">
        <w:trPr>
          <w:jc w:val="center"/>
        </w:trPr>
        <w:tc>
          <w:tcPr>
            <w:tcW w:w="4111"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Tăieri de conservare</w:t>
            </w:r>
          </w:p>
        </w:tc>
        <w:tc>
          <w:tcPr>
            <w:tcW w:w="850"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0</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0</w:t>
            </w:r>
          </w:p>
        </w:tc>
        <w:tc>
          <w:tcPr>
            <w:tcW w:w="993"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0</w:t>
            </w:r>
          </w:p>
        </w:tc>
        <w:tc>
          <w:tcPr>
            <w:tcW w:w="992"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0</w:t>
            </w:r>
          </w:p>
        </w:tc>
        <w:tc>
          <w:tcPr>
            <w:tcW w:w="958" w:type="dxa"/>
            <w:shd w:val="clear" w:color="auto" w:fill="FDE9D9" w:themeFill="accent6" w:themeFillTint="33"/>
          </w:tcPr>
          <w:p w:rsidR="007A21BD" w:rsidRPr="00131F16" w:rsidRDefault="007A21BD" w:rsidP="004E444C">
            <w:pPr>
              <w:jc w:val="center"/>
              <w:rPr>
                <w:rFonts w:ascii="Arial" w:hAnsi="Arial" w:cs="Arial"/>
                <w:sz w:val="24"/>
                <w:szCs w:val="24"/>
              </w:rPr>
            </w:pPr>
            <w:r w:rsidRPr="00131F16">
              <w:rPr>
                <w:rFonts w:ascii="Arial" w:hAnsi="Arial" w:cs="Arial"/>
                <w:sz w:val="24"/>
                <w:szCs w:val="24"/>
              </w:rPr>
              <w:t>0</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jc w:val="center"/>
        <w:rPr>
          <w:rFonts w:ascii="Arial" w:hAnsi="Arial" w:cs="Arial"/>
          <w:b/>
          <w:sz w:val="24"/>
          <w:szCs w:val="24"/>
        </w:rPr>
      </w:pPr>
      <w:r w:rsidRPr="00131F16">
        <w:rPr>
          <w:rFonts w:ascii="Arial" w:hAnsi="Arial" w:cs="Arial"/>
          <w:b/>
          <w:noProof/>
          <w:sz w:val="24"/>
          <w:szCs w:val="24"/>
        </w:rPr>
        <w:lastRenderedPageBreak/>
        <w:drawing>
          <wp:inline distT="0" distB="0" distL="0" distR="0">
            <wp:extent cx="3905250" cy="2609850"/>
            <wp:effectExtent l="19050" t="0" r="19050" b="0"/>
            <wp:docPr id="2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A21BD" w:rsidRPr="00131F16" w:rsidRDefault="007A21BD" w:rsidP="007A21BD">
      <w:pPr>
        <w:spacing w:after="0" w:line="240" w:lineRule="auto"/>
        <w:rPr>
          <w:rFonts w:ascii="Arial" w:hAnsi="Arial" w:cs="Arial"/>
          <w:sz w:val="24"/>
          <w:szCs w:val="24"/>
          <w:lang w:val="en-US"/>
        </w:rPr>
      </w:pPr>
      <w:r w:rsidRPr="00131F16">
        <w:rPr>
          <w:rFonts w:ascii="Arial" w:hAnsi="Arial" w:cs="Arial"/>
          <w:b/>
          <w:sz w:val="24"/>
          <w:szCs w:val="24"/>
          <w:lang w:val="en-US"/>
        </w:rPr>
        <w:t xml:space="preserve">                 Figura nr. </w:t>
      </w:r>
      <w:r w:rsidRPr="00131F16">
        <w:rPr>
          <w:rFonts w:ascii="Arial" w:hAnsi="Arial" w:cs="Arial"/>
          <w:sz w:val="24"/>
          <w:szCs w:val="24"/>
          <w:lang w:val="en-US"/>
        </w:rPr>
        <w:t>.</w:t>
      </w:r>
      <w:r w:rsidRPr="00131F16">
        <w:rPr>
          <w:rFonts w:ascii="Arial" w:hAnsi="Arial" w:cs="Arial"/>
          <w:b/>
          <w:sz w:val="24"/>
          <w:szCs w:val="24"/>
          <w:lang w:val="en-US"/>
        </w:rPr>
        <w:t xml:space="preserve"> VI.2.1. -1 </w:t>
      </w:r>
      <w:r w:rsidRPr="00131F16">
        <w:rPr>
          <w:rFonts w:ascii="Arial" w:hAnsi="Arial" w:cs="Arial"/>
          <w:sz w:val="24"/>
          <w:szCs w:val="24"/>
          <w:lang w:val="en-US"/>
        </w:rPr>
        <w:t xml:space="preserve"> Suprafaţa parcursă de tăieri pe tipul de tăieri</w:t>
      </w:r>
    </w:p>
    <w:p w:rsidR="00DA0508" w:rsidRDefault="00DA0508" w:rsidP="007A21BD">
      <w:pPr>
        <w:spacing w:after="0" w:line="240" w:lineRule="auto"/>
        <w:ind w:firstLine="708"/>
        <w:rPr>
          <w:rFonts w:ascii="Arial" w:hAnsi="Arial" w:cs="Arial"/>
          <w:b/>
          <w:i/>
          <w:sz w:val="24"/>
          <w:szCs w:val="24"/>
          <w:lang w:val="en-US"/>
        </w:rPr>
      </w:pPr>
    </w:p>
    <w:p w:rsidR="007A21BD" w:rsidRPr="00131F16" w:rsidRDefault="007A21BD" w:rsidP="007A21BD">
      <w:pPr>
        <w:spacing w:after="0" w:line="240" w:lineRule="auto"/>
        <w:ind w:firstLine="708"/>
        <w:rPr>
          <w:rFonts w:ascii="Arial" w:hAnsi="Arial" w:cs="Arial"/>
          <w:b/>
          <w:i/>
          <w:sz w:val="24"/>
          <w:szCs w:val="24"/>
          <w:lang w:val="en-US"/>
        </w:rPr>
      </w:pPr>
      <w:r w:rsidRPr="00131F16">
        <w:rPr>
          <w:rFonts w:ascii="Arial" w:hAnsi="Arial" w:cs="Arial"/>
          <w:b/>
          <w:i/>
          <w:sz w:val="24"/>
          <w:szCs w:val="24"/>
          <w:lang w:val="en-US"/>
        </w:rPr>
        <w:t>VI.2.2. Schimbarea utilizării terenurilor</w:t>
      </w:r>
    </w:p>
    <w:p w:rsidR="007A21BD" w:rsidRPr="00131F16" w:rsidRDefault="00DA0508" w:rsidP="007A21BD">
      <w:pPr>
        <w:spacing w:after="0" w:line="240" w:lineRule="auto"/>
        <w:ind w:firstLine="708"/>
        <w:rPr>
          <w:rFonts w:ascii="Arial" w:hAnsi="Arial" w:cs="Arial"/>
          <w:b/>
          <w:i/>
          <w:sz w:val="24"/>
          <w:szCs w:val="24"/>
          <w:lang w:val="en-US"/>
        </w:rPr>
      </w:pPr>
      <w:r>
        <w:rPr>
          <w:rFonts w:ascii="Arial" w:hAnsi="Arial" w:cs="Arial"/>
          <w:b/>
          <w:i/>
          <w:sz w:val="24"/>
          <w:szCs w:val="24"/>
          <w:lang w:val="en-US"/>
        </w:rPr>
        <w:t xml:space="preserve">       </w:t>
      </w:r>
      <w:r w:rsidR="007A21BD" w:rsidRPr="00131F16">
        <w:rPr>
          <w:rFonts w:ascii="Arial" w:hAnsi="Arial" w:cs="Arial"/>
          <w:b/>
          <w:i/>
          <w:sz w:val="24"/>
          <w:szCs w:val="24"/>
          <w:lang w:val="en-US"/>
        </w:rPr>
        <w:t>VI.2.2.1. Fragmentarea ecosistemelor (arealelor naturale şi seminaturale)</w:t>
      </w:r>
    </w:p>
    <w:p w:rsidR="007A21BD" w:rsidRPr="00131F16" w:rsidRDefault="007A21BD" w:rsidP="00DA0508">
      <w:pPr>
        <w:spacing w:after="0" w:line="240" w:lineRule="auto"/>
        <w:jc w:val="both"/>
        <w:rPr>
          <w:rFonts w:ascii="Arial" w:hAnsi="Arial" w:cs="Arial"/>
          <w:sz w:val="24"/>
          <w:szCs w:val="24"/>
        </w:rPr>
      </w:pPr>
      <w:r w:rsidRPr="00131F16">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131F16">
        <w:rPr>
          <w:rFonts w:ascii="Arial" w:hAnsi="Arial" w:cs="Arial"/>
          <w:i/>
          <w:iCs/>
          <w:sz w:val="24"/>
          <w:szCs w:val="24"/>
        </w:rPr>
        <w:t xml:space="preserve">conversia terenurilor </w:t>
      </w:r>
      <w:r w:rsidRPr="00131F16">
        <w:rPr>
          <w:rFonts w:ascii="Arial" w:hAnsi="Arial" w:cs="Arial"/>
          <w:sz w:val="24"/>
          <w:szCs w:val="24"/>
        </w:rPr>
        <w:t>în scopul extinderii urbane, dezvoltării infrastructurii de transport, dezvoltării industriale, agricole, sau turistice.</w:t>
      </w:r>
    </w:p>
    <w:p w:rsidR="007A21BD" w:rsidRPr="00131F16" w:rsidRDefault="007A21BD" w:rsidP="007A21BD">
      <w:pPr>
        <w:spacing w:after="0" w:line="240" w:lineRule="auto"/>
        <w:ind w:firstLine="708"/>
        <w:jc w:val="both"/>
        <w:rPr>
          <w:rFonts w:ascii="Arial" w:hAnsi="Arial" w:cs="Arial"/>
          <w:b/>
          <w:i/>
          <w:sz w:val="24"/>
          <w:szCs w:val="24"/>
          <w:lang w:val="en-US"/>
        </w:rPr>
      </w:pPr>
      <w:r w:rsidRPr="00131F16">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p>
    <w:p w:rsidR="007A21BD" w:rsidRPr="00131F16" w:rsidRDefault="007A21BD" w:rsidP="007A21BD">
      <w:pPr>
        <w:spacing w:after="0" w:line="240" w:lineRule="auto"/>
        <w:ind w:firstLine="708"/>
        <w:rPr>
          <w:rFonts w:ascii="Arial" w:hAnsi="Arial" w:cs="Arial"/>
          <w:b/>
          <w:sz w:val="24"/>
          <w:szCs w:val="24"/>
          <w:lang w:val="en-US"/>
        </w:rPr>
      </w:pPr>
      <w:r w:rsidRPr="00131F16">
        <w:rPr>
          <w:rFonts w:ascii="Arial" w:hAnsi="Arial" w:cs="Arial"/>
          <w:b/>
          <w:i/>
          <w:sz w:val="24"/>
          <w:szCs w:val="24"/>
          <w:lang w:val="en-US"/>
        </w:rPr>
        <w:t>VI.2.3. Schimbările climatice</w:t>
      </w:r>
    </w:p>
    <w:p w:rsidR="007A21BD" w:rsidRPr="00131F16" w:rsidRDefault="007A21BD" w:rsidP="007A21BD">
      <w:pPr>
        <w:spacing w:after="0" w:line="240" w:lineRule="auto"/>
        <w:ind w:firstLine="708"/>
        <w:jc w:val="both"/>
        <w:rPr>
          <w:rFonts w:ascii="Arial" w:hAnsi="Arial" w:cs="Arial"/>
          <w:sz w:val="24"/>
          <w:szCs w:val="24"/>
          <w:lang w:val="en-US"/>
        </w:rPr>
      </w:pPr>
      <w:r w:rsidRPr="00131F16">
        <w:rPr>
          <w:rFonts w:ascii="Arial" w:hAnsi="Arial" w:cs="Arial"/>
          <w:sz w:val="24"/>
          <w:szCs w:val="24"/>
          <w:lang w:val="en-US"/>
        </w:rPr>
        <w:t>Evoluţia suprafeţei forestiere din judeţul Brăila parcurse de incendiile de pădure 2013-2017. După cum rezultă din tabelul nr. VI.2.3. -1</w:t>
      </w:r>
      <w:r w:rsidRPr="00131F16">
        <w:rPr>
          <w:rFonts w:ascii="Arial" w:hAnsi="Arial" w:cs="Arial"/>
          <w:b/>
          <w:sz w:val="24"/>
          <w:szCs w:val="24"/>
          <w:lang w:val="en-US"/>
        </w:rPr>
        <w:t xml:space="preserve"> </w:t>
      </w:r>
      <w:r w:rsidRPr="00131F16">
        <w:rPr>
          <w:rFonts w:ascii="Arial" w:hAnsi="Arial" w:cs="Arial"/>
          <w:sz w:val="24"/>
          <w:szCs w:val="24"/>
          <w:lang w:val="en-US"/>
        </w:rPr>
        <w:t xml:space="preserve"> județul Brăila nu s-a confruntat în ultimii trei ani cu incendii de pădure iar în anii anteriori aceste evenimente nu au afectat suprafețe foarte mari.</w:t>
      </w:r>
    </w:p>
    <w:p w:rsidR="007A21BD" w:rsidRPr="00131F16" w:rsidRDefault="007A21BD" w:rsidP="007A21BD">
      <w:pPr>
        <w:spacing w:after="0" w:line="240" w:lineRule="auto"/>
        <w:jc w:val="both"/>
        <w:rPr>
          <w:rFonts w:ascii="Arial" w:hAnsi="Arial" w:cs="Arial"/>
          <w:sz w:val="24"/>
          <w:szCs w:val="24"/>
          <w:lang w:val="en-US"/>
        </w:rPr>
      </w:pPr>
      <w:r w:rsidRPr="00131F16">
        <w:rPr>
          <w:rFonts w:ascii="Arial" w:hAnsi="Arial" w:cs="Arial"/>
          <w:sz w:val="24"/>
          <w:szCs w:val="24"/>
          <w:lang w:val="en-US"/>
        </w:rPr>
        <w:t>Tabelul nr.</w:t>
      </w:r>
      <w:r w:rsidRPr="00131F16">
        <w:rPr>
          <w:rFonts w:ascii="Arial" w:hAnsi="Arial" w:cs="Arial"/>
          <w:b/>
          <w:sz w:val="24"/>
          <w:szCs w:val="24"/>
          <w:lang w:val="en-US"/>
        </w:rPr>
        <w:t xml:space="preserve"> VI.2.3. -1 </w:t>
      </w:r>
      <w:r w:rsidRPr="00131F16">
        <w:rPr>
          <w:rFonts w:ascii="Arial" w:hAnsi="Arial" w:cs="Arial"/>
          <w:sz w:val="24"/>
          <w:szCs w:val="24"/>
          <w:lang w:val="en-US"/>
        </w:rPr>
        <w:t xml:space="preserve"> Evoluția suprafețelor parcurse cu incendii de pădure în anii 2013-2017</w:t>
      </w:r>
    </w:p>
    <w:tbl>
      <w:tblPr>
        <w:tblStyle w:val="TableGrid"/>
        <w:tblW w:w="0" w:type="auto"/>
        <w:jc w:val="center"/>
        <w:shd w:val="clear" w:color="auto" w:fill="FDE9D9" w:themeFill="accent6" w:themeFillTint="33"/>
        <w:tblLook w:val="04A0"/>
      </w:tblPr>
      <w:tblGrid>
        <w:gridCol w:w="4644"/>
        <w:gridCol w:w="928"/>
        <w:gridCol w:w="929"/>
        <w:gridCol w:w="929"/>
        <w:gridCol w:w="929"/>
        <w:gridCol w:w="929"/>
      </w:tblGrid>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p>
        </w:tc>
        <w:tc>
          <w:tcPr>
            <w:tcW w:w="928"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2013</w:t>
            </w:r>
          </w:p>
        </w:tc>
        <w:tc>
          <w:tcPr>
            <w:tcW w:w="929"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2014</w:t>
            </w:r>
          </w:p>
        </w:tc>
        <w:tc>
          <w:tcPr>
            <w:tcW w:w="929"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2015</w:t>
            </w:r>
          </w:p>
        </w:tc>
        <w:tc>
          <w:tcPr>
            <w:tcW w:w="929"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2016</w:t>
            </w:r>
          </w:p>
        </w:tc>
        <w:tc>
          <w:tcPr>
            <w:tcW w:w="929" w:type="dxa"/>
            <w:shd w:val="clear" w:color="auto" w:fill="FDE9D9" w:themeFill="accent6" w:themeFillTint="33"/>
          </w:tcPr>
          <w:p w:rsidR="007A21BD" w:rsidRPr="00131F16" w:rsidRDefault="007A21BD" w:rsidP="004E444C">
            <w:pPr>
              <w:rPr>
                <w:rFonts w:ascii="Arial" w:hAnsi="Arial" w:cs="Arial"/>
                <w:b/>
                <w:sz w:val="24"/>
                <w:szCs w:val="24"/>
              </w:rPr>
            </w:pPr>
            <w:r w:rsidRPr="00131F16">
              <w:rPr>
                <w:rFonts w:ascii="Arial" w:hAnsi="Arial" w:cs="Arial"/>
                <w:b/>
                <w:sz w:val="24"/>
                <w:szCs w:val="24"/>
              </w:rPr>
              <w:t>2017</w:t>
            </w:r>
          </w:p>
        </w:tc>
      </w:tr>
      <w:tr w:rsidR="007A21BD" w:rsidRPr="00131F16" w:rsidTr="004E444C">
        <w:trPr>
          <w:jc w:val="center"/>
        </w:trPr>
        <w:tc>
          <w:tcPr>
            <w:tcW w:w="4644" w:type="dxa"/>
            <w:shd w:val="clear" w:color="auto" w:fill="FDE9D9" w:themeFill="accent6" w:themeFillTint="33"/>
          </w:tcPr>
          <w:p w:rsidR="007A21BD" w:rsidRPr="00131F16" w:rsidRDefault="007A21BD" w:rsidP="004E444C">
            <w:pPr>
              <w:rPr>
                <w:rFonts w:ascii="Arial" w:hAnsi="Arial" w:cs="Arial"/>
                <w:sz w:val="24"/>
                <w:szCs w:val="24"/>
              </w:rPr>
            </w:pPr>
            <w:r w:rsidRPr="00131F16">
              <w:rPr>
                <w:rFonts w:ascii="Arial" w:hAnsi="Arial" w:cs="Arial"/>
                <w:sz w:val="24"/>
                <w:szCs w:val="24"/>
              </w:rPr>
              <w:t>Suprafaţa forestieră afectată (ha)</w:t>
            </w:r>
          </w:p>
        </w:tc>
        <w:tc>
          <w:tcPr>
            <w:tcW w:w="928"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hAnsi="Arial" w:cs="Arial"/>
                <w:sz w:val="24"/>
                <w:szCs w:val="24"/>
              </w:rPr>
              <w:t>1,6</w:t>
            </w:r>
          </w:p>
        </w:tc>
        <w:tc>
          <w:tcPr>
            <w:tcW w:w="929"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hAnsi="Arial" w:cs="Arial"/>
                <w:sz w:val="24"/>
                <w:szCs w:val="24"/>
              </w:rPr>
              <w:t>2,2</w:t>
            </w:r>
          </w:p>
        </w:tc>
        <w:tc>
          <w:tcPr>
            <w:tcW w:w="929"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eastAsia="Calibri" w:hAnsi="Arial" w:cs="Arial"/>
                <w:sz w:val="24"/>
                <w:szCs w:val="24"/>
              </w:rPr>
              <w:t>0,2</w:t>
            </w:r>
          </w:p>
        </w:tc>
        <w:tc>
          <w:tcPr>
            <w:tcW w:w="929"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eastAsia="Calibri" w:hAnsi="Arial" w:cs="Arial"/>
                <w:sz w:val="24"/>
                <w:szCs w:val="24"/>
              </w:rPr>
              <w:t>0,0</w:t>
            </w:r>
          </w:p>
        </w:tc>
        <w:tc>
          <w:tcPr>
            <w:tcW w:w="929" w:type="dxa"/>
            <w:shd w:val="clear" w:color="auto" w:fill="FDE9D9" w:themeFill="accent6" w:themeFillTint="33"/>
          </w:tcPr>
          <w:p w:rsidR="007A21BD" w:rsidRPr="00131F16" w:rsidRDefault="007A21BD" w:rsidP="004E444C">
            <w:pPr>
              <w:tabs>
                <w:tab w:val="left" w:pos="1890"/>
              </w:tabs>
              <w:jc w:val="center"/>
              <w:rPr>
                <w:rFonts w:ascii="Arial" w:eastAsia="Calibri" w:hAnsi="Arial" w:cs="Arial"/>
                <w:sz w:val="24"/>
                <w:szCs w:val="24"/>
              </w:rPr>
            </w:pPr>
            <w:r w:rsidRPr="00131F16">
              <w:rPr>
                <w:rFonts w:ascii="Arial" w:eastAsia="Calibri" w:hAnsi="Arial" w:cs="Arial"/>
                <w:sz w:val="24"/>
                <w:szCs w:val="24"/>
              </w:rPr>
              <w:t>0,0</w:t>
            </w:r>
          </w:p>
        </w:tc>
      </w:tr>
    </w:tbl>
    <w:p w:rsidR="007A21BD" w:rsidRPr="00131F16" w:rsidRDefault="007A21BD" w:rsidP="007A21BD">
      <w:pPr>
        <w:spacing w:after="0" w:line="240" w:lineRule="auto"/>
        <w:rPr>
          <w:rFonts w:ascii="Arial" w:hAnsi="Arial" w:cs="Arial"/>
          <w:sz w:val="24"/>
          <w:szCs w:val="24"/>
          <w:lang w:val="en-US"/>
        </w:rPr>
      </w:pPr>
    </w:p>
    <w:p w:rsidR="007A21BD" w:rsidRPr="00131F16" w:rsidRDefault="007A21BD" w:rsidP="007A21BD">
      <w:pPr>
        <w:spacing w:after="0" w:line="240" w:lineRule="auto"/>
        <w:jc w:val="center"/>
        <w:rPr>
          <w:rFonts w:ascii="Arial" w:hAnsi="Arial" w:cs="Arial"/>
          <w:sz w:val="24"/>
          <w:szCs w:val="24"/>
          <w:lang w:val="en-US"/>
        </w:rPr>
      </w:pPr>
      <w:r w:rsidRPr="00131F16">
        <w:rPr>
          <w:rFonts w:ascii="Arial" w:hAnsi="Arial" w:cs="Arial"/>
          <w:noProof/>
          <w:sz w:val="24"/>
          <w:szCs w:val="24"/>
        </w:rPr>
        <w:drawing>
          <wp:inline distT="0" distB="0" distL="0" distR="0">
            <wp:extent cx="3990975" cy="2181225"/>
            <wp:effectExtent l="19050" t="0" r="9525" b="0"/>
            <wp:docPr id="25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A21BD" w:rsidRPr="00071C22" w:rsidRDefault="007A21BD" w:rsidP="007A21BD">
      <w:pPr>
        <w:spacing w:after="0" w:line="240" w:lineRule="auto"/>
        <w:rPr>
          <w:rFonts w:ascii="Arial" w:hAnsi="Arial" w:cs="Arial"/>
          <w:sz w:val="24"/>
          <w:szCs w:val="24"/>
          <w:lang w:val="en-US"/>
        </w:rPr>
      </w:pPr>
      <w:r w:rsidRPr="00131F16">
        <w:rPr>
          <w:rFonts w:ascii="Arial" w:hAnsi="Arial" w:cs="Arial"/>
          <w:sz w:val="24"/>
          <w:szCs w:val="24"/>
          <w:lang w:val="en-US"/>
        </w:rPr>
        <w:t xml:space="preserve">Figura nr. </w:t>
      </w:r>
      <w:r w:rsidRPr="00131F16">
        <w:rPr>
          <w:rFonts w:ascii="Arial" w:hAnsi="Arial" w:cs="Arial"/>
          <w:b/>
          <w:sz w:val="24"/>
          <w:szCs w:val="24"/>
          <w:lang w:val="en-US"/>
        </w:rPr>
        <w:t xml:space="preserve">VI.2.3. – 2 </w:t>
      </w:r>
      <w:r w:rsidRPr="00131F16">
        <w:rPr>
          <w:rFonts w:ascii="Arial" w:hAnsi="Arial" w:cs="Arial"/>
          <w:sz w:val="24"/>
          <w:szCs w:val="24"/>
          <w:lang w:val="en-US"/>
        </w:rPr>
        <w:t>Evoluţia suprafeţei forestiere parcurse de incendiile de pădure 2013-2017</w:t>
      </w:r>
    </w:p>
    <w:p w:rsidR="007A21BD" w:rsidRDefault="007A21BD" w:rsidP="007A21BD"/>
    <w:p w:rsidR="00B07C47" w:rsidRPr="006C2DD6" w:rsidRDefault="00B07C47" w:rsidP="00B07C47">
      <w:pPr>
        <w:spacing w:after="0" w:line="240" w:lineRule="auto"/>
        <w:jc w:val="both"/>
        <w:rPr>
          <w:rFonts w:ascii="Arial" w:hAnsi="Arial" w:cs="Arial"/>
          <w:sz w:val="24"/>
          <w:szCs w:val="24"/>
        </w:rPr>
      </w:pPr>
      <w:r w:rsidRPr="006C2DD6">
        <w:rPr>
          <w:rFonts w:ascii="Arial" w:hAnsi="Arial" w:cs="Arial"/>
          <w:b/>
          <w:sz w:val="24"/>
          <w:szCs w:val="24"/>
        </w:rPr>
        <w:t>VII. RESURSELE MATERIALE ȘI DEȘEURILE</w:t>
      </w: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sz w:val="24"/>
          <w:szCs w:val="24"/>
        </w:rPr>
        <w:t xml:space="preserve">    </w:t>
      </w:r>
      <w:r w:rsidRPr="006C2DD6">
        <w:rPr>
          <w:rFonts w:ascii="Arial" w:hAnsi="Arial" w:cs="Arial"/>
          <w:b/>
          <w:sz w:val="24"/>
          <w:szCs w:val="24"/>
        </w:rPr>
        <w:t>VII.1. Generarea şi gestionarea deşeurilor: tendinţe, impacturi şi prognoze</w:t>
      </w:r>
    </w:p>
    <w:p w:rsidR="00B07C47" w:rsidRPr="006C2DD6" w:rsidRDefault="00B07C47" w:rsidP="00B07C47">
      <w:pPr>
        <w:tabs>
          <w:tab w:val="left" w:pos="9000"/>
        </w:tabs>
        <w:spacing w:after="0" w:line="240" w:lineRule="auto"/>
        <w:jc w:val="both"/>
        <w:outlineLvl w:val="0"/>
        <w:rPr>
          <w:rFonts w:ascii="Arial" w:hAnsi="Arial" w:cs="Arial"/>
          <w:b/>
          <w:bCs/>
          <w:sz w:val="24"/>
          <w:szCs w:val="24"/>
        </w:rPr>
      </w:pPr>
      <w:r w:rsidRPr="006C2DD6">
        <w:rPr>
          <w:rFonts w:ascii="Arial" w:hAnsi="Arial" w:cs="Arial"/>
          <w:b/>
          <w:bCs/>
          <w:sz w:val="24"/>
          <w:szCs w:val="24"/>
        </w:rPr>
        <w:t>Date generale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Deşeurile reprezintă una din problemele cele mai acute legate de protecţia mediului. În fiecare an se generează mari cantităţi de deşeuri atât din producţie cât şi de la populaţie,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 care au un mod de gestionare specific.</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Generarea deşeurilor urmează, de obicei, tendinţele de consum şi de producţie, de exemplu, generarea deşeurilor menajere (cantitate/locuitor) creşte odată cu creşterea nivelului de trai. Oferta largă şi diversitatea produselor pe care le găsim astăzi în magazine au provocat totodată şi o creştere îngrijorătoare a cantităţii de deşeuri. Dacă cineva ar avea curiozitatea să vadă ce fel de resturi conţin „gunoaiele” din ultimii ani, ar constata că aproximativ jumătate din volumul ocupat de deşeuri este format din ambalaje.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Creşterea producţiei economice, de asemenea, conduce la generarea de cantităţi mai mari de deşeuri. Operatorii economici au obligaţia de a valorifica deşeurile proprii prin reciclare, valorificare energetică, tratare (pentru diminuarea gradului de periculozitate) şi, doar în ultimul rând, soluţia aleasă să fie, eliminarea prin incinerare sau depozitare. Informaţiile privind generarea deşeurilor şi practicile actuale de gestionare a acestora sunt importante în identificarea riscurilor potenţiale pentru mediu şi sănătate umană, cât şi pentru verificarea modului de respectare a gestionării deşeurilor impuse prin legislaţia în vigoare.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Gestionarea deşeurilor cuprinde toate activităţile de colectare, transport, tratare, valorificare şi eliminare a deşeurilor, inclusiv supravegherea acestor operaţii şi îngrijirea zonelor de depozitare după închiderea acestora.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De la 1 ianuarie 2014 a intrat în vigoare Strategia Națională de Gestionare a Deșeurilor 2014-2020, document ce a fost aprobat prin HG 870/2013.Prevederile noii strategii se aplică pentru toate tipurile de deșeuri reglementate prin Legea 211/2011 privind regimul deșeurilor, respectiv:</w:t>
      </w:r>
    </w:p>
    <w:p w:rsidR="00B07C47" w:rsidRPr="006C2DD6" w:rsidRDefault="00B07C47" w:rsidP="00B07C47">
      <w:pPr>
        <w:autoSpaceDE w:val="0"/>
        <w:autoSpaceDN w:val="0"/>
        <w:adjustRightInd w:val="0"/>
        <w:spacing w:after="0" w:line="240" w:lineRule="auto"/>
        <w:ind w:firstLine="708"/>
        <w:jc w:val="both"/>
        <w:rPr>
          <w:rFonts w:ascii="Arial" w:hAnsi="Arial" w:cs="Arial"/>
          <w:b/>
          <w:bCs/>
          <w:sz w:val="24"/>
          <w:szCs w:val="24"/>
        </w:rPr>
      </w:pPr>
      <w:r w:rsidRPr="006C2DD6">
        <w:rPr>
          <w:rFonts w:ascii="Arial" w:hAnsi="Arial" w:cs="Arial"/>
          <w:bCs/>
          <w:sz w:val="24"/>
          <w:szCs w:val="24"/>
        </w:rPr>
        <w:t>- deşeuri municipale şi asimilabile din comerţ, industrie, instituţii, inclusiv fracţii colectate separat;</w:t>
      </w:r>
    </w:p>
    <w:p w:rsidR="00B07C47" w:rsidRPr="006C2DD6" w:rsidRDefault="00B07C47" w:rsidP="00B07C47">
      <w:pPr>
        <w:autoSpaceDE w:val="0"/>
        <w:autoSpaceDN w:val="0"/>
        <w:adjustRightInd w:val="0"/>
        <w:spacing w:after="0" w:line="240" w:lineRule="auto"/>
        <w:ind w:firstLine="708"/>
        <w:jc w:val="both"/>
        <w:rPr>
          <w:rFonts w:ascii="Arial" w:hAnsi="Arial" w:cs="Arial"/>
          <w:b/>
          <w:bCs/>
          <w:sz w:val="24"/>
          <w:szCs w:val="24"/>
        </w:rPr>
      </w:pPr>
      <w:r w:rsidRPr="006C2DD6">
        <w:rPr>
          <w:rFonts w:ascii="Arial" w:hAnsi="Arial" w:cs="Arial"/>
          <w:bCs/>
          <w:sz w:val="24"/>
          <w:szCs w:val="24"/>
        </w:rPr>
        <w:t>- fluxuri specifice de deşeuri: biodeşeuri, deşeuri de ambalaje, deşeuri din construcţii şi demolări, vehicule scoase din uz, deşeuri de echipamente electrice şi electronice, baterii şi acumulatori uzaţi, uleiuri uzate, anvelope uzate, deşeuri cu conţinut de PCB/PCT, deşeuri cu conţinut de azbest, deşeuri rezultate din activităţi medicale şi activităţi conexe.</w:t>
      </w:r>
    </w:p>
    <w:p w:rsidR="00B07C47" w:rsidRPr="006C2DD6" w:rsidRDefault="00B07C47" w:rsidP="00B07C47">
      <w:pPr>
        <w:autoSpaceDE w:val="0"/>
        <w:autoSpaceDN w:val="0"/>
        <w:adjustRightInd w:val="0"/>
        <w:spacing w:after="0" w:line="240" w:lineRule="auto"/>
        <w:jc w:val="both"/>
        <w:rPr>
          <w:rFonts w:ascii="Arial" w:hAnsi="Arial" w:cs="Arial"/>
          <w:b/>
          <w:sz w:val="24"/>
          <w:szCs w:val="24"/>
          <w:lang w:val="it-IT"/>
        </w:rPr>
      </w:pPr>
      <w:r w:rsidRPr="006C2DD6">
        <w:rPr>
          <w:rFonts w:ascii="Arial" w:hAnsi="Arial" w:cs="Arial"/>
          <w:sz w:val="24"/>
          <w:szCs w:val="24"/>
          <w:lang w:val="it-IT"/>
        </w:rPr>
        <w:t>Există o ierarhie a opţiunilor de gestionare a deşeurilor:</w:t>
      </w:r>
    </w:p>
    <w:bookmarkStart w:id="2" w:name="do|ca4|ar4|al1|lia"/>
    <w:p w:rsidR="00B07C47" w:rsidRPr="006C2DD6" w:rsidRDefault="005D0BB6" w:rsidP="00EF3940">
      <w:pPr>
        <w:pStyle w:val="ListParagraph"/>
        <w:numPr>
          <w:ilvl w:val="0"/>
          <w:numId w:val="57"/>
        </w:numPr>
        <w:jc w:val="both"/>
        <w:rPr>
          <w:rFonts w:ascii="Arial" w:hAnsi="Arial" w:cs="Arial"/>
          <w:b/>
        </w:rPr>
      </w:pPr>
      <w:r w:rsidRPr="006C2DD6">
        <w:rPr>
          <w:rFonts w:ascii="Arial" w:hAnsi="Arial" w:cs="Arial"/>
          <w:b/>
        </w:rPr>
        <w:fldChar w:fldCharType="begin"/>
      </w:r>
      <w:r w:rsidR="00B07C47" w:rsidRPr="006C2DD6">
        <w:rPr>
          <w:rFonts w:ascii="Arial" w:hAnsi="Arial" w:cs="Arial"/>
        </w:rPr>
        <w:instrText xml:space="preserve"> HYPERLINK "file:///C:\\Documents%20and%20Settings\\Administrator\\Sintact%202.0\\cache\\Legislatie\\temp\\00144158.HTM" \l "#" </w:instrText>
      </w:r>
      <w:r w:rsidRPr="006C2DD6">
        <w:rPr>
          <w:rFonts w:ascii="Arial" w:hAnsi="Arial" w:cs="Arial"/>
          <w:b/>
        </w:rPr>
        <w:fldChar w:fldCharType="end"/>
      </w:r>
      <w:bookmarkEnd w:id="2"/>
      <w:r w:rsidR="00B07C47" w:rsidRPr="006C2DD6">
        <w:rPr>
          <w:rFonts w:ascii="Arial" w:hAnsi="Arial" w:cs="Arial"/>
        </w:rPr>
        <w:t>prevenirea( minimizarea cantităţilor generate);</w:t>
      </w:r>
    </w:p>
    <w:bookmarkStart w:id="3" w:name="do|ca4|ar4|al1|lib"/>
    <w:p w:rsidR="00B07C47" w:rsidRPr="006C2DD6" w:rsidRDefault="005D0BB6" w:rsidP="00EF3940">
      <w:pPr>
        <w:pStyle w:val="ListParagraph"/>
        <w:numPr>
          <w:ilvl w:val="0"/>
          <w:numId w:val="57"/>
        </w:numPr>
        <w:jc w:val="both"/>
        <w:rPr>
          <w:rFonts w:ascii="Arial" w:hAnsi="Arial" w:cs="Arial"/>
          <w:b/>
        </w:rPr>
      </w:pPr>
      <w:r w:rsidRPr="006C2DD6">
        <w:rPr>
          <w:rFonts w:ascii="Arial" w:hAnsi="Arial" w:cs="Arial"/>
          <w:b/>
        </w:rPr>
        <w:fldChar w:fldCharType="begin"/>
      </w:r>
      <w:r w:rsidR="00B07C47" w:rsidRPr="006C2DD6">
        <w:rPr>
          <w:rFonts w:ascii="Arial" w:hAnsi="Arial" w:cs="Arial"/>
        </w:rPr>
        <w:instrText xml:space="preserve"> HYPERLINK "file:///C:\\Documents%20and%20Settings\\Administrator\\Sintact%202.0\\cache\\Legislatie\\temp\\00144158.HTM" \l "#" </w:instrText>
      </w:r>
      <w:r w:rsidRPr="006C2DD6">
        <w:rPr>
          <w:rFonts w:ascii="Arial" w:hAnsi="Arial" w:cs="Arial"/>
          <w:b/>
        </w:rPr>
        <w:fldChar w:fldCharType="end"/>
      </w:r>
      <w:bookmarkEnd w:id="3"/>
      <w:r w:rsidR="00B07C47" w:rsidRPr="006C2DD6">
        <w:rPr>
          <w:rFonts w:ascii="Arial" w:hAnsi="Arial" w:cs="Arial"/>
        </w:rPr>
        <w:t>pregătirea pentru reutilizare;</w:t>
      </w:r>
    </w:p>
    <w:bookmarkStart w:id="4" w:name="do|ca4|ar4|al1|lic"/>
    <w:p w:rsidR="00B07C47" w:rsidRPr="006C2DD6" w:rsidRDefault="005D0BB6" w:rsidP="00EF3940">
      <w:pPr>
        <w:pStyle w:val="ListParagraph"/>
        <w:numPr>
          <w:ilvl w:val="0"/>
          <w:numId w:val="57"/>
        </w:numPr>
        <w:rPr>
          <w:rFonts w:ascii="Arial" w:hAnsi="Arial" w:cs="Arial"/>
          <w:b/>
        </w:rPr>
      </w:pPr>
      <w:r w:rsidRPr="006C2DD6">
        <w:rPr>
          <w:rFonts w:ascii="Arial" w:hAnsi="Arial" w:cs="Arial"/>
          <w:b/>
        </w:rPr>
        <w:fldChar w:fldCharType="begin"/>
      </w:r>
      <w:r w:rsidR="00B07C47" w:rsidRPr="006C2DD6">
        <w:rPr>
          <w:rFonts w:ascii="Arial" w:hAnsi="Arial" w:cs="Arial"/>
        </w:rPr>
        <w:instrText xml:space="preserve"> HYPERLINK "file:///C:\\Documents%20and%20Settings\\Administrator\\Sintact%202.0\\cache\\Legislatie\\temp\\00144158.HTM" \l "#" </w:instrText>
      </w:r>
      <w:r w:rsidRPr="006C2DD6">
        <w:rPr>
          <w:rFonts w:ascii="Arial" w:hAnsi="Arial" w:cs="Arial"/>
          <w:b/>
        </w:rPr>
        <w:fldChar w:fldCharType="end"/>
      </w:r>
      <w:bookmarkEnd w:id="4"/>
      <w:r w:rsidR="00B07C47" w:rsidRPr="006C2DD6">
        <w:rPr>
          <w:rFonts w:ascii="Arial" w:hAnsi="Arial" w:cs="Arial"/>
        </w:rPr>
        <w:t>reciclarea;</w:t>
      </w:r>
    </w:p>
    <w:bookmarkStart w:id="5" w:name="do|ca4|ar4|al1|lid"/>
    <w:p w:rsidR="00B07C47" w:rsidRPr="006C2DD6" w:rsidRDefault="005D0BB6" w:rsidP="00EF3940">
      <w:pPr>
        <w:pStyle w:val="ListParagraph"/>
        <w:numPr>
          <w:ilvl w:val="0"/>
          <w:numId w:val="57"/>
        </w:numPr>
        <w:rPr>
          <w:rFonts w:ascii="Arial" w:hAnsi="Arial" w:cs="Arial"/>
          <w:b/>
        </w:rPr>
      </w:pPr>
      <w:r w:rsidRPr="006C2DD6">
        <w:rPr>
          <w:rFonts w:ascii="Arial" w:hAnsi="Arial" w:cs="Arial"/>
          <w:b/>
        </w:rPr>
        <w:fldChar w:fldCharType="begin"/>
      </w:r>
      <w:r w:rsidR="00B07C47" w:rsidRPr="006C2DD6">
        <w:rPr>
          <w:rFonts w:ascii="Arial" w:hAnsi="Arial" w:cs="Arial"/>
        </w:rPr>
        <w:instrText xml:space="preserve"> HYPERLINK "file:///C:\\Documents%20and%20Settings\\Administrator\\Sintact%202.0\\cache\\Legislatie\\temp\\00144158.HTM" \l "#" </w:instrText>
      </w:r>
      <w:r w:rsidRPr="006C2DD6">
        <w:rPr>
          <w:rFonts w:ascii="Arial" w:hAnsi="Arial" w:cs="Arial"/>
          <w:b/>
        </w:rPr>
        <w:fldChar w:fldCharType="end"/>
      </w:r>
      <w:bookmarkEnd w:id="5"/>
      <w:r w:rsidR="00B07C47" w:rsidRPr="006C2DD6">
        <w:rPr>
          <w:rFonts w:ascii="Arial" w:hAnsi="Arial" w:cs="Arial"/>
        </w:rPr>
        <w:t>alte operaţiuni de valorificare, de exemplu valorificarea energetică;</w:t>
      </w:r>
    </w:p>
    <w:bookmarkStart w:id="6" w:name="do|ca4|ar4|al1|lie"/>
    <w:p w:rsidR="00B07C47" w:rsidRPr="006C2DD6" w:rsidRDefault="005D0BB6" w:rsidP="00EF3940">
      <w:pPr>
        <w:pStyle w:val="ListParagraph"/>
        <w:numPr>
          <w:ilvl w:val="0"/>
          <w:numId w:val="57"/>
        </w:numPr>
        <w:rPr>
          <w:rFonts w:ascii="Arial" w:hAnsi="Arial" w:cs="Arial"/>
          <w:b/>
        </w:rPr>
      </w:pPr>
      <w:r w:rsidRPr="006C2DD6">
        <w:rPr>
          <w:rFonts w:ascii="Arial" w:hAnsi="Arial" w:cs="Arial"/>
          <w:b/>
        </w:rPr>
        <w:fldChar w:fldCharType="begin"/>
      </w:r>
      <w:r w:rsidR="00B07C47" w:rsidRPr="006C2DD6">
        <w:rPr>
          <w:rFonts w:ascii="Arial" w:hAnsi="Arial" w:cs="Arial"/>
        </w:rPr>
        <w:instrText xml:space="preserve"> HYPERLINK "file:///C:\\Documents%20and%20Settings\\Administrator\\Sintact%202.0\\cache\\Legislatie\\temp\\00144158.HTM" \l "#" </w:instrText>
      </w:r>
      <w:r w:rsidRPr="006C2DD6">
        <w:rPr>
          <w:rFonts w:ascii="Arial" w:hAnsi="Arial" w:cs="Arial"/>
          <w:b/>
        </w:rPr>
        <w:fldChar w:fldCharType="end"/>
      </w:r>
      <w:bookmarkEnd w:id="6"/>
      <w:r w:rsidR="00B07C47" w:rsidRPr="006C2DD6">
        <w:rPr>
          <w:rFonts w:ascii="Arial" w:hAnsi="Arial" w:cs="Arial"/>
        </w:rPr>
        <w:t>eliminarea (depozitarea).</w:t>
      </w:r>
    </w:p>
    <w:p w:rsidR="00B07C47" w:rsidRPr="006C2DD6" w:rsidRDefault="00B07C47" w:rsidP="00B07C47">
      <w:pPr>
        <w:autoSpaceDE w:val="0"/>
        <w:autoSpaceDN w:val="0"/>
        <w:adjustRightInd w:val="0"/>
        <w:spacing w:after="0" w:line="240" w:lineRule="auto"/>
        <w:jc w:val="both"/>
        <w:rPr>
          <w:rFonts w:ascii="Arial" w:hAnsi="Arial" w:cs="Arial"/>
          <w:b/>
          <w:sz w:val="24"/>
          <w:szCs w:val="24"/>
          <w:lang w:val="it-IT"/>
        </w:rPr>
      </w:pPr>
      <w:r w:rsidRPr="006C2DD6">
        <w:rPr>
          <w:rFonts w:ascii="Arial" w:hAnsi="Arial" w:cs="Arial"/>
          <w:sz w:val="24"/>
          <w:szCs w:val="24"/>
          <w:lang w:val="it-IT"/>
        </w:rPr>
        <w:t xml:space="preserve">Responsabilitatea pentru activităţile de gestionare a deşeurilor revine: </w:t>
      </w:r>
    </w:p>
    <w:p w:rsidR="00B07C47" w:rsidRPr="006C2DD6" w:rsidRDefault="00B07C47" w:rsidP="00EF3940">
      <w:pPr>
        <w:pStyle w:val="ListParagraph"/>
        <w:numPr>
          <w:ilvl w:val="0"/>
          <w:numId w:val="58"/>
        </w:numPr>
        <w:jc w:val="both"/>
        <w:rPr>
          <w:rFonts w:ascii="Arial" w:hAnsi="Arial" w:cs="Arial"/>
          <w:b/>
        </w:rPr>
      </w:pPr>
      <w:r w:rsidRPr="006C2DD6">
        <w:rPr>
          <w:rFonts w:ascii="Arial" w:hAnsi="Arial" w:cs="Arial"/>
        </w:rPr>
        <w:t>generatorilor acestora în conformitate cu principiul “poluatorul plăteşte” și</w:t>
      </w:r>
    </w:p>
    <w:p w:rsidR="00B07C47" w:rsidRPr="006C2DD6" w:rsidRDefault="00B07C47" w:rsidP="00EF3940">
      <w:pPr>
        <w:pStyle w:val="ListParagraph"/>
        <w:numPr>
          <w:ilvl w:val="0"/>
          <w:numId w:val="58"/>
        </w:numPr>
        <w:jc w:val="both"/>
        <w:rPr>
          <w:rFonts w:ascii="Arial" w:hAnsi="Arial" w:cs="Arial"/>
          <w:b/>
        </w:rPr>
      </w:pPr>
      <w:r w:rsidRPr="006C2DD6">
        <w:rPr>
          <w:rFonts w:ascii="Arial" w:hAnsi="Arial" w:cs="Arial"/>
        </w:rPr>
        <w:t>producătorilor, în conformitate cu principiul “responsabilitatea producătorului.</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Împreună cu Planul Național de Gestionare a Deșeurilor care va aborda, cu măsuri specifice, fiecare flux de deşeuri, strategia îşi propune să creeze cadrul naţional de planificare necesar pentru dezvoltarea şi implementarea unui management integrat/durabil al deşeurilor.</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vederea realizării raportărilor statistice către comisia statistică a Uniunii Europene EUROSTAT, privind gestionarea deșeurilor, începând cu anul 2005, Agenţia Naţională pentru Protecţia Mediului a implementat și perfecționat în timp o bază de date națională privind generarea și gestionarea deșeurilor. Noua aplicație dezvoltată în cadrul Sistemului Integrat de Mediu, componenta Statistica deșeurilor, cuprinde 5 tipuri de chestionare ce sunt completate de operatorii economici, astfel:</w:t>
      </w:r>
    </w:p>
    <w:p w:rsidR="00B07C47" w:rsidRPr="006C2DD6" w:rsidRDefault="00B07C47" w:rsidP="00EF3940">
      <w:pPr>
        <w:pStyle w:val="ListParagraph"/>
        <w:numPr>
          <w:ilvl w:val="0"/>
          <w:numId w:val="59"/>
        </w:numPr>
        <w:suppressAutoHyphens/>
        <w:autoSpaceDE w:val="0"/>
        <w:autoSpaceDN w:val="0"/>
        <w:adjustRightInd w:val="0"/>
        <w:jc w:val="both"/>
        <w:rPr>
          <w:rFonts w:ascii="Arial" w:hAnsi="Arial" w:cs="Arial"/>
          <w:b/>
        </w:rPr>
      </w:pPr>
      <w:r w:rsidRPr="006C2DD6">
        <w:rPr>
          <w:rFonts w:ascii="Arial" w:hAnsi="Arial" w:cs="Arial"/>
        </w:rPr>
        <w:t>PRODDES – este completat de operatorii economici generatori de deşeuri</w:t>
      </w:r>
    </w:p>
    <w:p w:rsidR="00B07C47" w:rsidRPr="006C2DD6" w:rsidRDefault="00B07C47" w:rsidP="00EF3940">
      <w:pPr>
        <w:pStyle w:val="ListParagraph"/>
        <w:numPr>
          <w:ilvl w:val="0"/>
          <w:numId w:val="59"/>
        </w:numPr>
        <w:suppressAutoHyphens/>
        <w:autoSpaceDE w:val="0"/>
        <w:autoSpaceDN w:val="0"/>
        <w:adjustRightInd w:val="0"/>
        <w:jc w:val="both"/>
        <w:rPr>
          <w:rFonts w:ascii="Arial" w:hAnsi="Arial" w:cs="Arial"/>
          <w:b/>
        </w:rPr>
      </w:pPr>
      <w:r w:rsidRPr="006C2DD6">
        <w:rPr>
          <w:rFonts w:ascii="Arial" w:hAnsi="Arial" w:cs="Arial"/>
        </w:rPr>
        <w:lastRenderedPageBreak/>
        <w:t>MUN – completat de operatorii economici care desfășoară activități de salubritate</w:t>
      </w:r>
    </w:p>
    <w:p w:rsidR="00B07C47" w:rsidRPr="006C2DD6" w:rsidRDefault="00B07C47" w:rsidP="00EF3940">
      <w:pPr>
        <w:pStyle w:val="ListParagraph"/>
        <w:numPr>
          <w:ilvl w:val="0"/>
          <w:numId w:val="59"/>
        </w:numPr>
        <w:suppressAutoHyphens/>
        <w:autoSpaceDE w:val="0"/>
        <w:autoSpaceDN w:val="0"/>
        <w:adjustRightInd w:val="0"/>
        <w:jc w:val="both"/>
        <w:rPr>
          <w:rFonts w:ascii="Arial" w:hAnsi="Arial" w:cs="Arial"/>
          <w:b/>
        </w:rPr>
      </w:pPr>
      <w:r w:rsidRPr="006C2DD6">
        <w:rPr>
          <w:rFonts w:ascii="Arial" w:hAnsi="Arial" w:cs="Arial"/>
        </w:rPr>
        <w:t>TRAT- se adresează operatorilor economici care dețin autorizație de mediu pentru instalații de tratare a deşeurilor</w:t>
      </w:r>
    </w:p>
    <w:p w:rsidR="00B07C47" w:rsidRPr="006C2DD6" w:rsidRDefault="00B07C47" w:rsidP="00EF3940">
      <w:pPr>
        <w:pStyle w:val="ListParagraph"/>
        <w:numPr>
          <w:ilvl w:val="0"/>
          <w:numId w:val="59"/>
        </w:numPr>
        <w:autoSpaceDE w:val="0"/>
        <w:autoSpaceDN w:val="0"/>
        <w:adjustRightInd w:val="0"/>
        <w:jc w:val="both"/>
        <w:rPr>
          <w:rFonts w:ascii="Arial" w:hAnsi="Arial" w:cs="Arial"/>
          <w:b/>
        </w:rPr>
      </w:pPr>
      <w:r w:rsidRPr="006C2DD6">
        <w:rPr>
          <w:rFonts w:ascii="Arial" w:hAnsi="Arial" w:cs="Arial"/>
        </w:rPr>
        <w:t>COLECTARE/TRATARE- este completat de operatorii economici  autorizați să desfășoare activități sub codul CAEN rev. 3811,3812, 3821, 3822 și 4677.</w:t>
      </w:r>
    </w:p>
    <w:p w:rsidR="00B07C47" w:rsidRPr="006C2DD6" w:rsidRDefault="00B07C47" w:rsidP="00EF3940">
      <w:pPr>
        <w:pStyle w:val="ListParagraph"/>
        <w:numPr>
          <w:ilvl w:val="0"/>
          <w:numId w:val="59"/>
        </w:numPr>
        <w:autoSpaceDE w:val="0"/>
        <w:autoSpaceDN w:val="0"/>
        <w:adjustRightInd w:val="0"/>
        <w:jc w:val="both"/>
        <w:rPr>
          <w:rFonts w:ascii="Arial" w:hAnsi="Arial" w:cs="Arial"/>
          <w:b/>
        </w:rPr>
      </w:pPr>
      <w:r w:rsidRPr="006C2DD6">
        <w:rPr>
          <w:rFonts w:ascii="Arial" w:hAnsi="Arial" w:cs="Arial"/>
        </w:rPr>
        <w:t>NĂMOL- se adresează operatorilor economici care dețin staţii de epurare orăşeneşti, și industriale, din a căror activitate rezultă nămoluri.</w:t>
      </w:r>
    </w:p>
    <w:p w:rsidR="00B07C47" w:rsidRPr="006C2DD6" w:rsidRDefault="00B07C47" w:rsidP="00B07C47">
      <w:pPr>
        <w:pStyle w:val="ListParagraph"/>
        <w:autoSpaceDE w:val="0"/>
        <w:autoSpaceDN w:val="0"/>
        <w:adjustRightInd w:val="0"/>
        <w:ind w:left="0"/>
        <w:jc w:val="both"/>
        <w:rPr>
          <w:rFonts w:ascii="Arial" w:hAnsi="Arial" w:cs="Arial"/>
          <w:b/>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Pentru realizarea acestui capitol au fost folosite datele validate de Agenția pentru Protecția Mediului Brăila rezultate din aplicația Statistica deșeurilor pentru anul 2016. Alte tipuri de date şi informaţii specifice legate de generarea şi gestionarea deşeurilor ce nu fac obiectul bazei de date, au fost însă colectate cu o frecvenţă mai mare şi se referă la anul 2016. </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b/>
          <w:sz w:val="24"/>
          <w:szCs w:val="24"/>
        </w:rPr>
        <w:t xml:space="preserve">        VII.1.1.  </w:t>
      </w:r>
      <w:r w:rsidRPr="006C2DD6">
        <w:rPr>
          <w:rFonts w:ascii="Arial" w:hAnsi="Arial" w:cs="Arial"/>
          <w:b/>
          <w:i/>
          <w:sz w:val="24"/>
          <w:szCs w:val="24"/>
        </w:rPr>
        <w:t>Generarea şi gestionarea deşeurilor municipale</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b/>
          <w:sz w:val="24"/>
          <w:szCs w:val="24"/>
        </w:rPr>
        <w:t>Cantităţi şi compoziţie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salubrizare.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Din totalul cantităţii de deşeuri municipale cel mai mare procentaj îl deţin deşeurile menajere şi asimilabile. Acestea au o varietate de surse de provenienţă dintre care cele mai importante ar fi gospodăriile, unităţile economice și instituţiile. </w:t>
      </w:r>
    </w:p>
    <w:p w:rsidR="00B07C47" w:rsidRPr="006C2DD6" w:rsidRDefault="00B07C47" w:rsidP="00B07C47">
      <w:pPr>
        <w:spacing w:after="0" w:line="240" w:lineRule="auto"/>
        <w:ind w:firstLine="360"/>
        <w:jc w:val="both"/>
        <w:rPr>
          <w:rFonts w:ascii="Arial" w:hAnsi="Arial" w:cs="Arial"/>
          <w:b/>
          <w:sz w:val="24"/>
          <w:szCs w:val="24"/>
        </w:rPr>
      </w:pPr>
      <w:r w:rsidRPr="006C2DD6">
        <w:rPr>
          <w:rFonts w:ascii="Arial" w:hAnsi="Arial" w:cs="Arial"/>
          <w:sz w:val="24"/>
          <w:szCs w:val="24"/>
        </w:rPr>
        <w:t xml:space="preserve">Deşeurile municipale şi asimilabile rezultate în judeţul Brăila sunt de tipul: </w:t>
      </w:r>
    </w:p>
    <w:p w:rsidR="00B07C47" w:rsidRPr="006C2DD6" w:rsidRDefault="00B07C47" w:rsidP="00EF3940">
      <w:pPr>
        <w:pStyle w:val="ListParagraph"/>
        <w:numPr>
          <w:ilvl w:val="0"/>
          <w:numId w:val="60"/>
        </w:numPr>
        <w:jc w:val="both"/>
        <w:rPr>
          <w:rFonts w:ascii="Arial" w:hAnsi="Arial" w:cs="Arial"/>
          <w:b/>
        </w:rPr>
      </w:pPr>
      <w:r w:rsidRPr="006C2DD6">
        <w:rPr>
          <w:rFonts w:ascii="Arial" w:hAnsi="Arial" w:cs="Arial"/>
        </w:rPr>
        <w:t>deşeuri menajere colectate în amestec şi separat de la populaţie;</w:t>
      </w:r>
    </w:p>
    <w:p w:rsidR="00B07C47" w:rsidRPr="006C2DD6" w:rsidRDefault="00B07C47" w:rsidP="00EF3940">
      <w:pPr>
        <w:pStyle w:val="ListParagraph"/>
        <w:numPr>
          <w:ilvl w:val="0"/>
          <w:numId w:val="60"/>
        </w:numPr>
        <w:jc w:val="both"/>
        <w:rPr>
          <w:rFonts w:ascii="Arial" w:hAnsi="Arial" w:cs="Arial"/>
          <w:b/>
        </w:rPr>
      </w:pPr>
      <w:r w:rsidRPr="006C2DD6">
        <w:rPr>
          <w:rFonts w:ascii="Arial" w:hAnsi="Arial" w:cs="Arial"/>
        </w:rPr>
        <w:t>deşeuri asimilabile celor menajere colectate din industrie, comerţ şi instituţii;</w:t>
      </w:r>
    </w:p>
    <w:p w:rsidR="00B07C47" w:rsidRPr="006C2DD6" w:rsidRDefault="00B07C47" w:rsidP="00EF3940">
      <w:pPr>
        <w:pStyle w:val="ListParagraph"/>
        <w:numPr>
          <w:ilvl w:val="0"/>
          <w:numId w:val="60"/>
        </w:numPr>
        <w:jc w:val="both"/>
        <w:rPr>
          <w:rFonts w:ascii="Arial" w:hAnsi="Arial" w:cs="Arial"/>
          <w:b/>
        </w:rPr>
      </w:pPr>
      <w:r w:rsidRPr="006C2DD6">
        <w:rPr>
          <w:rFonts w:ascii="Arial" w:hAnsi="Arial" w:cs="Arial"/>
        </w:rPr>
        <w:t>deşeuri stradale;</w:t>
      </w:r>
    </w:p>
    <w:p w:rsidR="00B07C47" w:rsidRPr="006C2DD6" w:rsidRDefault="00B07C47" w:rsidP="00EF3940">
      <w:pPr>
        <w:pStyle w:val="ListParagraph"/>
        <w:numPr>
          <w:ilvl w:val="0"/>
          <w:numId w:val="60"/>
        </w:numPr>
        <w:jc w:val="both"/>
        <w:rPr>
          <w:rFonts w:ascii="Arial" w:hAnsi="Arial" w:cs="Arial"/>
          <w:b/>
        </w:rPr>
      </w:pPr>
      <w:r w:rsidRPr="006C2DD6">
        <w:rPr>
          <w:rFonts w:ascii="Arial" w:hAnsi="Arial" w:cs="Arial"/>
        </w:rPr>
        <w:t>deşeuri din pieţe;</w:t>
      </w:r>
    </w:p>
    <w:p w:rsidR="00B07C47" w:rsidRPr="006C2DD6" w:rsidRDefault="00B07C47" w:rsidP="00EF3940">
      <w:pPr>
        <w:pStyle w:val="ListParagraph"/>
        <w:numPr>
          <w:ilvl w:val="0"/>
          <w:numId w:val="60"/>
        </w:numPr>
        <w:jc w:val="both"/>
        <w:rPr>
          <w:rFonts w:ascii="Arial" w:hAnsi="Arial" w:cs="Arial"/>
          <w:b/>
        </w:rPr>
      </w:pPr>
      <w:r w:rsidRPr="006C2DD6">
        <w:rPr>
          <w:rFonts w:ascii="Arial" w:hAnsi="Arial" w:cs="Arial"/>
        </w:rPr>
        <w:t>deşeuri din grădini şi parcuri</w:t>
      </w:r>
    </w:p>
    <w:p w:rsidR="00B07C47" w:rsidRPr="006C2DD6" w:rsidRDefault="00B07C47" w:rsidP="00EF3940">
      <w:pPr>
        <w:pStyle w:val="ListParagraph"/>
        <w:numPr>
          <w:ilvl w:val="0"/>
          <w:numId w:val="60"/>
        </w:numPr>
        <w:autoSpaceDE w:val="0"/>
        <w:autoSpaceDN w:val="0"/>
        <w:adjustRightInd w:val="0"/>
        <w:jc w:val="both"/>
        <w:rPr>
          <w:rFonts w:ascii="Arial" w:hAnsi="Arial" w:cs="Arial"/>
          <w:b/>
        </w:rPr>
      </w:pPr>
      <w:r w:rsidRPr="006C2DD6">
        <w:rPr>
          <w:rFonts w:ascii="Arial" w:hAnsi="Arial" w:cs="Arial"/>
        </w:rPr>
        <w:t>deşeuri din construcţii şi demolări.</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spacing w:after="0" w:line="240" w:lineRule="auto"/>
        <w:ind w:firstLine="708"/>
        <w:jc w:val="both"/>
        <w:rPr>
          <w:rFonts w:ascii="Arial" w:hAnsi="Arial" w:cs="Arial"/>
          <w:b/>
          <w:sz w:val="24"/>
          <w:szCs w:val="24"/>
        </w:rPr>
      </w:pPr>
      <w:r w:rsidRPr="006C2DD6">
        <w:rPr>
          <w:rFonts w:ascii="Arial" w:hAnsi="Arial" w:cs="Arial"/>
          <w:sz w:val="24"/>
          <w:szCs w:val="24"/>
        </w:rPr>
        <w:t>În tabelul VII. 1.1.1 și figura VII.1.1.1 este prezentată evoluția generării deșeurilor municipale în județul Brăila pentru perioada 2011-2016, anul 2016 fiind ultimul an pentru care există date validate de către ANPM. Astfel, la nivelul anului 2016, în judeţul Brăila au fost colectate 83040 tone de deşeuri municipale, în amestec şi separat de la populaţie şi operatori economici.</w:t>
      </w:r>
    </w:p>
    <w:p w:rsidR="00B07C47" w:rsidRPr="006C2DD6" w:rsidRDefault="00B07C47" w:rsidP="00B07C47">
      <w:pPr>
        <w:spacing w:after="0" w:line="240" w:lineRule="auto"/>
        <w:jc w:val="both"/>
        <w:rPr>
          <w:rFonts w:ascii="Arial" w:hAnsi="Arial" w:cs="Arial"/>
          <w:b/>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bCs/>
          <w:iCs/>
          <w:sz w:val="24"/>
          <w:szCs w:val="24"/>
        </w:rPr>
        <w:t>Tabel VII.1.1.1</w:t>
      </w:r>
      <w:r w:rsidRPr="006C2DD6">
        <w:rPr>
          <w:rFonts w:ascii="Arial" w:hAnsi="Arial" w:cs="Arial"/>
          <w:bCs/>
          <w:i/>
          <w:iCs/>
          <w:sz w:val="24"/>
          <w:szCs w:val="24"/>
        </w:rPr>
        <w:t xml:space="preserve">  </w:t>
      </w:r>
      <w:r w:rsidRPr="006C2DD6">
        <w:rPr>
          <w:rFonts w:ascii="Arial" w:hAnsi="Arial" w:cs="Arial"/>
          <w:sz w:val="24"/>
          <w:szCs w:val="24"/>
        </w:rPr>
        <w:t>Cantități de d</w:t>
      </w:r>
      <w:r w:rsidRPr="006C2DD6">
        <w:rPr>
          <w:rFonts w:ascii="Arial" w:hAnsi="Arial" w:cs="Arial"/>
          <w:bCs/>
          <w:sz w:val="24"/>
          <w:szCs w:val="24"/>
        </w:rPr>
        <w:t xml:space="preserve">eşeuri municipale generate în perioada 2011-2016 </w:t>
      </w:r>
      <w:r w:rsidRPr="006C2DD6">
        <w:rPr>
          <w:rFonts w:ascii="Arial" w:hAnsi="Arial" w:cs="Arial"/>
          <w:sz w:val="24"/>
          <w:szCs w:val="24"/>
        </w:rPr>
        <w:t>(mii tone)</w:t>
      </w:r>
    </w:p>
    <w:tbl>
      <w:tblPr>
        <w:tblpPr w:leftFromText="180" w:rightFromText="180" w:vertAnchor="text" w:horzAnchor="margin" w:tblpXSpec="center" w:tblpY="442"/>
        <w:tblW w:w="9873"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1E0"/>
      </w:tblPr>
      <w:tblGrid>
        <w:gridCol w:w="675"/>
        <w:gridCol w:w="2818"/>
        <w:gridCol w:w="1134"/>
        <w:gridCol w:w="1134"/>
        <w:gridCol w:w="1076"/>
        <w:gridCol w:w="992"/>
        <w:gridCol w:w="926"/>
        <w:gridCol w:w="1118"/>
      </w:tblGrid>
      <w:tr w:rsidR="00B07C47" w:rsidRPr="006C2DD6" w:rsidTr="004E444C">
        <w:trPr>
          <w:trHeight w:val="258"/>
        </w:trPr>
        <w:tc>
          <w:tcPr>
            <w:tcW w:w="675" w:type="dxa"/>
          </w:tcPr>
          <w:p w:rsidR="00B07C47" w:rsidRPr="006C2DD6" w:rsidRDefault="00B07C47" w:rsidP="004E444C">
            <w:pPr>
              <w:rPr>
                <w:rFonts w:ascii="Arial" w:hAnsi="Arial" w:cs="Arial"/>
                <w:szCs w:val="24"/>
              </w:rPr>
            </w:pPr>
          </w:p>
        </w:tc>
        <w:tc>
          <w:tcPr>
            <w:tcW w:w="2818" w:type="dxa"/>
          </w:tcPr>
          <w:p w:rsidR="00B07C47" w:rsidRPr="006C2DD6" w:rsidRDefault="00B07C47" w:rsidP="004E444C">
            <w:pPr>
              <w:rPr>
                <w:rFonts w:ascii="Arial" w:hAnsi="Arial" w:cs="Arial"/>
                <w:szCs w:val="24"/>
              </w:rPr>
            </w:pPr>
            <w:r w:rsidRPr="006C2DD6">
              <w:rPr>
                <w:rFonts w:ascii="Arial" w:hAnsi="Arial" w:cs="Arial"/>
                <w:szCs w:val="24"/>
              </w:rPr>
              <w:t>Deşeuri municipale</w:t>
            </w:r>
          </w:p>
        </w:tc>
        <w:tc>
          <w:tcPr>
            <w:tcW w:w="1134"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2011</w:t>
            </w:r>
          </w:p>
        </w:tc>
        <w:tc>
          <w:tcPr>
            <w:tcW w:w="1134"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2012</w:t>
            </w:r>
          </w:p>
        </w:tc>
        <w:tc>
          <w:tcPr>
            <w:tcW w:w="1076"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2013</w:t>
            </w:r>
          </w:p>
        </w:tc>
        <w:tc>
          <w:tcPr>
            <w:tcW w:w="992"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2014</w:t>
            </w:r>
          </w:p>
        </w:tc>
        <w:tc>
          <w:tcPr>
            <w:tcW w:w="926"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2015</w:t>
            </w:r>
          </w:p>
        </w:tc>
        <w:tc>
          <w:tcPr>
            <w:tcW w:w="1118" w:type="dxa"/>
            <w:vAlign w:val="center"/>
          </w:tcPr>
          <w:p w:rsidR="00B07C47" w:rsidRPr="006C2DD6" w:rsidRDefault="00B07C47" w:rsidP="004E444C">
            <w:pPr>
              <w:jc w:val="center"/>
              <w:rPr>
                <w:rFonts w:ascii="Arial" w:hAnsi="Arial" w:cs="Arial"/>
                <w:szCs w:val="24"/>
              </w:rPr>
            </w:pPr>
            <w:r w:rsidRPr="006C2DD6">
              <w:rPr>
                <w:rFonts w:ascii="Arial" w:hAnsi="Arial" w:cs="Arial"/>
                <w:szCs w:val="24"/>
              </w:rPr>
              <w:t>2016</w:t>
            </w:r>
          </w:p>
        </w:tc>
      </w:tr>
      <w:tr w:rsidR="00B07C47" w:rsidRPr="006C2DD6" w:rsidTr="004E444C">
        <w:trPr>
          <w:trHeight w:val="273"/>
        </w:trPr>
        <w:tc>
          <w:tcPr>
            <w:tcW w:w="675" w:type="dxa"/>
          </w:tcPr>
          <w:p w:rsidR="00B07C47" w:rsidRPr="006C2DD6" w:rsidRDefault="00B07C47" w:rsidP="004E444C">
            <w:pPr>
              <w:rPr>
                <w:rFonts w:ascii="Arial" w:hAnsi="Arial" w:cs="Arial"/>
                <w:b/>
                <w:szCs w:val="24"/>
              </w:rPr>
            </w:pPr>
            <w:r w:rsidRPr="006C2DD6">
              <w:rPr>
                <w:rFonts w:ascii="Arial" w:hAnsi="Arial" w:cs="Arial"/>
                <w:b/>
                <w:szCs w:val="24"/>
              </w:rPr>
              <w:t>1</w:t>
            </w:r>
          </w:p>
        </w:tc>
        <w:tc>
          <w:tcPr>
            <w:tcW w:w="2818" w:type="dxa"/>
          </w:tcPr>
          <w:p w:rsidR="00B07C47" w:rsidRPr="006C2DD6" w:rsidRDefault="00B07C47" w:rsidP="004E444C">
            <w:pPr>
              <w:rPr>
                <w:rFonts w:ascii="Arial" w:hAnsi="Arial" w:cs="Arial"/>
                <w:b/>
                <w:szCs w:val="24"/>
              </w:rPr>
            </w:pPr>
            <w:r w:rsidRPr="006C2DD6">
              <w:rPr>
                <w:rFonts w:ascii="Arial" w:hAnsi="Arial" w:cs="Arial"/>
                <w:b/>
                <w:szCs w:val="24"/>
              </w:rPr>
              <w:t>Deşeuri menajere colectate</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50.7</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49.3</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53.8</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46.9</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53.03</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56,82</w:t>
            </w:r>
          </w:p>
        </w:tc>
      </w:tr>
      <w:tr w:rsidR="00B07C47" w:rsidRPr="006C2DD6" w:rsidTr="004E444C">
        <w:trPr>
          <w:trHeight w:val="273"/>
        </w:trPr>
        <w:tc>
          <w:tcPr>
            <w:tcW w:w="675" w:type="dxa"/>
          </w:tcPr>
          <w:p w:rsidR="00B07C47" w:rsidRPr="006C2DD6" w:rsidRDefault="00B07C47" w:rsidP="004E444C">
            <w:pPr>
              <w:rPr>
                <w:rFonts w:ascii="Arial" w:hAnsi="Arial" w:cs="Arial"/>
                <w:b/>
                <w:szCs w:val="24"/>
              </w:rPr>
            </w:pPr>
            <w:r w:rsidRPr="006C2DD6">
              <w:rPr>
                <w:rFonts w:ascii="Arial" w:hAnsi="Arial" w:cs="Arial"/>
                <w:b/>
                <w:szCs w:val="24"/>
              </w:rPr>
              <w:t>1.1</w:t>
            </w:r>
          </w:p>
        </w:tc>
        <w:tc>
          <w:tcPr>
            <w:tcW w:w="2818" w:type="dxa"/>
          </w:tcPr>
          <w:p w:rsidR="00B07C47" w:rsidRPr="006C2DD6" w:rsidRDefault="00B07C47" w:rsidP="00EF3940">
            <w:pPr>
              <w:numPr>
                <w:ilvl w:val="0"/>
                <w:numId w:val="48"/>
              </w:numPr>
              <w:spacing w:after="0" w:line="240" w:lineRule="auto"/>
              <w:rPr>
                <w:rFonts w:ascii="Arial" w:hAnsi="Arial" w:cs="Arial"/>
                <w:b/>
                <w:szCs w:val="24"/>
              </w:rPr>
            </w:pPr>
            <w:r w:rsidRPr="006C2DD6">
              <w:rPr>
                <w:rFonts w:ascii="Arial" w:hAnsi="Arial" w:cs="Arial"/>
                <w:b/>
                <w:szCs w:val="24"/>
              </w:rPr>
              <w:t>în amestec</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50.6</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49.2</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53.7</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46.8</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52.9</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56,8</w:t>
            </w:r>
          </w:p>
        </w:tc>
      </w:tr>
      <w:tr w:rsidR="00B07C47" w:rsidRPr="006C2DD6" w:rsidTr="004E444C">
        <w:trPr>
          <w:trHeight w:val="288"/>
        </w:trPr>
        <w:tc>
          <w:tcPr>
            <w:tcW w:w="675" w:type="dxa"/>
          </w:tcPr>
          <w:p w:rsidR="00B07C47" w:rsidRPr="006C2DD6" w:rsidRDefault="00B07C47" w:rsidP="004E444C">
            <w:pPr>
              <w:rPr>
                <w:rFonts w:ascii="Arial" w:hAnsi="Arial" w:cs="Arial"/>
                <w:b/>
                <w:szCs w:val="24"/>
              </w:rPr>
            </w:pPr>
            <w:r w:rsidRPr="006C2DD6">
              <w:rPr>
                <w:rFonts w:ascii="Arial" w:hAnsi="Arial" w:cs="Arial"/>
                <w:b/>
                <w:szCs w:val="24"/>
              </w:rPr>
              <w:t>1.2</w:t>
            </w:r>
          </w:p>
        </w:tc>
        <w:tc>
          <w:tcPr>
            <w:tcW w:w="2818" w:type="dxa"/>
          </w:tcPr>
          <w:p w:rsidR="00B07C47" w:rsidRPr="006C2DD6" w:rsidRDefault="00B07C47" w:rsidP="00EF3940">
            <w:pPr>
              <w:numPr>
                <w:ilvl w:val="0"/>
                <w:numId w:val="48"/>
              </w:numPr>
              <w:spacing w:after="0" w:line="240" w:lineRule="auto"/>
              <w:rPr>
                <w:rFonts w:ascii="Arial" w:hAnsi="Arial" w:cs="Arial"/>
                <w:b/>
                <w:szCs w:val="24"/>
              </w:rPr>
            </w:pPr>
            <w:r w:rsidRPr="006C2DD6">
              <w:rPr>
                <w:rFonts w:ascii="Arial" w:hAnsi="Arial" w:cs="Arial"/>
                <w:b/>
                <w:szCs w:val="24"/>
              </w:rPr>
              <w:t>selectiv</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0.1</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0.1</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0.1</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0.1</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0.1</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0,02</w:t>
            </w:r>
          </w:p>
        </w:tc>
      </w:tr>
      <w:tr w:rsidR="00B07C47" w:rsidRPr="006C2DD6" w:rsidTr="004E444C">
        <w:trPr>
          <w:trHeight w:val="819"/>
        </w:trPr>
        <w:tc>
          <w:tcPr>
            <w:tcW w:w="675" w:type="dxa"/>
          </w:tcPr>
          <w:p w:rsidR="00B07C47" w:rsidRPr="006C2DD6" w:rsidRDefault="00B07C47" w:rsidP="004E444C">
            <w:pPr>
              <w:rPr>
                <w:rFonts w:ascii="Arial" w:hAnsi="Arial" w:cs="Arial"/>
                <w:b/>
                <w:szCs w:val="24"/>
              </w:rPr>
            </w:pPr>
            <w:r w:rsidRPr="006C2DD6">
              <w:rPr>
                <w:rFonts w:ascii="Arial" w:hAnsi="Arial" w:cs="Arial"/>
                <w:b/>
                <w:szCs w:val="24"/>
              </w:rPr>
              <w:t>2</w:t>
            </w:r>
          </w:p>
        </w:tc>
        <w:tc>
          <w:tcPr>
            <w:tcW w:w="2818" w:type="dxa"/>
          </w:tcPr>
          <w:p w:rsidR="00B07C47" w:rsidRPr="006C2DD6" w:rsidRDefault="00B07C47" w:rsidP="004E444C">
            <w:pPr>
              <w:rPr>
                <w:rFonts w:ascii="Arial" w:hAnsi="Arial" w:cs="Arial"/>
                <w:b/>
                <w:szCs w:val="24"/>
              </w:rPr>
            </w:pPr>
            <w:r w:rsidRPr="006C2DD6">
              <w:rPr>
                <w:rFonts w:ascii="Arial" w:hAnsi="Arial" w:cs="Arial"/>
                <w:b/>
                <w:szCs w:val="24"/>
              </w:rPr>
              <w:t>Deşeuri din servicii municipale (stradale, pieţe, grădini, parcuri şi spaţii verzi)</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14.1</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16.7</w:t>
            </w:r>
          </w:p>
        </w:tc>
        <w:tc>
          <w:tcPr>
            <w:tcW w:w="1076" w:type="dxa"/>
            <w:vAlign w:val="center"/>
          </w:tcPr>
          <w:p w:rsidR="00B07C47" w:rsidRPr="006C2DD6" w:rsidRDefault="00B07C47" w:rsidP="004E444C">
            <w:pPr>
              <w:jc w:val="center"/>
              <w:rPr>
                <w:rFonts w:ascii="Arial" w:hAnsi="Arial" w:cs="Arial"/>
                <w:sz w:val="20"/>
              </w:rPr>
            </w:pPr>
          </w:p>
          <w:p w:rsidR="00B07C47" w:rsidRPr="006C2DD6" w:rsidRDefault="00B07C47" w:rsidP="004E444C">
            <w:pPr>
              <w:jc w:val="center"/>
              <w:rPr>
                <w:rFonts w:ascii="Arial" w:hAnsi="Arial" w:cs="Arial"/>
                <w:sz w:val="20"/>
              </w:rPr>
            </w:pPr>
            <w:r w:rsidRPr="006C2DD6">
              <w:rPr>
                <w:rFonts w:ascii="Arial" w:hAnsi="Arial" w:cs="Arial"/>
                <w:sz w:val="20"/>
              </w:rPr>
              <w:t>18.8</w:t>
            </w:r>
          </w:p>
          <w:p w:rsidR="00B07C47" w:rsidRPr="006C2DD6" w:rsidRDefault="00B07C47" w:rsidP="004E444C">
            <w:pPr>
              <w:jc w:val="center"/>
              <w:rPr>
                <w:rFonts w:ascii="Arial" w:hAnsi="Arial" w:cs="Arial"/>
                <w:b/>
                <w:sz w:val="20"/>
              </w:rPr>
            </w:pPr>
          </w:p>
        </w:tc>
        <w:tc>
          <w:tcPr>
            <w:tcW w:w="992"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18.6</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19.6</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22,01</w:t>
            </w:r>
          </w:p>
        </w:tc>
      </w:tr>
      <w:tr w:rsidR="00B07C47" w:rsidRPr="006C2DD6" w:rsidTr="004E444C">
        <w:trPr>
          <w:trHeight w:val="258"/>
        </w:trPr>
        <w:tc>
          <w:tcPr>
            <w:tcW w:w="675" w:type="dxa"/>
          </w:tcPr>
          <w:p w:rsidR="00B07C47" w:rsidRPr="006C2DD6" w:rsidRDefault="00B07C47" w:rsidP="004E444C">
            <w:pPr>
              <w:rPr>
                <w:rFonts w:ascii="Arial" w:hAnsi="Arial" w:cs="Arial"/>
                <w:b/>
                <w:szCs w:val="24"/>
              </w:rPr>
            </w:pPr>
            <w:r w:rsidRPr="006C2DD6">
              <w:rPr>
                <w:rFonts w:ascii="Arial" w:hAnsi="Arial" w:cs="Arial"/>
                <w:b/>
                <w:szCs w:val="24"/>
              </w:rPr>
              <w:t>3</w:t>
            </w:r>
          </w:p>
        </w:tc>
        <w:tc>
          <w:tcPr>
            <w:tcW w:w="2818" w:type="dxa"/>
          </w:tcPr>
          <w:p w:rsidR="00B07C47" w:rsidRPr="006C2DD6" w:rsidRDefault="00B07C47" w:rsidP="004E444C">
            <w:pPr>
              <w:rPr>
                <w:rFonts w:ascii="Arial" w:hAnsi="Arial" w:cs="Arial"/>
                <w:b/>
                <w:szCs w:val="24"/>
              </w:rPr>
            </w:pPr>
            <w:r w:rsidRPr="006C2DD6">
              <w:rPr>
                <w:rFonts w:ascii="Arial" w:hAnsi="Arial" w:cs="Arial"/>
                <w:b/>
                <w:szCs w:val="24"/>
              </w:rPr>
              <w:t>Deşeuri din construcţii şi demolări</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10</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4.9</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4.4</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30.5</w:t>
            </w:r>
          </w:p>
          <w:p w:rsidR="00B07C47" w:rsidRPr="006C2DD6" w:rsidRDefault="00B07C47" w:rsidP="004E444C">
            <w:pPr>
              <w:jc w:val="center"/>
              <w:rPr>
                <w:rFonts w:ascii="Arial" w:hAnsi="Arial" w:cs="Arial"/>
                <w:sz w:val="20"/>
              </w:rPr>
            </w:pP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lastRenderedPageBreak/>
              <w:t>28.7</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4,21</w:t>
            </w:r>
          </w:p>
        </w:tc>
      </w:tr>
      <w:tr w:rsidR="00B07C47" w:rsidRPr="006C2DD6" w:rsidTr="004E444C">
        <w:trPr>
          <w:trHeight w:val="546"/>
        </w:trPr>
        <w:tc>
          <w:tcPr>
            <w:tcW w:w="675" w:type="dxa"/>
          </w:tcPr>
          <w:p w:rsidR="00B07C47" w:rsidRPr="006C2DD6" w:rsidRDefault="00B07C47" w:rsidP="004E444C">
            <w:pPr>
              <w:jc w:val="center"/>
              <w:rPr>
                <w:rFonts w:ascii="Arial" w:hAnsi="Arial" w:cs="Arial"/>
                <w:b/>
                <w:sz w:val="20"/>
              </w:rPr>
            </w:pPr>
            <w:r w:rsidRPr="006C2DD6">
              <w:rPr>
                <w:rFonts w:ascii="Arial" w:hAnsi="Arial" w:cs="Arial"/>
                <w:b/>
                <w:sz w:val="20"/>
              </w:rPr>
              <w:lastRenderedPageBreak/>
              <w:t>4=1+2+3</w:t>
            </w:r>
          </w:p>
        </w:tc>
        <w:tc>
          <w:tcPr>
            <w:tcW w:w="2818" w:type="dxa"/>
          </w:tcPr>
          <w:p w:rsidR="00B07C47" w:rsidRPr="006C2DD6" w:rsidRDefault="00B07C47" w:rsidP="004E444C">
            <w:pPr>
              <w:jc w:val="center"/>
              <w:rPr>
                <w:rFonts w:ascii="Arial" w:hAnsi="Arial" w:cs="Arial"/>
                <w:b/>
                <w:szCs w:val="24"/>
              </w:rPr>
            </w:pPr>
            <w:r w:rsidRPr="006C2DD6">
              <w:rPr>
                <w:rFonts w:ascii="Arial" w:hAnsi="Arial" w:cs="Arial"/>
                <w:b/>
                <w:szCs w:val="24"/>
              </w:rPr>
              <w:t>Total deşeuri municipale colectate</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74.8</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70.9</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77</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96</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101.3</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83,04</w:t>
            </w:r>
          </w:p>
        </w:tc>
      </w:tr>
      <w:tr w:rsidR="00B07C47" w:rsidRPr="006C2DD6" w:rsidTr="004E444C">
        <w:trPr>
          <w:trHeight w:val="546"/>
        </w:trPr>
        <w:tc>
          <w:tcPr>
            <w:tcW w:w="675" w:type="dxa"/>
          </w:tcPr>
          <w:p w:rsidR="00B07C47" w:rsidRPr="006C2DD6" w:rsidRDefault="00B07C47" w:rsidP="004E444C">
            <w:pPr>
              <w:jc w:val="center"/>
              <w:rPr>
                <w:rFonts w:ascii="Arial" w:hAnsi="Arial" w:cs="Arial"/>
                <w:b/>
                <w:szCs w:val="24"/>
              </w:rPr>
            </w:pPr>
            <w:r w:rsidRPr="006C2DD6">
              <w:rPr>
                <w:rFonts w:ascii="Arial" w:hAnsi="Arial" w:cs="Arial"/>
                <w:b/>
                <w:szCs w:val="24"/>
              </w:rPr>
              <w:t>5</w:t>
            </w:r>
          </w:p>
        </w:tc>
        <w:tc>
          <w:tcPr>
            <w:tcW w:w="2818" w:type="dxa"/>
          </w:tcPr>
          <w:p w:rsidR="00B07C47" w:rsidRPr="006C2DD6" w:rsidRDefault="00B07C47" w:rsidP="004E444C">
            <w:pPr>
              <w:jc w:val="center"/>
              <w:rPr>
                <w:rFonts w:ascii="Arial" w:hAnsi="Arial" w:cs="Arial"/>
                <w:b/>
                <w:szCs w:val="24"/>
              </w:rPr>
            </w:pPr>
            <w:r w:rsidRPr="006C2DD6">
              <w:rPr>
                <w:rFonts w:ascii="Arial" w:hAnsi="Arial" w:cs="Arial"/>
                <w:b/>
                <w:szCs w:val="24"/>
              </w:rPr>
              <w:t>Deşeuri menajere generate şi necolectate (estimat)*</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9.6</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7.3</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7.5</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10.1</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12.4</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11,46</w:t>
            </w:r>
          </w:p>
        </w:tc>
      </w:tr>
      <w:tr w:rsidR="00B07C47" w:rsidRPr="006C2DD6" w:rsidTr="004E444C">
        <w:trPr>
          <w:trHeight w:val="258"/>
        </w:trPr>
        <w:tc>
          <w:tcPr>
            <w:tcW w:w="675" w:type="dxa"/>
          </w:tcPr>
          <w:p w:rsidR="00B07C47" w:rsidRPr="006C2DD6" w:rsidRDefault="00B07C47" w:rsidP="004E444C">
            <w:pPr>
              <w:jc w:val="center"/>
              <w:rPr>
                <w:rFonts w:ascii="Arial" w:hAnsi="Arial" w:cs="Arial"/>
                <w:b/>
                <w:szCs w:val="24"/>
              </w:rPr>
            </w:pPr>
            <w:r w:rsidRPr="006C2DD6">
              <w:rPr>
                <w:rFonts w:ascii="Arial" w:hAnsi="Arial" w:cs="Arial"/>
                <w:b/>
                <w:szCs w:val="24"/>
              </w:rPr>
              <w:t>6= 4+5</w:t>
            </w:r>
          </w:p>
        </w:tc>
        <w:tc>
          <w:tcPr>
            <w:tcW w:w="2818" w:type="dxa"/>
          </w:tcPr>
          <w:p w:rsidR="00B07C47" w:rsidRPr="006C2DD6" w:rsidRDefault="00B07C47" w:rsidP="004E444C">
            <w:pPr>
              <w:jc w:val="center"/>
              <w:rPr>
                <w:rFonts w:ascii="Arial" w:hAnsi="Arial" w:cs="Arial"/>
                <w:b/>
                <w:szCs w:val="24"/>
              </w:rPr>
            </w:pPr>
            <w:r w:rsidRPr="006C2DD6">
              <w:rPr>
                <w:rFonts w:ascii="Arial" w:hAnsi="Arial" w:cs="Arial"/>
                <w:b/>
                <w:szCs w:val="24"/>
              </w:rPr>
              <w:t>Total deşeuri municipale generate</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84.4</w:t>
            </w:r>
          </w:p>
        </w:tc>
        <w:tc>
          <w:tcPr>
            <w:tcW w:w="1134" w:type="dxa"/>
            <w:vAlign w:val="center"/>
          </w:tcPr>
          <w:p w:rsidR="00B07C47" w:rsidRPr="006C2DD6" w:rsidRDefault="00B07C47" w:rsidP="004E444C">
            <w:pPr>
              <w:jc w:val="center"/>
              <w:rPr>
                <w:rFonts w:ascii="Arial" w:hAnsi="Arial" w:cs="Arial"/>
                <w:b/>
                <w:sz w:val="20"/>
              </w:rPr>
            </w:pPr>
            <w:r w:rsidRPr="006C2DD6">
              <w:rPr>
                <w:rFonts w:ascii="Arial" w:hAnsi="Arial" w:cs="Arial"/>
                <w:sz w:val="20"/>
              </w:rPr>
              <w:t>78.2</w:t>
            </w:r>
          </w:p>
        </w:tc>
        <w:tc>
          <w:tcPr>
            <w:tcW w:w="1076" w:type="dxa"/>
            <w:vAlign w:val="center"/>
          </w:tcPr>
          <w:p w:rsidR="00B07C47" w:rsidRPr="006C2DD6" w:rsidRDefault="00B07C47" w:rsidP="004E444C">
            <w:pPr>
              <w:jc w:val="center"/>
              <w:rPr>
                <w:rFonts w:ascii="Arial" w:hAnsi="Arial" w:cs="Arial"/>
                <w:sz w:val="20"/>
              </w:rPr>
            </w:pPr>
            <w:r w:rsidRPr="006C2DD6">
              <w:rPr>
                <w:rFonts w:ascii="Arial" w:hAnsi="Arial" w:cs="Arial"/>
                <w:sz w:val="20"/>
              </w:rPr>
              <w:t>84.5</w:t>
            </w:r>
          </w:p>
        </w:tc>
        <w:tc>
          <w:tcPr>
            <w:tcW w:w="992" w:type="dxa"/>
            <w:vAlign w:val="center"/>
          </w:tcPr>
          <w:p w:rsidR="00B07C47" w:rsidRPr="006C2DD6" w:rsidRDefault="00B07C47" w:rsidP="004E444C">
            <w:pPr>
              <w:jc w:val="center"/>
              <w:rPr>
                <w:rFonts w:ascii="Arial" w:hAnsi="Arial" w:cs="Arial"/>
                <w:sz w:val="20"/>
              </w:rPr>
            </w:pPr>
            <w:r w:rsidRPr="006C2DD6">
              <w:rPr>
                <w:rFonts w:ascii="Arial" w:hAnsi="Arial" w:cs="Arial"/>
                <w:sz w:val="20"/>
              </w:rPr>
              <w:t>106.1</w:t>
            </w:r>
          </w:p>
        </w:tc>
        <w:tc>
          <w:tcPr>
            <w:tcW w:w="926" w:type="dxa"/>
            <w:vAlign w:val="center"/>
          </w:tcPr>
          <w:p w:rsidR="00B07C47" w:rsidRPr="006C2DD6" w:rsidRDefault="00B07C47" w:rsidP="004E444C">
            <w:pPr>
              <w:jc w:val="center"/>
              <w:rPr>
                <w:rFonts w:ascii="Arial" w:hAnsi="Arial" w:cs="Arial"/>
                <w:sz w:val="20"/>
              </w:rPr>
            </w:pPr>
            <w:r w:rsidRPr="006C2DD6">
              <w:rPr>
                <w:rFonts w:ascii="Arial" w:hAnsi="Arial" w:cs="Arial"/>
                <w:sz w:val="20"/>
              </w:rPr>
              <w:t>113.7</w:t>
            </w:r>
          </w:p>
        </w:tc>
        <w:tc>
          <w:tcPr>
            <w:tcW w:w="1118" w:type="dxa"/>
            <w:vAlign w:val="center"/>
          </w:tcPr>
          <w:p w:rsidR="00B07C47" w:rsidRPr="006C2DD6" w:rsidRDefault="00B07C47" w:rsidP="004E444C">
            <w:pPr>
              <w:jc w:val="center"/>
              <w:rPr>
                <w:rFonts w:ascii="Arial" w:hAnsi="Arial" w:cs="Arial"/>
                <w:sz w:val="20"/>
              </w:rPr>
            </w:pPr>
            <w:r w:rsidRPr="006C2DD6">
              <w:rPr>
                <w:rFonts w:ascii="Arial" w:hAnsi="Arial" w:cs="Arial"/>
                <w:sz w:val="20"/>
              </w:rPr>
              <w:t>94,5</w:t>
            </w:r>
          </w:p>
        </w:tc>
      </w:tr>
    </w:tbl>
    <w:p w:rsidR="00B07C47" w:rsidRPr="006C2DD6" w:rsidRDefault="00B07C47" w:rsidP="00B07C47">
      <w:pPr>
        <w:spacing w:after="0" w:line="240" w:lineRule="auto"/>
        <w:jc w:val="center"/>
        <w:rPr>
          <w:rFonts w:ascii="Arial" w:hAnsi="Arial" w:cs="Arial"/>
          <w:sz w:val="24"/>
          <w:szCs w:val="24"/>
          <w:highlight w:val="yellow"/>
        </w:rPr>
      </w:pPr>
    </w:p>
    <w:p w:rsidR="00B07C47" w:rsidRPr="006C2DD6" w:rsidRDefault="00B07C47" w:rsidP="00B07C47">
      <w:pPr>
        <w:spacing w:after="0" w:line="240" w:lineRule="auto"/>
        <w:jc w:val="both"/>
        <w:rPr>
          <w:rFonts w:ascii="Arial" w:hAnsi="Arial" w:cs="Arial"/>
          <w:sz w:val="24"/>
          <w:szCs w:val="24"/>
          <w:highlight w:val="yellow"/>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A fost estimată de asemenea, cantitatea de deșeuri generată dar necolectată din zonele județului care nu au fost deservite de servicii de salubrizare, utilizând următorii indicatori de generare stabiliţi de ANPM:</w:t>
      </w:r>
    </w:p>
    <w:p w:rsidR="00B07C47" w:rsidRPr="006C2DD6" w:rsidRDefault="00B07C47" w:rsidP="00EF3940">
      <w:pPr>
        <w:pStyle w:val="ListParagraph"/>
        <w:numPr>
          <w:ilvl w:val="0"/>
          <w:numId w:val="61"/>
        </w:numPr>
        <w:jc w:val="both"/>
        <w:rPr>
          <w:rFonts w:ascii="Arial" w:hAnsi="Arial" w:cs="Arial"/>
          <w:b/>
        </w:rPr>
      </w:pPr>
      <w:r w:rsidRPr="006C2DD6">
        <w:rPr>
          <w:rFonts w:ascii="Arial" w:hAnsi="Arial" w:cs="Arial"/>
        </w:rPr>
        <w:t>mediul urban: 0,9 kg/loc./an</w:t>
      </w:r>
    </w:p>
    <w:p w:rsidR="00B07C47" w:rsidRPr="006C2DD6" w:rsidRDefault="00B07C47" w:rsidP="00EF3940">
      <w:pPr>
        <w:pStyle w:val="ListParagraph"/>
        <w:numPr>
          <w:ilvl w:val="0"/>
          <w:numId w:val="61"/>
        </w:numPr>
        <w:jc w:val="both"/>
        <w:rPr>
          <w:rFonts w:ascii="Arial" w:hAnsi="Arial" w:cs="Arial"/>
          <w:b/>
        </w:rPr>
      </w:pPr>
      <w:r w:rsidRPr="006C2DD6">
        <w:rPr>
          <w:rFonts w:ascii="Arial" w:hAnsi="Arial" w:cs="Arial"/>
        </w:rPr>
        <w:t>mediul rural: 0,4 kg/loc./an</w:t>
      </w:r>
    </w:p>
    <w:p w:rsidR="00B07C47" w:rsidRPr="006C2DD6" w:rsidRDefault="00B07C47" w:rsidP="00B07C47">
      <w:pPr>
        <w:spacing w:after="0" w:line="240" w:lineRule="auto"/>
        <w:jc w:val="both"/>
        <w:rPr>
          <w:rFonts w:ascii="Arial" w:hAnsi="Arial" w:cs="Arial"/>
          <w:b/>
          <w:i/>
          <w:sz w:val="24"/>
          <w:szCs w:val="24"/>
        </w:rPr>
      </w:pPr>
      <w:r w:rsidRPr="006C2DD6">
        <w:rPr>
          <w:rFonts w:ascii="Arial" w:hAnsi="Arial" w:cs="Arial"/>
          <w:i/>
          <w:sz w:val="24"/>
          <w:szCs w:val="24"/>
        </w:rPr>
        <w:t>Sursa de date</w:t>
      </w:r>
      <w:r w:rsidRPr="006C2DD6">
        <w:rPr>
          <w:rFonts w:ascii="Arial" w:hAnsi="Arial" w:cs="Arial"/>
          <w:i/>
          <w:sz w:val="24"/>
          <w:szCs w:val="24"/>
        </w:rPr>
        <w:sym w:font="Symbol" w:char="F03A"/>
      </w:r>
      <w:r w:rsidRPr="006C2DD6">
        <w:rPr>
          <w:rFonts w:ascii="Arial" w:hAnsi="Arial" w:cs="Arial"/>
          <w:i/>
          <w:sz w:val="24"/>
          <w:szCs w:val="24"/>
        </w:rPr>
        <w:t xml:space="preserve">  Baza de date Medius si SIM-SD- Statistica deseurilor 2013-2016</w:t>
      </w:r>
    </w:p>
    <w:p w:rsidR="00B07C47" w:rsidRPr="006C2DD6" w:rsidRDefault="00B07C47" w:rsidP="00B07C47">
      <w:pPr>
        <w:spacing w:after="0" w:line="240" w:lineRule="auto"/>
        <w:jc w:val="both"/>
        <w:rPr>
          <w:rFonts w:ascii="Arial" w:hAnsi="Arial" w:cs="Arial"/>
          <w:b/>
          <w:i/>
          <w:sz w:val="24"/>
          <w:szCs w:val="24"/>
        </w:rPr>
      </w:pPr>
    </w:p>
    <w:p w:rsidR="00B07C47" w:rsidRPr="006C2DD6" w:rsidRDefault="00B07C47" w:rsidP="00B07C47">
      <w:pPr>
        <w:rPr>
          <w:rFonts w:ascii="Arial" w:hAnsi="Arial" w:cs="Arial"/>
          <w:i/>
          <w:sz w:val="24"/>
          <w:szCs w:val="24"/>
        </w:rPr>
      </w:pPr>
      <w:r w:rsidRPr="006C2DD6">
        <w:rPr>
          <w:rFonts w:ascii="Arial" w:hAnsi="Arial" w:cs="Arial"/>
          <w:sz w:val="24"/>
          <w:szCs w:val="24"/>
        </w:rPr>
        <w:t>Figura VII.1.1.1 Structura deșeurilor municipale generate în perioada 2011-2016</w:t>
      </w:r>
    </w:p>
    <w:p w:rsidR="00B07C47" w:rsidRPr="006C2DD6" w:rsidRDefault="00B07C47" w:rsidP="00B07C47">
      <w:pPr>
        <w:jc w:val="center"/>
        <w:rPr>
          <w:b/>
          <w:szCs w:val="24"/>
          <w:highlight w:val="yellow"/>
        </w:rPr>
      </w:pPr>
      <w:r w:rsidRPr="006C2DD6">
        <w:rPr>
          <w:b/>
          <w:noProof/>
          <w:szCs w:val="24"/>
          <w:highlight w:val="yellow"/>
        </w:rPr>
        <w:drawing>
          <wp:inline distT="0" distB="0" distL="0" distR="0">
            <wp:extent cx="5895975" cy="2853055"/>
            <wp:effectExtent l="19050" t="0" r="9525" b="4445"/>
            <wp:docPr id="25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07C47" w:rsidRPr="006C2DD6" w:rsidRDefault="00B07C47" w:rsidP="001B622A">
      <w:pPr>
        <w:spacing w:after="0" w:line="240" w:lineRule="auto"/>
        <w:ind w:firstLine="708"/>
        <w:jc w:val="both"/>
        <w:rPr>
          <w:rFonts w:ascii="Arial" w:hAnsi="Arial" w:cs="Arial"/>
          <w:b/>
          <w:sz w:val="24"/>
          <w:szCs w:val="24"/>
        </w:rPr>
      </w:pPr>
      <w:r w:rsidRPr="006C2DD6">
        <w:rPr>
          <w:rFonts w:ascii="Arial" w:hAnsi="Arial" w:cs="Arial"/>
          <w:sz w:val="24"/>
          <w:szCs w:val="24"/>
        </w:rPr>
        <w:t xml:space="preserve">Compoziţia procentuală, pe tip de material, a deșeurilor menajere colectate în 2016 este ilustrată în tabelul și figura VII.1.1.2. Datele privind compoziţia deşeurilor menajere sunt estimate pe baza datelor primite de la operatorii de salubritate, nefiind determinată prin măsurători. </w:t>
      </w:r>
    </w:p>
    <w:p w:rsidR="00B07C47" w:rsidRPr="006C2DD6" w:rsidRDefault="00B07C47" w:rsidP="00B07C47">
      <w:pPr>
        <w:spacing w:after="0" w:line="240" w:lineRule="auto"/>
        <w:rPr>
          <w:rFonts w:ascii="Arial" w:hAnsi="Arial" w:cs="Arial"/>
          <w:b/>
          <w:sz w:val="24"/>
          <w:szCs w:val="24"/>
        </w:rPr>
      </w:pPr>
      <w:r w:rsidRPr="006C2DD6">
        <w:rPr>
          <w:rFonts w:ascii="Arial" w:hAnsi="Arial" w:cs="Arial"/>
          <w:bCs/>
          <w:iCs/>
          <w:sz w:val="24"/>
          <w:szCs w:val="24"/>
        </w:rPr>
        <w:t>Tabel VII.1.1.2</w:t>
      </w:r>
      <w:r w:rsidRPr="006C2DD6">
        <w:rPr>
          <w:rFonts w:ascii="Arial" w:hAnsi="Arial" w:cs="Arial"/>
          <w:bCs/>
          <w:i/>
          <w:iCs/>
          <w:sz w:val="24"/>
          <w:szCs w:val="24"/>
        </w:rPr>
        <w:t xml:space="preserve">  </w:t>
      </w:r>
      <w:r w:rsidRPr="006C2DD6">
        <w:rPr>
          <w:rFonts w:ascii="Arial" w:hAnsi="Arial" w:cs="Arial"/>
          <w:sz w:val="24"/>
          <w:szCs w:val="24"/>
        </w:rPr>
        <w:t>Compoziția deșeurilor menajere colectate de pe raza municipiului Brăila</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3552"/>
        <w:gridCol w:w="3542"/>
      </w:tblGrid>
      <w:tr w:rsidR="00B07C47" w:rsidRPr="006C2DD6" w:rsidTr="004E444C">
        <w:trPr>
          <w:jc w:val="center"/>
        </w:trPr>
        <w:tc>
          <w:tcPr>
            <w:tcW w:w="3552" w:type="dxa"/>
            <w:shd w:val="clear" w:color="auto" w:fill="EEECE1" w:themeFill="background2"/>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material</w:t>
            </w:r>
          </w:p>
        </w:tc>
        <w:tc>
          <w:tcPr>
            <w:tcW w:w="3542" w:type="dxa"/>
            <w:shd w:val="clear" w:color="auto" w:fill="EEECE1" w:themeFill="background2"/>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procent %</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Hârtie/carton</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11</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Sticlă</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Metale</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Materiale plastice</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10</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Biodegradabile</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52</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Lemn</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Inerte</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Altele</w:t>
            </w:r>
          </w:p>
        </w:tc>
        <w:tc>
          <w:tcPr>
            <w:tcW w:w="354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12</w:t>
            </w:r>
          </w:p>
        </w:tc>
      </w:tr>
      <w:tr w:rsidR="00B07C47" w:rsidRPr="006C2DD6" w:rsidTr="004E444C">
        <w:trPr>
          <w:jc w:val="center"/>
        </w:trPr>
        <w:tc>
          <w:tcPr>
            <w:tcW w:w="3552" w:type="dxa"/>
            <w:shd w:val="clear" w:color="auto" w:fill="auto"/>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Total</w:t>
            </w:r>
          </w:p>
        </w:tc>
        <w:tc>
          <w:tcPr>
            <w:tcW w:w="3542"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100</w:t>
            </w:r>
          </w:p>
        </w:tc>
      </w:tr>
    </w:tbl>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 xml:space="preserve">Figura VII.1.1.2 </w:t>
      </w:r>
      <w:r w:rsidRPr="006C2DD6">
        <w:rPr>
          <w:rFonts w:ascii="Arial" w:hAnsi="Arial" w:cs="Arial"/>
          <w:iCs/>
          <w:sz w:val="24"/>
          <w:szCs w:val="24"/>
        </w:rPr>
        <w:t>Compoziţia procentuală, pe tip de material, a deșeurilor menajere colectate în 2016</w:t>
      </w:r>
    </w:p>
    <w:p w:rsidR="00B07C47" w:rsidRPr="006C2DD6" w:rsidRDefault="00B07C47" w:rsidP="00B07C47">
      <w:pPr>
        <w:spacing w:after="0" w:line="240" w:lineRule="auto"/>
        <w:rPr>
          <w:rFonts w:ascii="Arial" w:hAnsi="Arial" w:cs="Arial"/>
          <w:sz w:val="24"/>
          <w:szCs w:val="24"/>
          <w:highlight w:val="yellow"/>
        </w:rPr>
      </w:pPr>
      <w:r w:rsidRPr="006C2DD6">
        <w:rPr>
          <w:rFonts w:ascii="Arial" w:hAnsi="Arial" w:cs="Arial"/>
          <w:noProof/>
          <w:sz w:val="24"/>
          <w:szCs w:val="24"/>
          <w:highlight w:val="yellow"/>
        </w:rPr>
        <w:drawing>
          <wp:anchor distT="0" distB="0" distL="114300" distR="114300" simplePos="0" relativeHeight="251667456" behindDoc="0" locked="0" layoutInCell="1" allowOverlap="1">
            <wp:simplePos x="0" y="0"/>
            <wp:positionH relativeFrom="column">
              <wp:posOffset>723900</wp:posOffset>
            </wp:positionH>
            <wp:positionV relativeFrom="paragraph">
              <wp:posOffset>0</wp:posOffset>
            </wp:positionV>
            <wp:extent cx="4898390" cy="2602230"/>
            <wp:effectExtent l="0" t="0" r="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4898390" cy="2602230"/>
                    </a:xfrm>
                    <a:prstGeom prst="rect">
                      <a:avLst/>
                    </a:prstGeom>
                    <a:noFill/>
                    <a:ln w="9525">
                      <a:noFill/>
                      <a:miter lim="800000"/>
                      <a:headEnd/>
                      <a:tailEnd/>
                    </a:ln>
                  </pic:spPr>
                </pic:pic>
              </a:graphicData>
            </a:graphic>
          </wp:anchor>
        </w:drawing>
      </w: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jc w:val="both"/>
        <w:rPr>
          <w:rFonts w:ascii="Arial" w:hAnsi="Arial" w:cs="Arial"/>
          <w:sz w:val="24"/>
          <w:szCs w:val="24"/>
          <w:highlight w:val="yellow"/>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Cantitatea de deșeuri biodegradabile este majoritară în deșeurile menajere, reprezentând aprox. 52% din total. De asemenea, remarcăm ca ridicată ponderea deșeurilor reciclabile de aprox. 30% din total, deșeuri ce ar fi trebuit să se regăsească în circuitul colectării selective.</w:t>
      </w:r>
    </w:p>
    <w:p w:rsidR="00B07C47" w:rsidRPr="006C2DD6" w:rsidRDefault="00B07C47" w:rsidP="00B07C47">
      <w:pPr>
        <w:spacing w:after="0" w:line="240" w:lineRule="auto"/>
        <w:ind w:firstLine="708"/>
        <w:jc w:val="both"/>
        <w:rPr>
          <w:rFonts w:ascii="Arial" w:hAnsi="Arial" w:cs="Arial"/>
          <w:b/>
          <w:sz w:val="24"/>
          <w:szCs w:val="24"/>
        </w:rPr>
      </w:pPr>
      <w:r w:rsidRPr="006C2DD6">
        <w:rPr>
          <w:rFonts w:ascii="Arial" w:hAnsi="Arial" w:cs="Arial"/>
          <w:sz w:val="24"/>
          <w:szCs w:val="24"/>
        </w:rPr>
        <w:t>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Deşeurile municipale sunt în prezent cel mai bun indicator disponibil pentru descrierea dezvoltării generale a generării şi tratării deşeurilor în România.</w:t>
      </w:r>
    </w:p>
    <w:tbl>
      <w:tblPr>
        <w:tblpPr w:leftFromText="180" w:rightFromText="180" w:vertAnchor="text" w:horzAnchor="margin" w:tblpX="136"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tblPr>
      <w:tblGrid>
        <w:gridCol w:w="10037"/>
      </w:tblGrid>
      <w:tr w:rsidR="00B07C47" w:rsidRPr="006C2DD6" w:rsidTr="004E444C">
        <w:tc>
          <w:tcPr>
            <w:tcW w:w="10037" w:type="dxa"/>
            <w:shd w:val="clear" w:color="auto" w:fill="C6D9F1"/>
          </w:tcPr>
          <w:p w:rsidR="00B07C47" w:rsidRPr="006C2DD6" w:rsidRDefault="00B07C47" w:rsidP="004E444C">
            <w:pPr>
              <w:autoSpaceDE w:val="0"/>
              <w:autoSpaceDN w:val="0"/>
              <w:adjustRightInd w:val="0"/>
              <w:spacing w:after="0" w:line="240" w:lineRule="auto"/>
              <w:jc w:val="both"/>
              <w:rPr>
                <w:rFonts w:ascii="Arial" w:hAnsi="Arial" w:cs="Arial"/>
                <w:b/>
                <w:sz w:val="24"/>
                <w:szCs w:val="24"/>
              </w:rPr>
            </w:pPr>
            <w:r w:rsidRPr="006C2DD6">
              <w:rPr>
                <w:rFonts w:ascii="Arial" w:hAnsi="Arial" w:cs="Arial"/>
                <w:b/>
                <w:sz w:val="24"/>
                <w:szCs w:val="24"/>
              </w:rPr>
              <w:t>Indicatorul RO 16 – Generarea deşeurilor municipale</w:t>
            </w:r>
          </w:p>
          <w:p w:rsidR="00B07C47" w:rsidRPr="006C2DD6" w:rsidRDefault="00B07C47" w:rsidP="004E444C">
            <w:pPr>
              <w:autoSpaceDE w:val="0"/>
              <w:autoSpaceDN w:val="0"/>
              <w:adjustRightInd w:val="0"/>
              <w:spacing w:after="0" w:line="240" w:lineRule="auto"/>
              <w:jc w:val="both"/>
              <w:rPr>
                <w:rFonts w:ascii="Arial" w:hAnsi="Arial" w:cs="Arial"/>
                <w:b/>
                <w:sz w:val="24"/>
                <w:szCs w:val="24"/>
              </w:rPr>
            </w:pPr>
          </w:p>
          <w:p w:rsidR="00B07C47" w:rsidRPr="006C2DD6" w:rsidRDefault="00B07C47" w:rsidP="004E444C">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Indicatorul prezintă generarea deşeurilor municipale, exprimată în kg/cap de locuitor. 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salubrizare.</w:t>
            </w:r>
          </w:p>
        </w:tc>
      </w:tr>
    </w:tbl>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Tabelul şi figura VII.1.1.3 reprezintă evoluţia indicatorului de generare a deşeurilor municipale la nivelul judeţului Brăila, comparativ cu situaţia la nivel naţional şi european.</w:t>
      </w:r>
    </w:p>
    <w:p w:rsidR="00B07C47" w:rsidRPr="006C2DD6" w:rsidRDefault="00B07C47" w:rsidP="00B07C47">
      <w:pPr>
        <w:spacing w:after="0" w:line="240" w:lineRule="auto"/>
        <w:jc w:val="both"/>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 xml:space="preserve"> Tabel VII.1.1.3 Indicatorul de generare a deșeurilor municipale</w:t>
      </w:r>
    </w:p>
    <w:p w:rsidR="00B07C47" w:rsidRPr="006C2DD6" w:rsidRDefault="00B07C47" w:rsidP="00B07C47">
      <w:pPr>
        <w:spacing w:after="0" w:line="240" w:lineRule="auto"/>
        <w:rPr>
          <w:rFonts w:ascii="Arial" w:hAnsi="Arial" w:cs="Arial"/>
          <w:sz w:val="24"/>
          <w:szCs w:val="24"/>
          <w:highlight w:val="yellow"/>
        </w:rPr>
      </w:pPr>
    </w:p>
    <w:tbl>
      <w:tblPr>
        <w:tblW w:w="0" w:type="auto"/>
        <w:jc w:val="center"/>
        <w:tblInd w:w="-80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3196"/>
        <w:gridCol w:w="992"/>
        <w:gridCol w:w="1134"/>
        <w:gridCol w:w="992"/>
        <w:gridCol w:w="992"/>
        <w:gridCol w:w="951"/>
        <w:gridCol w:w="1084"/>
        <w:gridCol w:w="976"/>
      </w:tblGrid>
      <w:tr w:rsidR="001B622A" w:rsidRPr="006C2DD6" w:rsidTr="004E444C">
        <w:trPr>
          <w:jc w:val="center"/>
        </w:trPr>
        <w:tc>
          <w:tcPr>
            <w:tcW w:w="3196" w:type="dxa"/>
            <w:shd w:val="clear" w:color="auto" w:fill="auto"/>
            <w:vAlign w:val="center"/>
          </w:tcPr>
          <w:p w:rsidR="00B07C47" w:rsidRPr="006C2DD6" w:rsidRDefault="00B07C47" w:rsidP="004E444C">
            <w:pPr>
              <w:jc w:val="center"/>
              <w:rPr>
                <w:rFonts w:ascii="Arial" w:hAnsi="Arial" w:cs="Arial"/>
                <w:b/>
                <w:caps/>
                <w:szCs w:val="24"/>
              </w:rPr>
            </w:pPr>
          </w:p>
        </w:tc>
        <w:tc>
          <w:tcPr>
            <w:tcW w:w="992" w:type="dxa"/>
            <w:shd w:val="clear" w:color="auto" w:fill="auto"/>
            <w:vAlign w:val="center"/>
          </w:tcPr>
          <w:p w:rsidR="00B07C47" w:rsidRPr="006C2DD6" w:rsidRDefault="00B07C47" w:rsidP="004E444C">
            <w:pPr>
              <w:jc w:val="center"/>
              <w:rPr>
                <w:rFonts w:ascii="Arial" w:hAnsi="Arial" w:cs="Arial"/>
                <w:caps/>
                <w:szCs w:val="24"/>
              </w:rPr>
            </w:pPr>
            <w:r w:rsidRPr="006C2DD6">
              <w:rPr>
                <w:rFonts w:ascii="Arial" w:hAnsi="Arial" w:cs="Arial"/>
                <w:caps/>
                <w:szCs w:val="24"/>
              </w:rPr>
              <w:t>2010</w:t>
            </w:r>
          </w:p>
        </w:tc>
        <w:tc>
          <w:tcPr>
            <w:tcW w:w="1134" w:type="dxa"/>
            <w:shd w:val="clear" w:color="auto" w:fill="auto"/>
            <w:vAlign w:val="center"/>
          </w:tcPr>
          <w:p w:rsidR="00B07C47" w:rsidRPr="006C2DD6" w:rsidRDefault="00B07C47" w:rsidP="004E444C">
            <w:pPr>
              <w:jc w:val="center"/>
              <w:rPr>
                <w:rFonts w:ascii="Arial" w:hAnsi="Arial" w:cs="Arial"/>
                <w:caps/>
                <w:szCs w:val="24"/>
              </w:rPr>
            </w:pPr>
            <w:r w:rsidRPr="006C2DD6">
              <w:rPr>
                <w:rFonts w:ascii="Arial" w:hAnsi="Arial" w:cs="Arial"/>
                <w:caps/>
                <w:szCs w:val="24"/>
              </w:rPr>
              <w:t>2011</w:t>
            </w:r>
          </w:p>
        </w:tc>
        <w:tc>
          <w:tcPr>
            <w:tcW w:w="992" w:type="dxa"/>
            <w:vAlign w:val="center"/>
          </w:tcPr>
          <w:p w:rsidR="00B07C47" w:rsidRPr="006C2DD6" w:rsidRDefault="00B07C47" w:rsidP="004E444C">
            <w:pPr>
              <w:jc w:val="center"/>
              <w:rPr>
                <w:rFonts w:ascii="Arial" w:hAnsi="Arial" w:cs="Arial"/>
                <w:caps/>
                <w:szCs w:val="24"/>
              </w:rPr>
            </w:pPr>
            <w:r w:rsidRPr="006C2DD6">
              <w:rPr>
                <w:rFonts w:ascii="Arial" w:hAnsi="Arial" w:cs="Arial"/>
                <w:caps/>
                <w:szCs w:val="24"/>
              </w:rPr>
              <w:t>2012</w:t>
            </w:r>
          </w:p>
        </w:tc>
        <w:tc>
          <w:tcPr>
            <w:tcW w:w="992" w:type="dxa"/>
            <w:vAlign w:val="center"/>
          </w:tcPr>
          <w:p w:rsidR="00B07C47" w:rsidRPr="006C2DD6" w:rsidRDefault="00B07C47" w:rsidP="004E444C">
            <w:pPr>
              <w:jc w:val="center"/>
              <w:rPr>
                <w:rFonts w:ascii="Arial" w:hAnsi="Arial" w:cs="Arial"/>
                <w:caps/>
                <w:szCs w:val="24"/>
              </w:rPr>
            </w:pPr>
            <w:r w:rsidRPr="006C2DD6">
              <w:rPr>
                <w:rFonts w:ascii="Arial" w:hAnsi="Arial" w:cs="Arial"/>
                <w:caps/>
                <w:szCs w:val="24"/>
              </w:rPr>
              <w:t>2013</w:t>
            </w:r>
          </w:p>
        </w:tc>
        <w:tc>
          <w:tcPr>
            <w:tcW w:w="951" w:type="dxa"/>
            <w:vAlign w:val="center"/>
          </w:tcPr>
          <w:p w:rsidR="00B07C47" w:rsidRPr="006C2DD6" w:rsidRDefault="00B07C47" w:rsidP="004E444C">
            <w:pPr>
              <w:jc w:val="center"/>
              <w:rPr>
                <w:rFonts w:ascii="Arial" w:hAnsi="Arial" w:cs="Arial"/>
                <w:caps/>
                <w:szCs w:val="24"/>
              </w:rPr>
            </w:pPr>
            <w:r w:rsidRPr="006C2DD6">
              <w:rPr>
                <w:rFonts w:ascii="Arial" w:hAnsi="Arial" w:cs="Arial"/>
                <w:caps/>
                <w:szCs w:val="24"/>
              </w:rPr>
              <w:t>2014</w:t>
            </w:r>
          </w:p>
        </w:tc>
        <w:tc>
          <w:tcPr>
            <w:tcW w:w="1084" w:type="dxa"/>
          </w:tcPr>
          <w:p w:rsidR="00B07C47" w:rsidRPr="006C2DD6" w:rsidRDefault="00B07C47" w:rsidP="004E444C">
            <w:pPr>
              <w:jc w:val="center"/>
              <w:rPr>
                <w:rFonts w:ascii="Arial" w:hAnsi="Arial" w:cs="Arial"/>
                <w:caps/>
                <w:szCs w:val="24"/>
              </w:rPr>
            </w:pPr>
            <w:r w:rsidRPr="006C2DD6">
              <w:rPr>
                <w:rFonts w:ascii="Arial" w:hAnsi="Arial" w:cs="Arial"/>
                <w:caps/>
                <w:szCs w:val="24"/>
              </w:rPr>
              <w:t>2015</w:t>
            </w:r>
          </w:p>
        </w:tc>
        <w:tc>
          <w:tcPr>
            <w:tcW w:w="976" w:type="dxa"/>
          </w:tcPr>
          <w:p w:rsidR="00B07C47" w:rsidRPr="006C2DD6" w:rsidRDefault="00B07C47" w:rsidP="004E444C">
            <w:pPr>
              <w:jc w:val="center"/>
              <w:rPr>
                <w:rFonts w:ascii="Arial" w:hAnsi="Arial" w:cs="Arial"/>
                <w:caps/>
                <w:szCs w:val="24"/>
              </w:rPr>
            </w:pPr>
            <w:r w:rsidRPr="006C2DD6">
              <w:rPr>
                <w:rFonts w:ascii="Arial" w:hAnsi="Arial" w:cs="Arial"/>
                <w:caps/>
                <w:szCs w:val="24"/>
              </w:rPr>
              <w:t>2016</w:t>
            </w:r>
          </w:p>
        </w:tc>
      </w:tr>
      <w:tr w:rsidR="001B622A" w:rsidRPr="006C2DD6" w:rsidTr="004E444C">
        <w:trPr>
          <w:jc w:val="center"/>
        </w:trPr>
        <w:tc>
          <w:tcPr>
            <w:tcW w:w="3196" w:type="dxa"/>
            <w:shd w:val="clear" w:color="auto" w:fill="auto"/>
            <w:vAlign w:val="center"/>
          </w:tcPr>
          <w:p w:rsidR="00B07C47" w:rsidRPr="006C2DD6" w:rsidRDefault="00B07C47" w:rsidP="004E444C">
            <w:pPr>
              <w:jc w:val="both"/>
              <w:rPr>
                <w:rFonts w:ascii="Arial" w:hAnsi="Arial" w:cs="Arial"/>
                <w:szCs w:val="24"/>
              </w:rPr>
            </w:pPr>
            <w:r w:rsidRPr="006C2DD6">
              <w:rPr>
                <w:rFonts w:ascii="Arial" w:hAnsi="Arial" w:cs="Arial"/>
                <w:szCs w:val="24"/>
              </w:rPr>
              <w:t>Indicatorul RO 16: Generarea deșeurilor municipale</w:t>
            </w:r>
          </w:p>
          <w:p w:rsidR="00B07C47" w:rsidRPr="006C2DD6" w:rsidRDefault="00B07C47" w:rsidP="004E444C">
            <w:pPr>
              <w:jc w:val="both"/>
              <w:rPr>
                <w:rFonts w:ascii="Arial" w:hAnsi="Arial" w:cs="Arial"/>
                <w:b/>
                <w:szCs w:val="24"/>
              </w:rPr>
            </w:pPr>
            <w:r w:rsidRPr="006C2DD6">
              <w:rPr>
                <w:rFonts w:ascii="Arial" w:hAnsi="Arial" w:cs="Arial"/>
                <w:szCs w:val="24"/>
              </w:rPr>
              <w:t>Kg/loc/an</w:t>
            </w:r>
          </w:p>
        </w:tc>
        <w:tc>
          <w:tcPr>
            <w:tcW w:w="992" w:type="dxa"/>
            <w:shd w:val="clear" w:color="auto" w:fill="auto"/>
            <w:vAlign w:val="center"/>
          </w:tcPr>
          <w:p w:rsidR="00B07C47" w:rsidRPr="006C2DD6" w:rsidRDefault="00B07C47" w:rsidP="004E444C">
            <w:pPr>
              <w:jc w:val="center"/>
              <w:rPr>
                <w:rFonts w:ascii="Arial" w:hAnsi="Arial" w:cs="Arial"/>
                <w:b/>
                <w:szCs w:val="24"/>
              </w:rPr>
            </w:pPr>
            <w:r w:rsidRPr="006C2DD6">
              <w:rPr>
                <w:rFonts w:ascii="Arial" w:hAnsi="Arial" w:cs="Arial"/>
                <w:b/>
                <w:szCs w:val="24"/>
              </w:rPr>
              <w:t>164,35</w:t>
            </w:r>
          </w:p>
        </w:tc>
        <w:tc>
          <w:tcPr>
            <w:tcW w:w="1134" w:type="dxa"/>
            <w:shd w:val="clear" w:color="auto" w:fill="auto"/>
            <w:vAlign w:val="center"/>
          </w:tcPr>
          <w:p w:rsidR="00B07C47" w:rsidRPr="006C2DD6" w:rsidRDefault="00B07C47" w:rsidP="004E444C">
            <w:pPr>
              <w:jc w:val="center"/>
              <w:rPr>
                <w:rFonts w:ascii="Arial" w:hAnsi="Arial" w:cs="Arial"/>
                <w:b/>
                <w:szCs w:val="24"/>
              </w:rPr>
            </w:pPr>
            <w:r w:rsidRPr="006C2DD6">
              <w:rPr>
                <w:rFonts w:ascii="Arial" w:hAnsi="Arial" w:cs="Arial"/>
                <w:b/>
                <w:szCs w:val="24"/>
              </w:rPr>
              <w:t>142,46</w:t>
            </w:r>
          </w:p>
        </w:tc>
        <w:tc>
          <w:tcPr>
            <w:tcW w:w="992" w:type="dxa"/>
            <w:vAlign w:val="center"/>
          </w:tcPr>
          <w:p w:rsidR="00B07C47" w:rsidRPr="006C2DD6" w:rsidRDefault="00B07C47" w:rsidP="004E444C">
            <w:pPr>
              <w:jc w:val="center"/>
              <w:rPr>
                <w:rFonts w:ascii="Arial" w:hAnsi="Arial" w:cs="Arial"/>
                <w:b/>
                <w:szCs w:val="24"/>
              </w:rPr>
            </w:pPr>
            <w:r w:rsidRPr="006C2DD6">
              <w:rPr>
                <w:rFonts w:ascii="Arial" w:hAnsi="Arial" w:cs="Arial"/>
                <w:b/>
                <w:szCs w:val="24"/>
              </w:rPr>
              <w:t>139,64</w:t>
            </w:r>
          </w:p>
        </w:tc>
        <w:tc>
          <w:tcPr>
            <w:tcW w:w="992" w:type="dxa"/>
            <w:vAlign w:val="center"/>
          </w:tcPr>
          <w:p w:rsidR="00B07C47" w:rsidRPr="006C2DD6" w:rsidRDefault="00B07C47" w:rsidP="004E444C">
            <w:pPr>
              <w:jc w:val="center"/>
              <w:rPr>
                <w:rFonts w:ascii="Arial" w:hAnsi="Arial" w:cs="Arial"/>
                <w:b/>
                <w:szCs w:val="24"/>
              </w:rPr>
            </w:pPr>
            <w:r w:rsidRPr="006C2DD6">
              <w:rPr>
                <w:rFonts w:ascii="Arial" w:hAnsi="Arial" w:cs="Arial"/>
                <w:b/>
                <w:szCs w:val="24"/>
              </w:rPr>
              <w:t>153,13</w:t>
            </w:r>
          </w:p>
        </w:tc>
        <w:tc>
          <w:tcPr>
            <w:tcW w:w="951" w:type="dxa"/>
            <w:vAlign w:val="center"/>
          </w:tcPr>
          <w:p w:rsidR="00B07C47" w:rsidRPr="006C2DD6" w:rsidRDefault="00B07C47" w:rsidP="004E444C">
            <w:pPr>
              <w:jc w:val="center"/>
              <w:rPr>
                <w:rFonts w:ascii="Arial" w:hAnsi="Arial" w:cs="Arial"/>
                <w:b/>
                <w:szCs w:val="24"/>
              </w:rPr>
            </w:pPr>
            <w:r w:rsidRPr="006C2DD6">
              <w:rPr>
                <w:rFonts w:ascii="Arial" w:hAnsi="Arial" w:cs="Arial"/>
                <w:b/>
                <w:szCs w:val="24"/>
              </w:rPr>
              <w:t>149,95</w:t>
            </w:r>
          </w:p>
        </w:tc>
        <w:tc>
          <w:tcPr>
            <w:tcW w:w="1084" w:type="dxa"/>
          </w:tcPr>
          <w:p w:rsidR="00B07C47" w:rsidRPr="006C2DD6" w:rsidRDefault="00B07C47" w:rsidP="004E444C">
            <w:pPr>
              <w:jc w:val="center"/>
              <w:rPr>
                <w:rFonts w:ascii="Arial" w:hAnsi="Arial" w:cs="Arial"/>
                <w:b/>
                <w:szCs w:val="24"/>
              </w:rPr>
            </w:pPr>
          </w:p>
          <w:p w:rsidR="00B07C47" w:rsidRPr="006C2DD6" w:rsidRDefault="00B07C47" w:rsidP="004E444C">
            <w:pPr>
              <w:jc w:val="center"/>
              <w:rPr>
                <w:rFonts w:ascii="Arial" w:hAnsi="Arial" w:cs="Arial"/>
                <w:b/>
                <w:szCs w:val="24"/>
              </w:rPr>
            </w:pPr>
            <w:r w:rsidRPr="006C2DD6">
              <w:rPr>
                <w:rFonts w:ascii="Arial" w:hAnsi="Arial" w:cs="Arial"/>
                <w:b/>
                <w:szCs w:val="24"/>
              </w:rPr>
              <w:t>171,65</w:t>
            </w:r>
          </w:p>
        </w:tc>
        <w:tc>
          <w:tcPr>
            <w:tcW w:w="976" w:type="dxa"/>
          </w:tcPr>
          <w:p w:rsidR="00B07C47" w:rsidRPr="006C2DD6" w:rsidRDefault="00B07C47" w:rsidP="004E444C">
            <w:pPr>
              <w:jc w:val="center"/>
              <w:rPr>
                <w:rFonts w:ascii="Arial" w:hAnsi="Arial" w:cs="Arial"/>
                <w:b/>
                <w:szCs w:val="24"/>
              </w:rPr>
            </w:pPr>
          </w:p>
          <w:p w:rsidR="00B07C47" w:rsidRPr="006C2DD6" w:rsidRDefault="00B07C47" w:rsidP="004E444C">
            <w:pPr>
              <w:jc w:val="center"/>
              <w:rPr>
                <w:rFonts w:ascii="Arial" w:hAnsi="Arial" w:cs="Arial"/>
                <w:b/>
                <w:szCs w:val="24"/>
              </w:rPr>
            </w:pPr>
            <w:r w:rsidRPr="006C2DD6">
              <w:rPr>
                <w:rFonts w:ascii="Arial" w:hAnsi="Arial" w:cs="Arial"/>
                <w:b/>
                <w:szCs w:val="24"/>
              </w:rPr>
              <w:t>184,31</w:t>
            </w:r>
          </w:p>
        </w:tc>
      </w:tr>
    </w:tbl>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Figura VII.1.1.3 Evoluția indicatorului de generare a deșeurilor municipale, 2010-2016</w:t>
      </w:r>
    </w:p>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rPr>
          <w:rFonts w:ascii="Arial" w:hAnsi="Arial" w:cs="Arial"/>
          <w:b/>
          <w:sz w:val="20"/>
          <w:highlight w:val="yellow"/>
        </w:rPr>
      </w:pPr>
      <w:r w:rsidRPr="006C2DD6">
        <w:rPr>
          <w:b/>
          <w:noProof/>
          <w:szCs w:val="24"/>
          <w:highlight w:val="yellow"/>
        </w:rPr>
        <w:lastRenderedPageBreak/>
        <w:drawing>
          <wp:anchor distT="0" distB="0" distL="114300" distR="114300" simplePos="0" relativeHeight="251668480" behindDoc="0" locked="0" layoutInCell="1" allowOverlap="1">
            <wp:simplePos x="0" y="0"/>
            <wp:positionH relativeFrom="column">
              <wp:posOffset>43815</wp:posOffset>
            </wp:positionH>
            <wp:positionV relativeFrom="paragraph">
              <wp:posOffset>49530</wp:posOffset>
            </wp:positionV>
            <wp:extent cx="5643880" cy="2639060"/>
            <wp:effectExtent l="19050" t="0" r="13970" b="8890"/>
            <wp:wrapSquare wrapText="right"/>
            <wp:docPr id="44"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jc w:val="cente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rPr>
          <w:rFonts w:ascii="Arial" w:hAnsi="Arial" w:cs="Arial"/>
          <w:b/>
          <w:sz w:val="20"/>
          <w:highlight w:val="yellow"/>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i/>
          <w:sz w:val="24"/>
          <w:szCs w:val="24"/>
        </w:rPr>
        <w:t>Sursa</w:t>
      </w:r>
      <w:r w:rsidRPr="006C2DD6">
        <w:rPr>
          <w:rFonts w:ascii="Arial" w:hAnsi="Arial" w:cs="Arial"/>
          <w:i/>
          <w:sz w:val="24"/>
          <w:szCs w:val="24"/>
        </w:rPr>
        <w:sym w:font="Symbol" w:char="F03A"/>
      </w:r>
      <w:r w:rsidRPr="006C2DD6">
        <w:rPr>
          <w:rFonts w:ascii="Arial" w:hAnsi="Arial" w:cs="Arial"/>
          <w:i/>
          <w:sz w:val="24"/>
          <w:szCs w:val="24"/>
        </w:rPr>
        <w:t xml:space="preserve">  Baza de date Medius şi SIM-SD- Statistica deşeurilor 2011-2016</w:t>
      </w:r>
    </w:p>
    <w:p w:rsidR="00B07C47" w:rsidRPr="006C2DD6" w:rsidRDefault="00B07C47" w:rsidP="00B07C47">
      <w:pPr>
        <w:spacing w:after="0" w:line="240" w:lineRule="auto"/>
        <w:ind w:firstLine="708"/>
        <w:jc w:val="both"/>
        <w:rPr>
          <w:rFonts w:ascii="Arial" w:hAnsi="Arial" w:cs="Arial"/>
          <w:sz w:val="24"/>
          <w:szCs w:val="24"/>
        </w:rPr>
      </w:pPr>
    </w:p>
    <w:p w:rsidR="00B07C47" w:rsidRPr="006C2DD6" w:rsidRDefault="00B07C47" w:rsidP="00B07C47">
      <w:pPr>
        <w:spacing w:after="0" w:line="240" w:lineRule="auto"/>
        <w:ind w:firstLine="708"/>
        <w:jc w:val="both"/>
        <w:rPr>
          <w:rFonts w:ascii="Arial" w:hAnsi="Arial" w:cs="Arial"/>
          <w:b/>
          <w:sz w:val="24"/>
          <w:szCs w:val="24"/>
        </w:rPr>
      </w:pPr>
      <w:r w:rsidRPr="006C2DD6">
        <w:rPr>
          <w:rFonts w:ascii="Arial" w:hAnsi="Arial" w:cs="Arial"/>
          <w:b/>
          <w:sz w:val="24"/>
          <w:szCs w:val="24"/>
        </w:rPr>
        <w:t>Colectarea și transportul deșeurilor</w:t>
      </w:r>
    </w:p>
    <w:p w:rsidR="00B07C47" w:rsidRPr="006C2DD6" w:rsidRDefault="00B07C47" w:rsidP="00B07C47">
      <w:pPr>
        <w:spacing w:after="0" w:line="240" w:lineRule="auto"/>
        <w:ind w:firstLine="708"/>
        <w:jc w:val="both"/>
        <w:rPr>
          <w:rFonts w:ascii="Arial" w:hAnsi="Arial" w:cs="Arial"/>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După provenienţa lor, deşeurile municipale includ:</w:t>
      </w:r>
    </w:p>
    <w:p w:rsidR="00B07C47" w:rsidRPr="006C2DD6" w:rsidRDefault="00B07C47" w:rsidP="00EF3940">
      <w:pPr>
        <w:pStyle w:val="ListParagraph"/>
        <w:numPr>
          <w:ilvl w:val="0"/>
          <w:numId w:val="33"/>
        </w:numPr>
        <w:jc w:val="both"/>
        <w:rPr>
          <w:rFonts w:ascii="Arial" w:hAnsi="Arial" w:cs="Arial"/>
        </w:rPr>
      </w:pPr>
      <w:r w:rsidRPr="006C2DD6">
        <w:rPr>
          <w:rFonts w:ascii="Arial" w:hAnsi="Arial" w:cs="Arial"/>
        </w:rPr>
        <w:t>deşeuri menajere de la populaţie şi agenţi economici</w:t>
      </w:r>
    </w:p>
    <w:p w:rsidR="00B07C47" w:rsidRPr="006C2DD6" w:rsidRDefault="00B07C47" w:rsidP="00EF3940">
      <w:pPr>
        <w:pStyle w:val="ListParagraph"/>
        <w:numPr>
          <w:ilvl w:val="0"/>
          <w:numId w:val="33"/>
        </w:numPr>
        <w:jc w:val="both"/>
        <w:rPr>
          <w:rFonts w:ascii="Arial" w:hAnsi="Arial" w:cs="Arial"/>
        </w:rPr>
      </w:pPr>
      <w:r w:rsidRPr="006C2DD6">
        <w:rPr>
          <w:rFonts w:ascii="Arial" w:hAnsi="Arial" w:cs="Arial"/>
        </w:rPr>
        <w:t>deşeuri din servicii publice (deşeuri stradale, din pieţe, grădini, parcuri şi spaţii verzi)</w:t>
      </w:r>
    </w:p>
    <w:p w:rsidR="00B07C47" w:rsidRPr="006C2DD6" w:rsidRDefault="00B07C47" w:rsidP="00EF3940">
      <w:pPr>
        <w:pStyle w:val="ListParagraph"/>
        <w:numPr>
          <w:ilvl w:val="0"/>
          <w:numId w:val="33"/>
        </w:numPr>
        <w:jc w:val="both"/>
        <w:rPr>
          <w:rFonts w:ascii="Arial" w:hAnsi="Arial" w:cs="Arial"/>
        </w:rPr>
      </w:pPr>
      <w:r w:rsidRPr="006C2DD6">
        <w:rPr>
          <w:rFonts w:ascii="Arial" w:hAnsi="Arial" w:cs="Arial"/>
        </w:rPr>
        <w:t>deşeuri din construcţii şi demolări (inclusiv alte categorii de deşeuri neclasificate)</w:t>
      </w:r>
    </w:p>
    <w:p w:rsidR="00B07C47" w:rsidRPr="006C2DD6" w:rsidRDefault="00B07C47" w:rsidP="00B07C47">
      <w:pPr>
        <w:spacing w:after="0" w:line="240" w:lineRule="auto"/>
        <w:ind w:firstLine="708"/>
        <w:jc w:val="both"/>
        <w:rPr>
          <w:rFonts w:ascii="Arial" w:hAnsi="Arial" w:cs="Arial"/>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anul 2016 au fost colectate de către municipalităţi, prin intermediul operatorilor de salubrizare autorizaţi sau al serviciilor de gospodărire din cadrul unor primării, o cantitate de 83010 tone deşeuri, (tabel VII.1.1.4)</w:t>
      </w:r>
    </w:p>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Tabel VII.1.1.4 Deşeuri totale colectate de municipalităţi în anul 2016 (tone)</w:t>
      </w:r>
    </w:p>
    <w:tbl>
      <w:tblPr>
        <w:tblW w:w="0" w:type="auto"/>
        <w:jc w:val="center"/>
        <w:tblInd w:w="-240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457"/>
        <w:gridCol w:w="3330"/>
        <w:gridCol w:w="2040"/>
      </w:tblGrid>
      <w:tr w:rsidR="00B07C47" w:rsidRPr="006C2DD6" w:rsidTr="004E444C">
        <w:trPr>
          <w:jc w:val="center"/>
        </w:trPr>
        <w:tc>
          <w:tcPr>
            <w:tcW w:w="4457" w:type="dxa"/>
            <w:shd w:val="clear" w:color="auto" w:fill="auto"/>
          </w:tcPr>
          <w:p w:rsidR="00B07C47" w:rsidRPr="006C2DD6" w:rsidRDefault="00B07C47" w:rsidP="004E444C">
            <w:pPr>
              <w:spacing w:after="0" w:line="240" w:lineRule="auto"/>
              <w:rPr>
                <w:rFonts w:ascii="Arial" w:hAnsi="Arial" w:cs="Arial"/>
                <w:caps/>
                <w:sz w:val="24"/>
                <w:szCs w:val="24"/>
              </w:rPr>
            </w:pPr>
            <w:r w:rsidRPr="006C2DD6">
              <w:rPr>
                <w:rFonts w:ascii="Arial" w:hAnsi="Arial" w:cs="Arial"/>
                <w:sz w:val="24"/>
                <w:szCs w:val="24"/>
              </w:rPr>
              <w:t>DEŞEURI  MUNICIPALE COLECTATE</w:t>
            </w:r>
          </w:p>
        </w:tc>
        <w:tc>
          <w:tcPr>
            <w:tcW w:w="3330" w:type="dxa"/>
            <w:shd w:val="clear" w:color="auto" w:fill="auto"/>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cantitate colectata</w:t>
            </w:r>
          </w:p>
        </w:tc>
        <w:tc>
          <w:tcPr>
            <w:tcW w:w="2040" w:type="dxa"/>
            <w:shd w:val="clear" w:color="auto" w:fill="auto"/>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Procent %</w:t>
            </w:r>
          </w:p>
        </w:tc>
      </w:tr>
      <w:tr w:rsidR="00B07C47" w:rsidRPr="006C2DD6" w:rsidTr="004E444C">
        <w:trPr>
          <w:jc w:val="center"/>
        </w:trPr>
        <w:tc>
          <w:tcPr>
            <w:tcW w:w="4457"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Deşeuri menajere (1)</w:t>
            </w:r>
          </w:p>
        </w:tc>
        <w:tc>
          <w:tcPr>
            <w:tcW w:w="333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56800</w:t>
            </w:r>
          </w:p>
        </w:tc>
        <w:tc>
          <w:tcPr>
            <w:tcW w:w="204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68</w:t>
            </w:r>
          </w:p>
        </w:tc>
      </w:tr>
      <w:tr w:rsidR="00B07C47" w:rsidRPr="006C2DD6" w:rsidTr="004E444C">
        <w:trPr>
          <w:jc w:val="center"/>
        </w:trPr>
        <w:tc>
          <w:tcPr>
            <w:tcW w:w="4457"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Deşeuri din servicii publice (2)</w:t>
            </w:r>
          </w:p>
        </w:tc>
        <w:tc>
          <w:tcPr>
            <w:tcW w:w="333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22000</w:t>
            </w:r>
          </w:p>
        </w:tc>
        <w:tc>
          <w:tcPr>
            <w:tcW w:w="204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26</w:t>
            </w:r>
          </w:p>
        </w:tc>
      </w:tr>
      <w:tr w:rsidR="00B07C47" w:rsidRPr="006C2DD6" w:rsidTr="004E444C">
        <w:trPr>
          <w:jc w:val="center"/>
        </w:trPr>
        <w:tc>
          <w:tcPr>
            <w:tcW w:w="4457"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Deşeuri din construcţii şi demolări (3)</w:t>
            </w:r>
          </w:p>
        </w:tc>
        <w:tc>
          <w:tcPr>
            <w:tcW w:w="333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4210</w:t>
            </w:r>
          </w:p>
        </w:tc>
        <w:tc>
          <w:tcPr>
            <w:tcW w:w="204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6</w:t>
            </w:r>
          </w:p>
        </w:tc>
      </w:tr>
      <w:tr w:rsidR="00B07C47" w:rsidRPr="006C2DD6" w:rsidTr="004E444C">
        <w:trPr>
          <w:jc w:val="center"/>
        </w:trPr>
        <w:tc>
          <w:tcPr>
            <w:tcW w:w="4457"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Total</w:t>
            </w:r>
          </w:p>
        </w:tc>
        <w:tc>
          <w:tcPr>
            <w:tcW w:w="333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83010</w:t>
            </w:r>
          </w:p>
        </w:tc>
        <w:tc>
          <w:tcPr>
            <w:tcW w:w="204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100</w:t>
            </w:r>
          </w:p>
        </w:tc>
      </w:tr>
    </w:tbl>
    <w:p w:rsidR="00B07C47" w:rsidRPr="006C2DD6" w:rsidRDefault="00B07C47" w:rsidP="00B07C47">
      <w:pPr>
        <w:spacing w:after="0" w:line="240" w:lineRule="auto"/>
        <w:rPr>
          <w:rFonts w:ascii="Arial" w:hAnsi="Arial" w:cs="Arial"/>
          <w:b/>
          <w:sz w:val="24"/>
          <w:szCs w:val="24"/>
        </w:rPr>
      </w:pPr>
      <w:r w:rsidRPr="006C2DD6">
        <w:rPr>
          <w:rFonts w:ascii="Arial" w:hAnsi="Arial" w:cs="Arial"/>
          <w:i/>
          <w:sz w:val="24"/>
          <w:szCs w:val="24"/>
        </w:rPr>
        <w:t>Sursa</w:t>
      </w:r>
      <w:r w:rsidRPr="006C2DD6">
        <w:rPr>
          <w:rFonts w:ascii="Arial" w:hAnsi="Arial" w:cs="Arial"/>
          <w:i/>
          <w:sz w:val="24"/>
          <w:szCs w:val="24"/>
        </w:rPr>
        <w:sym w:font="Symbol" w:char="F03A"/>
      </w:r>
      <w:r w:rsidRPr="006C2DD6">
        <w:rPr>
          <w:rFonts w:ascii="Arial" w:hAnsi="Arial" w:cs="Arial"/>
          <w:i/>
          <w:sz w:val="24"/>
          <w:szCs w:val="24"/>
        </w:rPr>
        <w:t xml:space="preserve">  Baza de date SIM- SD- Statistica deşeurilor 2016</w:t>
      </w:r>
    </w:p>
    <w:p w:rsidR="00B07C47" w:rsidRPr="006C2DD6" w:rsidRDefault="00B07C47" w:rsidP="00B07C47">
      <w:pPr>
        <w:spacing w:after="0" w:line="240" w:lineRule="auto"/>
        <w:jc w:val="both"/>
        <w:rPr>
          <w:rFonts w:ascii="Arial" w:hAnsi="Arial" w:cs="Arial"/>
          <w:sz w:val="24"/>
          <w:szCs w:val="24"/>
          <w:highlight w:val="yellow"/>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Distribuţia cantităţilor de deşeuri menajere colectate în amestec de la populaţie şi agenţi economici este prezentată în tabelul VII.1.1.5.</w:t>
      </w: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Tabel VII.1.1.5 Deşeuri menajere colectate în amestec în anul 2016 (tone)</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820"/>
        <w:gridCol w:w="2560"/>
        <w:gridCol w:w="2468"/>
      </w:tblGrid>
      <w:tr w:rsidR="00B07C47" w:rsidRPr="006C2DD6" w:rsidTr="004E444C">
        <w:trPr>
          <w:jc w:val="center"/>
        </w:trPr>
        <w:tc>
          <w:tcPr>
            <w:tcW w:w="4820" w:type="dxa"/>
            <w:shd w:val="clear" w:color="auto" w:fill="EEECE1" w:themeFill="background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xml:space="preserve">Deşeuri menajere colectate în amestec </w:t>
            </w:r>
          </w:p>
        </w:tc>
        <w:tc>
          <w:tcPr>
            <w:tcW w:w="2560" w:type="dxa"/>
            <w:shd w:val="clear" w:color="auto" w:fill="EEECE1" w:themeFill="background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Cantitate colectată</w:t>
            </w:r>
          </w:p>
        </w:tc>
        <w:tc>
          <w:tcPr>
            <w:tcW w:w="2468" w:type="dxa"/>
            <w:shd w:val="clear" w:color="auto" w:fill="EEECE1" w:themeFill="background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Procent %</w:t>
            </w:r>
          </w:p>
        </w:tc>
      </w:tr>
      <w:tr w:rsidR="00B07C47" w:rsidRPr="006C2DD6" w:rsidTr="004E444C">
        <w:trPr>
          <w:jc w:val="center"/>
        </w:trPr>
        <w:tc>
          <w:tcPr>
            <w:tcW w:w="482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xml:space="preserve">Deşeuri menajere de la populaţie </w:t>
            </w:r>
          </w:p>
        </w:tc>
        <w:tc>
          <w:tcPr>
            <w:tcW w:w="256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50400</w:t>
            </w:r>
          </w:p>
        </w:tc>
        <w:tc>
          <w:tcPr>
            <w:tcW w:w="2468"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89</w:t>
            </w:r>
          </w:p>
        </w:tc>
      </w:tr>
      <w:tr w:rsidR="00B07C47" w:rsidRPr="006C2DD6" w:rsidTr="004E444C">
        <w:trPr>
          <w:jc w:val="center"/>
        </w:trPr>
        <w:tc>
          <w:tcPr>
            <w:tcW w:w="482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xml:space="preserve">Deşeuri menajere de la agenţii economici </w:t>
            </w:r>
          </w:p>
        </w:tc>
        <w:tc>
          <w:tcPr>
            <w:tcW w:w="256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6400</w:t>
            </w:r>
          </w:p>
        </w:tc>
        <w:tc>
          <w:tcPr>
            <w:tcW w:w="2468"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11</w:t>
            </w:r>
          </w:p>
        </w:tc>
      </w:tr>
      <w:tr w:rsidR="00B07C47" w:rsidRPr="006C2DD6" w:rsidTr="004E444C">
        <w:trPr>
          <w:jc w:val="center"/>
        </w:trPr>
        <w:tc>
          <w:tcPr>
            <w:tcW w:w="482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Total</w:t>
            </w:r>
          </w:p>
        </w:tc>
        <w:tc>
          <w:tcPr>
            <w:tcW w:w="256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56800</w:t>
            </w:r>
          </w:p>
        </w:tc>
        <w:tc>
          <w:tcPr>
            <w:tcW w:w="2468"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100</w:t>
            </w:r>
          </w:p>
        </w:tc>
      </w:tr>
    </w:tbl>
    <w:p w:rsidR="00B07C47" w:rsidRPr="006C2DD6" w:rsidRDefault="00B07C47" w:rsidP="00B07C47">
      <w:pPr>
        <w:spacing w:after="0" w:line="240" w:lineRule="auto"/>
        <w:rPr>
          <w:rFonts w:ascii="Arial" w:hAnsi="Arial" w:cs="Arial"/>
          <w:b/>
          <w:sz w:val="24"/>
          <w:szCs w:val="24"/>
        </w:rPr>
      </w:pPr>
      <w:r w:rsidRPr="006C2DD6">
        <w:rPr>
          <w:rFonts w:ascii="Arial" w:hAnsi="Arial" w:cs="Arial"/>
          <w:i/>
          <w:sz w:val="24"/>
          <w:szCs w:val="24"/>
        </w:rPr>
        <w:t>Sursa de date</w:t>
      </w:r>
      <w:r w:rsidRPr="006C2DD6">
        <w:rPr>
          <w:rFonts w:ascii="Arial" w:hAnsi="Arial" w:cs="Arial"/>
          <w:i/>
          <w:sz w:val="24"/>
          <w:szCs w:val="24"/>
        </w:rPr>
        <w:sym w:font="Symbol" w:char="F03A"/>
      </w:r>
      <w:r w:rsidRPr="006C2DD6">
        <w:rPr>
          <w:rFonts w:ascii="Arial" w:hAnsi="Arial" w:cs="Arial"/>
          <w:i/>
          <w:sz w:val="24"/>
          <w:szCs w:val="24"/>
        </w:rPr>
        <w:t xml:space="preserve">  Baza de date SIM- SD- Statistica deseurilor 2016</w:t>
      </w:r>
    </w:p>
    <w:p w:rsidR="00B07C47" w:rsidRPr="006C2DD6" w:rsidRDefault="00B07C47" w:rsidP="00B07C47">
      <w:pPr>
        <w:spacing w:after="0" w:line="240" w:lineRule="auto"/>
        <w:jc w:val="both"/>
        <w:rPr>
          <w:rFonts w:ascii="Arial" w:hAnsi="Arial" w:cs="Arial"/>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Cea mai mare parte a deşeurilor menajere colectate, aproximativ 88% provine de la populaţie.În municipiul Brăila colectarea deşeurilor menajere se efectuează în mod organizat prin intermediul a trei operatori de salubritate : S.C. ECO S.A., S.C. BRAI-CATA S.R.L., S.C. R.E.R. ECOLOGIC SERVICE S.R.L. care au în dotare următoarele mijloace de colectare şi transport al deşeurilor:</w:t>
      </w:r>
    </w:p>
    <w:p w:rsidR="00B07C47" w:rsidRPr="006C2DD6" w:rsidRDefault="00B07C47" w:rsidP="00EF3940">
      <w:pPr>
        <w:numPr>
          <w:ilvl w:val="0"/>
          <w:numId w:val="56"/>
        </w:numPr>
        <w:tabs>
          <w:tab w:val="clear" w:pos="720"/>
          <w:tab w:val="num" w:pos="567"/>
        </w:tabs>
        <w:spacing w:after="0" w:line="240" w:lineRule="auto"/>
        <w:ind w:left="567"/>
        <w:jc w:val="both"/>
        <w:rPr>
          <w:rFonts w:ascii="Arial" w:hAnsi="Arial" w:cs="Arial"/>
          <w:b/>
          <w:sz w:val="24"/>
          <w:szCs w:val="24"/>
        </w:rPr>
      </w:pPr>
      <w:r w:rsidRPr="006C2DD6">
        <w:rPr>
          <w:rFonts w:ascii="Arial" w:hAnsi="Arial" w:cs="Arial"/>
          <w:sz w:val="24"/>
          <w:szCs w:val="24"/>
        </w:rPr>
        <w:t xml:space="preserve">SC ECO SA – europubele </w:t>
      </w:r>
      <w:smartTag w:uri="urn:schemas-microsoft-com:office:smarttags" w:element="metricconverter">
        <w:smartTagPr>
          <w:attr w:name="ProductID" w:val="240 l"/>
        </w:smartTagPr>
        <w:r w:rsidRPr="006C2DD6">
          <w:rPr>
            <w:rFonts w:ascii="Arial" w:hAnsi="Arial" w:cs="Arial"/>
            <w:sz w:val="24"/>
            <w:szCs w:val="24"/>
          </w:rPr>
          <w:t>240 l</w:t>
        </w:r>
      </w:smartTag>
      <w:r w:rsidRPr="006C2DD6">
        <w:rPr>
          <w:rFonts w:ascii="Arial" w:hAnsi="Arial" w:cs="Arial"/>
          <w:sz w:val="24"/>
          <w:szCs w:val="24"/>
        </w:rPr>
        <w:t xml:space="preserve"> - 400 buc; Eurocontainer </w:t>
      </w:r>
      <w:smartTag w:uri="urn:schemas-microsoft-com:office:smarttags" w:element="metricconverter">
        <w:smartTagPr>
          <w:attr w:name="ProductID" w:val="1100 l"/>
        </w:smartTagPr>
        <w:r w:rsidRPr="006C2DD6">
          <w:rPr>
            <w:rFonts w:ascii="Arial" w:hAnsi="Arial" w:cs="Arial"/>
            <w:sz w:val="24"/>
            <w:szCs w:val="24"/>
          </w:rPr>
          <w:t>1100 l</w:t>
        </w:r>
      </w:smartTag>
      <w:r w:rsidRPr="006C2DD6">
        <w:rPr>
          <w:rFonts w:ascii="Arial" w:hAnsi="Arial" w:cs="Arial"/>
          <w:sz w:val="24"/>
          <w:szCs w:val="24"/>
        </w:rPr>
        <w:t xml:space="preserve"> – 140 buc; eurocontainer </w:t>
      </w:r>
      <w:smartTag w:uri="urn:schemas-microsoft-com:office:smarttags" w:element="metricconverter">
        <w:smartTagPr>
          <w:attr w:name="ProductID" w:val="3800 l"/>
        </w:smartTagPr>
        <w:r w:rsidRPr="006C2DD6">
          <w:rPr>
            <w:rFonts w:ascii="Arial" w:hAnsi="Arial" w:cs="Arial"/>
            <w:sz w:val="24"/>
            <w:szCs w:val="24"/>
          </w:rPr>
          <w:t>3800 l</w:t>
        </w:r>
      </w:smartTag>
      <w:r w:rsidRPr="006C2DD6">
        <w:rPr>
          <w:rFonts w:ascii="Arial" w:hAnsi="Arial" w:cs="Arial"/>
          <w:sz w:val="24"/>
          <w:szCs w:val="24"/>
        </w:rPr>
        <w:t xml:space="preserve"> – 70 buc; europubelă </w:t>
      </w:r>
      <w:smartTag w:uri="urn:schemas-microsoft-com:office:smarttags" w:element="metricconverter">
        <w:smartTagPr>
          <w:attr w:name="ProductID" w:val="1200 l"/>
        </w:smartTagPr>
        <w:r w:rsidRPr="006C2DD6">
          <w:rPr>
            <w:rFonts w:ascii="Arial" w:hAnsi="Arial" w:cs="Arial"/>
            <w:sz w:val="24"/>
            <w:szCs w:val="24"/>
          </w:rPr>
          <w:t>1200 l</w:t>
        </w:r>
      </w:smartTag>
      <w:r w:rsidRPr="006C2DD6">
        <w:rPr>
          <w:rFonts w:ascii="Arial" w:hAnsi="Arial" w:cs="Arial"/>
          <w:sz w:val="24"/>
          <w:szCs w:val="24"/>
        </w:rPr>
        <w:t xml:space="preserve"> – 180 buc; 30 containere tip iglu cu un volum de 1500 l, pentru colectarea selectivă; autogunoiere compactoare 10 m</w:t>
      </w:r>
      <w:r w:rsidRPr="006C2DD6">
        <w:rPr>
          <w:rFonts w:ascii="Arial" w:hAnsi="Arial" w:cs="Arial"/>
          <w:sz w:val="24"/>
          <w:szCs w:val="24"/>
          <w:vertAlign w:val="superscript"/>
        </w:rPr>
        <w:t>3</w:t>
      </w:r>
      <w:r w:rsidRPr="006C2DD6">
        <w:rPr>
          <w:rFonts w:ascii="Arial" w:hAnsi="Arial" w:cs="Arial"/>
          <w:sz w:val="24"/>
          <w:szCs w:val="24"/>
        </w:rPr>
        <w:t xml:space="preserve"> – 1 buc.; autogunoiere </w:t>
      </w:r>
      <w:r w:rsidRPr="006C2DD6">
        <w:rPr>
          <w:rFonts w:ascii="Arial" w:hAnsi="Arial" w:cs="Arial"/>
          <w:sz w:val="24"/>
          <w:szCs w:val="24"/>
        </w:rPr>
        <w:lastRenderedPageBreak/>
        <w:t>compactoare 8 m</w:t>
      </w:r>
      <w:r w:rsidRPr="006C2DD6">
        <w:rPr>
          <w:rFonts w:ascii="Arial" w:hAnsi="Arial" w:cs="Arial"/>
          <w:sz w:val="24"/>
          <w:szCs w:val="24"/>
          <w:vertAlign w:val="superscript"/>
        </w:rPr>
        <w:t>3</w:t>
      </w:r>
      <w:r w:rsidRPr="006C2DD6">
        <w:rPr>
          <w:rFonts w:ascii="Arial" w:hAnsi="Arial" w:cs="Arial"/>
          <w:sz w:val="24"/>
          <w:szCs w:val="24"/>
        </w:rPr>
        <w:t xml:space="preserve"> – 2 buc.; autogunoiere compactoare 12 m</w:t>
      </w:r>
      <w:r w:rsidRPr="006C2DD6">
        <w:rPr>
          <w:rFonts w:ascii="Arial" w:hAnsi="Arial" w:cs="Arial"/>
          <w:sz w:val="24"/>
          <w:szCs w:val="24"/>
          <w:vertAlign w:val="superscript"/>
        </w:rPr>
        <w:t>3</w:t>
      </w:r>
      <w:r w:rsidRPr="006C2DD6">
        <w:rPr>
          <w:rFonts w:ascii="Arial" w:hAnsi="Arial" w:cs="Arial"/>
          <w:sz w:val="24"/>
          <w:szCs w:val="24"/>
        </w:rPr>
        <w:t xml:space="preserve"> – 2 buc.; autogunoiere compactoare 14 m</w:t>
      </w:r>
      <w:r w:rsidRPr="006C2DD6">
        <w:rPr>
          <w:rFonts w:ascii="Arial" w:hAnsi="Arial" w:cs="Arial"/>
          <w:sz w:val="24"/>
          <w:szCs w:val="24"/>
          <w:vertAlign w:val="superscript"/>
        </w:rPr>
        <w:t>3</w:t>
      </w:r>
      <w:r w:rsidRPr="006C2DD6">
        <w:rPr>
          <w:rFonts w:ascii="Arial" w:hAnsi="Arial" w:cs="Arial"/>
          <w:sz w:val="24"/>
          <w:szCs w:val="24"/>
        </w:rPr>
        <w:t xml:space="preserve"> – 2  buc.; autotransportoare cu container 3,8 m</w:t>
      </w:r>
      <w:r w:rsidRPr="006C2DD6">
        <w:rPr>
          <w:rFonts w:ascii="Arial" w:hAnsi="Arial" w:cs="Arial"/>
          <w:sz w:val="24"/>
          <w:szCs w:val="24"/>
          <w:vertAlign w:val="superscript"/>
        </w:rPr>
        <w:t>3</w:t>
      </w:r>
      <w:r w:rsidRPr="006C2DD6">
        <w:rPr>
          <w:rFonts w:ascii="Arial" w:hAnsi="Arial" w:cs="Arial"/>
          <w:sz w:val="24"/>
          <w:szCs w:val="24"/>
        </w:rPr>
        <w:t xml:space="preserve"> -  1 buc.</w:t>
      </w:r>
    </w:p>
    <w:p w:rsidR="00B07C47" w:rsidRPr="006C2DD6" w:rsidRDefault="00B07C47" w:rsidP="00EF3940">
      <w:pPr>
        <w:numPr>
          <w:ilvl w:val="0"/>
          <w:numId w:val="56"/>
        </w:numPr>
        <w:tabs>
          <w:tab w:val="clear" w:pos="720"/>
          <w:tab w:val="num" w:pos="567"/>
        </w:tabs>
        <w:spacing w:after="0" w:line="240" w:lineRule="auto"/>
        <w:ind w:left="567"/>
        <w:jc w:val="both"/>
        <w:rPr>
          <w:rFonts w:ascii="Arial" w:hAnsi="Arial" w:cs="Arial"/>
          <w:b/>
          <w:sz w:val="24"/>
          <w:szCs w:val="24"/>
        </w:rPr>
      </w:pPr>
      <w:r w:rsidRPr="006C2DD6">
        <w:rPr>
          <w:rFonts w:ascii="Arial" w:hAnsi="Arial" w:cs="Arial"/>
          <w:sz w:val="24"/>
          <w:szCs w:val="24"/>
        </w:rPr>
        <w:t xml:space="preserve">SC BRAI -  CATA SRL – pubele </w:t>
      </w:r>
      <w:smartTag w:uri="urn:schemas-microsoft-com:office:smarttags" w:element="metricconverter">
        <w:smartTagPr>
          <w:attr w:name="ProductID" w:val="240 l"/>
        </w:smartTagPr>
        <w:r w:rsidRPr="006C2DD6">
          <w:rPr>
            <w:rFonts w:ascii="Arial" w:hAnsi="Arial" w:cs="Arial"/>
            <w:sz w:val="24"/>
            <w:szCs w:val="24"/>
          </w:rPr>
          <w:t>240 l</w:t>
        </w:r>
      </w:smartTag>
      <w:r w:rsidRPr="006C2DD6">
        <w:rPr>
          <w:rFonts w:ascii="Arial" w:hAnsi="Arial" w:cs="Arial"/>
          <w:sz w:val="24"/>
          <w:szCs w:val="24"/>
        </w:rPr>
        <w:t xml:space="preserve"> – 4850 buc; eurocontainere </w:t>
      </w:r>
      <w:smartTag w:uri="urn:schemas-microsoft-com:office:smarttags" w:element="metricconverter">
        <w:smartTagPr>
          <w:attr w:name="ProductID" w:val="1100 l"/>
        </w:smartTagPr>
        <w:r w:rsidRPr="006C2DD6">
          <w:rPr>
            <w:rFonts w:ascii="Arial" w:hAnsi="Arial" w:cs="Arial"/>
            <w:sz w:val="24"/>
            <w:szCs w:val="24"/>
          </w:rPr>
          <w:t>1100 l</w:t>
        </w:r>
      </w:smartTag>
      <w:r w:rsidRPr="006C2DD6">
        <w:rPr>
          <w:rFonts w:ascii="Arial" w:hAnsi="Arial" w:cs="Arial"/>
          <w:sz w:val="24"/>
          <w:szCs w:val="24"/>
        </w:rPr>
        <w:t xml:space="preserve"> – 21buc; container metalic de </w:t>
      </w:r>
      <w:smartTag w:uri="urn:schemas-microsoft-com:office:smarttags" w:element="metricconverter">
        <w:smartTagPr>
          <w:attr w:name="ProductID" w:val="1100 l"/>
        </w:smartTagPr>
        <w:r w:rsidRPr="006C2DD6">
          <w:rPr>
            <w:rFonts w:ascii="Arial" w:hAnsi="Arial" w:cs="Arial"/>
            <w:sz w:val="24"/>
            <w:szCs w:val="24"/>
          </w:rPr>
          <w:t>1100 l</w:t>
        </w:r>
      </w:smartTag>
      <w:r w:rsidRPr="006C2DD6">
        <w:rPr>
          <w:rFonts w:ascii="Arial" w:hAnsi="Arial" w:cs="Arial"/>
          <w:sz w:val="24"/>
          <w:szCs w:val="24"/>
        </w:rPr>
        <w:t xml:space="preserve"> – 275 buc; container metalic de </w:t>
      </w:r>
      <w:smartTag w:uri="urn:schemas-microsoft-com:office:smarttags" w:element="metricconverter">
        <w:smartTagPr>
          <w:attr w:name="ProductID" w:val="4000 l"/>
        </w:smartTagPr>
        <w:r w:rsidRPr="006C2DD6">
          <w:rPr>
            <w:rFonts w:ascii="Arial" w:hAnsi="Arial" w:cs="Arial"/>
            <w:sz w:val="24"/>
            <w:szCs w:val="24"/>
          </w:rPr>
          <w:t>4000 l</w:t>
        </w:r>
      </w:smartTag>
      <w:r w:rsidRPr="006C2DD6">
        <w:rPr>
          <w:rFonts w:ascii="Arial" w:hAnsi="Arial" w:cs="Arial"/>
          <w:sz w:val="24"/>
          <w:szCs w:val="24"/>
        </w:rPr>
        <w:t xml:space="preserve"> – 27 buc.; pentru colectarea selectivă 90 containere tip clopot, cu un volum de </w:t>
      </w:r>
      <w:smartTag w:uri="urn:schemas-microsoft-com:office:smarttags" w:element="metricconverter">
        <w:smartTagPr>
          <w:attr w:name="ProductID" w:val="2500 l"/>
        </w:smartTagPr>
        <w:r w:rsidRPr="006C2DD6">
          <w:rPr>
            <w:rFonts w:ascii="Arial" w:hAnsi="Arial" w:cs="Arial"/>
            <w:sz w:val="24"/>
            <w:szCs w:val="24"/>
          </w:rPr>
          <w:t>2500 l</w:t>
        </w:r>
      </w:smartTag>
      <w:r w:rsidRPr="006C2DD6">
        <w:rPr>
          <w:rFonts w:ascii="Arial" w:hAnsi="Arial" w:cs="Arial"/>
          <w:sz w:val="24"/>
          <w:szCs w:val="24"/>
        </w:rPr>
        <w:t xml:space="preserve"> pentru fiecare container;  autogunoiere - 12 buc cu o capacitate de 15 m</w:t>
      </w:r>
      <w:r w:rsidRPr="006C2DD6">
        <w:rPr>
          <w:rFonts w:ascii="Arial" w:hAnsi="Arial" w:cs="Arial"/>
          <w:sz w:val="24"/>
          <w:szCs w:val="24"/>
          <w:vertAlign w:val="superscript"/>
        </w:rPr>
        <w:t>3</w:t>
      </w:r>
      <w:r w:rsidRPr="006C2DD6">
        <w:rPr>
          <w:rFonts w:ascii="Arial" w:hAnsi="Arial" w:cs="Arial"/>
          <w:sz w:val="24"/>
          <w:szCs w:val="24"/>
        </w:rPr>
        <w:t>; autotransportoare 1 buc;</w:t>
      </w:r>
    </w:p>
    <w:p w:rsidR="00B07C47" w:rsidRPr="006C2DD6" w:rsidRDefault="00B07C47" w:rsidP="00EF3940">
      <w:pPr>
        <w:numPr>
          <w:ilvl w:val="0"/>
          <w:numId w:val="56"/>
        </w:numPr>
        <w:tabs>
          <w:tab w:val="clear" w:pos="720"/>
          <w:tab w:val="num" w:pos="567"/>
        </w:tabs>
        <w:spacing w:after="0" w:line="240" w:lineRule="auto"/>
        <w:ind w:left="567"/>
        <w:jc w:val="both"/>
        <w:rPr>
          <w:rFonts w:ascii="Arial" w:hAnsi="Arial" w:cs="Arial"/>
          <w:b/>
          <w:sz w:val="24"/>
          <w:szCs w:val="24"/>
        </w:rPr>
      </w:pPr>
      <w:r w:rsidRPr="006C2DD6">
        <w:rPr>
          <w:rFonts w:ascii="Arial" w:hAnsi="Arial" w:cs="Arial"/>
          <w:sz w:val="24"/>
          <w:szCs w:val="24"/>
        </w:rPr>
        <w:t xml:space="preserve">SC RER ECOLOGIC SERVICES SRL - europubele </w:t>
      </w:r>
      <w:smartTag w:uri="urn:schemas-microsoft-com:office:smarttags" w:element="metricconverter">
        <w:smartTagPr>
          <w:attr w:name="ProductID" w:val="240 l"/>
        </w:smartTagPr>
        <w:r w:rsidRPr="006C2DD6">
          <w:rPr>
            <w:rFonts w:ascii="Arial" w:hAnsi="Arial" w:cs="Arial"/>
            <w:sz w:val="24"/>
            <w:szCs w:val="24"/>
          </w:rPr>
          <w:t>240 l</w:t>
        </w:r>
      </w:smartTag>
      <w:r w:rsidRPr="006C2DD6">
        <w:rPr>
          <w:rFonts w:ascii="Arial" w:hAnsi="Arial" w:cs="Arial"/>
          <w:sz w:val="24"/>
          <w:szCs w:val="24"/>
        </w:rPr>
        <w:t xml:space="preserve"> – 216 buc; eurocontainere din metal </w:t>
      </w:r>
      <w:smartTag w:uri="urn:schemas-microsoft-com:office:smarttags" w:element="metricconverter">
        <w:smartTagPr>
          <w:attr w:name="ProductID" w:val="1100 l"/>
        </w:smartTagPr>
        <w:r w:rsidRPr="006C2DD6">
          <w:rPr>
            <w:rFonts w:ascii="Arial" w:hAnsi="Arial" w:cs="Arial"/>
            <w:sz w:val="24"/>
            <w:szCs w:val="24"/>
          </w:rPr>
          <w:t>1100 l</w:t>
        </w:r>
      </w:smartTag>
      <w:r w:rsidRPr="006C2DD6">
        <w:rPr>
          <w:rFonts w:ascii="Arial" w:hAnsi="Arial" w:cs="Arial"/>
          <w:sz w:val="24"/>
          <w:szCs w:val="24"/>
        </w:rPr>
        <w:t xml:space="preserve"> - 104 buc; eurocontainer din plastic </w:t>
      </w:r>
      <w:smartTag w:uri="urn:schemas-microsoft-com:office:smarttags" w:element="metricconverter">
        <w:smartTagPr>
          <w:attr w:name="ProductID" w:val="1100 l"/>
        </w:smartTagPr>
        <w:r w:rsidRPr="006C2DD6">
          <w:rPr>
            <w:rFonts w:ascii="Arial" w:hAnsi="Arial" w:cs="Arial"/>
            <w:sz w:val="24"/>
            <w:szCs w:val="24"/>
          </w:rPr>
          <w:t>1100 l</w:t>
        </w:r>
      </w:smartTag>
      <w:r w:rsidRPr="006C2DD6">
        <w:rPr>
          <w:rFonts w:ascii="Arial" w:hAnsi="Arial" w:cs="Arial"/>
          <w:sz w:val="24"/>
          <w:szCs w:val="24"/>
        </w:rPr>
        <w:t xml:space="preserve"> – 129 buc; container de </w:t>
      </w:r>
      <w:smartTag w:uri="urn:schemas-microsoft-com:office:smarttags" w:element="metricconverter">
        <w:smartTagPr>
          <w:attr w:name="ProductID" w:val="7000 l"/>
        </w:smartTagPr>
        <w:r w:rsidRPr="006C2DD6">
          <w:rPr>
            <w:rFonts w:ascii="Arial" w:hAnsi="Arial" w:cs="Arial"/>
            <w:sz w:val="24"/>
            <w:szCs w:val="24"/>
          </w:rPr>
          <w:t>7000 l</w:t>
        </w:r>
      </w:smartTag>
      <w:r w:rsidRPr="006C2DD6">
        <w:rPr>
          <w:rFonts w:ascii="Arial" w:hAnsi="Arial" w:cs="Arial"/>
          <w:sz w:val="24"/>
          <w:szCs w:val="24"/>
        </w:rPr>
        <w:t xml:space="preserve"> – 10 buc; container de 1800 l – 10 buc; container de 2400 l – 2 buc; autogunoiere 6 buc; autotransportoare cu container 7 mc -  1 buc.; îcărcător frontal – 2 buc.</w:t>
      </w:r>
    </w:p>
    <w:p w:rsidR="00B07C47" w:rsidRPr="006C2DD6" w:rsidRDefault="00B07C47" w:rsidP="00B07C47">
      <w:pPr>
        <w:spacing w:after="0" w:line="240" w:lineRule="auto"/>
        <w:jc w:val="both"/>
        <w:rPr>
          <w:rFonts w:ascii="Arial" w:hAnsi="Arial" w:cs="Arial"/>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oraşele Ianca şi Însurăţei colectarea şi transportul deşeurilor de la populaţie se realizează prin Direcţia Serviciilor Publice Ianca şi respectiv Serviciul Public Local de Salubritate Însurăţei. În oraşul Făurei, aceste servicii sunt prestate de SC Faursal Serv SRL Făurei (prin contract de delegare gestiune)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La nivelul anului 2015, 33 comune din judetul Brăila au incheiate contracte de servicii de delegare a gestiunii serviciului de salubrizare.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celelalte localităţi din mediul rural, datorită faptului că în iulie 2009 au fost închise toate platformele neorganizate unde se depozita gunoiul menajer, a apărut necesitatea identificării unei soluţii pentru colectarea deşeurilor, până la punerea în funcţiune a sistemului judeţean de management integrat al deşeurilor (SMID).</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În acest sens, de la sfârşitul anului 2010 s-au amenajat 8 puncte de colectare zonale  (tabel VII.1.1.5 ) la care sunt arondate câte 2 până la 9 comune.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Colectarea deşeurilor menajere şi transportul până la punctul de colectare se organizează de către fiecare Unitate Administrativ Teritorială în parte. Astfel colectarea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Deşeurile menajere colectate în saci de plastic de la gospodăriile din localităţile rurale sunt transportate la punctele de colectare, unde sunt stocate temporar în containere metalice de mare capacitate (32 mc / 11 t). Transportul este realizat cu ajutorul unui cap tractor cu sistem de încărcare – descărcare – basculare cu cârlig echipat cu containere metalice de capacitate mare.După umplere containerele sunt transportate de către S.C. RECORWOOD S.R.L. (prin contract de delegare a gestiunii prin concesiune a serviciului de transport încheiat cu ADI  ECO DUNĂREA" Brăila) la depozitul Muchea pentru eliminare. Containerele vor fi integrate ulterior în sistemul noilor investiţii şi vor deservi localităţile din Insula Mare a Brăilei precum şi municipiul Brăila pentru deşeurile din parcuri şi grădini care vor fi compostate. SC RER ECOLOGIC SERVICES SRL deține contract de prestări servicii în ceea ce privește colectarea și transportul deșeurilor menaje cu 3 comune din județ - Vădeni, Ciscani și Cazasu.</w:t>
      </w:r>
    </w:p>
    <w:p w:rsidR="00B07C47" w:rsidRPr="006C2DD6" w:rsidRDefault="00B07C47" w:rsidP="00B07C47">
      <w:pPr>
        <w:spacing w:after="0" w:line="240" w:lineRule="auto"/>
        <w:ind w:firstLine="708"/>
        <w:jc w:val="both"/>
        <w:rPr>
          <w:rFonts w:ascii="Arial" w:hAnsi="Arial" w:cs="Arial"/>
          <w:b/>
          <w:sz w:val="24"/>
          <w:szCs w:val="24"/>
        </w:rPr>
      </w:pPr>
      <w:r w:rsidRPr="006C2DD6">
        <w:rPr>
          <w:rFonts w:ascii="Arial" w:hAnsi="Arial" w:cs="Arial"/>
          <w:sz w:val="24"/>
          <w:szCs w:val="24"/>
        </w:rPr>
        <w:t>Soluţia implementată a fost dimensionată astfel încât să asigure un grad de acoperire cu servicii de salubritate de 100% în mediul rural, dar cu caracter temporar, reprezentand o soluţie de tranziţie până la darea în exploatare a investiţiilor SMID proiectate.</w:t>
      </w:r>
    </w:p>
    <w:p w:rsidR="00B07C47" w:rsidRPr="006C2DD6" w:rsidRDefault="00B07C47" w:rsidP="00B07C47">
      <w:pPr>
        <w:spacing w:after="0" w:line="240" w:lineRule="auto"/>
        <w:jc w:val="both"/>
        <w:rPr>
          <w:rFonts w:ascii="Arial" w:hAnsi="Arial" w:cs="Arial"/>
          <w:b/>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Tabel VII.1.1.6 Rețeaua de puncte de colectare a deşeurilor menajere din mediul rural în anul 2014</w:t>
      </w:r>
    </w:p>
    <w:p w:rsidR="00B07C47" w:rsidRPr="006C2DD6" w:rsidRDefault="00B07C47" w:rsidP="00B07C47">
      <w:pPr>
        <w:spacing w:after="0" w:line="240" w:lineRule="auto"/>
        <w:rPr>
          <w:rFonts w:ascii="Arial" w:hAnsi="Arial" w:cs="Arial"/>
          <w:sz w:val="24"/>
          <w:szCs w:val="24"/>
          <w:highlight w:val="yellow"/>
        </w:rPr>
      </w:pP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550"/>
        <w:gridCol w:w="1882"/>
        <w:gridCol w:w="4253"/>
        <w:gridCol w:w="1903"/>
        <w:gridCol w:w="1705"/>
      </w:tblGrid>
      <w:tr w:rsidR="00B07C47" w:rsidRPr="006C2DD6" w:rsidTr="004E444C">
        <w:tc>
          <w:tcPr>
            <w:tcW w:w="550" w:type="dxa"/>
            <w:shd w:val="clear" w:color="auto" w:fill="F2F2F2" w:themeFill="background1" w:themeFillShade="F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Nr.</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crt.</w:t>
            </w:r>
          </w:p>
        </w:tc>
        <w:tc>
          <w:tcPr>
            <w:tcW w:w="1882" w:type="dxa"/>
            <w:shd w:val="clear" w:color="auto" w:fill="F2F2F2" w:themeFill="background1" w:themeFillShade="F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Punctul de</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colectare</w:t>
            </w:r>
          </w:p>
        </w:tc>
        <w:tc>
          <w:tcPr>
            <w:tcW w:w="4253" w:type="dxa"/>
            <w:shd w:val="clear" w:color="auto" w:fill="F2F2F2" w:themeFill="background1" w:themeFillShade="F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Localități arondate</w:t>
            </w:r>
          </w:p>
        </w:tc>
        <w:tc>
          <w:tcPr>
            <w:tcW w:w="1903" w:type="dxa"/>
            <w:shd w:val="clear" w:color="auto" w:fill="F2F2F2" w:themeFill="background1" w:themeFillShade="F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Distanţa de la punctul de colectare la depozit Muchea(km)</w:t>
            </w:r>
          </w:p>
        </w:tc>
        <w:tc>
          <w:tcPr>
            <w:tcW w:w="1705" w:type="dxa"/>
            <w:shd w:val="clear" w:color="auto" w:fill="F2F2F2" w:themeFill="background1" w:themeFillShade="F2"/>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Numărul de</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locuitori</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deserviți</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Vădeni</w:t>
            </w:r>
          </w:p>
        </w:tc>
        <w:tc>
          <w:tcPr>
            <w:tcW w:w="4253"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Vădeni</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25</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3841</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Chiscani</w:t>
            </w:r>
          </w:p>
        </w:tc>
        <w:tc>
          <w:tcPr>
            <w:tcW w:w="4253"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Chiscani, Lacu Sărat, Vărsătura</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20</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5364</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3.</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Cazasu</w:t>
            </w:r>
          </w:p>
        </w:tc>
        <w:tc>
          <w:tcPr>
            <w:tcW w:w="4253"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Cazasu</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10</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3109</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Bărăganu</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 xml:space="preserve">Bărăganu, Victoria, Roșiori, Dudești, </w:t>
            </w:r>
            <w:r w:rsidRPr="006C2DD6">
              <w:rPr>
                <w:rFonts w:ascii="Arial" w:hAnsi="Arial" w:cs="Arial"/>
                <w:sz w:val="24"/>
                <w:szCs w:val="24"/>
              </w:rPr>
              <w:lastRenderedPageBreak/>
              <w:t>Ciocile</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lastRenderedPageBreak/>
              <w:t>80</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15227</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lastRenderedPageBreak/>
              <w:t>2.</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Cireșu</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Cireșu, Ulmu. Zăvoaia</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107</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9520</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3.</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Jirlău</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Jirlău, Galbenu, Vișani</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97</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8299</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4.</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Măxineni</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Măxineni, Salcia Tudor, Scorțaru Nou, Frecăței, Mărașu, Grădiștea, Racovița, Romanu, Gemenele</w:t>
            </w:r>
          </w:p>
        </w:tc>
        <w:tc>
          <w:tcPr>
            <w:tcW w:w="1903" w:type="dxa"/>
          </w:tcPr>
          <w:p w:rsidR="00B07C47" w:rsidRPr="006C2DD6" w:rsidRDefault="00B07C47" w:rsidP="004E444C">
            <w:pPr>
              <w:spacing w:after="0" w:line="240" w:lineRule="auto"/>
              <w:jc w:val="center"/>
              <w:rPr>
                <w:rFonts w:ascii="Arial" w:hAnsi="Arial" w:cs="Arial"/>
                <w:sz w:val="20"/>
              </w:rPr>
            </w:pPr>
          </w:p>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18</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p>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17670</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5.</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Movila Miresii</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Movila Miresii, Râmnicelu, Tudor Vladimirescu, Șuțești</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38</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12232</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6.</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Surdila Găiseanca</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Surdila Găiseanca. Mircea Vodă</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60</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5397</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7.</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Traian</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Traian, Unirea, Bordei Verde</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35</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8010</w:t>
            </w:r>
          </w:p>
        </w:tc>
      </w:tr>
      <w:tr w:rsidR="00B07C47" w:rsidRPr="006C2DD6" w:rsidTr="004E444C">
        <w:tc>
          <w:tcPr>
            <w:tcW w:w="550"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8.</w:t>
            </w:r>
          </w:p>
        </w:tc>
        <w:tc>
          <w:tcPr>
            <w:tcW w:w="1882"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Tufești</w:t>
            </w:r>
          </w:p>
        </w:tc>
        <w:tc>
          <w:tcPr>
            <w:tcW w:w="4253" w:type="dxa"/>
          </w:tcPr>
          <w:p w:rsidR="00B07C47" w:rsidRPr="006C2DD6" w:rsidRDefault="00B07C47" w:rsidP="004E444C">
            <w:pPr>
              <w:spacing w:after="0" w:line="240" w:lineRule="auto"/>
              <w:jc w:val="both"/>
              <w:rPr>
                <w:rFonts w:ascii="Arial" w:hAnsi="Arial" w:cs="Arial"/>
                <w:sz w:val="24"/>
                <w:szCs w:val="24"/>
              </w:rPr>
            </w:pPr>
            <w:r w:rsidRPr="006C2DD6">
              <w:rPr>
                <w:rFonts w:ascii="Arial" w:hAnsi="Arial" w:cs="Arial"/>
                <w:sz w:val="24"/>
                <w:szCs w:val="24"/>
              </w:rPr>
              <w:t>Tufești, Viziru, Stăncuța, Berteștii de Jos, Tichilești, Gropeni</w:t>
            </w:r>
          </w:p>
        </w:tc>
        <w:tc>
          <w:tcPr>
            <w:tcW w:w="1903" w:type="dxa"/>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50</w:t>
            </w:r>
          </w:p>
        </w:tc>
        <w:tc>
          <w:tcPr>
            <w:tcW w:w="1705" w:type="dxa"/>
            <w:shd w:val="clear" w:color="auto" w:fill="auto"/>
          </w:tcPr>
          <w:p w:rsidR="00B07C47" w:rsidRPr="006C2DD6" w:rsidRDefault="00B07C47" w:rsidP="004E444C">
            <w:pPr>
              <w:spacing w:after="0" w:line="240" w:lineRule="auto"/>
              <w:jc w:val="center"/>
              <w:rPr>
                <w:rFonts w:ascii="Arial" w:hAnsi="Arial" w:cs="Arial"/>
                <w:sz w:val="20"/>
              </w:rPr>
            </w:pPr>
            <w:r w:rsidRPr="006C2DD6">
              <w:rPr>
                <w:rFonts w:ascii="Arial" w:hAnsi="Arial" w:cs="Arial"/>
                <w:sz w:val="20"/>
              </w:rPr>
              <w:t>23831</w:t>
            </w:r>
          </w:p>
        </w:tc>
      </w:tr>
    </w:tbl>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spacing w:after="0" w:line="240" w:lineRule="auto"/>
        <w:rPr>
          <w:rFonts w:ascii="Arial" w:hAnsi="Arial" w:cs="Arial"/>
          <w:b/>
          <w:sz w:val="24"/>
          <w:szCs w:val="24"/>
          <w:highlight w:val="yellow"/>
        </w:rPr>
      </w:pPr>
    </w:p>
    <w:p w:rsidR="00B07C47" w:rsidRPr="006C2DD6" w:rsidRDefault="00B07C47" w:rsidP="00B07C47">
      <w:pPr>
        <w:spacing w:after="0" w:line="240" w:lineRule="auto"/>
        <w:rPr>
          <w:rFonts w:ascii="Arial" w:hAnsi="Arial" w:cs="Arial"/>
          <w:b/>
          <w:sz w:val="24"/>
          <w:szCs w:val="24"/>
          <w:highlight w:val="yellow"/>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Tabel VII.1.1.7 Evoluția cantităților de deșeuri menajere și asimilabile colectate în județul Brăila în perioada 2019-2016</w:t>
      </w:r>
    </w:p>
    <w:p w:rsidR="00B07C47" w:rsidRPr="006C2DD6" w:rsidRDefault="00B07C47" w:rsidP="00B07C47">
      <w:pPr>
        <w:spacing w:after="0" w:line="240" w:lineRule="auto"/>
        <w:rPr>
          <w:rFonts w:ascii="Arial" w:hAnsi="Arial" w:cs="Arial"/>
          <w:sz w:val="24"/>
          <w:szCs w:val="24"/>
        </w:rPr>
      </w:pP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882"/>
        <w:gridCol w:w="4253"/>
        <w:gridCol w:w="1903"/>
        <w:gridCol w:w="1705"/>
      </w:tblGrid>
      <w:tr w:rsidR="00B07C47" w:rsidRPr="006C2DD6" w:rsidTr="004E444C">
        <w:tc>
          <w:tcPr>
            <w:tcW w:w="1882" w:type="dxa"/>
            <w:shd w:val="clear" w:color="auto" w:fill="D9D9D9" w:themeFill="background1" w:themeFillShade="D9"/>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anul</w:t>
            </w:r>
          </w:p>
        </w:tc>
        <w:tc>
          <w:tcPr>
            <w:tcW w:w="4253" w:type="dxa"/>
            <w:shd w:val="clear" w:color="auto" w:fill="D9D9D9" w:themeFill="background1" w:themeFillShade="D9"/>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T O T A L</w:t>
            </w:r>
          </w:p>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[tone]</w:t>
            </w:r>
          </w:p>
        </w:tc>
        <w:tc>
          <w:tcPr>
            <w:tcW w:w="1903" w:type="dxa"/>
            <w:shd w:val="clear" w:color="auto" w:fill="D9D9D9" w:themeFill="background1" w:themeFillShade="D9"/>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URBAN</w:t>
            </w:r>
          </w:p>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[tone]</w:t>
            </w:r>
          </w:p>
        </w:tc>
        <w:tc>
          <w:tcPr>
            <w:tcW w:w="1705" w:type="dxa"/>
            <w:shd w:val="clear" w:color="auto" w:fill="D9D9D9" w:themeFill="background1" w:themeFillShade="D9"/>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RURAL</w:t>
            </w:r>
          </w:p>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[tone]</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2009</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48570,00</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48570,00</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0,00</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2010</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59488,30</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55789,30</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3699,00</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2011</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50712,50</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46294,50</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4418,00</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2012</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49271,00</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46846,00</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2425,00</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2013</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53807,00</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49656,21</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4150,82</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2014</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49504,33</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44322,25</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5182.08</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2015</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55960,54</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50135,42</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5825,12</w:t>
            </w:r>
          </w:p>
        </w:tc>
      </w:tr>
      <w:tr w:rsidR="00B07C47" w:rsidRPr="006C2DD6" w:rsidTr="004E444C">
        <w:tc>
          <w:tcPr>
            <w:tcW w:w="1882"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2016</w:t>
            </w:r>
          </w:p>
        </w:tc>
        <w:tc>
          <w:tcPr>
            <w:tcW w:w="425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59823,15</w:t>
            </w:r>
          </w:p>
        </w:tc>
        <w:tc>
          <w:tcPr>
            <w:tcW w:w="1903" w:type="dxa"/>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53302,77</w:t>
            </w:r>
          </w:p>
        </w:tc>
        <w:tc>
          <w:tcPr>
            <w:tcW w:w="1705" w:type="dxa"/>
            <w:shd w:val="clear" w:color="auto" w:fill="auto"/>
          </w:tcPr>
          <w:p w:rsidR="00B07C47" w:rsidRPr="006C2DD6" w:rsidRDefault="00B07C47" w:rsidP="004E444C">
            <w:pPr>
              <w:pStyle w:val="Default"/>
              <w:jc w:val="center"/>
              <w:rPr>
                <w:rFonts w:ascii="Arial" w:hAnsi="Arial" w:cs="Arial"/>
                <w:bCs/>
                <w:color w:val="auto"/>
              </w:rPr>
            </w:pPr>
            <w:r w:rsidRPr="006C2DD6">
              <w:rPr>
                <w:rFonts w:ascii="Arial" w:hAnsi="Arial" w:cs="Arial"/>
                <w:bCs/>
                <w:color w:val="auto"/>
              </w:rPr>
              <w:t>6520,38</w:t>
            </w:r>
          </w:p>
        </w:tc>
      </w:tr>
    </w:tbl>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Fig VII.1.1.7 Evoluția cantităților de deșeuri menajere și asimilabile colectate în județul Brăila în perioada 2009-201</w:t>
      </w:r>
      <w:r>
        <w:rPr>
          <w:rFonts w:ascii="Arial" w:hAnsi="Arial" w:cs="Arial"/>
          <w:sz w:val="24"/>
          <w:szCs w:val="24"/>
        </w:rPr>
        <w:t>6</w:t>
      </w:r>
    </w:p>
    <w:p w:rsidR="00B07C47" w:rsidRPr="006C2DD6" w:rsidRDefault="00B07C47" w:rsidP="00B07C47">
      <w:pPr>
        <w:jc w:val="center"/>
        <w:rPr>
          <w:highlight w:val="yellow"/>
        </w:rPr>
      </w:pPr>
      <w:r w:rsidRPr="006C2DD6">
        <w:rPr>
          <w:noProof/>
          <w:highlight w:val="yellow"/>
        </w:rPr>
        <w:drawing>
          <wp:inline distT="0" distB="0" distL="0" distR="0">
            <wp:extent cx="5410200" cy="3381375"/>
            <wp:effectExtent l="0" t="0" r="0" b="0"/>
            <wp:docPr id="4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07C47" w:rsidRPr="006C2DD6" w:rsidRDefault="00B07C47" w:rsidP="00B07C47">
      <w:pPr>
        <w:rPr>
          <w:highlight w:val="yellow"/>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Tabel VII.1.1.8 Evoluția cantităților de deșeuri provenite din servicii municipale în perioada 2009-2014</w:t>
      </w:r>
    </w:p>
    <w:tbl>
      <w:tblPr>
        <w:tblW w:w="0" w:type="auto"/>
        <w:jc w:val="center"/>
        <w:tblInd w:w="15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2126"/>
        <w:gridCol w:w="3827"/>
      </w:tblGrid>
      <w:tr w:rsidR="00B07C47" w:rsidRPr="006C2DD6" w:rsidTr="004E444C">
        <w:trPr>
          <w:jc w:val="center"/>
        </w:trPr>
        <w:tc>
          <w:tcPr>
            <w:tcW w:w="2126" w:type="dxa"/>
            <w:shd w:val="clear" w:color="auto" w:fill="EEECE1" w:themeFill="background2"/>
          </w:tcPr>
          <w:p w:rsidR="00B07C47" w:rsidRPr="006C2DD6" w:rsidRDefault="00B07C47" w:rsidP="004E444C">
            <w:pPr>
              <w:spacing w:after="0" w:line="240" w:lineRule="auto"/>
              <w:jc w:val="center"/>
              <w:rPr>
                <w:rFonts w:ascii="Arial" w:hAnsi="Arial" w:cs="Arial"/>
                <w:b/>
                <w:caps/>
                <w:sz w:val="24"/>
                <w:szCs w:val="24"/>
              </w:rPr>
            </w:pPr>
            <w:r w:rsidRPr="006C2DD6">
              <w:rPr>
                <w:rFonts w:ascii="Arial" w:hAnsi="Arial" w:cs="Arial"/>
                <w:caps/>
                <w:sz w:val="24"/>
                <w:szCs w:val="24"/>
              </w:rPr>
              <w:t>anul</w:t>
            </w:r>
          </w:p>
        </w:tc>
        <w:tc>
          <w:tcPr>
            <w:tcW w:w="3827" w:type="dxa"/>
            <w:shd w:val="clear" w:color="auto" w:fill="EEECE1" w:themeFill="background2"/>
          </w:tcPr>
          <w:p w:rsidR="00B07C47" w:rsidRPr="006C2DD6" w:rsidRDefault="00B07C47" w:rsidP="004E444C">
            <w:pPr>
              <w:spacing w:after="0" w:line="240" w:lineRule="auto"/>
              <w:jc w:val="center"/>
              <w:rPr>
                <w:rFonts w:ascii="Arial" w:hAnsi="Arial" w:cs="Arial"/>
                <w:b/>
                <w:bCs/>
                <w:sz w:val="24"/>
                <w:szCs w:val="24"/>
              </w:rPr>
            </w:pPr>
            <w:r w:rsidRPr="006C2DD6">
              <w:rPr>
                <w:rFonts w:ascii="Arial" w:hAnsi="Arial" w:cs="Arial"/>
                <w:bCs/>
                <w:sz w:val="24"/>
                <w:szCs w:val="24"/>
              </w:rPr>
              <w:t>T O T A L</w:t>
            </w:r>
          </w:p>
          <w:p w:rsidR="00B07C47" w:rsidRPr="006C2DD6" w:rsidRDefault="00B07C47" w:rsidP="004E444C">
            <w:pPr>
              <w:spacing w:after="0" w:line="240" w:lineRule="auto"/>
              <w:jc w:val="center"/>
              <w:rPr>
                <w:rFonts w:ascii="Arial" w:hAnsi="Arial" w:cs="Arial"/>
                <w:b/>
                <w:caps/>
                <w:sz w:val="24"/>
                <w:szCs w:val="24"/>
              </w:rPr>
            </w:pPr>
            <w:r w:rsidRPr="006C2DD6">
              <w:rPr>
                <w:rFonts w:ascii="Arial" w:hAnsi="Arial" w:cs="Arial"/>
                <w:sz w:val="24"/>
                <w:szCs w:val="24"/>
              </w:rPr>
              <w:t>[tone]</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2009</w:t>
            </w:r>
          </w:p>
        </w:tc>
        <w:tc>
          <w:tcPr>
            <w:tcW w:w="3827"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18089</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3827"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14279</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3827"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14072</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3827"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16711</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3827" w:type="dxa"/>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18827</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3827" w:type="dxa"/>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18595</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c>
          <w:tcPr>
            <w:tcW w:w="3827"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19590</w:t>
            </w:r>
          </w:p>
        </w:tc>
      </w:tr>
      <w:tr w:rsidR="00B07C47" w:rsidRPr="006C2DD6" w:rsidTr="004E444C">
        <w:trPr>
          <w:jc w:val="center"/>
        </w:trPr>
        <w:tc>
          <w:tcPr>
            <w:tcW w:w="2126"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c>
          <w:tcPr>
            <w:tcW w:w="3827"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22010</w:t>
            </w:r>
          </w:p>
        </w:tc>
      </w:tr>
    </w:tbl>
    <w:p w:rsidR="00B07C47" w:rsidRPr="006C2DD6" w:rsidRDefault="00B07C47" w:rsidP="00B07C47">
      <w:pPr>
        <w:autoSpaceDE w:val="0"/>
        <w:autoSpaceDN w:val="0"/>
        <w:adjustRightInd w:val="0"/>
        <w:spacing w:after="0" w:line="240" w:lineRule="auto"/>
        <w:ind w:firstLine="737"/>
        <w:jc w:val="both"/>
        <w:rPr>
          <w:rFonts w:ascii="Arial" w:hAnsi="Arial" w:cs="Arial"/>
          <w:sz w:val="24"/>
          <w:szCs w:val="24"/>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Fig. VII.1.1.8 Evoluția cantităților de deșeuri provenite din servicii municipale</w:t>
      </w:r>
    </w:p>
    <w:p w:rsidR="00B07C47" w:rsidRPr="006C2DD6" w:rsidRDefault="00B07C47" w:rsidP="00B07C47">
      <w:pPr>
        <w:rPr>
          <w:rFonts w:ascii="Arial" w:hAnsi="Arial" w:cs="Arial"/>
          <w:b/>
          <w:sz w:val="20"/>
        </w:rPr>
      </w:pPr>
    </w:p>
    <w:p w:rsidR="00B07C47" w:rsidRPr="006C2DD6" w:rsidRDefault="00B07C47" w:rsidP="00B07C47">
      <w:pPr>
        <w:jc w:val="center"/>
        <w:rPr>
          <w:rFonts w:ascii="Arial" w:hAnsi="Arial" w:cs="Arial"/>
          <w:b/>
          <w:sz w:val="20"/>
        </w:rPr>
      </w:pPr>
      <w:r w:rsidRPr="006C2DD6">
        <w:rPr>
          <w:rFonts w:ascii="Arial" w:hAnsi="Arial" w:cs="Arial"/>
          <w:b/>
          <w:noProof/>
          <w:sz w:val="20"/>
        </w:rPr>
        <w:drawing>
          <wp:inline distT="0" distB="0" distL="0" distR="0">
            <wp:extent cx="6020435" cy="3416300"/>
            <wp:effectExtent l="0" t="0" r="0" b="0"/>
            <wp:docPr id="60"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07C47" w:rsidRPr="006C2DD6" w:rsidRDefault="00B07C47" w:rsidP="00B07C47">
      <w:pPr>
        <w:suppressAutoHyphens/>
        <w:spacing w:after="0" w:line="240" w:lineRule="auto"/>
        <w:jc w:val="both"/>
        <w:rPr>
          <w:rFonts w:ascii="Arial" w:hAnsi="Arial" w:cs="Arial"/>
          <w:sz w:val="24"/>
          <w:szCs w:val="24"/>
          <w:lang w:val="it-IT"/>
        </w:rPr>
      </w:pPr>
    </w:p>
    <w:p w:rsidR="00B07C47" w:rsidRPr="006C2DD6" w:rsidRDefault="00B07C47" w:rsidP="00B07C47">
      <w:pPr>
        <w:suppressAutoHyphens/>
        <w:spacing w:after="0" w:line="240" w:lineRule="auto"/>
        <w:jc w:val="both"/>
        <w:rPr>
          <w:rFonts w:ascii="Arial" w:hAnsi="Arial" w:cs="Arial"/>
          <w:b/>
          <w:sz w:val="24"/>
          <w:szCs w:val="24"/>
          <w:lang w:val="it-IT"/>
        </w:rPr>
      </w:pPr>
      <w:r w:rsidRPr="006C2DD6">
        <w:rPr>
          <w:rFonts w:ascii="Arial" w:hAnsi="Arial" w:cs="Arial"/>
          <w:b/>
          <w:sz w:val="24"/>
          <w:szCs w:val="24"/>
          <w:lang w:val="it-IT"/>
        </w:rPr>
        <w:t xml:space="preserve">Deşeuri din constructii şi demolări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Legea 211/2011 privind regimul deşeurilori impune ca obligaţie producătorilor de deșeuri și autorităţilor administraţiei publice locale valorificarea deşeurilor nepericuloase provenite din activităţi de construcţie şi demolări. Mai mult, ținta stabilită pentru anul 2020 este atingerea unui nivel de pregătire pentru reutilizare, reciclare şi alte operaţiuni de valorificare materială, inclusiv operaţiuni de umplere rambleiere care utilizează deşeuri pentru a înlocui alte materiale, de minimum 70% din masa cantităţilor de deșeuri generate. Pentru lucrări de umplere/terasare se pot folosi numai deşeurile nepericuloase sortate.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municipiul Brăila, aceste deşeuri au fost valorificate ca material de umplutură pe diferite terenuri stabilite de către Primăria Brăila iar în oraşele Ianca şi Făurei se utilizează spaţii de stocare temporară până la valorificare. Din 2016 au fost autorizați doi operatori pentru concasarea deșeurilor din beton și comercializarea acestora.</w:t>
      </w: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Tabel VII.1.1.9 Evoluția cantităților de deșeuri generate din construcții și demolări</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882"/>
        <w:gridCol w:w="4253"/>
      </w:tblGrid>
      <w:tr w:rsidR="00B07C47" w:rsidRPr="006C2DD6" w:rsidTr="004E444C">
        <w:trPr>
          <w:jc w:val="center"/>
        </w:trPr>
        <w:tc>
          <w:tcPr>
            <w:tcW w:w="1882" w:type="dxa"/>
            <w:shd w:val="clear" w:color="auto" w:fill="EEECE1" w:themeFill="background2"/>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anul</w:t>
            </w:r>
          </w:p>
        </w:tc>
        <w:tc>
          <w:tcPr>
            <w:tcW w:w="4253" w:type="dxa"/>
            <w:shd w:val="clear" w:color="auto" w:fill="EEECE1" w:themeFill="background2"/>
          </w:tcPr>
          <w:p w:rsidR="00B07C47" w:rsidRPr="006C2DD6" w:rsidRDefault="00B07C47" w:rsidP="004E444C">
            <w:pPr>
              <w:spacing w:after="0" w:line="240" w:lineRule="auto"/>
              <w:jc w:val="center"/>
              <w:rPr>
                <w:rFonts w:ascii="Arial" w:hAnsi="Arial" w:cs="Arial"/>
                <w:bCs/>
                <w:sz w:val="24"/>
                <w:szCs w:val="24"/>
              </w:rPr>
            </w:pPr>
            <w:r w:rsidRPr="006C2DD6">
              <w:rPr>
                <w:rFonts w:ascii="Arial" w:hAnsi="Arial" w:cs="Arial"/>
                <w:bCs/>
                <w:sz w:val="24"/>
                <w:szCs w:val="24"/>
              </w:rPr>
              <w:t>T O T A L</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[tone]</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lastRenderedPageBreak/>
              <w:t>2009</w:t>
            </w:r>
          </w:p>
        </w:tc>
        <w:tc>
          <w:tcPr>
            <w:tcW w:w="425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12790</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425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10853</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425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10051</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425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4990</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4253" w:type="dxa"/>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4467</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4253" w:type="dxa"/>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30515</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c>
          <w:tcPr>
            <w:tcW w:w="4253"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28670</w:t>
            </w:r>
          </w:p>
        </w:tc>
      </w:tr>
      <w:tr w:rsidR="00B07C47" w:rsidRPr="006C2DD6" w:rsidTr="004E444C">
        <w:trPr>
          <w:jc w:val="center"/>
        </w:trPr>
        <w:tc>
          <w:tcPr>
            <w:tcW w:w="1882"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c>
          <w:tcPr>
            <w:tcW w:w="4253"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rPr>
              <w:t>4210</w:t>
            </w:r>
          </w:p>
        </w:tc>
      </w:tr>
    </w:tbl>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Fig. VII.1.1.9 Evoluția cantităților de deșeuri provenite din construcții și demolări</w:t>
      </w:r>
    </w:p>
    <w:p w:rsidR="00B07C47" w:rsidRPr="006C2DD6" w:rsidRDefault="00B07C47" w:rsidP="00B07C47">
      <w:pPr>
        <w:spacing w:after="0" w:line="240" w:lineRule="auto"/>
        <w:rPr>
          <w:rFonts w:ascii="Arial" w:hAnsi="Arial" w:cs="Arial"/>
          <w:sz w:val="24"/>
          <w:szCs w:val="24"/>
          <w:highlight w:val="yellow"/>
        </w:rPr>
      </w:pPr>
    </w:p>
    <w:p w:rsidR="00B07C47" w:rsidRPr="006C2DD6" w:rsidRDefault="00B07C47" w:rsidP="00B07C47">
      <w:pPr>
        <w:jc w:val="center"/>
        <w:rPr>
          <w:rFonts w:ascii="Arial" w:hAnsi="Arial" w:cs="Arial"/>
          <w:b/>
          <w:sz w:val="20"/>
        </w:rPr>
      </w:pPr>
      <w:r w:rsidRPr="006C2DD6">
        <w:rPr>
          <w:rFonts w:ascii="Arial" w:hAnsi="Arial" w:cs="Arial"/>
          <w:b/>
          <w:noProof/>
          <w:sz w:val="20"/>
        </w:rPr>
        <w:drawing>
          <wp:inline distT="0" distB="0" distL="0" distR="0">
            <wp:extent cx="6042660" cy="2545715"/>
            <wp:effectExtent l="0" t="0" r="0" b="0"/>
            <wp:docPr id="6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07C47" w:rsidRPr="006C2DD6" w:rsidRDefault="00B07C47" w:rsidP="00B07C47">
      <w:pPr>
        <w:spacing w:after="0" w:line="240" w:lineRule="auto"/>
        <w:rPr>
          <w:rFonts w:ascii="Arial" w:hAnsi="Arial" w:cs="Arial"/>
          <w:sz w:val="24"/>
          <w:szCs w:val="24"/>
        </w:rPr>
      </w:pPr>
    </w:p>
    <w:p w:rsidR="00B07C47" w:rsidRPr="006C2DD6" w:rsidRDefault="00B07C47" w:rsidP="00B07C47">
      <w:pPr>
        <w:ind w:firstLine="708"/>
        <w:rPr>
          <w:rFonts w:ascii="Arial" w:hAnsi="Arial" w:cs="Arial"/>
          <w:sz w:val="24"/>
          <w:szCs w:val="24"/>
        </w:rPr>
      </w:pPr>
      <w:r w:rsidRPr="006C2DD6">
        <w:rPr>
          <w:rFonts w:ascii="Arial" w:hAnsi="Arial" w:cs="Arial"/>
          <w:sz w:val="24"/>
          <w:szCs w:val="24"/>
        </w:rPr>
        <w:t xml:space="preserve">Curba descendentă la deșeurile provenite din construcții și demolări se datorează faptului de reducerea semnificativă a lucrărilor de infrastructură la nivelul județului. </w:t>
      </w:r>
    </w:p>
    <w:p w:rsidR="00B07C47" w:rsidRPr="006C2DD6" w:rsidRDefault="00B07C47" w:rsidP="00B07C47">
      <w:pPr>
        <w:rPr>
          <w:rFonts w:ascii="Arial" w:hAnsi="Arial" w:cs="Arial"/>
          <w:sz w:val="24"/>
          <w:szCs w:val="24"/>
        </w:rPr>
      </w:pPr>
      <w:r w:rsidRPr="006C2DD6">
        <w:rPr>
          <w:rFonts w:ascii="Arial" w:hAnsi="Arial" w:cs="Arial"/>
          <w:sz w:val="24"/>
          <w:szCs w:val="24"/>
        </w:rPr>
        <w:t>Deșeuri municipale generate și necolectate</w:t>
      </w:r>
    </w:p>
    <w:p w:rsidR="00B07C47" w:rsidRPr="006C2DD6" w:rsidRDefault="00B07C47" w:rsidP="00B07C47">
      <w:pPr>
        <w:ind w:firstLine="708"/>
        <w:rPr>
          <w:rFonts w:ascii="Arial" w:hAnsi="Arial" w:cs="Arial"/>
          <w:sz w:val="24"/>
          <w:szCs w:val="24"/>
        </w:rPr>
      </w:pPr>
      <w:r w:rsidRPr="006C2DD6">
        <w:rPr>
          <w:rFonts w:ascii="Arial" w:hAnsi="Arial" w:cs="Arial"/>
          <w:sz w:val="24"/>
          <w:szCs w:val="24"/>
        </w:rPr>
        <w:t xml:space="preserve"> Cantitatea acestor deșeuri a fost calculată aplicănd o formulă de calcul privind generarea deșeurilor municipale de către populație. Astfel, pentru mediul urban a fost luat în calcul generarea a 0,9 kg deșeu pe cap de locuitor și an, iar pentru mediul rural a fost considerată o cantitate de 0,4 kg de deșeu pe cap de locuitor și an.</w:t>
      </w:r>
    </w:p>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Tabel VII.1.1.10 Evoluția cantităților de deșeuri municipale generate și necolectate</w:t>
      </w:r>
    </w:p>
    <w:p w:rsidR="00B07C47" w:rsidRPr="006C2DD6" w:rsidRDefault="00B07C47" w:rsidP="00B07C47">
      <w:pPr>
        <w:spacing w:after="0" w:line="240" w:lineRule="auto"/>
        <w:rPr>
          <w:rFonts w:ascii="Arial" w:hAnsi="Arial" w:cs="Arial"/>
          <w:b/>
          <w:sz w:val="24"/>
          <w:szCs w:val="24"/>
        </w:rPr>
      </w:pPr>
    </w:p>
    <w:tbl>
      <w:tblPr>
        <w:tblW w:w="0" w:type="auto"/>
        <w:jc w:val="center"/>
        <w:tblInd w:w="238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754"/>
        <w:gridCol w:w="2103"/>
        <w:gridCol w:w="1903"/>
        <w:gridCol w:w="1705"/>
      </w:tblGrid>
      <w:tr w:rsidR="00B07C47" w:rsidRPr="006C2DD6" w:rsidTr="004E444C">
        <w:trPr>
          <w:jc w:val="center"/>
        </w:trPr>
        <w:tc>
          <w:tcPr>
            <w:tcW w:w="1754" w:type="dxa"/>
            <w:shd w:val="clear" w:color="auto" w:fill="EEECE1" w:themeFill="background2"/>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anul</w:t>
            </w:r>
          </w:p>
        </w:tc>
        <w:tc>
          <w:tcPr>
            <w:tcW w:w="2103" w:type="dxa"/>
            <w:shd w:val="clear" w:color="auto" w:fill="EEECE1" w:themeFill="background2"/>
          </w:tcPr>
          <w:p w:rsidR="00B07C47" w:rsidRPr="006C2DD6" w:rsidRDefault="00B07C47" w:rsidP="004E444C">
            <w:pPr>
              <w:spacing w:after="0" w:line="240" w:lineRule="auto"/>
              <w:jc w:val="center"/>
              <w:rPr>
                <w:rFonts w:ascii="Arial" w:hAnsi="Arial" w:cs="Arial"/>
                <w:bCs/>
                <w:sz w:val="24"/>
                <w:szCs w:val="24"/>
              </w:rPr>
            </w:pPr>
            <w:r w:rsidRPr="006C2DD6">
              <w:rPr>
                <w:rFonts w:ascii="Arial" w:hAnsi="Arial" w:cs="Arial"/>
                <w:bCs/>
                <w:sz w:val="24"/>
                <w:szCs w:val="24"/>
              </w:rPr>
              <w:t>T O T A L</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[tone]</w:t>
            </w:r>
          </w:p>
        </w:tc>
        <w:tc>
          <w:tcPr>
            <w:tcW w:w="1903" w:type="dxa"/>
            <w:shd w:val="clear" w:color="auto" w:fill="EEECE1" w:themeFill="background2"/>
          </w:tcPr>
          <w:p w:rsidR="00B07C47" w:rsidRPr="006C2DD6" w:rsidRDefault="00B07C47" w:rsidP="004E444C">
            <w:pPr>
              <w:autoSpaceDE w:val="0"/>
              <w:autoSpaceDN w:val="0"/>
              <w:adjustRightInd w:val="0"/>
              <w:spacing w:after="0" w:line="240" w:lineRule="auto"/>
              <w:jc w:val="center"/>
              <w:rPr>
                <w:rFonts w:ascii="Arial" w:hAnsi="Arial" w:cs="Arial"/>
                <w:sz w:val="24"/>
                <w:szCs w:val="24"/>
              </w:rPr>
            </w:pPr>
            <w:r w:rsidRPr="006C2DD6">
              <w:rPr>
                <w:rFonts w:ascii="Arial" w:hAnsi="Arial" w:cs="Arial"/>
                <w:sz w:val="24"/>
                <w:szCs w:val="24"/>
              </w:rPr>
              <w:t>URBAN</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[tone]</w:t>
            </w:r>
          </w:p>
        </w:tc>
        <w:tc>
          <w:tcPr>
            <w:tcW w:w="1705" w:type="dxa"/>
            <w:shd w:val="clear" w:color="auto" w:fill="EEECE1" w:themeFill="background2"/>
          </w:tcPr>
          <w:p w:rsidR="00B07C47" w:rsidRPr="006C2DD6" w:rsidRDefault="00B07C47" w:rsidP="004E444C">
            <w:pPr>
              <w:autoSpaceDE w:val="0"/>
              <w:autoSpaceDN w:val="0"/>
              <w:adjustRightInd w:val="0"/>
              <w:spacing w:after="0" w:line="240" w:lineRule="auto"/>
              <w:jc w:val="center"/>
              <w:rPr>
                <w:rFonts w:ascii="Arial" w:hAnsi="Arial" w:cs="Arial"/>
                <w:sz w:val="24"/>
                <w:szCs w:val="24"/>
              </w:rPr>
            </w:pPr>
            <w:r w:rsidRPr="006C2DD6">
              <w:rPr>
                <w:rFonts w:ascii="Arial" w:hAnsi="Arial" w:cs="Arial"/>
                <w:sz w:val="24"/>
                <w:szCs w:val="24"/>
              </w:rPr>
              <w:t>RURAL</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[tone]</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2009</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39925.53</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23715.83</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16209.71</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33424.13</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22509.87</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10914.26</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12100.81</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12032.53</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68.28</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6644.11</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6094.47</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549.64</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7487.94</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7262.81</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225.13</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21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10113.46</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7695.11</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2418.34</w:t>
            </w:r>
          </w:p>
        </w:tc>
      </w:tr>
      <w:tr w:rsidR="00B07C47" w:rsidRPr="006C2DD6" w:rsidTr="004E444C">
        <w:trPr>
          <w:jc w:val="center"/>
        </w:trPr>
        <w:tc>
          <w:tcPr>
            <w:tcW w:w="1754"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c>
          <w:tcPr>
            <w:tcW w:w="2103" w:type="dxa"/>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12438.73</w:t>
            </w:r>
          </w:p>
        </w:tc>
        <w:tc>
          <w:tcPr>
            <w:tcW w:w="1903" w:type="dxa"/>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12230.13</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208.60</w:t>
            </w:r>
          </w:p>
        </w:tc>
      </w:tr>
      <w:tr w:rsidR="00B07C47" w:rsidRPr="006C2DD6" w:rsidTr="004E444C">
        <w:trPr>
          <w:jc w:val="center"/>
        </w:trPr>
        <w:tc>
          <w:tcPr>
            <w:tcW w:w="1754" w:type="dxa"/>
            <w:tcBorders>
              <w:top w:val="double" w:sz="6" w:space="0" w:color="BFBFBF"/>
              <w:left w:val="double" w:sz="6" w:space="0" w:color="BFBFBF"/>
              <w:bottom w:val="double" w:sz="6" w:space="0" w:color="BFBFBF"/>
              <w:right w:val="double" w:sz="6" w:space="0" w:color="BFBFBF"/>
            </w:tcBorders>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c>
          <w:tcPr>
            <w:tcW w:w="2103" w:type="dxa"/>
            <w:tcBorders>
              <w:top w:val="double" w:sz="6" w:space="0" w:color="BFBFBF"/>
              <w:left w:val="double" w:sz="6" w:space="0" w:color="BFBFBF"/>
              <w:bottom w:val="double" w:sz="6" w:space="0" w:color="BFBFBF"/>
              <w:right w:val="double" w:sz="6" w:space="0" w:color="BFBFBF"/>
            </w:tcBorders>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11460,41</w:t>
            </w:r>
          </w:p>
        </w:tc>
        <w:tc>
          <w:tcPr>
            <w:tcW w:w="1903" w:type="dxa"/>
            <w:tcBorders>
              <w:top w:val="double" w:sz="6" w:space="0" w:color="BFBFBF"/>
              <w:left w:val="double" w:sz="6" w:space="0" w:color="BFBFBF"/>
              <w:bottom w:val="double" w:sz="6" w:space="0" w:color="BFBFBF"/>
              <w:right w:val="double" w:sz="6" w:space="0" w:color="BFBFBF"/>
            </w:tcBorders>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11253,10</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207,32</w:t>
            </w:r>
          </w:p>
        </w:tc>
      </w:tr>
    </w:tbl>
    <w:p w:rsidR="00B07C47" w:rsidRPr="006C2DD6" w:rsidRDefault="00B07C47" w:rsidP="00B07C47">
      <w:pPr>
        <w:spacing w:after="0" w:line="240" w:lineRule="auto"/>
        <w:rPr>
          <w:rFonts w:ascii="Arial" w:hAnsi="Arial" w:cs="Arial"/>
          <w:b/>
          <w:sz w:val="24"/>
          <w:szCs w:val="24"/>
        </w:rPr>
      </w:pPr>
    </w:p>
    <w:p w:rsidR="00B07C47" w:rsidRDefault="00B07C47" w:rsidP="00B07C47">
      <w:pPr>
        <w:spacing w:after="0" w:line="240" w:lineRule="auto"/>
        <w:rPr>
          <w:rFonts w:ascii="Arial" w:hAnsi="Arial" w:cs="Arial"/>
          <w:sz w:val="24"/>
          <w:szCs w:val="24"/>
        </w:rPr>
      </w:pPr>
    </w:p>
    <w:p w:rsidR="00B07C47"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lastRenderedPageBreak/>
        <w:t>Fig VII.1.1.10 Evoluția cantităților de deșeuri municipale generate și necolectate</w:t>
      </w:r>
    </w:p>
    <w:p w:rsidR="00B07C47" w:rsidRPr="006C2DD6" w:rsidRDefault="00B07C47" w:rsidP="00B07C47">
      <w:pPr>
        <w:jc w:val="center"/>
        <w:rPr>
          <w:highlight w:val="yellow"/>
        </w:rPr>
      </w:pPr>
      <w:r w:rsidRPr="006C2DD6">
        <w:rPr>
          <w:noProof/>
        </w:rPr>
        <w:drawing>
          <wp:inline distT="0" distB="0" distL="0" distR="0">
            <wp:extent cx="5572125" cy="2771775"/>
            <wp:effectExtent l="0" t="0" r="0" b="0"/>
            <wp:docPr id="62"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07C47" w:rsidRPr="006C2DD6" w:rsidRDefault="00B07C47" w:rsidP="00B07C47">
      <w:pPr>
        <w:spacing w:after="0" w:line="240" w:lineRule="auto"/>
        <w:rPr>
          <w:rFonts w:ascii="Arial" w:hAnsi="Arial" w:cs="Arial"/>
          <w:b/>
          <w:sz w:val="24"/>
          <w:szCs w:val="24"/>
          <w:highlight w:val="yellow"/>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 xml:space="preserve">Tabel VII.1.1.11 Evoluția </w:t>
      </w:r>
      <w:r w:rsidRPr="006C2DD6">
        <w:rPr>
          <w:rFonts w:ascii="Arial" w:eastAsia="Calibri" w:hAnsi="Arial" w:cs="Arial"/>
          <w:sz w:val="24"/>
          <w:szCs w:val="24"/>
        </w:rPr>
        <w:t>gradului de acoperire cu servicii de salubritate pentru deservirea populaţiei</w:t>
      </w:r>
    </w:p>
    <w:p w:rsidR="00B07C47" w:rsidRPr="006C2DD6" w:rsidRDefault="00B07C47" w:rsidP="00B07C47">
      <w:pPr>
        <w:spacing w:after="0" w:line="240" w:lineRule="auto"/>
        <w:rPr>
          <w:rFonts w:ascii="Arial" w:hAnsi="Arial" w:cs="Arial"/>
          <w:b/>
          <w:sz w:val="24"/>
          <w:szCs w:val="24"/>
        </w:rPr>
      </w:pPr>
    </w:p>
    <w:tbl>
      <w:tblPr>
        <w:tblW w:w="0" w:type="auto"/>
        <w:jc w:val="center"/>
        <w:tblInd w:w="221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984"/>
        <w:gridCol w:w="2042"/>
        <w:gridCol w:w="1903"/>
        <w:gridCol w:w="1705"/>
      </w:tblGrid>
      <w:tr w:rsidR="00B07C47" w:rsidRPr="006C2DD6" w:rsidTr="004E444C">
        <w:trPr>
          <w:jc w:val="center"/>
        </w:trPr>
        <w:tc>
          <w:tcPr>
            <w:tcW w:w="1984" w:type="dxa"/>
            <w:shd w:val="clear" w:color="auto" w:fill="EEECE1" w:themeFill="background2"/>
          </w:tcPr>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caps/>
                <w:sz w:val="24"/>
                <w:szCs w:val="24"/>
              </w:rPr>
              <w:t>anul</w:t>
            </w:r>
          </w:p>
        </w:tc>
        <w:tc>
          <w:tcPr>
            <w:tcW w:w="2042" w:type="dxa"/>
            <w:shd w:val="clear" w:color="auto" w:fill="EEECE1" w:themeFill="background2"/>
          </w:tcPr>
          <w:p w:rsidR="00B07C47" w:rsidRPr="006C2DD6" w:rsidRDefault="00B07C47" w:rsidP="004E444C">
            <w:pPr>
              <w:spacing w:after="0" w:line="240" w:lineRule="auto"/>
              <w:jc w:val="center"/>
              <w:rPr>
                <w:rFonts w:ascii="Arial" w:hAnsi="Arial" w:cs="Arial"/>
                <w:bCs/>
                <w:sz w:val="24"/>
                <w:szCs w:val="24"/>
              </w:rPr>
            </w:pPr>
            <w:r w:rsidRPr="006C2DD6">
              <w:rPr>
                <w:rFonts w:ascii="Arial" w:hAnsi="Arial" w:cs="Arial"/>
                <w:bCs/>
                <w:sz w:val="24"/>
                <w:szCs w:val="24"/>
              </w:rPr>
              <w:t>T O T A L</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 % ]</w:t>
            </w:r>
          </w:p>
        </w:tc>
        <w:tc>
          <w:tcPr>
            <w:tcW w:w="1903" w:type="dxa"/>
            <w:shd w:val="clear" w:color="auto" w:fill="EEECE1" w:themeFill="background2"/>
          </w:tcPr>
          <w:p w:rsidR="00B07C47" w:rsidRPr="006C2DD6" w:rsidRDefault="00B07C47" w:rsidP="004E444C">
            <w:pPr>
              <w:autoSpaceDE w:val="0"/>
              <w:autoSpaceDN w:val="0"/>
              <w:adjustRightInd w:val="0"/>
              <w:spacing w:after="0" w:line="240" w:lineRule="auto"/>
              <w:jc w:val="center"/>
              <w:rPr>
                <w:rFonts w:ascii="Arial" w:hAnsi="Arial" w:cs="Arial"/>
                <w:sz w:val="24"/>
                <w:szCs w:val="24"/>
              </w:rPr>
            </w:pPr>
            <w:r w:rsidRPr="006C2DD6">
              <w:rPr>
                <w:rFonts w:ascii="Arial" w:hAnsi="Arial" w:cs="Arial"/>
                <w:sz w:val="24"/>
                <w:szCs w:val="24"/>
              </w:rPr>
              <w:t>URBAN</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 % ]</w:t>
            </w:r>
          </w:p>
        </w:tc>
        <w:tc>
          <w:tcPr>
            <w:tcW w:w="1705" w:type="dxa"/>
            <w:shd w:val="clear" w:color="auto" w:fill="EEECE1" w:themeFill="background2"/>
          </w:tcPr>
          <w:p w:rsidR="00B07C47" w:rsidRPr="006C2DD6" w:rsidRDefault="00B07C47" w:rsidP="004E444C">
            <w:pPr>
              <w:autoSpaceDE w:val="0"/>
              <w:autoSpaceDN w:val="0"/>
              <w:adjustRightInd w:val="0"/>
              <w:spacing w:after="0" w:line="240" w:lineRule="auto"/>
              <w:jc w:val="center"/>
              <w:rPr>
                <w:rFonts w:ascii="Arial" w:hAnsi="Arial" w:cs="Arial"/>
                <w:sz w:val="24"/>
                <w:szCs w:val="24"/>
              </w:rPr>
            </w:pPr>
            <w:r w:rsidRPr="006C2DD6">
              <w:rPr>
                <w:rFonts w:ascii="Arial" w:hAnsi="Arial" w:cs="Arial"/>
                <w:sz w:val="24"/>
                <w:szCs w:val="24"/>
              </w:rPr>
              <w:t>RURAL</w:t>
            </w:r>
          </w:p>
          <w:p w:rsidR="00B07C47" w:rsidRPr="006C2DD6" w:rsidRDefault="00B07C47" w:rsidP="004E444C">
            <w:pPr>
              <w:spacing w:after="0" w:line="240" w:lineRule="auto"/>
              <w:jc w:val="center"/>
              <w:rPr>
                <w:rFonts w:ascii="Arial" w:hAnsi="Arial" w:cs="Arial"/>
                <w:caps/>
                <w:sz w:val="24"/>
                <w:szCs w:val="24"/>
              </w:rPr>
            </w:pPr>
            <w:r w:rsidRPr="006C2DD6">
              <w:rPr>
                <w:rFonts w:ascii="Arial" w:hAnsi="Arial" w:cs="Arial"/>
                <w:sz w:val="24"/>
                <w:szCs w:val="24"/>
              </w:rPr>
              <w:t>[ % ]</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2009</w:t>
            </w:r>
          </w:p>
        </w:tc>
        <w:tc>
          <w:tcPr>
            <w:tcW w:w="2042"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49,13</w:t>
            </w:r>
          </w:p>
        </w:tc>
        <w:tc>
          <w:tcPr>
            <w:tcW w:w="190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69,17</w:t>
            </w:r>
          </w:p>
        </w:tc>
        <w:tc>
          <w:tcPr>
            <w:tcW w:w="1705" w:type="dxa"/>
            <w:shd w:val="clear" w:color="auto" w:fill="auto"/>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11,90</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2042"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58,26</w:t>
            </w:r>
          </w:p>
        </w:tc>
        <w:tc>
          <w:tcPr>
            <w:tcW w:w="190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67,63</w:t>
            </w:r>
          </w:p>
        </w:tc>
        <w:tc>
          <w:tcPr>
            <w:tcW w:w="1705" w:type="dxa"/>
            <w:shd w:val="clear" w:color="auto" w:fill="auto"/>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40,85</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2042"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80,24</w:t>
            </w:r>
          </w:p>
        </w:tc>
        <w:tc>
          <w:tcPr>
            <w:tcW w:w="190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70,36</w:t>
            </w:r>
          </w:p>
        </w:tc>
        <w:tc>
          <w:tcPr>
            <w:tcW w:w="1705" w:type="dxa"/>
            <w:shd w:val="clear" w:color="auto" w:fill="auto"/>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96,60</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2042"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93,67</w:t>
            </w:r>
          </w:p>
        </w:tc>
        <w:tc>
          <w:tcPr>
            <w:tcW w:w="1903" w:type="dxa"/>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91,88</w:t>
            </w:r>
          </w:p>
        </w:tc>
        <w:tc>
          <w:tcPr>
            <w:tcW w:w="1705" w:type="dxa"/>
            <w:shd w:val="clear" w:color="auto" w:fill="auto"/>
          </w:tcPr>
          <w:p w:rsidR="00B07C47" w:rsidRPr="006C2DD6" w:rsidRDefault="00B07C47" w:rsidP="004E444C">
            <w:pPr>
              <w:autoSpaceDE w:val="0"/>
              <w:autoSpaceDN w:val="0"/>
              <w:adjustRightInd w:val="0"/>
              <w:spacing w:after="0" w:line="240" w:lineRule="auto"/>
              <w:jc w:val="center"/>
              <w:rPr>
                <w:rFonts w:ascii="Arial" w:hAnsi="Arial" w:cs="Arial"/>
                <w:b/>
                <w:sz w:val="24"/>
                <w:szCs w:val="24"/>
              </w:rPr>
            </w:pPr>
            <w:r w:rsidRPr="006C2DD6">
              <w:rPr>
                <w:rFonts w:ascii="Arial" w:hAnsi="Arial" w:cs="Arial"/>
                <w:sz w:val="24"/>
                <w:szCs w:val="24"/>
              </w:rPr>
              <w:t>96,96</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2042"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92.26</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88.75</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98.70</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2042"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87.10</w:t>
            </w:r>
          </w:p>
        </w:tc>
        <w:tc>
          <w:tcPr>
            <w:tcW w:w="1903" w:type="dxa"/>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87.90</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85.90</w:t>
            </w:r>
          </w:p>
        </w:tc>
      </w:tr>
      <w:tr w:rsidR="00B07C47" w:rsidRPr="006C2DD6" w:rsidTr="004E444C">
        <w:trPr>
          <w:jc w:val="center"/>
        </w:trPr>
        <w:tc>
          <w:tcPr>
            <w:tcW w:w="1984"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c>
          <w:tcPr>
            <w:tcW w:w="2042" w:type="dxa"/>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87.45</w:t>
            </w:r>
          </w:p>
        </w:tc>
        <w:tc>
          <w:tcPr>
            <w:tcW w:w="1903" w:type="dxa"/>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80.53</w:t>
            </w:r>
          </w:p>
        </w:tc>
        <w:tc>
          <w:tcPr>
            <w:tcW w:w="1705" w:type="dxa"/>
            <w:shd w:val="clear" w:color="auto" w:fill="auto"/>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98.77</w:t>
            </w:r>
          </w:p>
        </w:tc>
      </w:tr>
      <w:tr w:rsidR="00B07C47" w:rsidRPr="006C2DD6" w:rsidTr="004E444C">
        <w:trPr>
          <w:jc w:val="center"/>
        </w:trPr>
        <w:tc>
          <w:tcPr>
            <w:tcW w:w="1984" w:type="dxa"/>
            <w:tcBorders>
              <w:top w:val="double" w:sz="6" w:space="0" w:color="BFBFBF"/>
              <w:left w:val="double" w:sz="6" w:space="0" w:color="BFBFBF"/>
              <w:bottom w:val="double" w:sz="6" w:space="0" w:color="BFBFBF"/>
              <w:right w:val="double" w:sz="6" w:space="0" w:color="BFBFBF"/>
            </w:tcBorders>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c>
          <w:tcPr>
            <w:tcW w:w="2042" w:type="dxa"/>
            <w:tcBorders>
              <w:top w:val="double" w:sz="6" w:space="0" w:color="BFBFBF"/>
              <w:left w:val="double" w:sz="6" w:space="0" w:color="BFBFBF"/>
              <w:bottom w:val="double" w:sz="6" w:space="0" w:color="BFBFBF"/>
              <w:right w:val="double" w:sz="6" w:space="0" w:color="BFBFBF"/>
            </w:tcBorders>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88.25</w:t>
            </w:r>
          </w:p>
        </w:tc>
        <w:tc>
          <w:tcPr>
            <w:tcW w:w="1903" w:type="dxa"/>
            <w:tcBorders>
              <w:top w:val="double" w:sz="6" w:space="0" w:color="BFBFBF"/>
              <w:left w:val="double" w:sz="6" w:space="0" w:color="BFBFBF"/>
              <w:bottom w:val="double" w:sz="6" w:space="0" w:color="BFBFBF"/>
              <w:right w:val="double" w:sz="6" w:space="0" w:color="BFBFBF"/>
            </w:tcBorders>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81.77</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98.77</w:t>
            </w:r>
          </w:p>
        </w:tc>
      </w:tr>
    </w:tbl>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spacing w:after="0" w:line="240" w:lineRule="auto"/>
        <w:rPr>
          <w:rFonts w:ascii="Arial" w:eastAsia="Calibri" w:hAnsi="Arial" w:cs="Arial"/>
          <w:sz w:val="24"/>
          <w:szCs w:val="24"/>
          <w:highlight w:val="yellow"/>
        </w:rPr>
      </w:pPr>
      <w:r w:rsidRPr="006C2DD6">
        <w:rPr>
          <w:rFonts w:ascii="Arial" w:hAnsi="Arial" w:cs="Arial"/>
          <w:sz w:val="24"/>
          <w:szCs w:val="24"/>
        </w:rPr>
        <w:t xml:space="preserve">Fig.  VII.1.1.11. Evoluția </w:t>
      </w:r>
      <w:r w:rsidRPr="006C2DD6">
        <w:rPr>
          <w:rFonts w:ascii="Arial" w:eastAsia="Calibri" w:hAnsi="Arial" w:cs="Arial"/>
          <w:sz w:val="24"/>
          <w:szCs w:val="24"/>
        </w:rPr>
        <w:t>gradului de acoperire cu servicii de salubritate pentru deservirea populaţiei</w:t>
      </w:r>
    </w:p>
    <w:p w:rsidR="00B07C47" w:rsidRPr="006C2DD6" w:rsidRDefault="00B07C47" w:rsidP="00B07C47">
      <w:pPr>
        <w:jc w:val="center"/>
        <w:rPr>
          <w:highlight w:val="yellow"/>
        </w:rPr>
      </w:pPr>
      <w:r w:rsidRPr="006C2DD6">
        <w:rPr>
          <w:noProof/>
        </w:rPr>
        <w:drawing>
          <wp:inline distT="0" distB="0" distL="0" distR="0">
            <wp:extent cx="6238875" cy="2466975"/>
            <wp:effectExtent l="0" t="0" r="0" b="0"/>
            <wp:docPr id="64"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07C47" w:rsidRPr="006C2DD6" w:rsidRDefault="00B07C47" w:rsidP="00B07C47">
      <w:pPr>
        <w:spacing w:after="0" w:line="240" w:lineRule="auto"/>
        <w:rPr>
          <w:rFonts w:ascii="Arial" w:hAnsi="Arial" w:cs="Arial"/>
          <w:b/>
          <w:sz w:val="24"/>
          <w:szCs w:val="24"/>
        </w:rPr>
      </w:pPr>
      <w:r w:rsidRPr="006C2DD6">
        <w:rPr>
          <w:rFonts w:ascii="Arial" w:hAnsi="Arial" w:cs="Arial"/>
          <w:b/>
          <w:sz w:val="24"/>
          <w:szCs w:val="24"/>
        </w:rPr>
        <w:t>Colectarea selectivă și reciclarea deșeurilor</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conformitate cu prevederile Legii 211/2011 privind deșeurile, art. 17, alin1) “ utoritățile administrației publice locale au obligația ca, începând cu anul 2012, să asigure colectarea separată pentru cel puțin următoarele tipuri de deșeuri: hârtie, metal, plastic și sticlă.”</w:t>
      </w:r>
    </w:p>
    <w:p w:rsidR="00B07C47" w:rsidRPr="006C2DD6" w:rsidRDefault="00B07C47" w:rsidP="00B07C47">
      <w:pPr>
        <w:spacing w:after="0" w:line="240" w:lineRule="auto"/>
        <w:ind w:firstLine="708"/>
        <w:jc w:val="both"/>
        <w:rPr>
          <w:rFonts w:ascii="Arial" w:hAnsi="Arial" w:cs="Arial"/>
          <w:b/>
          <w:sz w:val="24"/>
          <w:szCs w:val="24"/>
          <w:lang w:val="it-IT"/>
        </w:rPr>
      </w:pPr>
      <w:r w:rsidRPr="006C2DD6">
        <w:rPr>
          <w:rFonts w:ascii="Arial" w:hAnsi="Arial" w:cs="Arial"/>
          <w:sz w:val="24"/>
          <w:szCs w:val="24"/>
        </w:rPr>
        <w:lastRenderedPageBreak/>
        <w:t>Pentru a reduce cantităţile de deşeuri care trebuie eliminate prin depozitare, având în vedere şi dificultăţile practice create prin sistarea depozitării pe depozite neconforme (depozitul Ianca și spațiile neecologice de depozitare rurale) autorităţi publice locale au implementat diverse soluții pentru  colectarea selectivă a deşeurilor reciclabile, recurgând, în unele cazuri şi la selectarea din amestec a acestora. Colectarea selectiva la sursă a deşeurilor menajere de la populaţie se</w:t>
      </w:r>
      <w:r w:rsidRPr="006C2DD6">
        <w:rPr>
          <w:rFonts w:ascii="Arial" w:hAnsi="Arial" w:cs="Arial"/>
          <w:sz w:val="24"/>
          <w:szCs w:val="24"/>
          <w:lang w:val="it-IT"/>
        </w:rPr>
        <w:t xml:space="preserve"> realizează încă în mică măsură. Prin diverse proiecte implementate anterior anului 2014 în localitățile din județul Brăila s-au asigurat și unele dotări necesare pentru </w:t>
      </w:r>
      <w:r w:rsidRPr="006C2DD6">
        <w:rPr>
          <w:rFonts w:ascii="Arial" w:hAnsi="Arial" w:cs="Arial"/>
          <w:sz w:val="24"/>
          <w:szCs w:val="24"/>
        </w:rPr>
        <w:t>colectare selectivă, respectiv europubele sau containere, amplasate în special în cartierele de blocuri sau în unele spații publice din cartiere (piețe, parcuri).</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Orașele Făurei și Însurăței au implementat în perioada 2008-2009 proiectele PHARE “Reabilitarea sistemului de colectare şi transport a deşeurilor şi extinderea sistemului de colectarea selectivă în oraşul Făurei, judeţul Brăila” și respectiv “Implementarea unui sistem de management al deşeurilor în oraşul Însurăţei şi satele componente”  prin care. Pentru anul 2015, pentru aceste localități procentul de deșeuri colectate selectiv din deșeurile generate reprezintă 2,2 % (Făurei) și 19 % (Însurăței).</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Situația dotărilor existente pentru colectare separată a deșeurilor de ambalaje (containere) se prezintă astfel: Municipiul Brăila 155, Ianca 36, Făurei 160, Însurăței 120 (total 471 containere). Cantitatea total colectată și valorificată a fost de 79,9 t, situația fiind prezentată în tabelul următor:</w:t>
      </w:r>
    </w:p>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Tabel VII.1.1.12 Dotări de colectare selectivă a deşeurilor municipale – 2016</w:t>
      </w:r>
    </w:p>
    <w:p w:rsidR="00B07C47" w:rsidRPr="006C2DD6" w:rsidRDefault="00B07C47" w:rsidP="00B07C47">
      <w:pPr>
        <w:spacing w:after="0" w:line="240" w:lineRule="auto"/>
        <w:rPr>
          <w:rFonts w:ascii="Arial" w:hAnsi="Arial" w:cs="Arial"/>
          <w:sz w:val="24"/>
          <w:szCs w:val="24"/>
        </w:rPr>
      </w:pPr>
    </w:p>
    <w:tbl>
      <w:tblPr>
        <w:tblW w:w="10065" w:type="dxa"/>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383"/>
        <w:gridCol w:w="2297"/>
        <w:gridCol w:w="2923"/>
        <w:gridCol w:w="1847"/>
        <w:gridCol w:w="1615"/>
      </w:tblGrid>
      <w:tr w:rsidR="00B07C47" w:rsidRPr="006C2DD6" w:rsidTr="004E444C">
        <w:tc>
          <w:tcPr>
            <w:tcW w:w="1383" w:type="dxa"/>
            <w:shd w:val="clear" w:color="auto" w:fill="E0E0E0"/>
            <w:vAlign w:val="center"/>
            <w:hideMark/>
          </w:tcPr>
          <w:p w:rsidR="00B07C47" w:rsidRPr="006C2DD6" w:rsidRDefault="00B07C47" w:rsidP="004E444C">
            <w:pPr>
              <w:jc w:val="center"/>
              <w:rPr>
                <w:rFonts w:ascii="Arial" w:eastAsia="SimSun" w:hAnsi="Arial" w:cs="Arial"/>
              </w:rPr>
            </w:pPr>
            <w:r w:rsidRPr="006C2DD6">
              <w:rPr>
                <w:rFonts w:ascii="Arial" w:hAnsi="Arial" w:cs="Arial"/>
              </w:rPr>
              <w:t>Localitatea</w:t>
            </w:r>
          </w:p>
        </w:tc>
        <w:tc>
          <w:tcPr>
            <w:tcW w:w="2297" w:type="dxa"/>
            <w:shd w:val="clear" w:color="auto" w:fill="E0E0E0"/>
            <w:vAlign w:val="center"/>
            <w:hideMark/>
          </w:tcPr>
          <w:p w:rsidR="00B07C47" w:rsidRPr="006C2DD6" w:rsidRDefault="00B07C47" w:rsidP="004E444C">
            <w:pPr>
              <w:jc w:val="center"/>
              <w:rPr>
                <w:rFonts w:ascii="Arial" w:eastAsia="SimSun" w:hAnsi="Arial" w:cs="Arial"/>
              </w:rPr>
            </w:pPr>
            <w:r w:rsidRPr="006C2DD6">
              <w:rPr>
                <w:rFonts w:ascii="Arial" w:hAnsi="Arial" w:cs="Arial"/>
              </w:rPr>
              <w:t>Fracţii de deşeuri colectate selectiv</w:t>
            </w:r>
          </w:p>
        </w:tc>
        <w:tc>
          <w:tcPr>
            <w:tcW w:w="2923" w:type="dxa"/>
            <w:shd w:val="clear" w:color="auto" w:fill="E0E0E0"/>
            <w:vAlign w:val="center"/>
            <w:hideMark/>
          </w:tcPr>
          <w:p w:rsidR="00B07C47" w:rsidRPr="006C2DD6" w:rsidRDefault="00B07C47" w:rsidP="004E444C">
            <w:pPr>
              <w:jc w:val="center"/>
              <w:rPr>
                <w:rFonts w:ascii="Arial" w:eastAsia="SimSun" w:hAnsi="Arial" w:cs="Arial"/>
                <w:lang w:val="fr-FR"/>
              </w:rPr>
            </w:pPr>
            <w:r w:rsidRPr="006C2DD6">
              <w:rPr>
                <w:rFonts w:ascii="Arial" w:hAnsi="Arial" w:cs="Arial"/>
                <w:lang w:val="fr-FR"/>
              </w:rPr>
              <w:t xml:space="preserve">Număr containere pe tip de deşeu </w:t>
            </w:r>
          </w:p>
        </w:tc>
        <w:tc>
          <w:tcPr>
            <w:tcW w:w="1847" w:type="dxa"/>
            <w:shd w:val="clear" w:color="auto" w:fill="E0E0E0"/>
            <w:vAlign w:val="center"/>
            <w:hideMark/>
          </w:tcPr>
          <w:p w:rsidR="00B07C47" w:rsidRPr="006C2DD6" w:rsidRDefault="00B07C47" w:rsidP="004E444C">
            <w:pPr>
              <w:jc w:val="center"/>
              <w:rPr>
                <w:rFonts w:ascii="Arial" w:eastAsia="SimSun" w:hAnsi="Arial" w:cs="Arial"/>
              </w:rPr>
            </w:pPr>
            <w:r w:rsidRPr="006C2DD6">
              <w:rPr>
                <w:rFonts w:ascii="Arial" w:hAnsi="Arial" w:cs="Arial"/>
              </w:rPr>
              <w:t>Cantitate colectată</w:t>
            </w:r>
          </w:p>
          <w:p w:rsidR="00B07C47" w:rsidRPr="006C2DD6" w:rsidRDefault="00B07C47" w:rsidP="004E444C">
            <w:pPr>
              <w:jc w:val="center"/>
              <w:rPr>
                <w:rFonts w:ascii="Arial" w:eastAsia="SimSun" w:hAnsi="Arial" w:cs="Arial"/>
              </w:rPr>
            </w:pPr>
            <w:r w:rsidRPr="006C2DD6">
              <w:rPr>
                <w:rFonts w:ascii="Arial" w:hAnsi="Arial" w:cs="Arial"/>
              </w:rPr>
              <w:t>T</w:t>
            </w:r>
          </w:p>
        </w:tc>
        <w:tc>
          <w:tcPr>
            <w:tcW w:w="1615" w:type="dxa"/>
            <w:shd w:val="clear" w:color="auto" w:fill="E0E0E0"/>
            <w:vAlign w:val="center"/>
            <w:hideMark/>
          </w:tcPr>
          <w:p w:rsidR="00B07C47" w:rsidRPr="006C2DD6" w:rsidRDefault="00B07C47" w:rsidP="004E444C">
            <w:pPr>
              <w:jc w:val="center"/>
              <w:rPr>
                <w:rFonts w:ascii="Arial" w:eastAsia="SimSun" w:hAnsi="Arial" w:cs="Arial"/>
              </w:rPr>
            </w:pPr>
            <w:r w:rsidRPr="006C2DD6">
              <w:rPr>
                <w:rFonts w:ascii="Arial" w:hAnsi="Arial" w:cs="Arial"/>
              </w:rPr>
              <w:t>Cantitate valorificată</w:t>
            </w:r>
          </w:p>
          <w:p w:rsidR="00B07C47" w:rsidRPr="006C2DD6" w:rsidRDefault="00B07C47" w:rsidP="004E444C">
            <w:pPr>
              <w:jc w:val="center"/>
              <w:rPr>
                <w:rFonts w:ascii="Arial" w:eastAsia="SimSun" w:hAnsi="Arial" w:cs="Arial"/>
              </w:rPr>
            </w:pPr>
            <w:r w:rsidRPr="006C2DD6">
              <w:rPr>
                <w:rFonts w:ascii="Arial" w:hAnsi="Arial" w:cs="Arial"/>
              </w:rPr>
              <w:t>t</w:t>
            </w:r>
          </w:p>
        </w:tc>
      </w:tr>
      <w:tr w:rsidR="00B07C47" w:rsidRPr="006C2DD6" w:rsidTr="004E444C">
        <w:tc>
          <w:tcPr>
            <w:tcW w:w="1383" w:type="dxa"/>
            <w:vMerge w:val="restart"/>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Brăila</w:t>
            </w: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PET / plastic</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78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1,85</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1,85</w:t>
            </w:r>
          </w:p>
        </w:tc>
      </w:tr>
      <w:tr w:rsidR="00B07C47" w:rsidRPr="006C2DD6" w:rsidTr="004E444C">
        <w:tc>
          <w:tcPr>
            <w:tcW w:w="1383" w:type="dxa"/>
            <w:vMerge/>
            <w:vAlign w:val="center"/>
            <w:hideMark/>
          </w:tcPr>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hârtie şi carton</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77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25,82</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25,82</w:t>
            </w:r>
          </w:p>
        </w:tc>
      </w:tr>
      <w:tr w:rsidR="00B07C47" w:rsidRPr="006C2DD6" w:rsidTr="004E444C">
        <w:tc>
          <w:tcPr>
            <w:tcW w:w="1383" w:type="dxa"/>
            <w:vMerge w:val="restart"/>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Ianca</w:t>
            </w:r>
          </w:p>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PET / plastic</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28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1,00</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1,00</w:t>
            </w:r>
          </w:p>
        </w:tc>
      </w:tr>
      <w:tr w:rsidR="00B07C47" w:rsidRPr="006C2DD6" w:rsidTr="004E444C">
        <w:tc>
          <w:tcPr>
            <w:tcW w:w="1383" w:type="dxa"/>
            <w:vMerge/>
            <w:vAlign w:val="center"/>
            <w:hideMark/>
          </w:tcPr>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hârtie şi carton</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8 buc</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2,00</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2,00</w:t>
            </w:r>
          </w:p>
        </w:tc>
      </w:tr>
      <w:tr w:rsidR="00B07C47" w:rsidRPr="006C2DD6" w:rsidTr="004E444C">
        <w:tc>
          <w:tcPr>
            <w:tcW w:w="1383" w:type="dxa"/>
            <w:vMerge w:val="restart"/>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Făurei</w:t>
            </w:r>
          </w:p>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PET / plastic</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80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0,95</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0,95</w:t>
            </w:r>
          </w:p>
        </w:tc>
      </w:tr>
      <w:tr w:rsidR="00B07C47" w:rsidRPr="006C2DD6" w:rsidTr="004E444C">
        <w:tc>
          <w:tcPr>
            <w:tcW w:w="1383" w:type="dxa"/>
            <w:vMerge/>
            <w:vAlign w:val="center"/>
            <w:hideMark/>
          </w:tcPr>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hârtie şi carton</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80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0,00</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0,00</w:t>
            </w:r>
          </w:p>
        </w:tc>
      </w:tr>
      <w:tr w:rsidR="00B07C47" w:rsidRPr="006C2DD6" w:rsidTr="004E444C">
        <w:tc>
          <w:tcPr>
            <w:tcW w:w="1383" w:type="dxa"/>
            <w:vMerge w:val="restart"/>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Însurăţei</w:t>
            </w: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PET / plastic</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60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13,98</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13,98</w:t>
            </w:r>
          </w:p>
        </w:tc>
      </w:tr>
      <w:tr w:rsidR="00B07C47" w:rsidRPr="006C2DD6" w:rsidTr="004E444C">
        <w:tc>
          <w:tcPr>
            <w:tcW w:w="1383" w:type="dxa"/>
            <w:vMerge/>
            <w:vAlign w:val="center"/>
            <w:hideMark/>
          </w:tcPr>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hârtie şi carton</w:t>
            </w:r>
          </w:p>
        </w:tc>
        <w:tc>
          <w:tcPr>
            <w:tcW w:w="292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 xml:space="preserve">60 buc </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12,45</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12,45</w:t>
            </w:r>
          </w:p>
        </w:tc>
      </w:tr>
      <w:tr w:rsidR="00B07C47" w:rsidRPr="006C2DD6" w:rsidTr="004E444C">
        <w:tc>
          <w:tcPr>
            <w:tcW w:w="1383"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Total județ</w:t>
            </w: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Hartie/carton</w:t>
            </w:r>
          </w:p>
        </w:tc>
        <w:tc>
          <w:tcPr>
            <w:tcW w:w="2923"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225</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40,27</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40,27</w:t>
            </w:r>
          </w:p>
        </w:tc>
      </w:tr>
      <w:tr w:rsidR="00B07C47" w:rsidRPr="006C2DD6" w:rsidTr="004E444C">
        <w:tc>
          <w:tcPr>
            <w:tcW w:w="1383" w:type="dxa"/>
            <w:vAlign w:val="center"/>
          </w:tcPr>
          <w:p w:rsidR="00B07C47" w:rsidRPr="006C2DD6" w:rsidRDefault="00B07C47" w:rsidP="004E444C">
            <w:pPr>
              <w:spacing w:after="0" w:line="240" w:lineRule="auto"/>
              <w:jc w:val="center"/>
              <w:rPr>
                <w:rFonts w:ascii="Arial" w:hAnsi="Arial" w:cs="Arial"/>
                <w:b/>
                <w:sz w:val="24"/>
                <w:szCs w:val="24"/>
              </w:rPr>
            </w:pPr>
          </w:p>
        </w:tc>
        <w:tc>
          <w:tcPr>
            <w:tcW w:w="229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PET / plastic</w:t>
            </w:r>
          </w:p>
        </w:tc>
        <w:tc>
          <w:tcPr>
            <w:tcW w:w="2923"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246</w:t>
            </w:r>
          </w:p>
        </w:tc>
        <w:tc>
          <w:tcPr>
            <w:tcW w:w="1847"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17,78</w:t>
            </w:r>
          </w:p>
        </w:tc>
        <w:tc>
          <w:tcPr>
            <w:tcW w:w="1615" w:type="dxa"/>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b/>
                <w:sz w:val="24"/>
                <w:szCs w:val="24"/>
              </w:rPr>
              <w:t>17,78</w:t>
            </w:r>
          </w:p>
        </w:tc>
      </w:tr>
    </w:tbl>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p>
    <w:p w:rsidR="00B07C47"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Gradul de colectare selectivă a deşeurilor reciclabile de la populaţie este destul de scăzut. În vederea creşterii cantităţilor de deşeuri colectate, se impune realizarea periodică de campanii de conştientizare a populaţiei în care să se promoveze sistemul de colectare selectivă a deşeurilor.</w:t>
      </w:r>
    </w:p>
    <w:p w:rsidR="001B622A" w:rsidRPr="006C2DD6" w:rsidRDefault="001B622A" w:rsidP="00B07C47">
      <w:pPr>
        <w:spacing w:after="0" w:line="240" w:lineRule="auto"/>
        <w:ind w:firstLine="708"/>
        <w:jc w:val="both"/>
        <w:rPr>
          <w:rFonts w:ascii="Arial" w:hAnsi="Arial" w:cs="Arial"/>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b/>
          <w:sz w:val="24"/>
          <w:szCs w:val="24"/>
        </w:rPr>
        <w:t>Deşeuri biodegradabile</w:t>
      </w:r>
    </w:p>
    <w:p w:rsidR="00B07C47"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O componentă majoră a deşeurilor municipale o reprezintă deşeurile biodegradabile (deşeurile organice care pot fi descompuse de către microorganisme). Din cauza poluării generate de descompunerea acestor deşeuri în depozite (în special emisia de gaze cu efect de seră şi levigat), se impune reducerea treptată a cantităţilor eliminate prin depozitare, astfel încât, în anul 2016 doar 35% din cantitatea de deşeuri biodegradabile eliminată în anul 1995 să mai poată fi depozitată.</w:t>
      </w:r>
    </w:p>
    <w:p w:rsidR="001B622A" w:rsidRDefault="001B622A" w:rsidP="00B07C47">
      <w:pPr>
        <w:spacing w:after="0" w:line="240" w:lineRule="auto"/>
        <w:ind w:firstLine="708"/>
        <w:jc w:val="both"/>
        <w:rPr>
          <w:rFonts w:ascii="Arial" w:hAnsi="Arial" w:cs="Arial"/>
          <w:sz w:val="24"/>
          <w:szCs w:val="24"/>
        </w:rPr>
      </w:pPr>
    </w:p>
    <w:p w:rsidR="001B622A" w:rsidRPr="006C2DD6" w:rsidRDefault="001B622A" w:rsidP="00B07C47">
      <w:pPr>
        <w:spacing w:after="0" w:line="240" w:lineRule="auto"/>
        <w:ind w:firstLine="708"/>
        <w:jc w:val="both"/>
        <w:rPr>
          <w:rFonts w:ascii="Arial" w:hAnsi="Arial" w:cs="Arial"/>
          <w:sz w:val="24"/>
          <w:szCs w:val="24"/>
        </w:rPr>
      </w:pPr>
    </w:p>
    <w:p w:rsidR="00B07C47" w:rsidRPr="006C2DD6" w:rsidRDefault="00B07C47" w:rsidP="00B07C47">
      <w:pPr>
        <w:pStyle w:val="Default"/>
        <w:jc w:val="both"/>
        <w:rPr>
          <w:rFonts w:ascii="Arial" w:hAnsi="Arial" w:cs="Arial"/>
          <w:color w:val="auto"/>
          <w:lang w:val="ro-RO"/>
        </w:rPr>
      </w:pPr>
    </w:p>
    <w:p w:rsidR="00B07C47" w:rsidRPr="006C2DD6" w:rsidRDefault="00B07C47" w:rsidP="00B07C47">
      <w:pPr>
        <w:pStyle w:val="Default"/>
        <w:jc w:val="both"/>
        <w:rPr>
          <w:rFonts w:ascii="Arial" w:hAnsi="Arial" w:cs="Arial"/>
          <w:color w:val="auto"/>
        </w:rPr>
      </w:pPr>
      <w:r w:rsidRPr="006C2DD6">
        <w:rPr>
          <w:rFonts w:ascii="Arial" w:hAnsi="Arial" w:cs="Arial"/>
          <w:b/>
          <w:color w:val="auto"/>
          <w:lang w:val="ro-RO"/>
        </w:rPr>
        <w:lastRenderedPageBreak/>
        <w:t>Tabel VII.1.1.13</w:t>
      </w:r>
      <w:r w:rsidRPr="006C2DD6">
        <w:rPr>
          <w:rFonts w:ascii="Arial" w:hAnsi="Arial" w:cs="Arial"/>
          <w:color w:val="auto"/>
          <w:lang w:val="ro-RO"/>
        </w:rPr>
        <w:t xml:space="preserve"> </w:t>
      </w:r>
      <w:r w:rsidRPr="006C2DD6">
        <w:rPr>
          <w:rFonts w:ascii="Arial" w:hAnsi="Arial" w:cs="Arial"/>
          <w:color w:val="auto"/>
        </w:rPr>
        <w:t>Evoluția cantităților de deșeuri biodegradabile depozitate</w:t>
      </w:r>
    </w:p>
    <w:p w:rsidR="00B07C47" w:rsidRPr="006C2DD6" w:rsidRDefault="00B07C47" w:rsidP="00B07C47">
      <w:pPr>
        <w:pStyle w:val="Default"/>
        <w:jc w:val="both"/>
        <w:rPr>
          <w:rFonts w:ascii="Arial" w:hAnsi="Arial" w:cs="Arial"/>
          <w:color w:val="auto"/>
        </w:rPr>
      </w:pPr>
    </w:p>
    <w:tbl>
      <w:tblPr>
        <w:tblW w:w="10599"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2946"/>
        <w:gridCol w:w="848"/>
        <w:gridCol w:w="850"/>
        <w:gridCol w:w="1134"/>
        <w:gridCol w:w="993"/>
        <w:gridCol w:w="992"/>
        <w:gridCol w:w="850"/>
        <w:gridCol w:w="993"/>
        <w:gridCol w:w="993"/>
      </w:tblGrid>
      <w:tr w:rsidR="00B07C47" w:rsidRPr="006C2DD6" w:rsidTr="004E444C">
        <w:tc>
          <w:tcPr>
            <w:tcW w:w="2946" w:type="dxa"/>
          </w:tcPr>
          <w:p w:rsidR="00B07C47" w:rsidRPr="006C2DD6" w:rsidRDefault="00B07C47" w:rsidP="004E444C">
            <w:pPr>
              <w:pStyle w:val="Default"/>
              <w:jc w:val="both"/>
              <w:rPr>
                <w:rFonts w:ascii="Arial" w:hAnsi="Arial" w:cs="Arial"/>
                <w:color w:val="auto"/>
                <w:sz w:val="20"/>
                <w:szCs w:val="20"/>
                <w:lang w:val="ro-RO"/>
              </w:rPr>
            </w:pPr>
          </w:p>
        </w:tc>
        <w:tc>
          <w:tcPr>
            <w:tcW w:w="848"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1995</w:t>
            </w:r>
          </w:p>
        </w:tc>
        <w:tc>
          <w:tcPr>
            <w:tcW w:w="850"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2010</w:t>
            </w:r>
          </w:p>
        </w:tc>
        <w:tc>
          <w:tcPr>
            <w:tcW w:w="1134"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2011</w:t>
            </w:r>
          </w:p>
        </w:tc>
        <w:tc>
          <w:tcPr>
            <w:tcW w:w="993"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2012</w:t>
            </w:r>
          </w:p>
        </w:tc>
        <w:tc>
          <w:tcPr>
            <w:tcW w:w="992"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2013</w:t>
            </w:r>
          </w:p>
        </w:tc>
        <w:tc>
          <w:tcPr>
            <w:tcW w:w="850"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2014</w:t>
            </w:r>
          </w:p>
        </w:tc>
        <w:tc>
          <w:tcPr>
            <w:tcW w:w="993"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2015</w:t>
            </w:r>
          </w:p>
        </w:tc>
        <w:tc>
          <w:tcPr>
            <w:tcW w:w="993" w:type="dxa"/>
          </w:tcPr>
          <w:p w:rsidR="00B07C47" w:rsidRPr="006C2DD6" w:rsidRDefault="00B07C47" w:rsidP="004E444C">
            <w:pPr>
              <w:pStyle w:val="Default"/>
              <w:jc w:val="center"/>
              <w:rPr>
                <w:rFonts w:ascii="Arial" w:hAnsi="Arial" w:cs="Arial"/>
                <w:b/>
                <w:color w:val="auto"/>
                <w:sz w:val="20"/>
                <w:szCs w:val="20"/>
                <w:lang w:val="ro-RO"/>
              </w:rPr>
            </w:pPr>
            <w:r w:rsidRPr="006C2DD6">
              <w:rPr>
                <w:rFonts w:ascii="Arial" w:hAnsi="Arial" w:cs="Arial"/>
                <w:b/>
                <w:color w:val="auto"/>
                <w:sz w:val="20"/>
                <w:szCs w:val="20"/>
                <w:lang w:val="ro-RO"/>
              </w:rPr>
              <w:t>2016</w:t>
            </w:r>
          </w:p>
        </w:tc>
      </w:tr>
      <w:tr w:rsidR="00B07C47" w:rsidRPr="006C2DD6" w:rsidTr="004E444C">
        <w:tc>
          <w:tcPr>
            <w:tcW w:w="2946" w:type="dxa"/>
          </w:tcPr>
          <w:p w:rsidR="00B07C47" w:rsidRPr="006C2DD6" w:rsidRDefault="00B07C47" w:rsidP="004E444C">
            <w:pPr>
              <w:pStyle w:val="Default"/>
              <w:jc w:val="both"/>
              <w:rPr>
                <w:rFonts w:ascii="Arial" w:hAnsi="Arial" w:cs="Arial"/>
                <w:color w:val="auto"/>
                <w:sz w:val="20"/>
                <w:szCs w:val="20"/>
                <w:lang w:val="ro-RO"/>
              </w:rPr>
            </w:pPr>
            <w:r w:rsidRPr="006C2DD6">
              <w:rPr>
                <w:rFonts w:ascii="Arial" w:hAnsi="Arial" w:cs="Arial"/>
                <w:color w:val="auto"/>
                <w:sz w:val="20"/>
                <w:szCs w:val="20"/>
              </w:rPr>
              <w:t xml:space="preserve">Cantitatea de deşeuri biodegradabile depozitată </w:t>
            </w:r>
            <w:r w:rsidRPr="006C2DD6">
              <w:rPr>
                <w:rFonts w:ascii="Arial" w:hAnsi="Arial" w:cs="Arial"/>
                <w:color w:val="auto"/>
                <w:sz w:val="20"/>
              </w:rPr>
              <w:t>[ t ]</w:t>
            </w:r>
          </w:p>
        </w:tc>
        <w:tc>
          <w:tcPr>
            <w:tcW w:w="848"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rPr>
              <w:t>82763</w:t>
            </w:r>
          </w:p>
        </w:tc>
        <w:tc>
          <w:tcPr>
            <w:tcW w:w="850"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rPr>
              <w:t>28746</w:t>
            </w:r>
          </w:p>
        </w:tc>
        <w:tc>
          <w:tcPr>
            <w:tcW w:w="1134"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rPr>
              <w:t>29037</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it-IT"/>
              </w:rPr>
              <w:t>30916</w:t>
            </w:r>
          </w:p>
        </w:tc>
        <w:tc>
          <w:tcPr>
            <w:tcW w:w="992"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52433</w:t>
            </w:r>
          </w:p>
        </w:tc>
        <w:tc>
          <w:tcPr>
            <w:tcW w:w="850"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49282</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54663</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55812</w:t>
            </w:r>
          </w:p>
        </w:tc>
      </w:tr>
      <w:tr w:rsidR="00B07C47" w:rsidRPr="006C2DD6" w:rsidTr="004E444C">
        <w:tc>
          <w:tcPr>
            <w:tcW w:w="2946" w:type="dxa"/>
          </w:tcPr>
          <w:p w:rsidR="00B07C47" w:rsidRPr="006C2DD6" w:rsidRDefault="00B07C47" w:rsidP="004E444C">
            <w:pPr>
              <w:pStyle w:val="Default"/>
              <w:jc w:val="both"/>
              <w:rPr>
                <w:rFonts w:ascii="Arial" w:hAnsi="Arial" w:cs="Arial"/>
                <w:color w:val="auto"/>
                <w:sz w:val="20"/>
                <w:szCs w:val="20"/>
                <w:lang w:val="ro-RO"/>
              </w:rPr>
            </w:pPr>
            <w:r w:rsidRPr="006C2DD6">
              <w:rPr>
                <w:rFonts w:ascii="Arial" w:hAnsi="Arial" w:cs="Arial"/>
                <w:color w:val="auto"/>
                <w:sz w:val="20"/>
                <w:szCs w:val="20"/>
              </w:rPr>
              <w:t xml:space="preserve">Cantitatea de deşeuri biodegradabile depozitată față de 1995 </w:t>
            </w:r>
            <w:r w:rsidRPr="006C2DD6">
              <w:rPr>
                <w:rFonts w:ascii="Arial" w:hAnsi="Arial" w:cs="Arial"/>
                <w:color w:val="auto"/>
                <w:sz w:val="20"/>
              </w:rPr>
              <w:t>[ % ]</w:t>
            </w:r>
          </w:p>
        </w:tc>
        <w:tc>
          <w:tcPr>
            <w:tcW w:w="848" w:type="dxa"/>
          </w:tcPr>
          <w:p w:rsidR="00B07C47" w:rsidRPr="006C2DD6" w:rsidRDefault="00B07C47" w:rsidP="004E444C">
            <w:pPr>
              <w:pStyle w:val="Default"/>
              <w:jc w:val="center"/>
              <w:rPr>
                <w:rFonts w:ascii="Arial" w:hAnsi="Arial" w:cs="Arial"/>
                <w:color w:val="auto"/>
                <w:sz w:val="20"/>
                <w:szCs w:val="20"/>
                <w:lang w:val="ro-RO"/>
              </w:rPr>
            </w:pPr>
          </w:p>
        </w:tc>
        <w:tc>
          <w:tcPr>
            <w:tcW w:w="850" w:type="dxa"/>
          </w:tcPr>
          <w:p w:rsidR="00B07C47" w:rsidRPr="006C2DD6" w:rsidRDefault="00B07C47" w:rsidP="004E444C">
            <w:pPr>
              <w:pStyle w:val="Default"/>
              <w:jc w:val="center"/>
              <w:rPr>
                <w:rFonts w:ascii="Arial" w:hAnsi="Arial" w:cs="Arial"/>
                <w:color w:val="auto"/>
                <w:sz w:val="20"/>
                <w:szCs w:val="20"/>
              </w:rPr>
            </w:pPr>
            <w:r w:rsidRPr="006C2DD6">
              <w:rPr>
                <w:rFonts w:ascii="Arial" w:hAnsi="Arial" w:cs="Arial"/>
                <w:color w:val="auto"/>
                <w:sz w:val="20"/>
                <w:szCs w:val="20"/>
              </w:rPr>
              <w:t xml:space="preserve">34,73 </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1134" w:type="dxa"/>
          </w:tcPr>
          <w:p w:rsidR="00B07C47" w:rsidRPr="006C2DD6" w:rsidRDefault="00B07C47" w:rsidP="004E444C">
            <w:pPr>
              <w:pStyle w:val="Default"/>
              <w:jc w:val="center"/>
              <w:rPr>
                <w:rFonts w:ascii="Arial" w:hAnsi="Arial" w:cs="Arial"/>
                <w:color w:val="auto"/>
                <w:sz w:val="20"/>
                <w:szCs w:val="20"/>
              </w:rPr>
            </w:pPr>
            <w:r w:rsidRPr="006C2DD6">
              <w:rPr>
                <w:rFonts w:ascii="Arial" w:hAnsi="Arial" w:cs="Arial"/>
                <w:color w:val="auto"/>
                <w:sz w:val="20"/>
                <w:szCs w:val="20"/>
              </w:rPr>
              <w:t xml:space="preserve">35,08 </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jc w:val="center"/>
              <w:rPr>
                <w:rFonts w:ascii="Arial" w:hAnsi="Arial" w:cs="Arial"/>
                <w:b/>
                <w:sz w:val="20"/>
                <w:lang w:val="it-IT"/>
              </w:rPr>
            </w:pPr>
            <w:r w:rsidRPr="006C2DD6">
              <w:rPr>
                <w:rFonts w:ascii="Arial" w:hAnsi="Arial" w:cs="Arial"/>
                <w:b/>
                <w:sz w:val="20"/>
                <w:lang w:val="it-IT"/>
              </w:rPr>
              <w:t>37,35</w:t>
            </w:r>
          </w:p>
          <w:p w:rsidR="00B07C47" w:rsidRPr="006C2DD6" w:rsidRDefault="00B07C47" w:rsidP="004E444C">
            <w:pPr>
              <w:jc w:val="center"/>
              <w:rPr>
                <w:rFonts w:ascii="Arial" w:hAnsi="Arial" w:cs="Arial"/>
                <w:b/>
                <w:sz w:val="20"/>
                <w:lang w:val="it-IT"/>
              </w:rPr>
            </w:pPr>
            <w:r w:rsidRPr="006C2DD6">
              <w:rPr>
                <w:rFonts w:ascii="Arial" w:hAnsi="Arial" w:cs="Arial"/>
                <w:sz w:val="20"/>
              </w:rPr>
              <w:t>[ % ]</w:t>
            </w:r>
          </w:p>
          <w:p w:rsidR="00B07C47" w:rsidRPr="006C2DD6" w:rsidRDefault="00B07C47" w:rsidP="004E444C">
            <w:pPr>
              <w:pStyle w:val="Default"/>
              <w:jc w:val="center"/>
              <w:rPr>
                <w:rFonts w:ascii="Arial" w:hAnsi="Arial" w:cs="Arial"/>
                <w:color w:val="auto"/>
                <w:sz w:val="20"/>
                <w:szCs w:val="20"/>
                <w:lang w:val="ro-RO"/>
              </w:rPr>
            </w:pPr>
          </w:p>
        </w:tc>
        <w:tc>
          <w:tcPr>
            <w:tcW w:w="992"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63,35</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850"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59,54</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66,04</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67,43</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r>
      <w:tr w:rsidR="00B07C47" w:rsidRPr="006C2DD6" w:rsidTr="004E444C">
        <w:tc>
          <w:tcPr>
            <w:tcW w:w="2946" w:type="dxa"/>
          </w:tcPr>
          <w:p w:rsidR="00B07C47" w:rsidRPr="006C2DD6" w:rsidRDefault="00B07C47" w:rsidP="004E444C">
            <w:pPr>
              <w:pStyle w:val="Default"/>
              <w:jc w:val="both"/>
              <w:rPr>
                <w:rFonts w:ascii="Arial" w:hAnsi="Arial" w:cs="Arial"/>
                <w:color w:val="auto"/>
                <w:sz w:val="20"/>
                <w:szCs w:val="20"/>
                <w:lang w:val="ro-RO"/>
              </w:rPr>
            </w:pPr>
            <w:r w:rsidRPr="006C2DD6">
              <w:rPr>
                <w:rFonts w:ascii="Arial" w:hAnsi="Arial" w:cs="Arial"/>
                <w:color w:val="auto"/>
                <w:sz w:val="20"/>
                <w:szCs w:val="20"/>
              </w:rPr>
              <w:t>Reducerea cantităţii de deşeuri biodegradabile generate faţă de 1995</w:t>
            </w:r>
            <w:r w:rsidRPr="006C2DD6">
              <w:rPr>
                <w:rFonts w:ascii="Arial" w:hAnsi="Arial" w:cs="Arial"/>
                <w:color w:val="auto"/>
                <w:sz w:val="20"/>
              </w:rPr>
              <w:t xml:space="preserve"> [ % ]</w:t>
            </w:r>
          </w:p>
        </w:tc>
        <w:tc>
          <w:tcPr>
            <w:tcW w:w="848" w:type="dxa"/>
          </w:tcPr>
          <w:p w:rsidR="00B07C47" w:rsidRPr="006C2DD6" w:rsidRDefault="00B07C47" w:rsidP="004E444C">
            <w:pPr>
              <w:pStyle w:val="Default"/>
              <w:jc w:val="center"/>
              <w:rPr>
                <w:rFonts w:ascii="Arial" w:hAnsi="Arial" w:cs="Arial"/>
                <w:color w:val="auto"/>
                <w:sz w:val="20"/>
                <w:szCs w:val="20"/>
                <w:lang w:val="ro-RO"/>
              </w:rPr>
            </w:pPr>
          </w:p>
        </w:tc>
        <w:tc>
          <w:tcPr>
            <w:tcW w:w="850" w:type="dxa"/>
          </w:tcPr>
          <w:p w:rsidR="00B07C47" w:rsidRPr="006C2DD6" w:rsidRDefault="00B07C47" w:rsidP="004E444C">
            <w:pPr>
              <w:pStyle w:val="Default"/>
              <w:jc w:val="center"/>
              <w:rPr>
                <w:rFonts w:ascii="Arial" w:hAnsi="Arial" w:cs="Arial"/>
                <w:color w:val="auto"/>
                <w:sz w:val="20"/>
                <w:szCs w:val="20"/>
              </w:rPr>
            </w:pPr>
            <w:r w:rsidRPr="006C2DD6">
              <w:rPr>
                <w:rFonts w:ascii="Arial" w:hAnsi="Arial" w:cs="Arial"/>
                <w:color w:val="auto"/>
                <w:sz w:val="20"/>
                <w:szCs w:val="20"/>
              </w:rPr>
              <w:t xml:space="preserve">65,27 </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1134" w:type="dxa"/>
          </w:tcPr>
          <w:p w:rsidR="00B07C47" w:rsidRPr="006C2DD6" w:rsidRDefault="00B07C47" w:rsidP="004E444C">
            <w:pPr>
              <w:pStyle w:val="Default"/>
              <w:jc w:val="center"/>
              <w:rPr>
                <w:rFonts w:ascii="Arial" w:hAnsi="Arial" w:cs="Arial"/>
                <w:color w:val="auto"/>
                <w:sz w:val="20"/>
                <w:szCs w:val="20"/>
              </w:rPr>
            </w:pPr>
            <w:r w:rsidRPr="006C2DD6">
              <w:rPr>
                <w:rFonts w:ascii="Arial" w:hAnsi="Arial" w:cs="Arial"/>
                <w:color w:val="auto"/>
                <w:sz w:val="20"/>
                <w:szCs w:val="20"/>
              </w:rPr>
              <w:t xml:space="preserve">64,92 </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pStyle w:val="Default"/>
              <w:jc w:val="center"/>
              <w:rPr>
                <w:rFonts w:ascii="Arial" w:hAnsi="Arial" w:cs="Arial"/>
                <w:color w:val="auto"/>
                <w:sz w:val="20"/>
                <w:szCs w:val="20"/>
                <w:lang w:val="it-IT"/>
              </w:rPr>
            </w:pPr>
            <w:r w:rsidRPr="006C2DD6">
              <w:rPr>
                <w:rFonts w:ascii="Arial" w:hAnsi="Arial" w:cs="Arial"/>
                <w:color w:val="auto"/>
                <w:sz w:val="20"/>
                <w:szCs w:val="20"/>
                <w:lang w:val="it-IT"/>
              </w:rPr>
              <w:t>63,65</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2"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36,65</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850"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40,46</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33,96</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c>
          <w:tcPr>
            <w:tcW w:w="993" w:type="dxa"/>
          </w:tcPr>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szCs w:val="20"/>
                <w:lang w:val="ro-RO"/>
              </w:rPr>
              <w:t>32,57</w:t>
            </w:r>
          </w:p>
          <w:p w:rsidR="00B07C47" w:rsidRPr="006C2DD6" w:rsidRDefault="00B07C47" w:rsidP="004E444C">
            <w:pPr>
              <w:pStyle w:val="Default"/>
              <w:jc w:val="center"/>
              <w:rPr>
                <w:rFonts w:ascii="Arial" w:hAnsi="Arial" w:cs="Arial"/>
                <w:color w:val="auto"/>
                <w:sz w:val="20"/>
                <w:szCs w:val="20"/>
                <w:lang w:val="ro-RO"/>
              </w:rPr>
            </w:pPr>
            <w:r w:rsidRPr="006C2DD6">
              <w:rPr>
                <w:rFonts w:ascii="Arial" w:hAnsi="Arial" w:cs="Arial"/>
                <w:color w:val="auto"/>
                <w:sz w:val="20"/>
              </w:rPr>
              <w:t>[ % ]</w:t>
            </w:r>
          </w:p>
        </w:tc>
      </w:tr>
    </w:tbl>
    <w:p w:rsidR="00B07C47" w:rsidRPr="006C2DD6" w:rsidRDefault="00B07C47" w:rsidP="00B07C47">
      <w:pPr>
        <w:shd w:val="clear" w:color="auto" w:fill="FFFFFF"/>
        <w:spacing w:after="0" w:line="240" w:lineRule="auto"/>
        <w:jc w:val="both"/>
        <w:rPr>
          <w:rFonts w:ascii="Arial" w:hAnsi="Arial" w:cs="Arial"/>
          <w:b/>
          <w:sz w:val="24"/>
          <w:szCs w:val="24"/>
          <w:highlight w:val="yellow"/>
        </w:rPr>
      </w:pPr>
    </w:p>
    <w:p w:rsidR="00B07C47" w:rsidRPr="006C2DD6" w:rsidRDefault="00B07C47" w:rsidP="00B07C47">
      <w:pPr>
        <w:shd w:val="clear" w:color="auto" w:fill="FFFFFF"/>
        <w:spacing w:after="0" w:line="240" w:lineRule="auto"/>
        <w:jc w:val="both"/>
        <w:rPr>
          <w:rFonts w:ascii="Arial" w:hAnsi="Arial" w:cs="Arial"/>
          <w:b/>
          <w:sz w:val="24"/>
          <w:szCs w:val="24"/>
          <w:highlight w:val="yellow"/>
        </w:rPr>
      </w:pPr>
    </w:p>
    <w:p w:rsidR="00B07C47" w:rsidRPr="006C2DD6" w:rsidRDefault="00B07C47" w:rsidP="00B07C47">
      <w:pPr>
        <w:shd w:val="clear" w:color="auto" w:fill="FFFFFF"/>
        <w:spacing w:after="0" w:line="240" w:lineRule="auto"/>
        <w:ind w:firstLine="708"/>
        <w:jc w:val="both"/>
        <w:rPr>
          <w:rFonts w:ascii="Arial" w:hAnsi="Arial" w:cs="Arial"/>
          <w:b/>
          <w:sz w:val="24"/>
          <w:szCs w:val="24"/>
        </w:rPr>
      </w:pPr>
      <w:r w:rsidRPr="006C2DD6">
        <w:rPr>
          <w:rFonts w:ascii="Arial" w:hAnsi="Arial" w:cs="Arial"/>
          <w:sz w:val="24"/>
          <w:szCs w:val="24"/>
        </w:rPr>
        <w:t xml:space="preserve">Conform Legii 211/2011, privind regimul deşeurilor, </w:t>
      </w:r>
      <w:r w:rsidRPr="006C2DD6">
        <w:rPr>
          <w:rStyle w:val="tpt1"/>
          <w:rFonts w:ascii="Arial" w:hAnsi="Arial" w:cs="Arial"/>
          <w:sz w:val="24"/>
          <w:szCs w:val="24"/>
        </w:rPr>
        <w:t>biodeşeurile sunt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w:t>
      </w:r>
      <w:r w:rsidRPr="006C2DD6">
        <w:rPr>
          <w:rFonts w:ascii="Arial" w:hAnsi="Arial" w:cs="Arial"/>
          <w:sz w:val="24"/>
          <w:szCs w:val="24"/>
        </w:rPr>
        <w:t>Aceste deşeuri reprezintă un procent de aprox. 60% din cantitatea de deşeuri municipale în mediul urban şi 80% din cantitatea de deşeuri generată în mediul rural.</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Soluţiile de recuperare/reciclare şi reducere a materiilor biodegradabile depozitate care se pot aplica sunt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compostarea (degradarea aerobă);</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degradarea anaerobă cu producerea şi colectarea de biogaz;</w:t>
      </w:r>
    </w:p>
    <w:p w:rsidR="00B07C47" w:rsidRPr="006C2DD6" w:rsidRDefault="00B07C47" w:rsidP="00B07C47">
      <w:pPr>
        <w:autoSpaceDE w:val="0"/>
        <w:autoSpaceDN w:val="0"/>
        <w:adjustRightInd w:val="0"/>
        <w:spacing w:after="0" w:line="240" w:lineRule="auto"/>
        <w:ind w:left="708"/>
        <w:jc w:val="both"/>
        <w:rPr>
          <w:rFonts w:ascii="Arial" w:hAnsi="Arial" w:cs="Arial"/>
          <w:b/>
          <w:sz w:val="24"/>
          <w:szCs w:val="24"/>
          <w:lang w:val="it-IT"/>
        </w:rPr>
      </w:pPr>
      <w:r w:rsidRPr="006C2DD6">
        <w:rPr>
          <w:rFonts w:ascii="Arial" w:hAnsi="Arial" w:cs="Arial"/>
          <w:sz w:val="24"/>
          <w:szCs w:val="24"/>
          <w:lang w:val="it-IT"/>
        </w:rPr>
        <w:t>- tratare mecano - biologică (degradare aerobă) cu producere de deşeuri stabilizate, depozitabile</w:t>
      </w:r>
    </w:p>
    <w:p w:rsidR="00B07C47" w:rsidRPr="006C2DD6" w:rsidRDefault="00B07C47" w:rsidP="00B07C47">
      <w:pPr>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B07C47" w:rsidRPr="006C2DD6" w:rsidRDefault="00B07C47" w:rsidP="00B07C47">
      <w:pPr>
        <w:spacing w:after="0" w:line="240" w:lineRule="auto"/>
        <w:jc w:val="both"/>
        <w:rPr>
          <w:rFonts w:ascii="Arial" w:hAnsi="Arial" w:cs="Arial"/>
          <w:b/>
          <w:sz w:val="24"/>
          <w:szCs w:val="24"/>
          <w:lang w:val="it-IT"/>
        </w:rPr>
      </w:pPr>
      <w:r w:rsidRPr="006C2DD6">
        <w:rPr>
          <w:rFonts w:ascii="Arial" w:hAnsi="Arial" w:cs="Arial"/>
          <w:sz w:val="24"/>
          <w:szCs w:val="24"/>
          <w:lang w:val="it-IT"/>
        </w:rPr>
        <w:t>În municipiul Brăila nu se face o colectare separată a materialului biodegradabil, dar în mediul rural populaţia practică metode de reutilizare în gospodăriile proprii.</w:t>
      </w:r>
    </w:p>
    <w:p w:rsidR="00B07C47" w:rsidRPr="006C2DD6" w:rsidRDefault="00B07C47" w:rsidP="00B07C47">
      <w:pPr>
        <w:pStyle w:val="Default"/>
        <w:ind w:firstLine="708"/>
        <w:jc w:val="both"/>
        <w:rPr>
          <w:rFonts w:ascii="Arial" w:hAnsi="Arial" w:cs="Arial"/>
          <w:color w:val="auto"/>
          <w:lang w:val="ro-RO"/>
        </w:rPr>
      </w:pPr>
      <w:r w:rsidRPr="006C2DD6">
        <w:rPr>
          <w:rFonts w:ascii="Arial" w:hAnsi="Arial" w:cs="Arial"/>
          <w:color w:val="auto"/>
          <w:lang w:val="ro-RO"/>
        </w:rPr>
        <w:t xml:space="preserve">În anul 2006 Consiliul Judeţean în cadrul programului Phare CES </w:t>
      </w:r>
      <w:smartTag w:uri="urn:schemas-microsoft-com:office:smarttags" w:element="metricconverter">
        <w:smartTagPr>
          <w:attr w:name="ProductID" w:val="2004 a"/>
        </w:smartTagPr>
        <w:r w:rsidRPr="006C2DD6">
          <w:rPr>
            <w:rFonts w:ascii="Arial" w:hAnsi="Arial" w:cs="Arial"/>
            <w:color w:val="auto"/>
            <w:lang w:val="ro-RO"/>
          </w:rPr>
          <w:t>2004 a</w:t>
        </w:r>
      </w:smartTag>
      <w:r w:rsidRPr="006C2DD6">
        <w:rPr>
          <w:rFonts w:ascii="Arial" w:hAnsi="Arial" w:cs="Arial"/>
          <w:color w:val="auto"/>
          <w:lang w:val="ro-RO"/>
        </w:rPr>
        <w:t xml:space="preserve"> obţinut finanţare pe proiectul </w:t>
      </w:r>
      <w:r w:rsidRPr="006C2DD6">
        <w:rPr>
          <w:rFonts w:ascii="Arial" w:hAnsi="Arial" w:cs="Arial"/>
          <w:i/>
          <w:color w:val="auto"/>
          <w:lang w:val="ro-RO"/>
        </w:rPr>
        <w:t>Staţie de compostare deşeuri biodegradabile oraş Ianca</w:t>
      </w:r>
      <w:r w:rsidRPr="006C2DD6">
        <w:rPr>
          <w:rFonts w:ascii="Arial" w:hAnsi="Arial" w:cs="Arial"/>
          <w:color w:val="auto"/>
          <w:lang w:val="ro-RO"/>
        </w:rPr>
        <w:t>, obiectiv prevăzut în Planul Regional de Gestionare a Deşeurilor. Scopul realizării staţiei este transformarea în îngrăşământ agricol a gunoiului de grajd provenit din gospodăriile oraşului Ianca şi ale localităţilor arondate, respectiv Perişoru, Berlescu, Târlele Filiu, Oprişeneşti şi Plopu. Deşeurile biodegradabile se colectează de la ţăranii care cresc animale şi se depozitează pe o platformă betonată, cu capacitatea de 17.000 metri cubi. Pentru colectarea gunoiului de grajd, în fiecare gospodărie, s-au amplasat europubele speciale. S-a achiziţionat un camion special pentru colectarea şi transportul deşeurilor biodegradabile. Acest proiect a fost realizat şi funcţionează din decembrie 2008. Capacitatea de depozitare a Staţiei de compost este de 17.000 m</w:t>
      </w:r>
      <w:r w:rsidRPr="006C2DD6">
        <w:rPr>
          <w:rFonts w:ascii="Arial" w:hAnsi="Arial" w:cs="Arial"/>
          <w:color w:val="auto"/>
          <w:vertAlign w:val="superscript"/>
          <w:lang w:val="ro-RO"/>
        </w:rPr>
        <w:t>3</w:t>
      </w:r>
      <w:r w:rsidRPr="006C2DD6">
        <w:rPr>
          <w:rFonts w:ascii="Arial" w:hAnsi="Arial" w:cs="Arial"/>
          <w:color w:val="auto"/>
          <w:lang w:val="ro-RO"/>
        </w:rPr>
        <w:t xml:space="preserve"> deşeu biodegradabil, rezultând o cantitate de peste 5.000 tone de compost/ciclu de productie (6 luni), din care un procent de peste 50% poate fi valorificat ca fertilizator agricol de către fermele locale, iar 50% este oferit populaţiei pentru fertilizarea terenurilor, proporţional cu cantitatea de gunoi de grajd predată.În cadrul stației de compostare de la Ianca, în anul 2015 au fost procesate aprox. 811 t de deșeuri biodegradabile rezultate din gunoiul de grajd și a fost obținut aprox. 480 t de compost.</w:t>
      </w:r>
    </w:p>
    <w:p w:rsidR="00B07C47" w:rsidRPr="006C2DD6" w:rsidRDefault="00B07C47" w:rsidP="00B07C47">
      <w:pPr>
        <w:pStyle w:val="Default"/>
        <w:jc w:val="both"/>
        <w:rPr>
          <w:rFonts w:ascii="Arial" w:hAnsi="Arial" w:cs="Arial"/>
          <w:color w:val="auto"/>
          <w:highlight w:val="yellow"/>
          <w:lang w:val="ro-RO"/>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b/>
          <w:sz w:val="24"/>
          <w:szCs w:val="24"/>
        </w:rPr>
        <w:t>Tratarea şi valorificarea deşeurilor municipale</w:t>
      </w:r>
    </w:p>
    <w:p w:rsidR="00B07C47" w:rsidRPr="006C2DD6" w:rsidRDefault="00B07C47" w:rsidP="00B07C47">
      <w:pPr>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xml:space="preserve">În prezent, la nivelul judeţului nu există instalaţii de tratare mecano - biologică, fermentare anaerobă sau instalaţii de incinerare pentru deşeuri municipale. Cu excepţia stației de compostare a gunoiului de grajd din localitatea Ianca, în judeţul Brăila nu există infrastructură specializată pentru tratarea deşeurilor municipale. În orașul Însurăței deșeurile </w:t>
      </w:r>
      <w:r w:rsidRPr="006C2DD6">
        <w:rPr>
          <w:rFonts w:ascii="Arial" w:hAnsi="Arial" w:cs="Arial"/>
          <w:sz w:val="24"/>
          <w:szCs w:val="24"/>
          <w:lang w:val="it-IT"/>
        </w:rPr>
        <w:lastRenderedPageBreak/>
        <w:t>menajere colectate sunt sortate manual pe o platforma de stocare temporară, înainte de a fi depozitate. Cantitatea de deșeuri sortate și valorificate  în anul 2015 a fost de 75,57t .</w:t>
      </w:r>
    </w:p>
    <w:p w:rsidR="00B07C47" w:rsidRPr="006C2DD6" w:rsidRDefault="00B07C47" w:rsidP="00B07C47">
      <w:pPr>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Colectarea deşeurilor de hârtie, metal, mase plastice, în vederea reciclarii, se realizează prin puncte de colectare autorizate. Acestea primesc materiale separate de la populație, de la persoane private sau de la operatori din comerț. Deşeurile colectate sunt predate către alți operatori economici colectori/valorificatori. Valorificarea deşeurilor se realizează, în general, pentru deşeurile de mase plastice, metale, hârtie şi carton, anvelope, acumulatori, etc. Agenţii economici care colectează şi tratează deşeuri reciclabile sunt dotați cu prese de balotare, cântare, instalaţii de prelucrare pentru deşeuri din mase plastice, bascule pod electronice, macarale, truse tăiere, măcinatoare electrice.Valorificarea finală se realizează în fabrici unde sunt produse materiale noi precum hârtie – carton, mase plastice.</w:t>
      </w:r>
    </w:p>
    <w:p w:rsidR="00B07C47" w:rsidRPr="006C2DD6" w:rsidRDefault="00B07C47" w:rsidP="00B07C47">
      <w:pPr>
        <w:pStyle w:val="char0"/>
        <w:rPr>
          <w:rFonts w:ascii="Arial" w:hAnsi="Arial" w:cs="Arial"/>
          <w:b/>
          <w:lang w:val="ro-RO"/>
        </w:rPr>
      </w:pPr>
    </w:p>
    <w:p w:rsidR="00B07C47" w:rsidRPr="006C2DD6" w:rsidRDefault="00B07C47" w:rsidP="00B07C47">
      <w:pPr>
        <w:pStyle w:val="char0"/>
        <w:rPr>
          <w:rFonts w:ascii="Arial" w:hAnsi="Arial" w:cs="Arial"/>
          <w:b/>
          <w:lang w:val="ro-RO"/>
        </w:rPr>
      </w:pPr>
      <w:r w:rsidRPr="006C2DD6">
        <w:rPr>
          <w:rFonts w:ascii="Arial" w:hAnsi="Arial" w:cs="Arial"/>
          <w:b/>
          <w:lang w:val="ro-RO"/>
        </w:rPr>
        <w:t xml:space="preserve">Gestionarea deşeurilor periculoase din deşeurile municipale    </w:t>
      </w:r>
    </w:p>
    <w:p w:rsidR="00B07C47" w:rsidRPr="006C2DD6" w:rsidRDefault="00B07C47" w:rsidP="00B07C47">
      <w:pPr>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Conform Planului Județean de Gestionare a Deșeurilor estimarea privind cantităţile specifice de deşeuri menajere periculoase, se bazează pe date din Germania (3 kg/persoană pe an) şi Irlanda (2.5 kg/persoană pe an). Se estimează că în zonele urbane rata de generare ar fi similară cu cea din Irlanda, de aproximativ 2,5 kg/persoană pe an, iar pentru regiunile rurale ar trebui să fie considerabil mai mică.</w:t>
      </w:r>
    </w:p>
    <w:p w:rsidR="00B07C47" w:rsidRPr="006C2DD6" w:rsidRDefault="00B07C47" w:rsidP="00B07C47">
      <w:pPr>
        <w:autoSpaceDE w:val="0"/>
        <w:autoSpaceDN w:val="0"/>
        <w:adjustRightInd w:val="0"/>
        <w:spacing w:after="0" w:line="240" w:lineRule="auto"/>
        <w:jc w:val="both"/>
        <w:rPr>
          <w:rFonts w:ascii="Arial" w:hAnsi="Arial" w:cs="Arial"/>
          <w:b/>
          <w:bCs/>
          <w:sz w:val="24"/>
          <w:szCs w:val="24"/>
          <w:lang w:val="it-IT"/>
        </w:rPr>
      </w:pPr>
      <w:r w:rsidRPr="006C2DD6">
        <w:rPr>
          <w:rFonts w:ascii="Arial" w:hAnsi="Arial" w:cs="Arial"/>
          <w:sz w:val="24"/>
          <w:szCs w:val="24"/>
        </w:rPr>
        <w:t>Tabel VII.1.1.14</w:t>
      </w:r>
      <w:r w:rsidRPr="006C2DD6">
        <w:rPr>
          <w:rFonts w:ascii="Arial" w:hAnsi="Arial" w:cs="Arial"/>
          <w:sz w:val="24"/>
          <w:szCs w:val="24"/>
          <w:lang w:val="it-IT"/>
        </w:rPr>
        <w:t xml:space="preserve"> C</w:t>
      </w:r>
      <w:r w:rsidRPr="006C2DD6">
        <w:rPr>
          <w:rFonts w:ascii="Arial" w:hAnsi="Arial" w:cs="Arial"/>
          <w:bCs/>
          <w:sz w:val="24"/>
          <w:szCs w:val="24"/>
          <w:lang w:val="it-IT"/>
        </w:rPr>
        <w:t>antitate de deşeuri menajere periculoase estimate în județul Brăila în anul 2016</w:t>
      </w:r>
    </w:p>
    <w:p w:rsidR="00B07C47" w:rsidRPr="006C2DD6" w:rsidRDefault="00B07C47" w:rsidP="00B07C47">
      <w:pPr>
        <w:autoSpaceDE w:val="0"/>
        <w:autoSpaceDN w:val="0"/>
        <w:adjustRightInd w:val="0"/>
        <w:spacing w:after="0" w:line="240" w:lineRule="auto"/>
        <w:ind w:firstLine="737"/>
        <w:jc w:val="both"/>
        <w:rPr>
          <w:rFonts w:ascii="Arial" w:eastAsia="SimSun" w:hAnsi="Arial" w:cs="Arial"/>
          <w:b/>
          <w:sz w:val="24"/>
          <w:szCs w:val="24"/>
          <w:highlight w:val="yellow"/>
        </w:rPr>
      </w:pPr>
      <w:r w:rsidRPr="006C2DD6">
        <w:rPr>
          <w:rFonts w:ascii="Arial" w:hAnsi="Arial" w:cs="Arial"/>
          <w:bCs/>
          <w:sz w:val="24"/>
          <w:szCs w:val="24"/>
          <w:highlight w:val="yellow"/>
        </w:rPr>
        <w:t xml:space="preserve"> </w:t>
      </w:r>
    </w:p>
    <w:tbl>
      <w:tblPr>
        <w:tblW w:w="0" w:type="auto"/>
        <w:tblInd w:w="1101"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985"/>
        <w:gridCol w:w="1842"/>
        <w:gridCol w:w="1931"/>
        <w:gridCol w:w="2570"/>
      </w:tblGrid>
      <w:tr w:rsidR="00B07C47" w:rsidRPr="006C2DD6" w:rsidTr="004E444C">
        <w:tc>
          <w:tcPr>
            <w:tcW w:w="1985"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p>
        </w:tc>
        <w:tc>
          <w:tcPr>
            <w:tcW w:w="3773" w:type="dxa"/>
            <w:gridSpan w:val="2"/>
            <w:hideMark/>
          </w:tcPr>
          <w:p w:rsidR="00B07C47" w:rsidRPr="006C2DD6" w:rsidRDefault="00B07C47" w:rsidP="004E444C">
            <w:pPr>
              <w:autoSpaceDE w:val="0"/>
              <w:autoSpaceDN w:val="0"/>
              <w:adjustRightInd w:val="0"/>
              <w:spacing w:after="0" w:line="240" w:lineRule="auto"/>
              <w:jc w:val="center"/>
              <w:rPr>
                <w:rFonts w:ascii="Arial" w:hAnsi="Arial" w:cs="Arial"/>
                <w:sz w:val="24"/>
                <w:szCs w:val="24"/>
              </w:rPr>
            </w:pPr>
            <w:r w:rsidRPr="006C2DD6">
              <w:rPr>
                <w:rFonts w:ascii="Arial" w:hAnsi="Arial" w:cs="Arial"/>
                <w:sz w:val="24"/>
                <w:szCs w:val="24"/>
              </w:rPr>
              <w:t>Deşeuri specifice generate locuitori X Kg/ locuitor</w:t>
            </w:r>
          </w:p>
        </w:tc>
        <w:tc>
          <w:tcPr>
            <w:tcW w:w="2570" w:type="dxa"/>
            <w:hideMark/>
          </w:tcPr>
          <w:p w:rsidR="00B07C47" w:rsidRPr="006C2DD6" w:rsidRDefault="00B07C47" w:rsidP="004E444C">
            <w:pPr>
              <w:autoSpaceDE w:val="0"/>
              <w:autoSpaceDN w:val="0"/>
              <w:adjustRightInd w:val="0"/>
              <w:spacing w:after="0" w:line="240" w:lineRule="auto"/>
              <w:ind w:firstLine="2"/>
              <w:jc w:val="center"/>
              <w:rPr>
                <w:rFonts w:ascii="Arial" w:hAnsi="Arial" w:cs="Arial"/>
                <w:sz w:val="24"/>
                <w:szCs w:val="24"/>
              </w:rPr>
            </w:pPr>
            <w:r w:rsidRPr="006C2DD6">
              <w:rPr>
                <w:rFonts w:ascii="Arial" w:hAnsi="Arial" w:cs="Arial"/>
                <w:sz w:val="24"/>
                <w:szCs w:val="24"/>
              </w:rPr>
              <w:t>Cantitate totală de deşeuri t/an</w:t>
            </w:r>
          </w:p>
        </w:tc>
      </w:tr>
      <w:tr w:rsidR="00B07C47" w:rsidRPr="006C2DD6" w:rsidTr="004E444C">
        <w:tc>
          <w:tcPr>
            <w:tcW w:w="1985" w:type="dxa"/>
            <w:hideMark/>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 xml:space="preserve">Urban </w:t>
            </w:r>
          </w:p>
        </w:tc>
        <w:tc>
          <w:tcPr>
            <w:tcW w:w="1842"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184693</w:t>
            </w:r>
          </w:p>
        </w:tc>
        <w:tc>
          <w:tcPr>
            <w:tcW w:w="1931"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2.5</w:t>
            </w:r>
          </w:p>
        </w:tc>
        <w:tc>
          <w:tcPr>
            <w:tcW w:w="2570"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 xml:space="preserve">168,53 </w:t>
            </w:r>
          </w:p>
        </w:tc>
      </w:tr>
      <w:tr w:rsidR="00B07C47" w:rsidRPr="006C2DD6" w:rsidTr="004E444C">
        <w:tc>
          <w:tcPr>
            <w:tcW w:w="1985" w:type="dxa"/>
            <w:hideMark/>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 xml:space="preserve">Rural </w:t>
            </w:r>
          </w:p>
        </w:tc>
        <w:tc>
          <w:tcPr>
            <w:tcW w:w="1842"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114432</w:t>
            </w:r>
          </w:p>
        </w:tc>
        <w:tc>
          <w:tcPr>
            <w:tcW w:w="1931"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 xml:space="preserve">1.5 </w:t>
            </w:r>
          </w:p>
        </w:tc>
        <w:tc>
          <w:tcPr>
            <w:tcW w:w="2570" w:type="dxa"/>
            <w:hideMark/>
          </w:tcPr>
          <w:p w:rsidR="00B07C47" w:rsidRPr="006C2DD6" w:rsidRDefault="00B07C47" w:rsidP="004E444C">
            <w:pPr>
              <w:autoSpaceDE w:val="0"/>
              <w:autoSpaceDN w:val="0"/>
              <w:adjustRightInd w:val="0"/>
              <w:spacing w:after="0" w:line="240" w:lineRule="auto"/>
              <w:ind w:firstLine="720"/>
              <w:jc w:val="center"/>
              <w:rPr>
                <w:rFonts w:ascii="Arial" w:hAnsi="Arial" w:cs="Arial"/>
                <w:sz w:val="24"/>
                <w:szCs w:val="24"/>
              </w:rPr>
            </w:pPr>
            <w:r w:rsidRPr="006C2DD6">
              <w:rPr>
                <w:rFonts w:ascii="Arial" w:hAnsi="Arial" w:cs="Arial"/>
                <w:sz w:val="24"/>
                <w:szCs w:val="24"/>
              </w:rPr>
              <w:t xml:space="preserve">62,65 </w:t>
            </w:r>
          </w:p>
        </w:tc>
      </w:tr>
      <w:tr w:rsidR="00B07C47" w:rsidRPr="006C2DD6" w:rsidTr="004E444C">
        <w:tc>
          <w:tcPr>
            <w:tcW w:w="1985" w:type="dxa"/>
            <w:hideMark/>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 xml:space="preserve">Total Judeţ </w:t>
            </w:r>
          </w:p>
        </w:tc>
        <w:tc>
          <w:tcPr>
            <w:tcW w:w="3773" w:type="dxa"/>
            <w:gridSpan w:val="2"/>
            <w:hideMark/>
          </w:tcPr>
          <w:p w:rsidR="00B07C47" w:rsidRPr="006C2DD6" w:rsidRDefault="00B07C47" w:rsidP="004E444C">
            <w:pPr>
              <w:autoSpaceDE w:val="0"/>
              <w:autoSpaceDN w:val="0"/>
              <w:adjustRightInd w:val="0"/>
              <w:spacing w:after="0" w:line="240" w:lineRule="auto"/>
              <w:ind w:firstLine="720"/>
              <w:jc w:val="both"/>
              <w:rPr>
                <w:rFonts w:ascii="Arial" w:hAnsi="Arial" w:cs="Arial"/>
                <w:sz w:val="24"/>
                <w:szCs w:val="24"/>
              </w:rPr>
            </w:pPr>
            <w:r w:rsidRPr="006C2DD6">
              <w:rPr>
                <w:rFonts w:ascii="Arial" w:hAnsi="Arial" w:cs="Arial"/>
                <w:sz w:val="24"/>
                <w:szCs w:val="24"/>
              </w:rPr>
              <w:t>308176</w:t>
            </w:r>
          </w:p>
        </w:tc>
        <w:tc>
          <w:tcPr>
            <w:tcW w:w="2570" w:type="dxa"/>
            <w:hideMark/>
          </w:tcPr>
          <w:p w:rsidR="00B07C47" w:rsidRPr="006C2DD6" w:rsidRDefault="00B07C47" w:rsidP="004E444C">
            <w:pPr>
              <w:autoSpaceDE w:val="0"/>
              <w:autoSpaceDN w:val="0"/>
              <w:adjustRightInd w:val="0"/>
              <w:spacing w:after="0" w:line="240" w:lineRule="auto"/>
              <w:ind w:firstLine="720"/>
              <w:jc w:val="both"/>
              <w:rPr>
                <w:rFonts w:ascii="Arial" w:hAnsi="Arial" w:cs="Arial"/>
                <w:sz w:val="24"/>
                <w:szCs w:val="24"/>
              </w:rPr>
            </w:pPr>
            <w:r w:rsidRPr="006C2DD6">
              <w:rPr>
                <w:rFonts w:ascii="Arial" w:hAnsi="Arial" w:cs="Arial"/>
                <w:sz w:val="24"/>
                <w:szCs w:val="24"/>
              </w:rPr>
              <w:t xml:space="preserve">238,51 </w:t>
            </w:r>
          </w:p>
        </w:tc>
      </w:tr>
    </w:tbl>
    <w:p w:rsidR="00B07C47" w:rsidRPr="006C2DD6" w:rsidRDefault="00B07C47" w:rsidP="00B07C47">
      <w:pPr>
        <w:spacing w:after="0" w:line="240" w:lineRule="auto"/>
        <w:jc w:val="both"/>
        <w:rPr>
          <w:rFonts w:ascii="Arial" w:hAnsi="Arial" w:cs="Arial"/>
          <w:sz w:val="24"/>
          <w:szCs w:val="24"/>
          <w:highlight w:val="yellow"/>
          <w:lang w:val="it-IT"/>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Neexistând facilităţile pentru colectare selectivă, colectarea componentelor periculoase din deşeurile municipale nu se realizează. La ora actuală cea mai mare parte dintre acestea ajung fie la canalizare, fie pe depozitele de deşeuri, unde pot îngreuna procesul de descompunere, tratarea levigatului şi pot cauza poluarea gravă a apelor subterane. Din cauza naturii lor chimice, astfel de deşeuri sunt otrăvitoare sau iritante pentru om, pot exploda, sau pot lua foc, pot coroda metalele cu care vin în contact. Uleiul de motor, antigelul, vopselele, diluanţii, pesticidele, bateriile, detergenţii, medicamentele expirate, unele deşeuri electronice şi electrocasnice, deşeuri cu caracter infecţios, sunt câteva exemple de produse care ajung în deșeurile menajere și care pot conţine chimicale toxice, solvenţi, metale grele, produse petroliere, ceea ce le imprimă un caracter periculos. Sunt necesare campanii prelungite de conştientizare a publicului în legătură cu riscurile acestor deşeuri pentru mediu şi sănătatea umană.</w:t>
      </w:r>
    </w:p>
    <w:p w:rsidR="00B07C47" w:rsidRPr="006C2DD6" w:rsidRDefault="00B07C47" w:rsidP="00B07C47">
      <w:pPr>
        <w:suppressAutoHyphens/>
        <w:spacing w:after="0" w:line="240" w:lineRule="auto"/>
        <w:jc w:val="both"/>
        <w:rPr>
          <w:rFonts w:ascii="Arial" w:hAnsi="Arial" w:cs="Arial"/>
          <w:b/>
          <w:sz w:val="24"/>
          <w:szCs w:val="24"/>
          <w:highlight w:val="yellow"/>
        </w:rPr>
      </w:pPr>
    </w:p>
    <w:p w:rsidR="00B07C47" w:rsidRPr="006C2DD6" w:rsidRDefault="00B07C47" w:rsidP="00B07C47">
      <w:pPr>
        <w:suppressAutoHyphens/>
        <w:spacing w:after="0" w:line="240" w:lineRule="auto"/>
        <w:jc w:val="both"/>
        <w:rPr>
          <w:rFonts w:ascii="Arial" w:hAnsi="Arial" w:cs="Arial"/>
          <w:b/>
          <w:sz w:val="24"/>
          <w:szCs w:val="24"/>
        </w:rPr>
      </w:pPr>
      <w:r w:rsidRPr="006C2DD6">
        <w:rPr>
          <w:rFonts w:ascii="Arial" w:hAnsi="Arial" w:cs="Arial"/>
          <w:b/>
          <w:sz w:val="24"/>
          <w:szCs w:val="24"/>
        </w:rPr>
        <w:t>Eliminarea deşeurilor municipale</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Ca urmare a gradului redus de colectare selectivă a deşeurilor municipale şi inexistenţei instalaţiilor pentru tratarea deşeurilor municipale, aprox. 88% din cantităţile generate sunt eliminate iar principala modalitate de eliminare a deşeurilor menajere şi asimilabile acestora este depozitarea.</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În judeţul Brăila funcţionează două depozite de deşeuri municipale, unul conform situat în localitatea Muchea, administrat de SC Tracon SRL Brăila şi unul neconform situat în localitatea Făurei, administrat de Direcţia Serviciilor Publice Făurei, programat să sisteze depozitarea în iulie 2017.</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 xml:space="preserve">Depozitul Muchea funcţionează din anul 2002, fiind proiectat să funcționeze 30ani, cu 4 celule (din care una închisa, una în operare și una în curs de  execuție) deservește practic tot judeţul, excepţie făcând localităţile Făurei şi Ianca. Suprafaţa totală proiectată a depozitului este de 18.08 ha. În luna noiembrie 2013 s-a considerat atinsă capacitatea maximă de depozitare în celula nr. 1 și s-a pus în funcțiune celula nr. 2 a cărei construcția a fost finalizată din trim. III 2010. În paralel s-au demarat lucrările de acoperire provizorie a celului nr. 1.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lastRenderedPageBreak/>
        <w:t>Din august au fost acceptate cca. 8000t/lună deșeuri municipale din județele Vrancea, Vaslui și Galați datorită faptului că au fost închise depozitele neconforme și nu există alte capacități de depozitare disponibile (în unele județe există depozite noi dar nu au putut fi puse în funcțiune). Conform prevederilor autorizației, din decembrie 2017 acceptarea acestor deșeuri a revenit Consiliului Județean Brăila având in vedere că depozitul este componentă a sistemului de management integrat al deșeurilor</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Cantitatea de deşeuri colectată de la populaţie şi eliminată anual pe acest depozit este prezentată în tabelul următor:</w:t>
      </w:r>
    </w:p>
    <w:p w:rsidR="00B07C47" w:rsidRPr="006C2DD6" w:rsidRDefault="00B07C47" w:rsidP="00B07C47">
      <w:pPr>
        <w:spacing w:after="0" w:line="240" w:lineRule="auto"/>
        <w:jc w:val="both"/>
        <w:rPr>
          <w:rFonts w:ascii="Arial" w:hAnsi="Arial" w:cs="Arial"/>
          <w:sz w:val="24"/>
          <w:szCs w:val="24"/>
          <w:highlight w:val="yellow"/>
        </w:rPr>
      </w:pPr>
    </w:p>
    <w:p w:rsidR="00B07C47" w:rsidRPr="006C2DD6" w:rsidRDefault="00B07C47" w:rsidP="00B07C47">
      <w:pPr>
        <w:spacing w:after="0" w:line="240" w:lineRule="auto"/>
        <w:jc w:val="both"/>
        <w:rPr>
          <w:rFonts w:ascii="Arial" w:hAnsi="Arial" w:cs="Arial"/>
          <w:sz w:val="24"/>
          <w:szCs w:val="24"/>
          <w:lang w:val="it-IT"/>
        </w:rPr>
      </w:pPr>
      <w:r w:rsidRPr="006C2DD6">
        <w:rPr>
          <w:rFonts w:ascii="Arial" w:hAnsi="Arial" w:cs="Arial"/>
          <w:sz w:val="24"/>
          <w:szCs w:val="24"/>
        </w:rPr>
        <w:t xml:space="preserve">Tabel VII.1.1.15 </w:t>
      </w:r>
      <w:r w:rsidRPr="006C2DD6">
        <w:rPr>
          <w:rFonts w:ascii="Arial" w:hAnsi="Arial" w:cs="Arial"/>
          <w:sz w:val="24"/>
          <w:szCs w:val="24"/>
          <w:lang w:val="it-IT"/>
        </w:rPr>
        <w:t>Cantitatea de deşeuri eliminată în depozite ecologice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1762"/>
        <w:gridCol w:w="1134"/>
        <w:gridCol w:w="1134"/>
        <w:gridCol w:w="992"/>
        <w:gridCol w:w="1134"/>
        <w:gridCol w:w="993"/>
        <w:gridCol w:w="992"/>
        <w:gridCol w:w="992"/>
      </w:tblGrid>
      <w:tr w:rsidR="00B07C47" w:rsidRPr="006C2DD6" w:rsidTr="004E444C">
        <w:tc>
          <w:tcPr>
            <w:tcW w:w="1323" w:type="dxa"/>
            <w:vMerge w:val="restart"/>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Denumire depozit</w:t>
            </w:r>
          </w:p>
        </w:tc>
        <w:tc>
          <w:tcPr>
            <w:tcW w:w="1762" w:type="dxa"/>
            <w:vMerge w:val="restart"/>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Operator</w:t>
            </w:r>
          </w:p>
        </w:tc>
        <w:tc>
          <w:tcPr>
            <w:tcW w:w="6379" w:type="dxa"/>
            <w:gridSpan w:val="6"/>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Cantitatea de  deșeuri depozitată [ t ]</w:t>
            </w:r>
          </w:p>
        </w:tc>
        <w:tc>
          <w:tcPr>
            <w:tcW w:w="992"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p>
        </w:tc>
      </w:tr>
      <w:tr w:rsidR="00B07C47" w:rsidRPr="006C2DD6" w:rsidTr="004E444C">
        <w:tc>
          <w:tcPr>
            <w:tcW w:w="1323" w:type="dxa"/>
            <w:vMerge/>
          </w:tcPr>
          <w:p w:rsidR="00B07C47" w:rsidRPr="006C2DD6" w:rsidRDefault="00B07C47" w:rsidP="004E444C">
            <w:pPr>
              <w:autoSpaceDE w:val="0"/>
              <w:autoSpaceDN w:val="0"/>
              <w:adjustRightInd w:val="0"/>
              <w:spacing w:after="0" w:line="240" w:lineRule="auto"/>
              <w:jc w:val="both"/>
              <w:rPr>
                <w:rFonts w:ascii="Arial" w:hAnsi="Arial" w:cs="Arial"/>
                <w:sz w:val="24"/>
                <w:szCs w:val="24"/>
              </w:rPr>
            </w:pPr>
          </w:p>
        </w:tc>
        <w:tc>
          <w:tcPr>
            <w:tcW w:w="1762" w:type="dxa"/>
            <w:vMerge/>
          </w:tcPr>
          <w:p w:rsidR="00B07C47" w:rsidRPr="006C2DD6" w:rsidRDefault="00B07C47" w:rsidP="004E444C">
            <w:pPr>
              <w:autoSpaceDE w:val="0"/>
              <w:autoSpaceDN w:val="0"/>
              <w:adjustRightInd w:val="0"/>
              <w:spacing w:after="0" w:line="240" w:lineRule="auto"/>
              <w:jc w:val="both"/>
              <w:rPr>
                <w:rFonts w:ascii="Arial" w:hAnsi="Arial" w:cs="Arial"/>
                <w:sz w:val="24"/>
                <w:szCs w:val="24"/>
              </w:rPr>
            </w:pPr>
          </w:p>
        </w:tc>
        <w:tc>
          <w:tcPr>
            <w:tcW w:w="1134"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2010</w:t>
            </w:r>
          </w:p>
        </w:tc>
        <w:tc>
          <w:tcPr>
            <w:tcW w:w="1134"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2011</w:t>
            </w:r>
          </w:p>
        </w:tc>
        <w:tc>
          <w:tcPr>
            <w:tcW w:w="992"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2012</w:t>
            </w:r>
          </w:p>
        </w:tc>
        <w:tc>
          <w:tcPr>
            <w:tcW w:w="1134"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2013</w:t>
            </w:r>
          </w:p>
        </w:tc>
        <w:tc>
          <w:tcPr>
            <w:tcW w:w="993"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2014</w:t>
            </w:r>
          </w:p>
        </w:tc>
        <w:tc>
          <w:tcPr>
            <w:tcW w:w="992"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2015</w:t>
            </w:r>
          </w:p>
        </w:tc>
        <w:tc>
          <w:tcPr>
            <w:tcW w:w="992"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2016</w:t>
            </w:r>
          </w:p>
        </w:tc>
      </w:tr>
      <w:tr w:rsidR="00B07C47" w:rsidRPr="006C2DD6" w:rsidTr="004E444C">
        <w:tc>
          <w:tcPr>
            <w:tcW w:w="1323" w:type="dxa"/>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DEDMI Muchea</w:t>
            </w:r>
          </w:p>
        </w:tc>
        <w:tc>
          <w:tcPr>
            <w:tcW w:w="1762"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SC TRACON SRL</w:t>
            </w:r>
          </w:p>
        </w:tc>
        <w:tc>
          <w:tcPr>
            <w:tcW w:w="1134"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62246</w:t>
            </w:r>
          </w:p>
        </w:tc>
        <w:tc>
          <w:tcPr>
            <w:tcW w:w="1134"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62837</w:t>
            </w:r>
          </w:p>
        </w:tc>
        <w:tc>
          <w:tcPr>
            <w:tcW w:w="992"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72687</w:t>
            </w:r>
          </w:p>
        </w:tc>
        <w:tc>
          <w:tcPr>
            <w:tcW w:w="1134"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80642</w:t>
            </w:r>
          </w:p>
        </w:tc>
        <w:tc>
          <w:tcPr>
            <w:tcW w:w="993"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76870</w:t>
            </w:r>
          </w:p>
        </w:tc>
        <w:tc>
          <w:tcPr>
            <w:tcW w:w="992"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84330</w:t>
            </w:r>
          </w:p>
        </w:tc>
        <w:tc>
          <w:tcPr>
            <w:tcW w:w="992" w:type="dxa"/>
            <w:vAlign w:val="center"/>
          </w:tcPr>
          <w:p w:rsidR="00B07C47" w:rsidRPr="006C2DD6" w:rsidRDefault="00B07C47" w:rsidP="004E444C">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97788</w:t>
            </w:r>
          </w:p>
        </w:tc>
      </w:tr>
    </w:tbl>
    <w:p w:rsidR="00B07C47" w:rsidRPr="006C2DD6" w:rsidRDefault="00B07C47" w:rsidP="00B07C47">
      <w:pPr>
        <w:jc w:val="both"/>
        <w:rPr>
          <w:rFonts w:ascii="Arial" w:hAnsi="Arial" w:cs="Arial"/>
          <w:b/>
          <w:lang w:val="it-IT"/>
        </w:rPr>
      </w:pPr>
    </w:p>
    <w:p w:rsidR="00B07C47" w:rsidRPr="006C2DD6" w:rsidRDefault="00B07C47" w:rsidP="00B07C47">
      <w:pPr>
        <w:spacing w:after="0" w:line="240" w:lineRule="auto"/>
        <w:jc w:val="both"/>
        <w:rPr>
          <w:rFonts w:ascii="Arial" w:hAnsi="Arial" w:cs="Arial"/>
          <w:sz w:val="24"/>
          <w:szCs w:val="24"/>
          <w:lang w:val="it-IT"/>
        </w:rPr>
      </w:pPr>
      <w:r w:rsidRPr="006C2DD6">
        <w:rPr>
          <w:rFonts w:ascii="Arial" w:hAnsi="Arial" w:cs="Arial"/>
          <w:sz w:val="24"/>
          <w:szCs w:val="24"/>
          <w:lang w:val="it-IT"/>
        </w:rPr>
        <w:t>Fig. nr.</w:t>
      </w:r>
      <w:r w:rsidRPr="006C2DD6">
        <w:rPr>
          <w:rFonts w:ascii="Arial" w:hAnsi="Arial" w:cs="Arial"/>
          <w:sz w:val="24"/>
          <w:szCs w:val="24"/>
        </w:rPr>
        <w:t xml:space="preserve"> VII.1.1.15</w:t>
      </w:r>
      <w:r w:rsidRPr="006C2DD6">
        <w:rPr>
          <w:rFonts w:ascii="Arial" w:hAnsi="Arial" w:cs="Arial"/>
          <w:sz w:val="24"/>
          <w:szCs w:val="24"/>
          <w:lang w:val="it-IT"/>
        </w:rPr>
        <w:t xml:space="preserve"> Cantitatea de deşeuri eliminată în depozite ecologice</w:t>
      </w:r>
    </w:p>
    <w:p w:rsidR="00B07C47" w:rsidRPr="006C2DD6" w:rsidRDefault="00B07C47" w:rsidP="00B07C47">
      <w:pPr>
        <w:jc w:val="center"/>
        <w:rPr>
          <w:rFonts w:ascii="Arial" w:hAnsi="Arial" w:cs="Arial"/>
          <w:b/>
          <w:sz w:val="20"/>
        </w:rPr>
      </w:pPr>
      <w:r w:rsidRPr="006C2DD6">
        <w:rPr>
          <w:rFonts w:ascii="Arial" w:hAnsi="Arial" w:cs="Arial"/>
          <w:b/>
          <w:noProof/>
          <w:sz w:val="20"/>
        </w:rPr>
        <w:drawing>
          <wp:inline distT="0" distB="0" distL="0" distR="0">
            <wp:extent cx="6233795" cy="2616200"/>
            <wp:effectExtent l="0" t="0" r="0" b="0"/>
            <wp:docPr id="6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B07C47" w:rsidRPr="006C2DD6" w:rsidRDefault="00B07C47" w:rsidP="00B07C47">
      <w:pPr>
        <w:spacing w:after="0" w:line="240" w:lineRule="auto"/>
        <w:ind w:firstLine="708"/>
        <w:jc w:val="both"/>
        <w:rPr>
          <w:rFonts w:ascii="Arial" w:hAnsi="Arial" w:cs="Arial"/>
          <w:b/>
          <w:sz w:val="24"/>
          <w:szCs w:val="24"/>
        </w:rPr>
      </w:pP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b/>
          <w:sz w:val="24"/>
          <w:szCs w:val="24"/>
          <w:lang w:val="it-IT"/>
        </w:rPr>
        <w:t xml:space="preserve"> </w:t>
      </w:r>
      <w:r w:rsidRPr="006C2DD6">
        <w:rPr>
          <w:rFonts w:ascii="Arial" w:hAnsi="Arial" w:cs="Arial"/>
          <w:sz w:val="24"/>
          <w:szCs w:val="24"/>
        </w:rPr>
        <w:t>Depozitul Făurei are o suprafaţă de 1.5 ha şi o capacitate de 33000 mc cu un grad de umplere de peste 95% și funcționează în baza autorizației de mediu cu program de conformare în vederea închiderii.</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Depozitul neconform Făurei de deșeuri municipale a sistat depozitarea deșeurilor în iunie 2017 (mai devreme față de obligația de sistare a activității conform HG nr. 349/2005 din cauza întârzierii în realizarea măsurilor scadente din programul de conformare anexat autorizației de mediu - studiul de fezabilitate și proiectul tehnic de închidere). Au fost stabilite obligațiile de mediu la sistarea activității iar în luna decembrie s-a reglementat proiectul de închidere . Depozitarea finală a deșeurilor colectate din raza orașului Făurei se face în depozitul din localitatea Gălbinasi, judetul Buzău.</w:t>
      </w:r>
    </w:p>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t xml:space="preserve">Tabel VII.1.1.16 </w:t>
      </w:r>
      <w:r w:rsidRPr="006C2DD6">
        <w:rPr>
          <w:rFonts w:ascii="Arial" w:hAnsi="Arial" w:cs="Arial"/>
          <w:sz w:val="24"/>
          <w:szCs w:val="24"/>
          <w:lang w:val="it-IT"/>
        </w:rPr>
        <w:t xml:space="preserve">Deşeuri municipale depozitate în depozite urbane neconforme </w:t>
      </w:r>
    </w:p>
    <w:p w:rsidR="00B07C47" w:rsidRPr="006C2DD6" w:rsidRDefault="00B07C47" w:rsidP="00B07C47">
      <w:pPr>
        <w:spacing w:after="0" w:line="240" w:lineRule="auto"/>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2"/>
        <w:gridCol w:w="3222"/>
        <w:gridCol w:w="750"/>
        <w:gridCol w:w="750"/>
        <w:gridCol w:w="951"/>
        <w:gridCol w:w="951"/>
        <w:gridCol w:w="951"/>
        <w:gridCol w:w="817"/>
      </w:tblGrid>
      <w:tr w:rsidR="00B07C47" w:rsidRPr="006C2DD6" w:rsidTr="004E444C">
        <w:trPr>
          <w:trHeight w:val="384"/>
        </w:trPr>
        <w:tc>
          <w:tcPr>
            <w:tcW w:w="0" w:type="auto"/>
            <w:vMerge w:val="restart"/>
            <w:shd w:val="clear" w:color="auto" w:fill="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Denumire depozit</w:t>
            </w:r>
          </w:p>
        </w:tc>
        <w:tc>
          <w:tcPr>
            <w:tcW w:w="0" w:type="auto"/>
            <w:vMerge w:val="restart"/>
            <w:shd w:val="clear" w:color="auto" w:fill="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Operator</w:t>
            </w:r>
          </w:p>
        </w:tc>
        <w:tc>
          <w:tcPr>
            <w:tcW w:w="5170" w:type="dxa"/>
            <w:gridSpan w:val="6"/>
            <w:shd w:val="clear" w:color="auto" w:fill="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Cantitatea de deşeuri depozitată</w:t>
            </w:r>
          </w:p>
        </w:tc>
      </w:tr>
      <w:tr w:rsidR="00B07C47" w:rsidRPr="006C2DD6" w:rsidTr="004E444C">
        <w:trPr>
          <w:trHeight w:val="248"/>
        </w:trPr>
        <w:tc>
          <w:tcPr>
            <w:tcW w:w="0" w:type="auto"/>
            <w:vMerge/>
            <w:shd w:val="clear" w:color="auto" w:fill="auto"/>
            <w:vAlign w:val="center"/>
            <w:hideMark/>
          </w:tcPr>
          <w:p w:rsidR="00B07C47" w:rsidRPr="006C2DD6" w:rsidRDefault="00B07C47" w:rsidP="004E444C">
            <w:pPr>
              <w:spacing w:after="0" w:line="240" w:lineRule="auto"/>
              <w:jc w:val="center"/>
              <w:rPr>
                <w:rFonts w:ascii="Arial" w:hAnsi="Arial" w:cs="Arial"/>
                <w:sz w:val="24"/>
                <w:szCs w:val="24"/>
              </w:rPr>
            </w:pPr>
          </w:p>
        </w:tc>
        <w:tc>
          <w:tcPr>
            <w:tcW w:w="0" w:type="auto"/>
            <w:vMerge/>
            <w:shd w:val="clear" w:color="auto" w:fill="auto"/>
            <w:vAlign w:val="center"/>
            <w:hideMark/>
          </w:tcPr>
          <w:p w:rsidR="00B07C47" w:rsidRPr="006C2DD6" w:rsidRDefault="00B07C47" w:rsidP="004E444C">
            <w:pPr>
              <w:spacing w:after="0" w:line="240" w:lineRule="auto"/>
              <w:jc w:val="center"/>
              <w:rPr>
                <w:rFonts w:ascii="Arial" w:hAnsi="Arial" w:cs="Arial"/>
                <w:sz w:val="24"/>
                <w:szCs w:val="24"/>
              </w:rPr>
            </w:pPr>
          </w:p>
        </w:tc>
        <w:tc>
          <w:tcPr>
            <w:tcW w:w="0" w:type="auto"/>
            <w:shd w:val="clear" w:color="auto" w:fill="auto"/>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2011</w:t>
            </w:r>
          </w:p>
        </w:tc>
        <w:tc>
          <w:tcPr>
            <w:tcW w:w="0" w:type="auto"/>
            <w:shd w:val="clear" w:color="auto" w:fill="auto"/>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2012</w:t>
            </w:r>
          </w:p>
        </w:tc>
        <w:tc>
          <w:tcPr>
            <w:tcW w:w="0" w:type="auto"/>
            <w:shd w:val="clear" w:color="auto" w:fill="auto"/>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2013</w:t>
            </w:r>
          </w:p>
        </w:tc>
        <w:tc>
          <w:tcPr>
            <w:tcW w:w="0" w:type="auto"/>
            <w:shd w:val="clear" w:color="auto" w:fill="auto"/>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2014</w:t>
            </w:r>
          </w:p>
        </w:tc>
        <w:tc>
          <w:tcPr>
            <w:tcW w:w="0" w:type="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c>
          <w:tcPr>
            <w:tcW w:w="817"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r>
      <w:tr w:rsidR="00B07C47" w:rsidRPr="006C2DD6" w:rsidTr="004E444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Făurei</w:t>
            </w:r>
          </w:p>
        </w:t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Direcţia Serviciilor Publice Făurei</w:t>
            </w:r>
          </w:p>
        </w:t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627</w:t>
            </w:r>
          </w:p>
        </w:t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295</w:t>
            </w:r>
          </w:p>
        </w:t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128,45</w:t>
            </w:r>
          </w:p>
        </w:tc>
        <w:tc>
          <w:tcPr>
            <w:tcW w:w="0" w:type="auto"/>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120,13</w:t>
            </w:r>
          </w:p>
        </w:tc>
        <w:tc>
          <w:tcPr>
            <w:tcW w:w="0" w:type="auto"/>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138,15</w:t>
            </w:r>
          </w:p>
        </w:tc>
        <w:tc>
          <w:tcPr>
            <w:tcW w:w="817"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97,43</w:t>
            </w:r>
          </w:p>
        </w:tc>
      </w:tr>
    </w:tbl>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spacing w:after="0" w:line="240" w:lineRule="auto"/>
        <w:rPr>
          <w:rFonts w:ascii="Arial" w:hAnsi="Arial" w:cs="Arial"/>
          <w:b/>
          <w:sz w:val="24"/>
          <w:szCs w:val="24"/>
          <w:lang w:val="it-IT"/>
        </w:rPr>
      </w:pPr>
      <w:r w:rsidRPr="006C2DD6">
        <w:rPr>
          <w:rFonts w:ascii="Arial" w:hAnsi="Arial" w:cs="Arial"/>
          <w:sz w:val="24"/>
          <w:szCs w:val="24"/>
          <w:lang w:val="it-IT"/>
        </w:rPr>
        <w:t xml:space="preserve">Fig </w:t>
      </w:r>
      <w:r w:rsidRPr="006C2DD6">
        <w:rPr>
          <w:rFonts w:ascii="Arial" w:hAnsi="Arial" w:cs="Arial"/>
          <w:sz w:val="24"/>
          <w:szCs w:val="24"/>
        </w:rPr>
        <w:t xml:space="preserve">VII.1.1.16 </w:t>
      </w:r>
      <w:r w:rsidRPr="006C2DD6">
        <w:rPr>
          <w:rFonts w:ascii="Arial" w:hAnsi="Arial" w:cs="Arial"/>
          <w:sz w:val="24"/>
          <w:szCs w:val="24"/>
          <w:lang w:val="it-IT"/>
        </w:rPr>
        <w:t xml:space="preserve"> Deşeuri municipale depozitate în depozite urbane neconforme </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b/>
          <w:noProof/>
        </w:rPr>
        <w:lastRenderedPageBreak/>
        <w:drawing>
          <wp:inline distT="0" distB="0" distL="0" distR="0">
            <wp:extent cx="6440805" cy="2059305"/>
            <wp:effectExtent l="0" t="0" r="0" b="0"/>
            <wp:docPr id="97"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În localitatea Ianca a funcţionat un depozit neconform care a sistat activitatea la 16 iulie 2009 iar lucrările de închidere au fost realizate în cadrul proiectului ”Sistem de management integrat al deșeurilor în județul Brăila”, finalizate în 2015. Consliul Local Ianca a încheiat contract pentru depozitarea deşeurilor menajere și asimilabile la depozitul conform Gălbinaşi al SC RER Ecologic Service SRL  Buzău.</w:t>
      </w:r>
    </w:p>
    <w:p w:rsidR="00B07C47" w:rsidRPr="006C2DD6" w:rsidRDefault="00B07C47" w:rsidP="00B07C47">
      <w:pPr>
        <w:spacing w:after="0" w:line="240" w:lineRule="auto"/>
        <w:ind w:firstLine="708"/>
        <w:jc w:val="both"/>
        <w:rPr>
          <w:rFonts w:ascii="Arial" w:hAnsi="Arial" w:cs="Arial"/>
          <w:sz w:val="24"/>
          <w:szCs w:val="24"/>
        </w:rPr>
      </w:pPr>
    </w:p>
    <w:p w:rsidR="00B07C47" w:rsidRPr="001B622A" w:rsidRDefault="00B07C47" w:rsidP="00B07C47">
      <w:pPr>
        <w:spacing w:after="0" w:line="240" w:lineRule="auto"/>
        <w:ind w:firstLine="708"/>
        <w:jc w:val="both"/>
        <w:rPr>
          <w:rFonts w:ascii="Arial" w:hAnsi="Arial" w:cs="Arial"/>
          <w:b/>
          <w:sz w:val="24"/>
          <w:szCs w:val="24"/>
        </w:rPr>
      </w:pPr>
      <w:r w:rsidRPr="001B622A">
        <w:rPr>
          <w:rFonts w:ascii="Arial" w:hAnsi="Arial" w:cs="Arial"/>
          <w:b/>
          <w:sz w:val="24"/>
          <w:szCs w:val="24"/>
        </w:rPr>
        <w:t>VII.1.2 Generarea şi gestionarea deşeurilor industriale</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Deşeurile industriale rezultă în urma desfăşurării diferitelor activităţi economice. Pot avea caracter periculos sau nepericulos. Cantităţiile de deşeuri de producţie generate sunt inconstante de la an la an, datorită variaţiei activităţii generatoare de deşeuri, a retehnologizării, a preocupării crescânde de a minimiza cantitatea de deşeuri generată.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Evidenţa şi gestiunea deşeurilor industriale revine în sarcina agentului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Monitorizarea agenţilor economici care generează deşeuri de producţie se realizează lunar, semestrial sau anual în conformitate cu prevederile Legii 211/2011 privind regimul deşeurilor, ale HG 856/2002 privind evidenţa gestiunii deşeurilor şi pentru aprobarea listei cuprinzând deşeurile, inclusiv deşeurile periculoase, cu modificările ulterioare şi ale autorizaţiei de mediu. Cantităţiile de deşeuri de producţie generate anual sunt înregistrate şi raportate on line de către agenţii economici prin chestionarele de anchetă statistică în cadrul aplicației electronice Sistemul Integrat de Mediu- Statistica deșeurilor începând cu anul 2012. La nivel naţional se procedează la validarea acestor date, constituindu-se astfel baza de raportare a datelor către EUROSTAT.</w:t>
      </w:r>
    </w:p>
    <w:p w:rsidR="00B07C47" w:rsidRPr="006C2DD6" w:rsidRDefault="00B07C47" w:rsidP="00B07C47">
      <w:pPr>
        <w:spacing w:after="0" w:line="240" w:lineRule="auto"/>
        <w:ind w:firstLine="708"/>
        <w:jc w:val="both"/>
        <w:rPr>
          <w:rFonts w:ascii="Arial" w:hAnsi="Arial" w:cs="Arial"/>
          <w:b/>
          <w:sz w:val="24"/>
          <w:szCs w:val="24"/>
        </w:rPr>
      </w:pPr>
    </w:p>
    <w:p w:rsidR="00B07C47" w:rsidRPr="006C2DD6" w:rsidRDefault="00B07C47" w:rsidP="00B07C47">
      <w:pPr>
        <w:spacing w:after="0" w:line="240" w:lineRule="auto"/>
        <w:rPr>
          <w:rFonts w:ascii="Arial" w:hAnsi="Arial" w:cs="Arial"/>
          <w:b/>
          <w:sz w:val="24"/>
          <w:szCs w:val="24"/>
          <w:lang w:val="it-IT"/>
        </w:rPr>
      </w:pPr>
      <w:r w:rsidRPr="006C2DD6">
        <w:rPr>
          <w:rFonts w:ascii="Arial" w:hAnsi="Arial" w:cs="Arial"/>
          <w:sz w:val="24"/>
          <w:szCs w:val="24"/>
        </w:rPr>
        <w:t xml:space="preserve">Tabel VII.1.2.1 </w:t>
      </w:r>
      <w:r w:rsidRPr="006C2DD6">
        <w:rPr>
          <w:rFonts w:ascii="Arial" w:hAnsi="Arial" w:cs="Arial"/>
          <w:sz w:val="24"/>
          <w:szCs w:val="24"/>
          <w:lang w:val="it-IT"/>
        </w:rPr>
        <w:t>Deşeuri generate la nivelul județului Brăila pe activităţi economice</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tbl>
      <w:tblPr>
        <w:tblW w:w="0" w:type="auto"/>
        <w:jc w:val="center"/>
        <w:tblInd w:w="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542"/>
        <w:gridCol w:w="2174"/>
        <w:gridCol w:w="1916"/>
        <w:gridCol w:w="1872"/>
      </w:tblGrid>
      <w:tr w:rsidR="00B07C47" w:rsidRPr="006C2DD6" w:rsidTr="001B622A">
        <w:trPr>
          <w:trHeight w:val="858"/>
          <w:jc w:val="center"/>
        </w:trPr>
        <w:tc>
          <w:tcPr>
            <w:tcW w:w="3620" w:type="dxa"/>
            <w:shd w:val="clear" w:color="auto" w:fill="auto"/>
            <w:vAlign w:val="center"/>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Activitate economică</w:t>
            </w:r>
          </w:p>
        </w:tc>
        <w:tc>
          <w:tcPr>
            <w:tcW w:w="2214"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Cantitate generată</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2014</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t ]</w:t>
            </w:r>
          </w:p>
        </w:tc>
        <w:tc>
          <w:tcPr>
            <w:tcW w:w="1945"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Cantitate generată</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2015</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t ]</w:t>
            </w:r>
          </w:p>
        </w:tc>
        <w:tc>
          <w:tcPr>
            <w:tcW w:w="1894"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Cantitate generată</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2016</w:t>
            </w:r>
          </w:p>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 t ]</w:t>
            </w:r>
          </w:p>
        </w:tc>
      </w:tr>
      <w:tr w:rsidR="00B07C47" w:rsidRPr="006C2DD6" w:rsidTr="001B622A">
        <w:trPr>
          <w:jc w:val="center"/>
        </w:trPr>
        <w:tc>
          <w:tcPr>
            <w:tcW w:w="3620" w:type="dxa"/>
            <w:shd w:val="clear" w:color="auto" w:fill="auto"/>
            <w:vAlign w:val="center"/>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metalurgică</w:t>
            </w:r>
          </w:p>
        </w:tc>
        <w:tc>
          <w:tcPr>
            <w:tcW w:w="2214" w:type="dxa"/>
            <w:shd w:val="clear" w:color="auto" w:fill="auto"/>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3080.86</w:t>
            </w:r>
          </w:p>
        </w:tc>
        <w:tc>
          <w:tcPr>
            <w:tcW w:w="1945"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1552,33</w:t>
            </w:r>
          </w:p>
        </w:tc>
        <w:tc>
          <w:tcPr>
            <w:tcW w:w="1894"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2099,30</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constructoare de mașini</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8349.96</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7329,67</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2587,68</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uşoară</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245,74</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269,36</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130,03</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Zootehnie</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12175,32</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3845,30</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1285,31</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alimentară</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31,83</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41,45</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7754,69</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energetică</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823,29</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502,06</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80,47</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construcţiilor navale</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6005,20</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8200,15</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4772,06</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Industria extractivă</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20,46</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3041,54</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647218,20</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Comerţ</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1014,38</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2398,11</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751,63</w:t>
            </w:r>
          </w:p>
        </w:tc>
      </w:tr>
      <w:tr w:rsidR="00B07C47" w:rsidRPr="006C2DD6" w:rsidTr="001B622A">
        <w:trPr>
          <w:jc w:val="center"/>
        </w:trPr>
        <w:tc>
          <w:tcPr>
            <w:tcW w:w="3620" w:type="dxa"/>
          </w:tcPr>
          <w:p w:rsidR="00B07C47" w:rsidRPr="006C2DD6" w:rsidRDefault="00B07C47" w:rsidP="004E444C">
            <w:pPr>
              <w:spacing w:after="0" w:line="240" w:lineRule="auto"/>
              <w:rPr>
                <w:rFonts w:ascii="Arial" w:hAnsi="Arial" w:cs="Arial"/>
                <w:sz w:val="24"/>
                <w:szCs w:val="24"/>
              </w:rPr>
            </w:pPr>
            <w:r w:rsidRPr="006C2DD6">
              <w:rPr>
                <w:rFonts w:ascii="Arial" w:hAnsi="Arial" w:cs="Arial"/>
                <w:sz w:val="24"/>
                <w:szCs w:val="24"/>
              </w:rPr>
              <w:t>Altele</w:t>
            </w:r>
          </w:p>
        </w:tc>
        <w:tc>
          <w:tcPr>
            <w:tcW w:w="221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244,44</w:t>
            </w:r>
          </w:p>
        </w:tc>
        <w:tc>
          <w:tcPr>
            <w:tcW w:w="1945"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26907,61</w:t>
            </w:r>
          </w:p>
        </w:tc>
        <w:tc>
          <w:tcPr>
            <w:tcW w:w="1894"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13062,38</w:t>
            </w:r>
          </w:p>
        </w:tc>
      </w:tr>
    </w:tbl>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spacing w:after="0" w:line="240" w:lineRule="auto"/>
        <w:ind w:firstLine="708"/>
        <w:jc w:val="both"/>
        <w:rPr>
          <w:rFonts w:ascii="Arial" w:hAnsi="Arial" w:cs="Arial"/>
          <w:sz w:val="24"/>
          <w:szCs w:val="24"/>
        </w:rPr>
      </w:pPr>
      <w:r w:rsidRPr="006C2DD6">
        <w:rPr>
          <w:rFonts w:ascii="Arial" w:hAnsi="Arial" w:cs="Arial"/>
          <w:sz w:val="24"/>
          <w:szCs w:val="24"/>
        </w:rPr>
        <w:t xml:space="preserve">Deşeurile generate de operatorii economici sunt stocate temporar în vederea valorificării sau eliminării. </w:t>
      </w:r>
    </w:p>
    <w:p w:rsidR="00B07C47" w:rsidRPr="006C2DD6" w:rsidRDefault="00B07C47" w:rsidP="00B07C47">
      <w:pPr>
        <w:spacing w:after="0" w:line="240" w:lineRule="auto"/>
        <w:jc w:val="both"/>
        <w:rPr>
          <w:rFonts w:ascii="Arial" w:hAnsi="Arial" w:cs="Arial"/>
          <w:b/>
          <w:sz w:val="24"/>
          <w:szCs w:val="24"/>
          <w:lang w:val="it-IT"/>
        </w:rPr>
      </w:pPr>
    </w:p>
    <w:p w:rsidR="00B07C47" w:rsidRPr="006C2DD6" w:rsidRDefault="00B07C47" w:rsidP="00B07C47">
      <w:pPr>
        <w:pStyle w:val="char0"/>
        <w:rPr>
          <w:rFonts w:ascii="Arial" w:hAnsi="Arial" w:cs="Arial"/>
          <w:b/>
          <w:lang w:val="ro-RO"/>
        </w:rPr>
      </w:pPr>
      <w:r w:rsidRPr="006C2DD6">
        <w:rPr>
          <w:rFonts w:ascii="Arial" w:hAnsi="Arial" w:cs="Arial"/>
          <w:b/>
          <w:lang w:val="ro-RO"/>
        </w:rPr>
        <w:t>Generarea deşeurilor de producţie periculoase</w:t>
      </w:r>
    </w:p>
    <w:p w:rsidR="00B07C47" w:rsidRPr="006C2DD6" w:rsidRDefault="00B07C47" w:rsidP="00B07C47">
      <w:pPr>
        <w:pStyle w:val="char0"/>
        <w:rPr>
          <w:rFonts w:ascii="Arial" w:hAnsi="Arial" w:cs="Arial"/>
          <w:b/>
          <w:lang w:val="ro-RO"/>
        </w:rPr>
      </w:pPr>
      <w:r w:rsidRPr="006C2DD6">
        <w:rPr>
          <w:rFonts w:ascii="Arial" w:hAnsi="Arial" w:cs="Arial"/>
          <w:b/>
          <w:lang w:val="ro-RO"/>
        </w:rPr>
        <w:t xml:space="preserve">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Așa cum rezultă din tabelul VII.1.2.1, cantitatea cea mai mare de deșeuri se generează în industria extractivă, fiind vorba de principala categorie de deşeuri periculoase, rezultată din activitatea de foraj şi extracţie petrol desfăşurată de OMV PETROM SA Sucursala Brăila pe structurile: Jugureanu –Padina, Lişcoteanca, Stăncuţa, Bordei Verde şi Oprişeneşti.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 xml:space="preserve">Transportul deșeurilor periculoase de la generatori la instalațiile de valorificare sau eliminare este supravegheat prin aprobarea și înregistrarea fiecărui transport de către autoritățile teritoriale pentru protecția mediului, conform prevederilor H.G. nr. 1061/2008 privind transportul deşeurilor periculoase şi nepericuloase pe teritoriul României. Astfel, în anul </w:t>
      </w:r>
      <w:r w:rsidRPr="006C2DD6">
        <w:rPr>
          <w:rFonts w:ascii="Arial" w:hAnsi="Arial" w:cs="Arial"/>
          <w:szCs w:val="24"/>
        </w:rPr>
        <w:t xml:space="preserve">2017, 186 formulare </w:t>
      </w:r>
      <w:r w:rsidRPr="006C2DD6">
        <w:rPr>
          <w:rFonts w:ascii="Arial" w:hAnsi="Arial" w:cs="Arial"/>
          <w:sz w:val="24"/>
          <w:szCs w:val="24"/>
        </w:rPr>
        <w:t xml:space="preserve">pentru transport:  </w:t>
      </w:r>
    </w:p>
    <w:p w:rsidR="00B07C47" w:rsidRPr="006C2DD6" w:rsidRDefault="00B07C47" w:rsidP="00EF3940">
      <w:pPr>
        <w:numPr>
          <w:ilvl w:val="0"/>
          <w:numId w:val="76"/>
        </w:numPr>
        <w:spacing w:after="0" w:line="240" w:lineRule="auto"/>
        <w:rPr>
          <w:rFonts w:ascii="Arial" w:hAnsi="Arial" w:cs="Arial"/>
          <w:szCs w:val="24"/>
        </w:rPr>
      </w:pPr>
      <w:r w:rsidRPr="006C2DD6">
        <w:rPr>
          <w:rFonts w:ascii="Arial" w:hAnsi="Arial" w:cs="Arial"/>
          <w:szCs w:val="24"/>
        </w:rPr>
        <w:t>143 formulare pentru SC SETCAR SA ( din care 14 pentru transportul echipamentelor cu conținut de PCB).  În baza acestor formulare aprobate SC SETCAR SA Brăila a efectuat un număr de 1018 transporturi pentru a duce pe amplasamentul propriu în vederea tratării / neutralizării, o cantitate de 9222,49 tone deșeuri periculoase.</w:t>
      </w:r>
    </w:p>
    <w:p w:rsidR="00B07C47" w:rsidRPr="006C2DD6" w:rsidRDefault="00B07C47" w:rsidP="00EF3940">
      <w:pPr>
        <w:numPr>
          <w:ilvl w:val="0"/>
          <w:numId w:val="76"/>
        </w:numPr>
        <w:spacing w:after="0" w:line="240" w:lineRule="auto"/>
        <w:rPr>
          <w:rFonts w:ascii="Arial" w:hAnsi="Arial" w:cs="Arial"/>
          <w:szCs w:val="24"/>
        </w:rPr>
      </w:pPr>
      <w:r w:rsidRPr="006C2DD6">
        <w:rPr>
          <w:rFonts w:ascii="Arial" w:hAnsi="Arial" w:cs="Arial"/>
          <w:szCs w:val="24"/>
        </w:rPr>
        <w:t>37 fomulare de transport pentru SC OMV PETROM SA. În baza acestor fomulare a fost transportată o cantitate de 753,37 tone de deșeu de pământ și pietre cu conținut de substanțe periculoase (17 05 03*), în vederea bioremedierii.</w:t>
      </w:r>
    </w:p>
    <w:p w:rsidR="00B07C47" w:rsidRPr="006C2DD6" w:rsidRDefault="00B07C47" w:rsidP="00EF3940">
      <w:pPr>
        <w:numPr>
          <w:ilvl w:val="0"/>
          <w:numId w:val="76"/>
        </w:numPr>
        <w:spacing w:after="0" w:line="240" w:lineRule="auto"/>
        <w:rPr>
          <w:rFonts w:ascii="Arial" w:hAnsi="Arial" w:cs="Arial"/>
          <w:szCs w:val="24"/>
        </w:rPr>
      </w:pPr>
      <w:r w:rsidRPr="006C2DD6">
        <w:rPr>
          <w:rFonts w:ascii="Arial" w:hAnsi="Arial" w:cs="Arial"/>
          <w:szCs w:val="24"/>
        </w:rPr>
        <w:t>6 formulare de transport pentru SC IRMEX TRADING SRL, în baza cărora a efectuat un număr de 75 transporturi.</w:t>
      </w:r>
    </w:p>
    <w:p w:rsidR="00B07C47" w:rsidRPr="006C2DD6" w:rsidRDefault="00B07C47" w:rsidP="00B07C47">
      <w:pPr>
        <w:spacing w:after="0" w:line="240" w:lineRule="auto"/>
        <w:jc w:val="both"/>
        <w:rPr>
          <w:rFonts w:ascii="Arial" w:hAnsi="Arial" w:cs="Arial"/>
          <w:sz w:val="24"/>
          <w:szCs w:val="24"/>
        </w:rPr>
      </w:pPr>
    </w:p>
    <w:p w:rsidR="00B07C47" w:rsidRPr="006C2DD6" w:rsidRDefault="00B07C47" w:rsidP="00B07C47">
      <w:pPr>
        <w:spacing w:after="0" w:line="240" w:lineRule="auto"/>
        <w:jc w:val="both"/>
        <w:rPr>
          <w:rFonts w:ascii="Arial" w:hAnsi="Arial" w:cs="Arial"/>
          <w:b/>
          <w:sz w:val="24"/>
          <w:szCs w:val="24"/>
          <w:lang w:val="it-IT"/>
        </w:rPr>
      </w:pPr>
      <w:r w:rsidRPr="006C2DD6">
        <w:rPr>
          <w:rFonts w:ascii="Arial" w:hAnsi="Arial" w:cs="Arial"/>
          <w:sz w:val="24"/>
          <w:szCs w:val="24"/>
        </w:rPr>
        <w:t xml:space="preserve">Tabel VII.1.2.2 </w:t>
      </w:r>
      <w:r w:rsidRPr="006C2DD6">
        <w:rPr>
          <w:rFonts w:ascii="Arial" w:hAnsi="Arial" w:cs="Arial"/>
          <w:sz w:val="24"/>
          <w:szCs w:val="24"/>
          <w:lang w:val="it-IT"/>
        </w:rPr>
        <w:t xml:space="preserve">Deşeuri de producţie generate şi valorificate </w:t>
      </w:r>
    </w:p>
    <w:p w:rsidR="00B07C47" w:rsidRPr="006C2DD6" w:rsidRDefault="00B07C47" w:rsidP="00B07C47">
      <w:pPr>
        <w:pStyle w:val="Implicit"/>
        <w:tabs>
          <w:tab w:val="left" w:pos="1440"/>
        </w:tabs>
        <w:spacing w:after="0" w:line="240" w:lineRule="auto"/>
        <w:jc w:val="both"/>
        <w:rPr>
          <w:rFonts w:ascii="Arial" w:hAnsi="Arial" w:cs="Arial"/>
          <w:b/>
          <w:color w:val="auto"/>
          <w:lang w:val="ro-RO"/>
        </w:rPr>
      </w:pPr>
    </w:p>
    <w:tbl>
      <w:tblPr>
        <w:tblW w:w="9072"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11"/>
        <w:gridCol w:w="1452"/>
        <w:gridCol w:w="1512"/>
        <w:gridCol w:w="1484"/>
        <w:gridCol w:w="1461"/>
        <w:gridCol w:w="1452"/>
      </w:tblGrid>
      <w:tr w:rsidR="00B07C47" w:rsidRPr="006C2DD6" w:rsidTr="004E444C">
        <w:tc>
          <w:tcPr>
            <w:tcW w:w="1711" w:type="dxa"/>
            <w:shd w:val="clear" w:color="auto" w:fill="auto"/>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Anul</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2016</w:t>
            </w:r>
          </w:p>
        </w:tc>
        <w:tc>
          <w:tcPr>
            <w:tcW w:w="1452" w:type="dxa"/>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Stoc</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Inițial</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t ]</w:t>
            </w:r>
          </w:p>
        </w:tc>
        <w:tc>
          <w:tcPr>
            <w:tcW w:w="1512" w:type="dxa"/>
            <w:shd w:val="clear" w:color="auto" w:fill="auto"/>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Cantităţi generate</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t ]</w:t>
            </w:r>
          </w:p>
        </w:tc>
        <w:tc>
          <w:tcPr>
            <w:tcW w:w="1484" w:type="dxa"/>
            <w:shd w:val="clear" w:color="auto" w:fill="auto"/>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xml:space="preserve">Cantităţi valorificate </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t ]</w:t>
            </w:r>
          </w:p>
        </w:tc>
        <w:tc>
          <w:tcPr>
            <w:tcW w:w="1461"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xml:space="preserve">Cantităţi eliminate </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t ]</w:t>
            </w:r>
          </w:p>
        </w:tc>
        <w:tc>
          <w:tcPr>
            <w:tcW w:w="1452" w:type="dxa"/>
            <w:shd w:val="clear" w:color="auto" w:fill="auto"/>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Stoc</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final</w:t>
            </w: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 t ]</w:t>
            </w:r>
          </w:p>
        </w:tc>
      </w:tr>
      <w:tr w:rsidR="00B07C47" w:rsidRPr="006C2DD6" w:rsidTr="004E444C">
        <w:tc>
          <w:tcPr>
            <w:tcW w:w="171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Deșeuri nepericuloase</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1529,34</w:t>
            </w:r>
          </w:p>
        </w:tc>
        <w:tc>
          <w:tcPr>
            <w:tcW w:w="151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532410,18</w:t>
            </w:r>
          </w:p>
        </w:tc>
        <w:tc>
          <w:tcPr>
            <w:tcW w:w="1484"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36512,24</w:t>
            </w:r>
          </w:p>
        </w:tc>
        <w:tc>
          <w:tcPr>
            <w:tcW w:w="146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496219,20</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1208,13</w:t>
            </w:r>
          </w:p>
        </w:tc>
      </w:tr>
      <w:tr w:rsidR="00B07C47" w:rsidRPr="006C2DD6" w:rsidTr="004E444C">
        <w:tc>
          <w:tcPr>
            <w:tcW w:w="171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Deșeuri periculoase</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2697,85</w:t>
            </w:r>
          </w:p>
        </w:tc>
        <w:tc>
          <w:tcPr>
            <w:tcW w:w="151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64320,72</w:t>
            </w:r>
          </w:p>
        </w:tc>
        <w:tc>
          <w:tcPr>
            <w:tcW w:w="1484"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2218,14</w:t>
            </w:r>
          </w:p>
        </w:tc>
        <w:tc>
          <w:tcPr>
            <w:tcW w:w="146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62502,58</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2297,85</w:t>
            </w:r>
          </w:p>
        </w:tc>
      </w:tr>
      <w:tr w:rsidR="00B07C47" w:rsidRPr="006C2DD6" w:rsidTr="004E444C">
        <w:tc>
          <w:tcPr>
            <w:tcW w:w="171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Total deșeuri generate</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4227,19</w:t>
            </w:r>
          </w:p>
        </w:tc>
        <w:tc>
          <w:tcPr>
            <w:tcW w:w="151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596730,90</w:t>
            </w:r>
          </w:p>
        </w:tc>
        <w:tc>
          <w:tcPr>
            <w:tcW w:w="1484"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38730,38</w:t>
            </w:r>
          </w:p>
        </w:tc>
        <w:tc>
          <w:tcPr>
            <w:tcW w:w="1461"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5587,21</w:t>
            </w:r>
          </w:p>
        </w:tc>
        <w:tc>
          <w:tcPr>
            <w:tcW w:w="1452" w:type="dxa"/>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3505,98</w:t>
            </w:r>
          </w:p>
        </w:tc>
      </w:tr>
    </w:tbl>
    <w:p w:rsidR="00B07C47" w:rsidRPr="006C2DD6" w:rsidRDefault="00B07C47" w:rsidP="00B07C47">
      <w:pPr>
        <w:pStyle w:val="Implicit"/>
        <w:tabs>
          <w:tab w:val="left" w:pos="1440"/>
        </w:tabs>
        <w:spacing w:after="0" w:line="240" w:lineRule="auto"/>
        <w:jc w:val="both"/>
        <w:rPr>
          <w:rFonts w:ascii="Arial" w:hAnsi="Arial" w:cs="Arial"/>
          <w:b/>
          <w:color w:val="auto"/>
          <w:lang w:val="ro-RO"/>
        </w:rPr>
      </w:pPr>
    </w:p>
    <w:p w:rsidR="00B07C47" w:rsidRPr="006C2DD6" w:rsidRDefault="00B07C47" w:rsidP="00B07C47">
      <w:pPr>
        <w:pStyle w:val="Implicit"/>
        <w:tabs>
          <w:tab w:val="left" w:pos="1440"/>
        </w:tabs>
        <w:spacing w:after="0" w:line="240" w:lineRule="auto"/>
        <w:jc w:val="both"/>
        <w:rPr>
          <w:rFonts w:ascii="Arial" w:hAnsi="Arial" w:cs="Arial"/>
          <w:b/>
          <w:color w:val="auto"/>
          <w:lang w:val="ro-RO"/>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 xml:space="preserve">Așa cum rezultă din tabelul VII.1.2.2, pentru anul 2016 majoritatea deșeurilor de producție generate au fost eliminate și într-o proporție mai mare au fost valorificate deșeurile nepericuloase. La sfârşitul anului nu existau stocuri semnificative de deşeuri de producţie în cadrul societăţilor generatoare, acestea fiind eliminate pe parcursul anului.      </w:t>
      </w:r>
    </w:p>
    <w:p w:rsidR="00B07C47" w:rsidRPr="006C2DD6" w:rsidRDefault="00B07C47" w:rsidP="00B07C47">
      <w:pPr>
        <w:spacing w:after="0" w:line="240" w:lineRule="auto"/>
        <w:jc w:val="both"/>
        <w:rPr>
          <w:rFonts w:ascii="Arial" w:hAnsi="Arial" w:cs="Arial"/>
          <w:b/>
          <w:sz w:val="24"/>
          <w:szCs w:val="24"/>
          <w:lang w:val="fr-FR"/>
        </w:rPr>
      </w:pPr>
    </w:p>
    <w:p w:rsidR="00B07C47" w:rsidRPr="006C2DD6" w:rsidRDefault="00B07C47" w:rsidP="00B07C47">
      <w:pPr>
        <w:spacing w:after="0" w:line="240" w:lineRule="auto"/>
        <w:jc w:val="both"/>
        <w:rPr>
          <w:rFonts w:ascii="Arial" w:hAnsi="Arial" w:cs="Arial"/>
          <w:b/>
          <w:sz w:val="24"/>
          <w:szCs w:val="24"/>
          <w:lang w:val="fr-FR"/>
        </w:rPr>
      </w:pPr>
      <w:r w:rsidRPr="006C2DD6">
        <w:rPr>
          <w:rFonts w:ascii="Arial" w:hAnsi="Arial" w:cs="Arial"/>
          <w:b/>
          <w:sz w:val="24"/>
          <w:szCs w:val="24"/>
          <w:lang w:val="fr-FR"/>
        </w:rPr>
        <w:t>Eliminarea deşeurilor de producţie</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Deşeurile de producţie nepericuloase, provenite de la operatorii economici, asimilabile cu cele menajere sunt eliminate la depozitul ecologic Muchea al SC Tracon SA Brăila. Nu există niciun depozit de deșeuri industriale nepericuloase în funcțiune. Depozitul neconform pentru deşeuri industriale nepericuloase al SC Celhart Donaris SA, a sistat activitatea în 2009, cu plan de închidere care trebuie finalizată în anul 2018, dar nu s-a respectat graficul de lucrări stabilite pentru anii 2014-2017(lucrările fiind sistate de la sfârșitul anului 2013). Deținătorul a depus trei solicitări de schimbare a soluției tehnice de închidere (mai simplificată) față de proiectul tehnic de închidere reglementat în anul 2012 și de decalare a unor lucrări care nu au putut fi acceptate, deoarece nu sunt în concordanță cu legislația și obligațiile de mediu a căror respectare este prioritară.</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 xml:space="preserve">Deșeurile periculoase se elimină pe depozite autorizate de deșeuri periculoase sau prin alte metode, ca de exemplu incinerarea. În judeţul Brăila există numai instalaţii de incinerare </w:t>
      </w:r>
      <w:r w:rsidRPr="006C2DD6">
        <w:rPr>
          <w:rFonts w:ascii="Arial" w:hAnsi="Arial" w:cs="Arial"/>
          <w:sz w:val="24"/>
          <w:szCs w:val="24"/>
        </w:rPr>
        <w:lastRenderedPageBreak/>
        <w:t>pentru deşeuri nepericuloase de origine animală provenite din zootehnie şi de la instalaţiile de procesare carne: trei incineratoare aferente unor ferme și alte trei instalații care deservesc linii de prelucrare carne. Acstea incinerează deci numai deșeurile proprii.</w:t>
      </w:r>
    </w:p>
    <w:p w:rsidR="00B07C47" w:rsidRPr="006C2DD6" w:rsidRDefault="00B07C47" w:rsidP="00B07C47">
      <w:pPr>
        <w:spacing w:after="0" w:line="240" w:lineRule="auto"/>
        <w:jc w:val="both"/>
        <w:rPr>
          <w:rFonts w:ascii="Arial" w:hAnsi="Arial" w:cs="Arial"/>
          <w:b/>
          <w:sz w:val="24"/>
          <w:szCs w:val="24"/>
          <w:lang w:val="fr-FR"/>
        </w:rPr>
      </w:pPr>
    </w:p>
    <w:p w:rsidR="00B07C47" w:rsidRPr="006C2DD6" w:rsidRDefault="00B07C47" w:rsidP="00B07C47">
      <w:pPr>
        <w:spacing w:after="0" w:line="240" w:lineRule="auto"/>
        <w:jc w:val="both"/>
        <w:rPr>
          <w:rFonts w:ascii="Arial" w:hAnsi="Arial" w:cs="Arial"/>
          <w:b/>
          <w:sz w:val="24"/>
          <w:szCs w:val="24"/>
          <w:lang w:val="fr-FR"/>
        </w:rPr>
      </w:pPr>
      <w:r w:rsidRPr="006C2DD6">
        <w:rPr>
          <w:rFonts w:ascii="Arial" w:hAnsi="Arial" w:cs="Arial"/>
          <w:b/>
          <w:sz w:val="24"/>
          <w:szCs w:val="24"/>
          <w:lang w:val="fr-FR"/>
        </w:rPr>
        <w:t xml:space="preserve">Eliminarea deşeurilor de producţie periculoase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În județul Brăila nu mai există depozite de deşeuri industriale periculoase în funcțiune. În localitatea Oprişeneşti au funcționat două bataluri pentru eliminarea deşeurilor de şlam petrolier care au sistat activitatea la sfârşitul anului 2006 conform calendarului de închidere a depozitelor de deşeuri periculoase din industria extractivă a petrolului, prevăzut de HG 349/2005 privind depozitarea deşeurilor. Unul s-a desfiinţat și s-a finalizat proiectul de umplere și remediere în 2014, la celălalt au fost procesate deșeurile însă nu au fost încă realizate lucrări de remediere a amplasamentului.Acestea nu ridică probleme deosebite.</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Pentru tratarea deşeurilor cu conţinut de produse petroliere, funcționează din 2010 o staţie de bioremediere în localitatea Oprişeneşti administrată de OMV Petrom. Deşeurile ce pot 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iar materialul bioremediat poate fi folosit pentru umpluturi în lucrări de excavaţii din care a fost preluat solul contaminat iar cel ce nu se încadrează în limitele stabilite de Ord. 757/1997 se elimină pe un depozit de deşeuri nepericuloase.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b/>
          <w:sz w:val="24"/>
          <w:szCs w:val="24"/>
        </w:rPr>
        <w:t xml:space="preserve">    VII.1.3 </w:t>
      </w:r>
      <w:r w:rsidRPr="006C2DD6">
        <w:rPr>
          <w:rFonts w:ascii="Arial" w:hAnsi="Arial" w:cs="Arial"/>
          <w:b/>
          <w:i/>
          <w:sz w:val="24"/>
          <w:szCs w:val="24"/>
        </w:rPr>
        <w:t>Fluxuri speciale de deşeuri</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b/>
          <w:sz w:val="24"/>
          <w:szCs w:val="24"/>
        </w:rPr>
        <w:t xml:space="preserve">         VII.1.3.1 Deșeuri de echipamente electrice și electronice (DEEE)</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 xml:space="preserve">  </w:t>
      </w:r>
      <w:r w:rsidRPr="006C2DD6">
        <w:rPr>
          <w:rFonts w:ascii="Arial" w:hAnsi="Arial" w:cs="Arial"/>
          <w:sz w:val="24"/>
          <w:szCs w:val="24"/>
        </w:rPr>
        <w:tab/>
        <w:t xml:space="preserve">În prezent, deşeurile de echipamente electrice şi electronice (DEEE) sunt considerate a fi unele dintre categoriile de deşeuri cu cea mai rapidă creştere. DEEE conţin o serie de substanţe periculoase care sunt în acelaşi timp şi materiale valoroase. Reglementările în vigoare stabilesc măsuri pentru a reduce generarea de DEEE şi pentru a spori gradul de colectare, reutilizare, reciclare şi valorificare prin responsabilizarea producătorului.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Gestionarea deşeurilor de echipamente electrice şi electronice intră sub incidenţa Directivei 2002/96/CE a Parlamentului şi Consiliului European din 27 ianuarie 2003 care a fost transpusă în legislaţia românească prin OUG nr. 5/2015 privind deșeurile de echipamente electrice și electronice Aceasta are ca obiectiv prevenirea producerii deşeurilor de echipamente electrice şi electronice, precum şi reutilizarea, reciclarea şi alte forme de valorificare a acestora, astfel încât să se reducă volumul de deşeuri eliminate.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Colectarea separată a deşeurilor de echipamente electrice şi electronice, recuperarea şi tratarea ulterioară într-un mod ecologic contribuie la reducerea impactului asupra mediului precum şi la o mai bună eficienţă a resurselor.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Producătorii de echipamente electrice şi electronice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Începând cu data de 31.12.2008 rata minimă de colectare a DEEE trebuia să fie de cel puţin </w:t>
      </w:r>
      <w:smartTag w:uri="urn:schemas-microsoft-com:office:smarttags" w:element="metricconverter">
        <w:smartTagPr>
          <w:attr w:name="ProductID" w:val="4 kg"/>
        </w:smartTagPr>
        <w:r w:rsidRPr="006C2DD6">
          <w:rPr>
            <w:rFonts w:ascii="Arial" w:hAnsi="Arial" w:cs="Arial"/>
            <w:sz w:val="24"/>
            <w:szCs w:val="24"/>
          </w:rPr>
          <w:t>4 kg</w:t>
        </w:r>
      </w:smartTag>
      <w:r w:rsidRPr="006C2DD6">
        <w:rPr>
          <w:rFonts w:ascii="Arial" w:hAnsi="Arial" w:cs="Arial"/>
          <w:sz w:val="24"/>
          <w:szCs w:val="24"/>
        </w:rPr>
        <w:t xml:space="preserve"> DEEE/locuitor, fiind stabilite şi obiective de valorificare/reciclare a DEEE, pe tip de echipament.Pentru colectarea separată a DEEE şi atingerea obiectivelor naţionale de colectare, au fost înfiinţate puncte de colectare selectivă a acestor deşeuri. În acelaşi timp </w:t>
      </w:r>
      <w:r w:rsidRPr="006C2DD6">
        <w:rPr>
          <w:rFonts w:ascii="Arial" w:hAnsi="Arial" w:cs="Arial"/>
          <w:bCs/>
          <w:sz w:val="24"/>
          <w:szCs w:val="24"/>
        </w:rPr>
        <w:t xml:space="preserve">distribuitorii, </w:t>
      </w:r>
      <w:r w:rsidRPr="006C2DD6">
        <w:rPr>
          <w:rFonts w:ascii="Arial" w:hAnsi="Arial" w:cs="Arial"/>
          <w:sz w:val="24"/>
          <w:szCs w:val="24"/>
        </w:rPr>
        <w:t>la furnizarea unui produs nou, la solicitarea 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rPr>
        <w:t>Pentru anul 2017</w:t>
      </w:r>
      <w:r w:rsidR="008D56C8">
        <w:rPr>
          <w:rFonts w:ascii="Arial" w:hAnsi="Arial" w:cs="Arial"/>
          <w:sz w:val="24"/>
          <w:szCs w:val="24"/>
        </w:rPr>
        <w:t xml:space="preserve"> </w:t>
      </w:r>
      <w:r w:rsidRPr="006C2DD6">
        <w:rPr>
          <w:rFonts w:ascii="Arial" w:hAnsi="Arial" w:cs="Arial"/>
          <w:sz w:val="24"/>
          <w:szCs w:val="24"/>
        </w:rPr>
        <w:t>în judeţul Brăila au funcționat 9 operatori economici autorizaţi pentru a desfăşura activitatea de colectare a DEEE.</w:t>
      </w:r>
    </w:p>
    <w:p w:rsidR="00B07C47" w:rsidRPr="006C2DD6" w:rsidRDefault="00B07C47" w:rsidP="00B07C47">
      <w:pPr>
        <w:autoSpaceDE w:val="0"/>
        <w:autoSpaceDN w:val="0"/>
        <w:adjustRightInd w:val="0"/>
        <w:spacing w:after="0" w:line="240" w:lineRule="auto"/>
        <w:ind w:firstLine="737"/>
        <w:jc w:val="both"/>
        <w:rPr>
          <w:rFonts w:ascii="Arial" w:hAnsi="Arial" w:cs="Arial"/>
          <w:b/>
          <w:sz w:val="24"/>
          <w:szCs w:val="24"/>
          <w:lang w:val="it-IT"/>
        </w:rPr>
      </w:pPr>
      <w:r w:rsidRPr="006C2DD6">
        <w:rPr>
          <w:rFonts w:ascii="Arial" w:hAnsi="Arial" w:cs="Arial"/>
          <w:sz w:val="24"/>
          <w:szCs w:val="24"/>
        </w:rPr>
        <w:t>În tabelul de mai jos sunt redate cantitățile de DEEE colectate și trimise la tratare în anul 2017 de agenți economici autorizați pentru colectarea acestor deșeuri.</w:t>
      </w:r>
    </w:p>
    <w:p w:rsidR="00B07C47" w:rsidRPr="006C2DD6" w:rsidRDefault="00B07C47" w:rsidP="00B07C47">
      <w:pPr>
        <w:spacing w:after="0" w:line="240" w:lineRule="auto"/>
        <w:rPr>
          <w:rFonts w:ascii="Arial" w:hAnsi="Arial" w:cs="Arial"/>
          <w:sz w:val="24"/>
          <w:szCs w:val="24"/>
          <w:lang w:val="it-IT"/>
        </w:rPr>
      </w:pPr>
      <w:r w:rsidRPr="006C2DD6">
        <w:rPr>
          <w:rFonts w:ascii="Arial" w:hAnsi="Arial" w:cs="Arial"/>
          <w:sz w:val="24"/>
          <w:szCs w:val="24"/>
          <w:lang w:val="it-IT"/>
        </w:rPr>
        <w:t xml:space="preserve">       </w:t>
      </w:r>
    </w:p>
    <w:p w:rsidR="00B07C47" w:rsidRDefault="00B07C47" w:rsidP="00B07C47">
      <w:pPr>
        <w:spacing w:after="0" w:line="240" w:lineRule="auto"/>
        <w:rPr>
          <w:rFonts w:ascii="Arial" w:hAnsi="Arial" w:cs="Arial"/>
          <w:sz w:val="24"/>
          <w:szCs w:val="24"/>
          <w:lang w:val="it-IT"/>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lang w:val="it-IT"/>
        </w:rPr>
        <w:lastRenderedPageBreak/>
        <w:t xml:space="preserve">Tabel nr. VII.1.3.1.- 2 </w:t>
      </w:r>
      <w:r w:rsidRPr="006C2DD6">
        <w:rPr>
          <w:rFonts w:ascii="Arial" w:hAnsi="Arial" w:cs="Arial"/>
          <w:sz w:val="24"/>
          <w:szCs w:val="24"/>
        </w:rPr>
        <w:t>Cantități de DEEE colectate în județul Brăila în perioada 2010-2015</w:t>
      </w:r>
    </w:p>
    <w:tbl>
      <w:tblPr>
        <w:tblW w:w="9729" w:type="dxa"/>
        <w:jc w:val="center"/>
        <w:tblLayout w:type="fixed"/>
        <w:tblLook w:val="04A0"/>
      </w:tblPr>
      <w:tblGrid>
        <w:gridCol w:w="3208"/>
        <w:gridCol w:w="1077"/>
        <w:gridCol w:w="992"/>
        <w:gridCol w:w="1012"/>
        <w:gridCol w:w="1200"/>
        <w:gridCol w:w="1106"/>
        <w:gridCol w:w="1134"/>
      </w:tblGrid>
      <w:tr w:rsidR="00B07C47" w:rsidRPr="006C2DD6" w:rsidTr="004E444C">
        <w:trPr>
          <w:trHeight w:val="300"/>
          <w:jc w:val="center"/>
        </w:trPr>
        <w:tc>
          <w:tcPr>
            <w:tcW w:w="320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Anul</w:t>
            </w:r>
          </w:p>
        </w:tc>
        <w:tc>
          <w:tcPr>
            <w:tcW w:w="1077"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1012"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2015</w:t>
            </w:r>
          </w:p>
        </w:tc>
        <w:tc>
          <w:tcPr>
            <w:tcW w:w="1106"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2016</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2017</w:t>
            </w:r>
          </w:p>
        </w:tc>
      </w:tr>
      <w:tr w:rsidR="00B07C47" w:rsidRPr="006C2DD6" w:rsidTr="004E444C">
        <w:trPr>
          <w:trHeight w:val="300"/>
          <w:jc w:val="center"/>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Cantitatea de deșeuri DEEE colectată</w:t>
            </w:r>
          </w:p>
        </w:tc>
        <w:tc>
          <w:tcPr>
            <w:tcW w:w="1077"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108,81</w:t>
            </w:r>
          </w:p>
        </w:tc>
        <w:tc>
          <w:tcPr>
            <w:tcW w:w="992"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30,75</w:t>
            </w:r>
          </w:p>
        </w:tc>
        <w:tc>
          <w:tcPr>
            <w:tcW w:w="1012"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106,75</w:t>
            </w:r>
          </w:p>
        </w:tc>
        <w:tc>
          <w:tcPr>
            <w:tcW w:w="1200"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288,8</w:t>
            </w:r>
          </w:p>
        </w:tc>
        <w:tc>
          <w:tcPr>
            <w:tcW w:w="1106"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375,185</w:t>
            </w:r>
          </w:p>
        </w:tc>
        <w:tc>
          <w:tcPr>
            <w:tcW w:w="113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74,996</w:t>
            </w:r>
          </w:p>
        </w:tc>
      </w:tr>
    </w:tbl>
    <w:p w:rsidR="00B07C47" w:rsidRPr="006C2DD6"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bCs/>
          <w:sz w:val="24"/>
          <w:szCs w:val="24"/>
          <w:lang w:val="it-IT"/>
        </w:rPr>
        <w:t>Figura</w:t>
      </w:r>
      <w:r w:rsidRPr="006C2DD6">
        <w:rPr>
          <w:rFonts w:ascii="Arial" w:hAnsi="Arial" w:cs="Arial"/>
          <w:sz w:val="24"/>
          <w:szCs w:val="24"/>
          <w:lang w:val="it-IT"/>
        </w:rPr>
        <w:t xml:space="preserve"> nr. VII.I.3.1.-1 </w:t>
      </w:r>
      <w:r w:rsidRPr="006C2DD6">
        <w:rPr>
          <w:rFonts w:ascii="Arial" w:hAnsi="Arial" w:cs="Arial"/>
          <w:sz w:val="24"/>
          <w:szCs w:val="24"/>
        </w:rPr>
        <w:t>Cantități de DEEE colectate în județul Brăila în perioada 2012-2016</w:t>
      </w:r>
    </w:p>
    <w:p w:rsidR="00B07C47" w:rsidRPr="006C2DD6" w:rsidRDefault="00B07C47" w:rsidP="00B07C47">
      <w:pPr>
        <w:spacing w:after="0" w:line="240" w:lineRule="auto"/>
        <w:rPr>
          <w:rFonts w:ascii="Arial" w:hAnsi="Arial" w:cs="Arial"/>
          <w:sz w:val="24"/>
          <w:szCs w:val="24"/>
          <w:lang w:val="en-US"/>
        </w:rPr>
      </w:pPr>
    </w:p>
    <w:p w:rsidR="00B07C47" w:rsidRPr="006C2DD6" w:rsidRDefault="00B07C47" w:rsidP="00B07C47">
      <w:pPr>
        <w:spacing w:after="0" w:line="240" w:lineRule="auto"/>
        <w:rPr>
          <w:rFonts w:ascii="Arial" w:hAnsi="Arial" w:cs="Arial"/>
          <w:sz w:val="24"/>
          <w:szCs w:val="24"/>
          <w:lang w:val="en-US"/>
        </w:rPr>
      </w:pPr>
      <w:r w:rsidRPr="006C2DD6">
        <w:rPr>
          <w:rFonts w:ascii="Arial" w:hAnsi="Arial" w:cs="Arial"/>
          <w:sz w:val="24"/>
          <w:szCs w:val="24"/>
          <w:lang w:val="en-US"/>
        </w:rPr>
        <w:t xml:space="preserve">                                   </w:t>
      </w:r>
      <w:r w:rsidRPr="006C2DD6">
        <w:rPr>
          <w:rFonts w:ascii="Arial" w:hAnsi="Arial" w:cs="Arial"/>
          <w:noProof/>
          <w:sz w:val="24"/>
          <w:szCs w:val="24"/>
        </w:rPr>
        <w:drawing>
          <wp:inline distT="0" distB="0" distL="0" distR="0">
            <wp:extent cx="3981450" cy="2133600"/>
            <wp:effectExtent l="19050" t="0" r="19050" b="0"/>
            <wp:docPr id="9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07C47" w:rsidRPr="006C2DD6" w:rsidRDefault="00B07C47" w:rsidP="00B07C47">
      <w:pPr>
        <w:spacing w:after="0" w:line="240" w:lineRule="auto"/>
        <w:rPr>
          <w:rFonts w:ascii="Arial" w:hAnsi="Arial" w:cs="Arial"/>
          <w:sz w:val="24"/>
          <w:szCs w:val="24"/>
          <w:lang w:val="en-US"/>
        </w:rPr>
      </w:pPr>
    </w:p>
    <w:p w:rsidR="00B07C47" w:rsidRPr="006C2DD6" w:rsidRDefault="00B07C47" w:rsidP="00B07C47">
      <w:pPr>
        <w:spacing w:after="0" w:line="240" w:lineRule="auto"/>
        <w:jc w:val="center"/>
        <w:rPr>
          <w:rFonts w:ascii="Arial" w:hAnsi="Arial" w:cs="Arial"/>
          <w:sz w:val="24"/>
          <w:szCs w:val="24"/>
          <w:lang w:val="en-US"/>
        </w:rPr>
      </w:pPr>
    </w:p>
    <w:p w:rsidR="00B07C47" w:rsidRPr="006C2DD6" w:rsidRDefault="00B07C47" w:rsidP="00B07C47">
      <w:pPr>
        <w:autoSpaceDE w:val="0"/>
        <w:autoSpaceDN w:val="0"/>
        <w:adjustRightInd w:val="0"/>
        <w:spacing w:after="0" w:line="240" w:lineRule="auto"/>
        <w:ind w:firstLine="737"/>
        <w:jc w:val="both"/>
        <w:rPr>
          <w:rFonts w:ascii="Arial" w:hAnsi="Arial" w:cs="Arial"/>
          <w:sz w:val="24"/>
          <w:szCs w:val="24"/>
        </w:rPr>
      </w:pPr>
      <w:r w:rsidRPr="006C2DD6">
        <w:rPr>
          <w:rFonts w:ascii="Arial" w:hAnsi="Arial" w:cs="Arial"/>
          <w:sz w:val="24"/>
          <w:szCs w:val="24"/>
        </w:rPr>
        <w:t>Totuși, cantităţile de DEEE colectate se situează  sub cele stabilite prin ţintele naţionale, fiind sub 4kg/locuitor/an.</w:t>
      </w:r>
    </w:p>
    <w:p w:rsidR="00B07C47" w:rsidRPr="006C2DD6" w:rsidRDefault="00B07C47" w:rsidP="00B07C47">
      <w:pPr>
        <w:autoSpaceDE w:val="0"/>
        <w:autoSpaceDN w:val="0"/>
        <w:adjustRightInd w:val="0"/>
        <w:spacing w:after="0" w:line="240" w:lineRule="auto"/>
        <w:ind w:firstLine="737"/>
        <w:jc w:val="both"/>
        <w:rPr>
          <w:rFonts w:ascii="Arial" w:hAnsi="Arial" w:cs="Arial"/>
          <w:b/>
          <w:sz w:val="24"/>
          <w:szCs w:val="24"/>
        </w:rPr>
      </w:pPr>
      <w:r w:rsidRPr="006C2DD6">
        <w:rPr>
          <w:rFonts w:ascii="Arial" w:hAnsi="Arial" w:cs="Arial"/>
          <w:sz w:val="24"/>
          <w:szCs w:val="24"/>
        </w:rPr>
        <w:t xml:space="preserve"> În judeţul Brăila nu există operatori economici autorizaţi pentru tratarea DEEE.</w:t>
      </w:r>
    </w:p>
    <w:p w:rsidR="00B07C47" w:rsidRPr="006C2DD6" w:rsidRDefault="00B07C47" w:rsidP="00B07C47">
      <w:pPr>
        <w:spacing w:after="0" w:line="240" w:lineRule="auto"/>
        <w:jc w:val="center"/>
        <w:rPr>
          <w:rFonts w:ascii="Arial" w:hAnsi="Arial" w:cs="Arial"/>
          <w:sz w:val="24"/>
          <w:szCs w:val="24"/>
          <w:lang w:val="en-US"/>
        </w:rPr>
      </w:pPr>
    </w:p>
    <w:p w:rsidR="00B07C47" w:rsidRPr="006C2DD6" w:rsidRDefault="00B07C47" w:rsidP="00B07C47">
      <w:pPr>
        <w:autoSpaceDE w:val="0"/>
        <w:autoSpaceDN w:val="0"/>
        <w:adjustRightInd w:val="0"/>
        <w:spacing w:after="0" w:line="240" w:lineRule="auto"/>
        <w:jc w:val="both"/>
        <w:rPr>
          <w:rFonts w:ascii="Arial" w:hAnsi="Arial" w:cs="Arial"/>
          <w:b/>
          <w:i/>
          <w:sz w:val="24"/>
          <w:szCs w:val="24"/>
        </w:rPr>
      </w:pPr>
      <w:r w:rsidRPr="006C2DD6">
        <w:rPr>
          <w:rFonts w:ascii="Arial" w:hAnsi="Arial" w:cs="Arial"/>
          <w:b/>
          <w:sz w:val="24"/>
          <w:szCs w:val="24"/>
        </w:rPr>
        <w:t xml:space="preserve">VII.1.3.2 </w:t>
      </w:r>
      <w:r w:rsidRPr="006C2DD6">
        <w:rPr>
          <w:rFonts w:ascii="Arial" w:hAnsi="Arial" w:cs="Arial"/>
          <w:b/>
          <w:i/>
          <w:sz w:val="24"/>
          <w:szCs w:val="24"/>
        </w:rPr>
        <w:t xml:space="preserve">Deşeuri de ambalaje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Ambalajele implică o utilizare a resurselor şi de obicei au o durată de viaţă scurtă. Există impactul asupra mediului începând cu extracţia resurselor, producţia de ambalaje, colectarea deşeurilor de ambalaje şi tratarea acestora până la eliminarea lor.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Deşeurile de ambalaje sunt prevăzute în reglementări naţionale specifice şi există ţinte specifice pentru reciclarea şi valorificarea lor. Informaţiile privind cantităţile de deşeuri de ambalaje generate oferă un indicator al eficienţei politicilor de prevenire a deşeurilor la nivel naţional.</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 xml:space="preserve">În acest scop, în fiecare an, autorităţile teritoriale pentru protecţia mediului realizează inventarul ambalajelor şi deşeurilor de ambalaje pentru anul precedent, conform HG 621/2005 </w:t>
      </w:r>
      <w:r w:rsidRPr="006C2DD6">
        <w:rPr>
          <w:rFonts w:ascii="Arial" w:hAnsi="Arial" w:cs="Arial"/>
          <w:bCs/>
          <w:sz w:val="24"/>
          <w:szCs w:val="24"/>
        </w:rPr>
        <w:t xml:space="preserve">privind gestionarea ambalajelor şi a deşeurilor de ambalaje cu modificările şi completările ulterioare </w:t>
      </w:r>
      <w:r w:rsidRPr="006C2DD6">
        <w:rPr>
          <w:rFonts w:ascii="Arial" w:hAnsi="Arial" w:cs="Arial"/>
          <w:sz w:val="24"/>
          <w:szCs w:val="24"/>
        </w:rPr>
        <w:t>şi a Ordinului nr. 794 din 6 februarie 2012 privind procedura de raportare a datelor referitoare la ambalaje şi deşeuri de ambalaje.</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Inventarul cuprinde:</w:t>
      </w:r>
    </w:p>
    <w:p w:rsidR="00B07C47" w:rsidRPr="006C2DD6" w:rsidRDefault="00B07C47" w:rsidP="00EF3940">
      <w:pPr>
        <w:pStyle w:val="ListParagraph"/>
        <w:numPr>
          <w:ilvl w:val="0"/>
          <w:numId w:val="49"/>
        </w:numPr>
        <w:ind w:left="714" w:hanging="357"/>
        <w:rPr>
          <w:rFonts w:ascii="Arial" w:eastAsia="Calibri" w:hAnsi="Arial" w:cs="Arial"/>
          <w:b/>
        </w:rPr>
      </w:pPr>
      <w:r w:rsidRPr="006C2DD6">
        <w:rPr>
          <w:rFonts w:ascii="Arial" w:hAnsi="Arial" w:cs="Arial"/>
        </w:rPr>
        <w:t>Operatorii economici, producători şi importatori de ambalaje de desfacere, producători/importatori de produse ambalate, precum şi cei care supraambalează produse ambalate;</w:t>
      </w:r>
    </w:p>
    <w:p w:rsidR="00B07C47" w:rsidRPr="006C2DD6" w:rsidRDefault="00B07C47" w:rsidP="00EF3940">
      <w:pPr>
        <w:pStyle w:val="ListParagraph"/>
        <w:numPr>
          <w:ilvl w:val="0"/>
          <w:numId w:val="49"/>
        </w:numPr>
        <w:ind w:left="714" w:hanging="357"/>
        <w:rPr>
          <w:rFonts w:ascii="Arial" w:hAnsi="Arial" w:cs="Arial"/>
          <w:b/>
        </w:rPr>
      </w:pPr>
      <w:r w:rsidRPr="006C2DD6">
        <w:rPr>
          <w:rFonts w:ascii="Arial" w:hAnsi="Arial" w:cs="Arial"/>
        </w:rPr>
        <w:t>Operatorii economici autorizaţi pentru desfăşurarea activităţii de colectare, reciclare sau valorificare a deşeurilor de ambalaje, comercianţii de deşeuri de ambalaje şi operatorii de salubritate care desfăşoară şi activitatea de colectare ca operator economic autorizat pentru colectarea deşeurilor de ambalaje;</w:t>
      </w:r>
    </w:p>
    <w:p w:rsidR="00B07C47" w:rsidRPr="006C2DD6" w:rsidRDefault="00B07C47" w:rsidP="00EF3940">
      <w:pPr>
        <w:pStyle w:val="ListParagraph"/>
        <w:numPr>
          <w:ilvl w:val="0"/>
          <w:numId w:val="49"/>
        </w:numPr>
        <w:ind w:left="714" w:hanging="357"/>
        <w:rPr>
          <w:rFonts w:ascii="Arial" w:hAnsi="Arial" w:cs="Arial"/>
          <w:b/>
        </w:rPr>
      </w:pPr>
      <w:r w:rsidRPr="006C2DD6">
        <w:rPr>
          <w:rFonts w:ascii="Arial" w:hAnsi="Arial" w:cs="Arial"/>
        </w:rPr>
        <w:t>Autorităţile administraţiei publice locale sunt obligate să transmită datele privind deşeurile de ambalaje colectate prin serviciul public de salubrizare a localităţii, în baza datelor furnizate de către operatorii serviciului de salubrizare care deservesc localitatea respectivă;</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 xml:space="preserve">Implementarea noului Ordin privind procedura de raportare implică realizarea unei aplicații prin intermediul căreia trebuie introduse datele ce trebuie raportate. Această aplicație face parte din cadrul proiectului SIM (Sistem Integrat de Mediu) și permite introducerea datelor on-line direct de către operatorul economic. Aplicația  a fost implementată, operatorii economici s-au înscris în sistem și au făcut raportarea ”on-line” în baza de date creată de către Agenția Națională pentru Protecția Mediului. Datele prezentate, sunt date statistice, înregistrate (introduse) în </w:t>
      </w:r>
      <w:r w:rsidRPr="006C2DD6">
        <w:rPr>
          <w:rFonts w:ascii="Arial" w:hAnsi="Arial" w:cs="Arial"/>
          <w:sz w:val="24"/>
          <w:szCs w:val="24"/>
        </w:rPr>
        <w:lastRenderedPageBreak/>
        <w:t xml:space="preserve">paralel de către agenția locală de mediu reprezentând cantitățile de ambalaje gestionate în anul 2014. Singurele date pe care le deținem sunt cele statistice privind raportorii care fac obiectul inventarului, precum și cantitățile de ambalaje gestionate. </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 xml:space="preserve">Astfel pentru anul 2014 au fost inventariaţi un număr de </w:t>
      </w:r>
      <w:r w:rsidRPr="006C2DD6">
        <w:rPr>
          <w:rFonts w:ascii="Arial" w:hAnsi="Arial" w:cs="Arial"/>
          <w:bCs/>
          <w:sz w:val="24"/>
          <w:szCs w:val="24"/>
        </w:rPr>
        <w:t>110 operatorii</w:t>
      </w:r>
      <w:r w:rsidRPr="006C2DD6">
        <w:rPr>
          <w:rFonts w:ascii="Arial" w:hAnsi="Arial" w:cs="Arial"/>
          <w:sz w:val="24"/>
          <w:szCs w:val="24"/>
        </w:rPr>
        <w:t xml:space="preserve"> economici </w:t>
      </w:r>
      <w:r w:rsidRPr="006C2DD6">
        <w:rPr>
          <w:rFonts w:ascii="Arial" w:hAnsi="Arial" w:cs="Arial"/>
          <w:bCs/>
          <w:sz w:val="24"/>
          <w:szCs w:val="24"/>
        </w:rPr>
        <w:t xml:space="preserve">care intră sub incidenţa legislaţiei menţionate, (dintre aceştia, 52 au predat responsabilitatea catre 6 operatori autorizaţi pentru preluarea responsabilităţii de realizare a obiectivelor de valorificare/reciclare) </w:t>
      </w:r>
      <w:r w:rsidRPr="006C2DD6">
        <w:rPr>
          <w:rFonts w:ascii="Arial" w:hAnsi="Arial" w:cs="Arial"/>
          <w:sz w:val="24"/>
          <w:szCs w:val="24"/>
        </w:rPr>
        <w:t>după cum urmează:</w:t>
      </w:r>
    </w:p>
    <w:p w:rsidR="00B07C47" w:rsidRPr="006C2DD6" w:rsidRDefault="00B07C47" w:rsidP="00EF3940">
      <w:pPr>
        <w:pStyle w:val="ListParagraph"/>
        <w:numPr>
          <w:ilvl w:val="0"/>
          <w:numId w:val="62"/>
        </w:numPr>
        <w:jc w:val="both"/>
        <w:rPr>
          <w:rStyle w:val="do1"/>
          <w:rFonts w:ascii="Arial" w:hAnsi="Arial" w:cs="Arial"/>
          <w:b w:val="0"/>
        </w:rPr>
      </w:pPr>
      <w:r w:rsidRPr="006C2DD6">
        <w:rPr>
          <w:rStyle w:val="do1"/>
          <w:rFonts w:ascii="Arial" w:hAnsi="Arial" w:cs="Arial"/>
        </w:rPr>
        <w:t>36 producători și importatori de ambalaje şi produse ambalate ;</w:t>
      </w:r>
    </w:p>
    <w:p w:rsidR="00B07C47" w:rsidRPr="006C2DD6" w:rsidRDefault="00B07C47" w:rsidP="00EF3940">
      <w:pPr>
        <w:pStyle w:val="ListParagraph"/>
        <w:numPr>
          <w:ilvl w:val="0"/>
          <w:numId w:val="62"/>
        </w:numPr>
        <w:jc w:val="both"/>
        <w:rPr>
          <w:rStyle w:val="do1"/>
          <w:rFonts w:ascii="Arial" w:hAnsi="Arial" w:cs="Arial"/>
          <w:b w:val="0"/>
        </w:rPr>
      </w:pPr>
      <w:r w:rsidRPr="006C2DD6">
        <w:rPr>
          <w:rStyle w:val="do1"/>
          <w:rFonts w:ascii="Arial" w:hAnsi="Arial" w:cs="Arial"/>
        </w:rPr>
        <w:t xml:space="preserve">6 producători de ambalaje; </w:t>
      </w:r>
    </w:p>
    <w:p w:rsidR="00B07C47" w:rsidRPr="006C2DD6" w:rsidRDefault="00B07C47" w:rsidP="00EF3940">
      <w:pPr>
        <w:pStyle w:val="ListParagraph"/>
        <w:numPr>
          <w:ilvl w:val="0"/>
          <w:numId w:val="62"/>
        </w:numPr>
        <w:jc w:val="both"/>
        <w:rPr>
          <w:rStyle w:val="do1"/>
          <w:rFonts w:ascii="Arial" w:hAnsi="Arial" w:cs="Arial"/>
          <w:b w:val="0"/>
        </w:rPr>
      </w:pPr>
      <w:r w:rsidRPr="006C2DD6">
        <w:rPr>
          <w:rStyle w:val="do1"/>
          <w:rFonts w:ascii="Arial" w:hAnsi="Arial" w:cs="Arial"/>
        </w:rPr>
        <w:t>7 colectori de deşeuri de ambalaje;</w:t>
      </w:r>
    </w:p>
    <w:p w:rsidR="00B07C47" w:rsidRPr="006C2DD6" w:rsidRDefault="00B07C47" w:rsidP="00EF3940">
      <w:pPr>
        <w:pStyle w:val="ListParagraph"/>
        <w:numPr>
          <w:ilvl w:val="0"/>
          <w:numId w:val="62"/>
        </w:numPr>
        <w:jc w:val="both"/>
        <w:rPr>
          <w:rStyle w:val="do1"/>
          <w:rFonts w:ascii="Arial" w:hAnsi="Arial" w:cs="Arial"/>
          <w:b w:val="0"/>
        </w:rPr>
      </w:pPr>
      <w:r w:rsidRPr="006C2DD6">
        <w:rPr>
          <w:rStyle w:val="do1"/>
          <w:rFonts w:ascii="Arial" w:hAnsi="Arial" w:cs="Arial"/>
        </w:rPr>
        <w:t>6 operatori autorizaţi pentru preluarea responsabilităţii de realizare a obiectivelor de valorificare/reciclare;</w:t>
      </w:r>
    </w:p>
    <w:p w:rsidR="00B07C47" w:rsidRPr="006C2DD6" w:rsidRDefault="00B07C47" w:rsidP="00EF3940">
      <w:pPr>
        <w:pStyle w:val="ListParagraph"/>
        <w:numPr>
          <w:ilvl w:val="0"/>
          <w:numId w:val="62"/>
        </w:numPr>
        <w:jc w:val="both"/>
        <w:rPr>
          <w:rStyle w:val="do1"/>
          <w:rFonts w:ascii="Arial" w:hAnsi="Arial" w:cs="Arial"/>
          <w:b w:val="0"/>
          <w:bCs w:val="0"/>
        </w:rPr>
      </w:pPr>
      <w:r w:rsidRPr="006C2DD6">
        <w:rPr>
          <w:rStyle w:val="do1"/>
          <w:rFonts w:ascii="Arial" w:hAnsi="Arial" w:cs="Arial"/>
        </w:rPr>
        <w:t>Primariile Brăila, Ianca, Făurei şi Însurăţei.</w:t>
      </w:r>
    </w:p>
    <w:p w:rsidR="00B07C47" w:rsidRPr="006C2DD6" w:rsidRDefault="00B07C47" w:rsidP="00B07C47">
      <w:pPr>
        <w:pStyle w:val="ListParagraph"/>
        <w:rPr>
          <w:rFonts w:ascii="Arial" w:hAnsi="Arial" w:cs="Arial"/>
          <w:b/>
        </w:rPr>
      </w:pPr>
      <w:r w:rsidRPr="006C2DD6">
        <w:rPr>
          <w:rFonts w:ascii="Arial" w:hAnsi="Arial" w:cs="Arial"/>
        </w:rPr>
        <w:t>Tabel nr. VII.1.3.2.1 Cantitatea de ambalaje colectate in județul Brăila</w:t>
      </w:r>
    </w:p>
    <w:tbl>
      <w:tblPr>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E0"/>
      </w:tblPr>
      <w:tblGrid>
        <w:gridCol w:w="2932"/>
        <w:gridCol w:w="5103"/>
      </w:tblGrid>
      <w:tr w:rsidR="00B07C47" w:rsidRPr="006C2DD6" w:rsidTr="004E444C">
        <w:tc>
          <w:tcPr>
            <w:tcW w:w="2932" w:type="dxa"/>
            <w:shd w:val="clear" w:color="auto" w:fill="EEECE1" w:themeFill="background2"/>
          </w:tcPr>
          <w:p w:rsidR="00B07C47" w:rsidRPr="006C2DD6" w:rsidRDefault="00B07C47" w:rsidP="004E444C">
            <w:pPr>
              <w:pStyle w:val="ListParagraph"/>
              <w:ind w:left="0"/>
              <w:jc w:val="center"/>
              <w:rPr>
                <w:rStyle w:val="do1"/>
                <w:rFonts w:ascii="Arial" w:hAnsi="Arial" w:cs="Arial"/>
              </w:rPr>
            </w:pPr>
          </w:p>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Anul</w:t>
            </w:r>
          </w:p>
        </w:tc>
        <w:tc>
          <w:tcPr>
            <w:tcW w:w="5103" w:type="dxa"/>
            <w:shd w:val="clear" w:color="auto" w:fill="EEECE1" w:themeFill="background2"/>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Cantitatea de ambalaje colectată</w:t>
            </w:r>
          </w:p>
          <w:p w:rsidR="00B07C47" w:rsidRPr="006C2DD6" w:rsidRDefault="00B07C47" w:rsidP="004E444C">
            <w:pPr>
              <w:pStyle w:val="ListParagraph"/>
              <w:ind w:left="0"/>
              <w:jc w:val="center"/>
              <w:rPr>
                <w:rStyle w:val="do1"/>
                <w:rFonts w:ascii="Arial" w:hAnsi="Arial" w:cs="Arial"/>
              </w:rPr>
            </w:pPr>
            <w:r w:rsidRPr="006C2DD6">
              <w:rPr>
                <w:rFonts w:ascii="Arial" w:hAnsi="Arial" w:cs="Arial"/>
              </w:rPr>
              <w:t>[ t ]</w:t>
            </w:r>
          </w:p>
        </w:tc>
      </w:tr>
      <w:tr w:rsidR="00B07C47" w:rsidRPr="006C2DD6" w:rsidTr="004E444C">
        <w:tc>
          <w:tcPr>
            <w:tcW w:w="2932"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2013</w:t>
            </w:r>
          </w:p>
        </w:tc>
        <w:tc>
          <w:tcPr>
            <w:tcW w:w="5103"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2640,87</w:t>
            </w:r>
          </w:p>
        </w:tc>
      </w:tr>
      <w:tr w:rsidR="00B07C47" w:rsidRPr="006C2DD6" w:rsidTr="004E444C">
        <w:tc>
          <w:tcPr>
            <w:tcW w:w="2932"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2014</w:t>
            </w:r>
          </w:p>
        </w:tc>
        <w:tc>
          <w:tcPr>
            <w:tcW w:w="5103"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29370,71</w:t>
            </w:r>
          </w:p>
        </w:tc>
      </w:tr>
      <w:tr w:rsidR="00B07C47" w:rsidRPr="006C2DD6" w:rsidTr="004E444C">
        <w:tc>
          <w:tcPr>
            <w:tcW w:w="2932"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2015</w:t>
            </w:r>
          </w:p>
        </w:tc>
        <w:tc>
          <w:tcPr>
            <w:tcW w:w="5103" w:type="dxa"/>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11540,94</w:t>
            </w:r>
          </w:p>
        </w:tc>
      </w:tr>
    </w:tbl>
    <w:p w:rsidR="00B07C47" w:rsidRPr="006C2DD6" w:rsidRDefault="00B07C47" w:rsidP="00B07C47">
      <w:pPr>
        <w:pStyle w:val="ListParagraph"/>
        <w:rPr>
          <w:rStyle w:val="do1"/>
          <w:rFonts w:ascii="Arial" w:hAnsi="Arial" w:cs="Arial"/>
        </w:rPr>
      </w:pPr>
    </w:p>
    <w:p w:rsidR="00B07C47" w:rsidRPr="006C2DD6" w:rsidRDefault="00B07C47" w:rsidP="00B07C47">
      <w:pPr>
        <w:pStyle w:val="ListParagraph"/>
        <w:rPr>
          <w:rStyle w:val="do1"/>
          <w:rFonts w:ascii="Arial" w:hAnsi="Arial" w:cs="Arial"/>
          <w:b w:val="0"/>
        </w:rPr>
      </w:pPr>
      <w:r w:rsidRPr="006C2DD6">
        <w:rPr>
          <w:rStyle w:val="do1"/>
          <w:rFonts w:ascii="Arial" w:hAnsi="Arial" w:cs="Arial"/>
        </w:rPr>
        <w:t>Cantitatea de deseuri de ambalaje colectate la nivelul județului Brăila-2015</w:t>
      </w:r>
    </w:p>
    <w:p w:rsidR="00B07C47" w:rsidRPr="006C2DD6" w:rsidRDefault="00B07C47" w:rsidP="00B07C47">
      <w:pPr>
        <w:pStyle w:val="ListParagraph"/>
        <w:ind w:left="0"/>
        <w:jc w:val="center"/>
        <w:rPr>
          <w:rStyle w:val="do1"/>
          <w:rFonts w:ascii="Arial" w:hAnsi="Arial" w:cs="Arial"/>
        </w:rPr>
      </w:pPr>
    </w:p>
    <w:tbl>
      <w:tblPr>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E0"/>
      </w:tblPr>
      <w:tblGrid>
        <w:gridCol w:w="2932"/>
        <w:gridCol w:w="2655"/>
        <w:gridCol w:w="2448"/>
      </w:tblGrid>
      <w:tr w:rsidR="00B07C47" w:rsidRPr="006C2DD6" w:rsidTr="004E444C">
        <w:tc>
          <w:tcPr>
            <w:tcW w:w="2932" w:type="dxa"/>
            <w:vMerge w:val="restart"/>
            <w:shd w:val="clear" w:color="auto" w:fill="EEECE1" w:themeFill="background2"/>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Material</w:t>
            </w:r>
          </w:p>
        </w:tc>
        <w:tc>
          <w:tcPr>
            <w:tcW w:w="5103" w:type="dxa"/>
            <w:gridSpan w:val="2"/>
            <w:shd w:val="clear" w:color="auto" w:fill="EEECE1" w:themeFill="background2"/>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Cantitatea de deseuri de ambalaje colectate</w:t>
            </w:r>
          </w:p>
        </w:tc>
      </w:tr>
      <w:tr w:rsidR="00B07C47" w:rsidRPr="006C2DD6" w:rsidTr="004E444C">
        <w:tc>
          <w:tcPr>
            <w:tcW w:w="2932" w:type="dxa"/>
            <w:vMerge/>
            <w:shd w:val="clear" w:color="auto" w:fill="EEECE1" w:themeFill="background2"/>
          </w:tcPr>
          <w:p w:rsidR="00B07C47" w:rsidRPr="006C2DD6" w:rsidRDefault="00B07C47" w:rsidP="004E444C">
            <w:pPr>
              <w:pStyle w:val="ListParagraph"/>
              <w:ind w:left="0"/>
              <w:jc w:val="center"/>
              <w:rPr>
                <w:rStyle w:val="do1"/>
                <w:rFonts w:ascii="Arial" w:hAnsi="Arial" w:cs="Arial"/>
              </w:rPr>
            </w:pPr>
          </w:p>
        </w:tc>
        <w:tc>
          <w:tcPr>
            <w:tcW w:w="2655" w:type="dxa"/>
            <w:tcBorders>
              <w:right w:val="single" w:sz="4" w:space="0" w:color="auto"/>
            </w:tcBorders>
            <w:shd w:val="clear" w:color="auto" w:fill="EEECE1" w:themeFill="background2"/>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 xml:space="preserve">Cantitate totală </w:t>
            </w:r>
          </w:p>
          <w:p w:rsidR="00B07C47" w:rsidRPr="006C2DD6" w:rsidRDefault="00B07C47" w:rsidP="004E444C">
            <w:pPr>
              <w:pStyle w:val="ListParagraph"/>
              <w:ind w:left="0"/>
              <w:jc w:val="center"/>
              <w:rPr>
                <w:rStyle w:val="do1"/>
                <w:rFonts w:ascii="Arial" w:hAnsi="Arial" w:cs="Arial"/>
              </w:rPr>
            </w:pPr>
            <w:r w:rsidRPr="006C2DD6">
              <w:rPr>
                <w:rFonts w:ascii="Arial" w:hAnsi="Arial" w:cs="Arial"/>
              </w:rPr>
              <w:t>[ t ]</w:t>
            </w:r>
          </w:p>
        </w:tc>
        <w:tc>
          <w:tcPr>
            <w:tcW w:w="2448" w:type="dxa"/>
            <w:tcBorders>
              <w:left w:val="single" w:sz="4" w:space="0" w:color="auto"/>
            </w:tcBorders>
            <w:shd w:val="clear" w:color="auto" w:fill="EEECE1" w:themeFill="background2"/>
          </w:tcPr>
          <w:p w:rsidR="00B07C47" w:rsidRPr="006C2DD6" w:rsidRDefault="00B07C47" w:rsidP="004E444C">
            <w:pPr>
              <w:pStyle w:val="ListParagraph"/>
              <w:ind w:left="0"/>
              <w:jc w:val="center"/>
              <w:rPr>
                <w:rStyle w:val="do1"/>
                <w:rFonts w:ascii="Arial" w:hAnsi="Arial" w:cs="Arial"/>
              </w:rPr>
            </w:pPr>
            <w:r w:rsidRPr="006C2DD6">
              <w:rPr>
                <w:rStyle w:val="do1"/>
                <w:rFonts w:ascii="Arial" w:hAnsi="Arial" w:cs="Arial"/>
              </w:rPr>
              <w:t xml:space="preserve">Din care deșeuri periculoase </w:t>
            </w:r>
          </w:p>
          <w:p w:rsidR="00B07C47" w:rsidRPr="006C2DD6" w:rsidRDefault="00B07C47" w:rsidP="004E444C">
            <w:pPr>
              <w:pStyle w:val="ListParagraph"/>
              <w:ind w:left="0"/>
              <w:jc w:val="center"/>
              <w:rPr>
                <w:rStyle w:val="do1"/>
                <w:rFonts w:ascii="Arial" w:hAnsi="Arial" w:cs="Arial"/>
              </w:rPr>
            </w:pPr>
            <w:r w:rsidRPr="006C2DD6">
              <w:rPr>
                <w:rFonts w:ascii="Arial" w:hAnsi="Arial" w:cs="Arial"/>
              </w:rPr>
              <w:t>[ t ]</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Sticla</w:t>
            </w:r>
          </w:p>
        </w:tc>
        <w:tc>
          <w:tcPr>
            <w:tcW w:w="2655" w:type="dxa"/>
            <w:tcBorders>
              <w:righ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Pet</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517,006</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Alte plastice</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343,865</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7,25</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Total plastic</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bCs w:val="0"/>
                <w:sz w:val="24"/>
                <w:szCs w:val="24"/>
              </w:rPr>
            </w:pPr>
            <w:r w:rsidRPr="006C2DD6">
              <w:rPr>
                <w:rStyle w:val="do1"/>
                <w:rFonts w:ascii="Arial" w:eastAsia="Times New Roman" w:hAnsi="Arial" w:cs="Arial"/>
                <w:sz w:val="24"/>
                <w:szCs w:val="24"/>
              </w:rPr>
              <w:t>860,871</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Hartie și carton</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3715,123</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1,84</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Aluminiu</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24,323</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Otel</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255,822</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Total metal</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bCs w:val="0"/>
                <w:sz w:val="24"/>
                <w:szCs w:val="24"/>
              </w:rPr>
            </w:pPr>
            <w:r w:rsidRPr="006C2DD6">
              <w:rPr>
                <w:rStyle w:val="do1"/>
                <w:rFonts w:ascii="Arial" w:eastAsia="Times New Roman" w:hAnsi="Arial" w:cs="Arial"/>
                <w:sz w:val="24"/>
                <w:szCs w:val="24"/>
              </w:rPr>
              <w:t>280,145</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Lemn</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sz w:val="24"/>
                <w:szCs w:val="24"/>
              </w:rPr>
            </w:pPr>
            <w:r w:rsidRPr="006C2DD6">
              <w:rPr>
                <w:rStyle w:val="do1"/>
                <w:rFonts w:ascii="Arial" w:eastAsia="Times New Roman" w:hAnsi="Arial" w:cs="Arial"/>
                <w:sz w:val="24"/>
                <w:szCs w:val="24"/>
              </w:rPr>
              <w:t>1042,84</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0</w:t>
            </w:r>
          </w:p>
        </w:tc>
      </w:tr>
      <w:tr w:rsidR="00B07C47" w:rsidRPr="006C2DD6" w:rsidTr="004E444C">
        <w:tc>
          <w:tcPr>
            <w:tcW w:w="2932" w:type="dxa"/>
            <w:vAlign w:val="center"/>
          </w:tcPr>
          <w:p w:rsidR="00B07C47" w:rsidRPr="006C2DD6" w:rsidRDefault="00B07C47" w:rsidP="004E444C">
            <w:pPr>
              <w:pStyle w:val="ListParagraph"/>
              <w:ind w:left="0"/>
              <w:rPr>
                <w:rStyle w:val="do1"/>
                <w:rFonts w:ascii="Arial" w:hAnsi="Arial" w:cs="Arial"/>
                <w:b w:val="0"/>
              </w:rPr>
            </w:pPr>
            <w:r w:rsidRPr="006C2DD6">
              <w:rPr>
                <w:rStyle w:val="do1"/>
                <w:rFonts w:ascii="Arial" w:hAnsi="Arial" w:cs="Arial"/>
              </w:rPr>
              <w:t>Total general</w:t>
            </w:r>
          </w:p>
        </w:tc>
        <w:tc>
          <w:tcPr>
            <w:tcW w:w="2655" w:type="dxa"/>
            <w:tcBorders>
              <w:right w:val="single" w:sz="4" w:space="0" w:color="auto"/>
            </w:tcBorders>
            <w:vAlign w:val="center"/>
          </w:tcPr>
          <w:p w:rsidR="00B07C47" w:rsidRPr="006C2DD6" w:rsidRDefault="00B07C47" w:rsidP="004E444C">
            <w:pPr>
              <w:spacing w:after="0" w:line="240" w:lineRule="auto"/>
              <w:jc w:val="center"/>
              <w:rPr>
                <w:rStyle w:val="do1"/>
                <w:rFonts w:ascii="Arial" w:eastAsia="Times New Roman" w:hAnsi="Arial" w:cs="Arial"/>
                <w:b w:val="0"/>
                <w:bCs w:val="0"/>
                <w:sz w:val="24"/>
                <w:szCs w:val="24"/>
              </w:rPr>
            </w:pPr>
            <w:r w:rsidRPr="006C2DD6">
              <w:rPr>
                <w:rStyle w:val="do1"/>
                <w:rFonts w:ascii="Arial" w:eastAsia="Times New Roman" w:hAnsi="Arial" w:cs="Arial"/>
                <w:sz w:val="24"/>
                <w:szCs w:val="24"/>
              </w:rPr>
              <w:t>7039,995</w:t>
            </w:r>
          </w:p>
        </w:tc>
        <w:tc>
          <w:tcPr>
            <w:tcW w:w="2448" w:type="dxa"/>
            <w:tcBorders>
              <w:left w:val="single" w:sz="4" w:space="0" w:color="auto"/>
            </w:tcBorders>
            <w:vAlign w:val="center"/>
          </w:tcPr>
          <w:p w:rsidR="00B07C47" w:rsidRPr="006C2DD6" w:rsidRDefault="00B07C47" w:rsidP="004E444C">
            <w:pPr>
              <w:pStyle w:val="ListParagraph"/>
              <w:ind w:left="0"/>
              <w:jc w:val="center"/>
              <w:rPr>
                <w:rStyle w:val="do1"/>
                <w:rFonts w:ascii="Arial" w:hAnsi="Arial" w:cs="Arial"/>
                <w:b w:val="0"/>
              </w:rPr>
            </w:pPr>
            <w:r w:rsidRPr="006C2DD6">
              <w:rPr>
                <w:rStyle w:val="do1"/>
                <w:rFonts w:ascii="Arial" w:hAnsi="Arial" w:cs="Arial"/>
              </w:rPr>
              <w:t>9,09</w:t>
            </w:r>
          </w:p>
        </w:tc>
      </w:tr>
    </w:tbl>
    <w:p w:rsidR="00B07C47" w:rsidRPr="006C2DD6" w:rsidRDefault="00B07C47" w:rsidP="00B07C47">
      <w:pPr>
        <w:pStyle w:val="ListParagraph"/>
        <w:ind w:left="0"/>
        <w:jc w:val="center"/>
        <w:rPr>
          <w:rStyle w:val="do1"/>
          <w:rFonts w:ascii="Arial" w:hAnsi="Arial" w:cs="Arial"/>
        </w:rPr>
      </w:pPr>
    </w:p>
    <w:p w:rsidR="00B07C47" w:rsidRPr="006C2DD6" w:rsidRDefault="00B07C47" w:rsidP="00B07C47">
      <w:pPr>
        <w:pStyle w:val="ListParagraph"/>
        <w:rPr>
          <w:rStyle w:val="do1"/>
          <w:rFonts w:ascii="Arial" w:hAnsi="Arial" w:cs="Arial"/>
          <w:b w:val="0"/>
        </w:rPr>
      </w:pPr>
    </w:p>
    <w:p w:rsidR="00B07C47" w:rsidRPr="006C2DD6" w:rsidRDefault="00B07C47" w:rsidP="00B07C47">
      <w:pPr>
        <w:spacing w:after="0" w:line="240" w:lineRule="auto"/>
        <w:rPr>
          <w:rFonts w:ascii="Arial" w:hAnsi="Arial" w:cs="Arial"/>
          <w:b/>
          <w:sz w:val="24"/>
          <w:szCs w:val="24"/>
        </w:rPr>
      </w:pPr>
      <w:r w:rsidRPr="006C2DD6">
        <w:rPr>
          <w:rFonts w:ascii="Arial" w:hAnsi="Arial" w:cs="Arial"/>
          <w:sz w:val="24"/>
          <w:szCs w:val="24"/>
        </w:rPr>
        <w:t xml:space="preserve">Tabel nr VII.1.3.2.2 Deșeuri de ambalaje valorificate la nivel național </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071"/>
        <w:gridCol w:w="1017"/>
        <w:gridCol w:w="853"/>
        <w:gridCol w:w="1017"/>
        <w:gridCol w:w="853"/>
        <w:gridCol w:w="1017"/>
        <w:gridCol w:w="853"/>
        <w:gridCol w:w="1017"/>
        <w:gridCol w:w="853"/>
        <w:gridCol w:w="1017"/>
        <w:gridCol w:w="854"/>
      </w:tblGrid>
      <w:tr w:rsidR="00B07C47" w:rsidRPr="006C2DD6" w:rsidTr="004E444C">
        <w:trPr>
          <w:jc w:val="center"/>
        </w:trPr>
        <w:tc>
          <w:tcPr>
            <w:tcW w:w="962" w:type="dxa"/>
            <w:vMerge w:val="restart"/>
            <w:shd w:val="clear" w:color="auto" w:fill="EEECE1" w:themeFill="background2"/>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Tip material</w:t>
            </w:r>
          </w:p>
        </w:tc>
        <w:tc>
          <w:tcPr>
            <w:tcW w:w="1924"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1925"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1926"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1926"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1928"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r>
      <w:tr w:rsidR="00B07C47" w:rsidRPr="006C2DD6" w:rsidTr="004E444C">
        <w:trPr>
          <w:jc w:val="center"/>
        </w:trPr>
        <w:tc>
          <w:tcPr>
            <w:tcW w:w="962" w:type="dxa"/>
            <w:vMerge/>
            <w:shd w:val="clear" w:color="auto" w:fill="EEECE1" w:themeFill="background2"/>
          </w:tcPr>
          <w:p w:rsidR="00B07C47" w:rsidRPr="006C2DD6" w:rsidRDefault="00B07C47" w:rsidP="004E444C">
            <w:pPr>
              <w:spacing w:after="0" w:line="240" w:lineRule="auto"/>
              <w:rPr>
                <w:rFonts w:ascii="Arial" w:hAnsi="Arial" w:cs="Arial"/>
                <w:b/>
                <w:sz w:val="24"/>
                <w:szCs w:val="24"/>
              </w:rPr>
            </w:pPr>
          </w:p>
        </w:tc>
        <w:tc>
          <w:tcPr>
            <w:tcW w:w="962"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962"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62"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963"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63"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963"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63"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963"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64"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964"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Sticlă</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91031</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56,78</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83790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59,97</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106192</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66,26</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73467</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49,24</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92088</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55,97</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Plastic</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86945</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30,93</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120370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43,17</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154778</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51,93</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158218</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54,51</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173084</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51,39</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Hârtie și carton</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194751</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73,22</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199340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68,01</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212648</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70,16</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239745</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76,95</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325139</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83,79</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Metal</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36267</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65,68</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34410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62,30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32398</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55,54</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28732</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52,81</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36462</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55,53</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Lemn</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62033</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29,28</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101950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45,20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102696</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42,83</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73886</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29,71</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89660</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30,95</w:t>
            </w:r>
          </w:p>
        </w:tc>
      </w:tr>
      <w:tr w:rsidR="00B07C47" w:rsidRPr="006C2DD6" w:rsidTr="004E444C">
        <w:trPr>
          <w:jc w:val="center"/>
        </w:trPr>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Altele</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3"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64"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r>
    </w:tbl>
    <w:p w:rsidR="00B07C47" w:rsidRPr="006C2DD6" w:rsidRDefault="00B07C47" w:rsidP="00B07C47">
      <w:pPr>
        <w:spacing w:after="0" w:line="240" w:lineRule="auto"/>
        <w:rPr>
          <w:rFonts w:ascii="Arial" w:hAnsi="Arial" w:cs="Arial"/>
          <w:b/>
          <w:sz w:val="24"/>
          <w:szCs w:val="24"/>
        </w:rPr>
      </w:pPr>
    </w:p>
    <w:p w:rsidR="00B07C47" w:rsidRDefault="00B07C47" w:rsidP="00B07C47">
      <w:pPr>
        <w:spacing w:after="0" w:line="240" w:lineRule="auto"/>
        <w:rPr>
          <w:rFonts w:ascii="Arial" w:hAnsi="Arial" w:cs="Arial"/>
          <w:sz w:val="24"/>
          <w:szCs w:val="24"/>
        </w:rPr>
      </w:pPr>
    </w:p>
    <w:p w:rsidR="00B07C47" w:rsidRPr="006C2DD6" w:rsidRDefault="00B07C47" w:rsidP="00B07C47">
      <w:pPr>
        <w:spacing w:after="0" w:line="240" w:lineRule="auto"/>
        <w:rPr>
          <w:rFonts w:ascii="Arial" w:hAnsi="Arial" w:cs="Arial"/>
          <w:sz w:val="24"/>
          <w:szCs w:val="24"/>
        </w:rPr>
      </w:pPr>
      <w:r w:rsidRPr="006C2DD6">
        <w:rPr>
          <w:rFonts w:ascii="Arial" w:hAnsi="Arial" w:cs="Arial"/>
          <w:sz w:val="24"/>
          <w:szCs w:val="24"/>
        </w:rPr>
        <w:lastRenderedPageBreak/>
        <w:t xml:space="preserve">Tabel nr. VII.1.3.2.3  Deșeuri de ambalaje reciclate la nivel național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42"/>
        <w:gridCol w:w="1017"/>
        <w:gridCol w:w="817"/>
        <w:gridCol w:w="1017"/>
        <w:gridCol w:w="817"/>
        <w:gridCol w:w="1017"/>
        <w:gridCol w:w="817"/>
        <w:gridCol w:w="1017"/>
        <w:gridCol w:w="817"/>
        <w:gridCol w:w="1017"/>
        <w:gridCol w:w="817"/>
      </w:tblGrid>
      <w:tr w:rsidR="00B07C47" w:rsidRPr="006C2DD6" w:rsidTr="004E444C">
        <w:tc>
          <w:tcPr>
            <w:tcW w:w="1242" w:type="dxa"/>
            <w:vMerge w:val="restart"/>
            <w:shd w:val="clear" w:color="auto" w:fill="EEECE1" w:themeFill="background2"/>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Tip material</w:t>
            </w:r>
          </w:p>
        </w:tc>
        <w:tc>
          <w:tcPr>
            <w:tcW w:w="1551"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1765"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1765"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1765"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1765" w:type="dxa"/>
            <w:gridSpan w:val="2"/>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r>
      <w:tr w:rsidR="00B07C47" w:rsidRPr="006C2DD6" w:rsidTr="004E444C">
        <w:tc>
          <w:tcPr>
            <w:tcW w:w="1242" w:type="dxa"/>
            <w:vMerge/>
            <w:shd w:val="clear" w:color="auto" w:fill="EEECE1" w:themeFill="background2"/>
          </w:tcPr>
          <w:p w:rsidR="00B07C47" w:rsidRPr="006C2DD6" w:rsidRDefault="00B07C47" w:rsidP="004E444C">
            <w:pPr>
              <w:spacing w:after="0" w:line="240" w:lineRule="auto"/>
              <w:rPr>
                <w:rFonts w:ascii="Arial" w:hAnsi="Arial" w:cs="Arial"/>
                <w:b/>
                <w:sz w:val="24"/>
                <w:szCs w:val="24"/>
              </w:rPr>
            </w:pPr>
          </w:p>
        </w:tc>
        <w:tc>
          <w:tcPr>
            <w:tcW w:w="764"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787"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78"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787"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78"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787"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78"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787"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c>
          <w:tcPr>
            <w:tcW w:w="978"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t ]</w:t>
            </w:r>
          </w:p>
        </w:tc>
        <w:tc>
          <w:tcPr>
            <w:tcW w:w="787" w:type="dxa"/>
            <w:shd w:val="clear" w:color="auto" w:fill="EEECE1" w:themeFill="background2"/>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lang w:val="en-US"/>
              </w:rPr>
              <w:t>[</w:t>
            </w:r>
            <w:r w:rsidRPr="006C2DD6">
              <w:rPr>
                <w:rFonts w:ascii="Arial" w:hAnsi="Arial" w:cs="Arial"/>
                <w:sz w:val="24"/>
                <w:szCs w:val="24"/>
              </w:rPr>
              <w:t xml:space="preserve"> % ]</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Sticlă</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91031</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56,78</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83790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59,97</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106192</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66,26</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73467</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49,24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92088</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55,97</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Plastic</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79391</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28,24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112460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40,34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152852</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51,29</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149940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51,65</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166279</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49,37</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Hârtie și carton</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177636</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66,78</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191990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65,50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211698</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69,84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232580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74,65</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323767</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83,43</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Metal</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36267</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65,68</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34410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62,30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32398</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55,54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28732</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52,81</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36462</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55,53</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Lemn</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38451</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18,15</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73390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32,54</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98660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41,15</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71902</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28,92</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77111</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26,62</w:t>
            </w:r>
          </w:p>
        </w:tc>
      </w:tr>
      <w:tr w:rsidR="00B07C47" w:rsidRPr="006C2DD6" w:rsidTr="004E444C">
        <w:tc>
          <w:tcPr>
            <w:tcW w:w="1242" w:type="dxa"/>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Altele</w:t>
            </w:r>
          </w:p>
        </w:tc>
        <w:tc>
          <w:tcPr>
            <w:tcW w:w="764"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978"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c>
          <w:tcPr>
            <w:tcW w:w="787" w:type="dxa"/>
            <w:vAlign w:val="center"/>
          </w:tcPr>
          <w:p w:rsidR="00B07C47" w:rsidRPr="006C2DD6" w:rsidRDefault="00B07C47" w:rsidP="004E444C">
            <w:pPr>
              <w:spacing w:after="0" w:line="240" w:lineRule="auto"/>
              <w:rPr>
                <w:rFonts w:ascii="Arial" w:hAnsi="Arial" w:cs="Arial"/>
                <w:b/>
                <w:sz w:val="24"/>
                <w:szCs w:val="24"/>
              </w:rPr>
            </w:pPr>
            <w:r w:rsidRPr="006C2DD6">
              <w:rPr>
                <w:rFonts w:ascii="Arial" w:hAnsi="Arial" w:cs="Arial"/>
                <w:sz w:val="24"/>
                <w:szCs w:val="24"/>
              </w:rPr>
              <w:t>0</w:t>
            </w:r>
          </w:p>
        </w:tc>
      </w:tr>
    </w:tbl>
    <w:p w:rsidR="00B07C47" w:rsidRPr="006C2DD6" w:rsidRDefault="00B07C47" w:rsidP="00B07C47">
      <w:pPr>
        <w:spacing w:after="0" w:line="240" w:lineRule="auto"/>
        <w:rPr>
          <w:rFonts w:ascii="Arial" w:hAnsi="Arial" w:cs="Arial"/>
          <w:b/>
          <w:sz w:val="24"/>
          <w:szCs w:val="24"/>
        </w:rPr>
      </w:pPr>
    </w:p>
    <w:p w:rsidR="00B07C47" w:rsidRPr="006C2DD6" w:rsidRDefault="00B07C47" w:rsidP="00B07C47">
      <w:pPr>
        <w:tabs>
          <w:tab w:val="left" w:leader="dot" w:pos="9356"/>
        </w:tabs>
        <w:spacing w:after="0" w:line="240" w:lineRule="auto"/>
        <w:rPr>
          <w:rFonts w:ascii="Arial" w:hAnsi="Arial" w:cs="Arial"/>
          <w:sz w:val="24"/>
          <w:szCs w:val="24"/>
        </w:rPr>
      </w:pPr>
      <w:r w:rsidRPr="006C2DD6">
        <w:rPr>
          <w:rFonts w:ascii="Arial" w:hAnsi="Arial" w:cs="Arial"/>
          <w:sz w:val="24"/>
          <w:szCs w:val="24"/>
        </w:rPr>
        <w:t xml:space="preserve">    Tabel nr. VII.1.3.2.4   Modul cum au fost realizate obiectivele de reciclare și valorificare la nivel național-2015</w:t>
      </w:r>
    </w:p>
    <w:p w:rsidR="00B07C47" w:rsidRPr="006C2DD6" w:rsidRDefault="00B07C47" w:rsidP="00B07C47">
      <w:pPr>
        <w:tabs>
          <w:tab w:val="left" w:leader="dot" w:pos="9356"/>
        </w:tabs>
        <w:spacing w:after="0" w:line="240" w:lineRule="auto"/>
        <w:rPr>
          <w:rFonts w:ascii="Arial" w:hAnsi="Arial" w:cs="Arial"/>
          <w:b/>
          <w:sz w:val="24"/>
          <w:szCs w:val="24"/>
        </w:rPr>
      </w:pPr>
    </w:p>
    <w:tbl>
      <w:tblPr>
        <w:tblW w:w="951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2835"/>
        <w:gridCol w:w="3544"/>
      </w:tblGrid>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bCs/>
                <w:sz w:val="24"/>
                <w:szCs w:val="24"/>
              </w:rPr>
            </w:pPr>
            <w:r w:rsidRPr="006C2DD6">
              <w:rPr>
                <w:rFonts w:ascii="Arial" w:eastAsia="Times New Roman" w:hAnsi="Arial" w:cs="Arial"/>
                <w:bCs/>
                <w:sz w:val="24"/>
                <w:szCs w:val="24"/>
              </w:rPr>
              <w:t>Material</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Reciclare</w:t>
            </w:r>
          </w:p>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Valorificare</w:t>
            </w:r>
          </w:p>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sz w:val="24"/>
                <w:szCs w:val="24"/>
              </w:rPr>
            </w:pPr>
            <w:r w:rsidRPr="006C2DD6">
              <w:rPr>
                <w:rFonts w:ascii="Arial" w:eastAsia="Times New Roman" w:hAnsi="Arial" w:cs="Arial"/>
                <w:sz w:val="24"/>
                <w:szCs w:val="24"/>
              </w:rPr>
              <w:t>Sticla</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41,1</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41,1</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bCs/>
                <w:sz w:val="24"/>
                <w:szCs w:val="24"/>
              </w:rPr>
            </w:pPr>
            <w:r w:rsidRPr="006C2DD6">
              <w:rPr>
                <w:rFonts w:ascii="Arial" w:eastAsia="Times New Roman" w:hAnsi="Arial" w:cs="Arial"/>
                <w:bCs/>
                <w:sz w:val="24"/>
                <w:szCs w:val="24"/>
              </w:rPr>
              <w:t>Plastic</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46,7</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47,5</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sz w:val="24"/>
                <w:szCs w:val="24"/>
              </w:rPr>
            </w:pPr>
            <w:r w:rsidRPr="006C2DD6">
              <w:rPr>
                <w:rFonts w:ascii="Arial" w:eastAsia="Times New Roman" w:hAnsi="Arial" w:cs="Arial"/>
                <w:sz w:val="24"/>
                <w:szCs w:val="24"/>
              </w:rPr>
              <w:t>Hartie și carton</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89,3</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89,6</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bCs/>
                <w:sz w:val="24"/>
                <w:szCs w:val="24"/>
              </w:rPr>
            </w:pPr>
            <w:r w:rsidRPr="006C2DD6">
              <w:rPr>
                <w:rFonts w:ascii="Arial" w:eastAsia="Times New Roman" w:hAnsi="Arial" w:cs="Arial"/>
                <w:bCs/>
                <w:sz w:val="24"/>
                <w:szCs w:val="24"/>
              </w:rPr>
              <w:t>Metal</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64,1</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64,1</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sz w:val="24"/>
                <w:szCs w:val="24"/>
              </w:rPr>
            </w:pPr>
            <w:r w:rsidRPr="006C2DD6">
              <w:rPr>
                <w:rFonts w:ascii="Arial" w:eastAsia="Times New Roman" w:hAnsi="Arial" w:cs="Arial"/>
                <w:sz w:val="24"/>
                <w:szCs w:val="24"/>
              </w:rPr>
              <w:t>Lemn</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28,8</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sz w:val="24"/>
                <w:szCs w:val="24"/>
              </w:rPr>
            </w:pPr>
            <w:r w:rsidRPr="006C2DD6">
              <w:rPr>
                <w:rFonts w:ascii="Arial" w:eastAsia="Times New Roman" w:hAnsi="Arial" w:cs="Arial"/>
                <w:sz w:val="24"/>
                <w:szCs w:val="24"/>
              </w:rPr>
              <w:t>31,5</w:t>
            </w:r>
          </w:p>
        </w:tc>
      </w:tr>
      <w:tr w:rsidR="00B07C47" w:rsidRPr="006C2DD6" w:rsidTr="004E444C">
        <w:trPr>
          <w:trHeight w:val="300"/>
        </w:trPr>
        <w:tc>
          <w:tcPr>
            <w:tcW w:w="3132" w:type="dxa"/>
            <w:shd w:val="clear" w:color="000000" w:fill="FFFFFF"/>
            <w:noWrap/>
            <w:vAlign w:val="center"/>
            <w:hideMark/>
          </w:tcPr>
          <w:p w:rsidR="00B07C47" w:rsidRPr="006C2DD6" w:rsidRDefault="00B07C47" w:rsidP="004E444C">
            <w:pPr>
              <w:spacing w:after="0" w:line="240" w:lineRule="auto"/>
              <w:rPr>
                <w:rFonts w:ascii="Arial" w:eastAsia="Times New Roman" w:hAnsi="Arial" w:cs="Arial"/>
                <w:bCs/>
                <w:sz w:val="24"/>
                <w:szCs w:val="24"/>
              </w:rPr>
            </w:pPr>
            <w:r w:rsidRPr="006C2DD6">
              <w:rPr>
                <w:rFonts w:ascii="Arial" w:eastAsia="Times New Roman" w:hAnsi="Arial" w:cs="Arial"/>
                <w:bCs/>
                <w:sz w:val="24"/>
                <w:szCs w:val="24"/>
              </w:rPr>
              <w:t>Total General</w:t>
            </w:r>
          </w:p>
        </w:tc>
        <w:tc>
          <w:tcPr>
            <w:tcW w:w="2835"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55,91</w:t>
            </w:r>
          </w:p>
        </w:tc>
        <w:tc>
          <w:tcPr>
            <w:tcW w:w="3544" w:type="dxa"/>
            <w:shd w:val="clear" w:color="000000" w:fill="FFFFFF"/>
            <w:noWrap/>
            <w:vAlign w:val="center"/>
            <w:hideMark/>
          </w:tcPr>
          <w:p w:rsidR="00B07C47" w:rsidRPr="006C2DD6" w:rsidRDefault="00B07C47" w:rsidP="004E444C">
            <w:pPr>
              <w:spacing w:after="0" w:line="240" w:lineRule="auto"/>
              <w:jc w:val="center"/>
              <w:rPr>
                <w:rFonts w:ascii="Arial" w:eastAsia="Times New Roman" w:hAnsi="Arial" w:cs="Arial"/>
                <w:bCs/>
                <w:sz w:val="24"/>
                <w:szCs w:val="24"/>
              </w:rPr>
            </w:pPr>
            <w:r w:rsidRPr="006C2DD6">
              <w:rPr>
                <w:rFonts w:ascii="Arial" w:eastAsia="Times New Roman" w:hAnsi="Arial" w:cs="Arial"/>
                <w:bCs/>
                <w:sz w:val="24"/>
                <w:szCs w:val="24"/>
              </w:rPr>
              <w:t>56,9</w:t>
            </w:r>
          </w:p>
        </w:tc>
      </w:tr>
    </w:tbl>
    <w:p w:rsidR="00B07C47" w:rsidRPr="006C2DD6" w:rsidRDefault="00B07C47" w:rsidP="00B07C47">
      <w:pPr>
        <w:tabs>
          <w:tab w:val="left" w:leader="dot" w:pos="9356"/>
        </w:tabs>
        <w:spacing w:after="0" w:line="240" w:lineRule="auto"/>
        <w:rPr>
          <w:rFonts w:ascii="Arial" w:hAnsi="Arial" w:cs="Arial"/>
          <w:b/>
          <w:sz w:val="24"/>
          <w:szCs w:val="24"/>
        </w:rPr>
      </w:pPr>
    </w:p>
    <w:p w:rsidR="00B07C47" w:rsidRPr="006C2DD6" w:rsidRDefault="00B07C47" w:rsidP="00B07C47">
      <w:pPr>
        <w:tabs>
          <w:tab w:val="left" w:leader="dot" w:pos="9356"/>
        </w:tabs>
        <w:spacing w:after="0" w:line="240" w:lineRule="auto"/>
        <w:rPr>
          <w:rFonts w:ascii="Arial" w:hAnsi="Arial" w:cs="Arial"/>
          <w:b/>
          <w:sz w:val="24"/>
          <w:szCs w:val="24"/>
        </w:rPr>
      </w:pPr>
    </w:p>
    <w:p w:rsidR="00B07C47" w:rsidRPr="006C2DD6" w:rsidRDefault="00B07C47" w:rsidP="00B07C47">
      <w:pPr>
        <w:tabs>
          <w:tab w:val="left" w:leader="dot" w:pos="9356"/>
        </w:tabs>
        <w:spacing w:after="0" w:line="240" w:lineRule="auto"/>
        <w:rPr>
          <w:rFonts w:ascii="Arial" w:hAnsi="Arial" w:cs="Arial"/>
          <w:b/>
          <w:sz w:val="24"/>
          <w:szCs w:val="24"/>
        </w:rPr>
      </w:pPr>
    </w:p>
    <w:p w:rsidR="00B07C47" w:rsidRPr="006C2DD6" w:rsidRDefault="00B07C47" w:rsidP="00B07C47">
      <w:pPr>
        <w:tabs>
          <w:tab w:val="left" w:leader="dot" w:pos="9356"/>
        </w:tabs>
        <w:spacing w:after="0" w:line="240" w:lineRule="auto"/>
        <w:rPr>
          <w:rFonts w:ascii="Arial" w:hAnsi="Arial" w:cs="Arial"/>
          <w:b/>
          <w:i/>
          <w:sz w:val="24"/>
          <w:szCs w:val="24"/>
        </w:rPr>
      </w:pPr>
      <w:r w:rsidRPr="006C2DD6">
        <w:rPr>
          <w:rFonts w:ascii="Arial" w:hAnsi="Arial" w:cs="Arial"/>
          <w:b/>
          <w:sz w:val="24"/>
          <w:szCs w:val="24"/>
        </w:rPr>
        <w:t xml:space="preserve">VII.1.3.3. </w:t>
      </w:r>
      <w:r w:rsidRPr="006C2DD6">
        <w:rPr>
          <w:rFonts w:ascii="Arial" w:hAnsi="Arial" w:cs="Arial"/>
          <w:b/>
          <w:i/>
          <w:sz w:val="24"/>
          <w:szCs w:val="24"/>
        </w:rPr>
        <w:t xml:space="preserve">Vehicule scoase din uz (VSU) </w:t>
      </w:r>
    </w:p>
    <w:p w:rsidR="00B07C47" w:rsidRPr="006C2DD6" w:rsidRDefault="00B07C47" w:rsidP="00B07C47">
      <w:pPr>
        <w:autoSpaceDE w:val="0"/>
        <w:autoSpaceDN w:val="0"/>
        <w:adjustRightInd w:val="0"/>
        <w:spacing w:after="0" w:line="240" w:lineRule="auto"/>
        <w:ind w:firstLine="737"/>
        <w:jc w:val="both"/>
        <w:rPr>
          <w:rFonts w:ascii="Arial" w:hAnsi="Arial" w:cs="Arial"/>
          <w:b/>
          <w:sz w:val="24"/>
          <w:szCs w:val="24"/>
        </w:rPr>
      </w:pPr>
      <w:r w:rsidRPr="006C2DD6">
        <w:rPr>
          <w:rFonts w:ascii="Arial" w:hAnsi="Arial" w:cs="Arial"/>
          <w:sz w:val="24"/>
          <w:szCs w:val="24"/>
        </w:rPr>
        <w:t>Gestiunea rațională a vehiculelor scoase din uz (VSU) prezintă o importanță majoră, deoarece autoturismele existente conţin materiale cum ar fi plumb, mercur, cadmiu, crom hexavalent şi alte substanţe nocive asupra mediului. În ceea ce priveşte greutatea, aproximativ trei sferturi din maşină sunt reprezentate din oţel şi aluminiu, care în mod normal trebuie reciclate. Restul, este reprezentat de materiale plastice, care sunt eliminate prin incinerare sau în depozitele de deşeuri. De asemenea autovehicule conţin substanţe lichide periculoase (antigel, lichid de frână, ulei, etc), care sunt nocive pentru mediu dacă nu sunt manipulate în mod corespunzător.</w:t>
      </w:r>
    </w:p>
    <w:p w:rsidR="00B07C47" w:rsidRPr="006C2DD6" w:rsidRDefault="00B07C47" w:rsidP="00B07C47">
      <w:pPr>
        <w:autoSpaceDE w:val="0"/>
        <w:autoSpaceDN w:val="0"/>
        <w:adjustRightInd w:val="0"/>
        <w:spacing w:after="0" w:line="240" w:lineRule="auto"/>
        <w:ind w:firstLine="735"/>
        <w:jc w:val="both"/>
        <w:rPr>
          <w:rFonts w:ascii="Arial" w:hAnsi="Arial" w:cs="Arial"/>
          <w:b/>
          <w:sz w:val="24"/>
          <w:szCs w:val="24"/>
        </w:rPr>
      </w:pPr>
      <w:r w:rsidRPr="006C2DD6">
        <w:rPr>
          <w:rFonts w:ascii="Arial" w:hAnsi="Arial" w:cs="Arial"/>
          <w:b/>
          <w:sz w:val="24"/>
          <w:szCs w:val="24"/>
        </w:rPr>
        <w:t xml:space="preserve">Contextul politicilor relevante de mediu: tinte si obiective </w:t>
      </w:r>
    </w:p>
    <w:p w:rsidR="00B07C47" w:rsidRPr="006C2DD6" w:rsidRDefault="00B07C47" w:rsidP="00B07C47">
      <w:pPr>
        <w:autoSpaceDE w:val="0"/>
        <w:autoSpaceDN w:val="0"/>
        <w:adjustRightInd w:val="0"/>
        <w:spacing w:after="0" w:line="240" w:lineRule="auto"/>
        <w:ind w:firstLine="735"/>
        <w:jc w:val="both"/>
        <w:rPr>
          <w:rFonts w:ascii="Arial" w:hAnsi="Arial" w:cs="Arial"/>
          <w:b/>
          <w:sz w:val="24"/>
          <w:szCs w:val="24"/>
        </w:rPr>
      </w:pPr>
      <w:r w:rsidRPr="006C2DD6">
        <w:rPr>
          <w:rFonts w:ascii="Arial" w:hAnsi="Arial" w:cs="Arial"/>
          <w:bCs/>
          <w:sz w:val="24"/>
          <w:szCs w:val="24"/>
        </w:rPr>
        <w:t xml:space="preserve">Legea nr. 212/2015 privind modalitatea de gestionare a vehiculelor şi a vehiculelor scoase din uz </w:t>
      </w:r>
      <w:r w:rsidRPr="006C2DD6">
        <w:rPr>
          <w:rFonts w:ascii="Arial" w:hAnsi="Arial" w:cs="Arial"/>
          <w:sz w:val="24"/>
          <w:szCs w:val="24"/>
        </w:rPr>
        <w:t xml:space="preserve">este actul normativ prin care a fost transpusă în legislația națională Directiva 2000/53/CE privind vehiculele scoase din uz. Acest document: </w:t>
      </w:r>
    </w:p>
    <w:p w:rsidR="00B07C47" w:rsidRPr="006C2DD6" w:rsidRDefault="00B07C47" w:rsidP="00EF3940">
      <w:pPr>
        <w:pStyle w:val="ListParagraph"/>
        <w:numPr>
          <w:ilvl w:val="0"/>
          <w:numId w:val="50"/>
        </w:numPr>
        <w:autoSpaceDE w:val="0"/>
        <w:autoSpaceDN w:val="0"/>
        <w:adjustRightInd w:val="0"/>
        <w:jc w:val="both"/>
        <w:rPr>
          <w:rFonts w:ascii="Arial" w:hAnsi="Arial" w:cs="Arial"/>
          <w:b/>
        </w:rPr>
      </w:pPr>
      <w:r w:rsidRPr="006C2DD6">
        <w:rPr>
          <w:rFonts w:ascii="Arial" w:hAnsi="Arial" w:cs="Arial"/>
        </w:rPr>
        <w:t xml:space="preserve">reglementează măsurile de prevenire a producerii de deşeuri provenite de la vehiculele scoase din uz şi reutilizarea, reciclarea, precum şi alte forme de valorificare a vehiculelor scoase din uz şi a componentelor acestora, în vederea reducerii cantităţii de deşeuri destinate eliminării. </w:t>
      </w:r>
    </w:p>
    <w:p w:rsidR="00B07C47" w:rsidRPr="006C2DD6" w:rsidRDefault="00B07C47" w:rsidP="00EF3940">
      <w:pPr>
        <w:pStyle w:val="ListParagraph"/>
        <w:numPr>
          <w:ilvl w:val="0"/>
          <w:numId w:val="50"/>
        </w:numPr>
        <w:autoSpaceDE w:val="0"/>
        <w:autoSpaceDN w:val="0"/>
        <w:adjustRightInd w:val="0"/>
        <w:jc w:val="both"/>
        <w:rPr>
          <w:rFonts w:ascii="Arial" w:hAnsi="Arial" w:cs="Arial"/>
          <w:b/>
        </w:rPr>
      </w:pPr>
      <w:r w:rsidRPr="006C2DD6">
        <w:rPr>
          <w:rFonts w:ascii="Arial" w:hAnsi="Arial" w:cs="Arial"/>
        </w:rPr>
        <w:t xml:space="preserve">stabileşte măsuri pentru îmbunătăţirea din punct de vedere al protecţiei mediului a activităţilor agenţilor economici implicaţi în ciclul de viaţă al vehiculelor şi, în special, ale agenţilor economici direct implicaţi în tratarea vehiculelor scoase din uz. </w:t>
      </w:r>
    </w:p>
    <w:p w:rsidR="00B07C47" w:rsidRPr="006C2DD6" w:rsidRDefault="00B07C47" w:rsidP="00EF3940">
      <w:pPr>
        <w:pStyle w:val="ListParagraph"/>
        <w:numPr>
          <w:ilvl w:val="0"/>
          <w:numId w:val="50"/>
        </w:numPr>
        <w:autoSpaceDE w:val="0"/>
        <w:autoSpaceDN w:val="0"/>
        <w:adjustRightInd w:val="0"/>
        <w:jc w:val="both"/>
        <w:rPr>
          <w:rFonts w:ascii="Arial" w:hAnsi="Arial" w:cs="Arial"/>
          <w:b/>
        </w:rPr>
      </w:pPr>
      <w:r w:rsidRPr="006C2DD6">
        <w:rPr>
          <w:rFonts w:ascii="Arial" w:hAnsi="Arial" w:cs="Arial"/>
        </w:rPr>
        <w:t xml:space="preserve">se aplică cu respectarea legislaţiei naţionale privind standardele de siguranţă, emisiile în atmosferă şi nivelul emisiilor de zgomot, precum şi cele referitoare la protecţia solului şi a apei. </w:t>
      </w:r>
    </w:p>
    <w:p w:rsidR="00B07C47" w:rsidRPr="006C2DD6" w:rsidRDefault="00B07C47" w:rsidP="00EF3940">
      <w:pPr>
        <w:pStyle w:val="ListParagraph"/>
        <w:numPr>
          <w:ilvl w:val="0"/>
          <w:numId w:val="50"/>
        </w:numPr>
        <w:autoSpaceDE w:val="0"/>
        <w:autoSpaceDN w:val="0"/>
        <w:adjustRightInd w:val="0"/>
        <w:jc w:val="both"/>
        <w:rPr>
          <w:rFonts w:ascii="Arial" w:hAnsi="Arial" w:cs="Arial"/>
          <w:b/>
        </w:rPr>
      </w:pPr>
      <w:r w:rsidRPr="006C2DD6">
        <w:rPr>
          <w:rFonts w:ascii="Arial" w:hAnsi="Arial" w:cs="Arial"/>
        </w:rPr>
        <w:t>se aplică vehiculelor scoase din uz, inclusiv componentelor şi materialelor acestora, fără a se ţine seama de modul în care vehiculul a fost întreţinut sau reparat pe toată durata utilizării acestuia şi indiferent dacă acesta este echipat cu componente furnizate de producător sau cu alte componente a căror montare ca piese de schimb sau ca piese de înlocuire se realizează respectându-se reglementările naţionale în domeniu</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sz w:val="24"/>
          <w:szCs w:val="24"/>
        </w:rPr>
        <w:t xml:space="preserve">Este de aşteptat ca numărul de vehicule scoase din uz să crească în mod semnificativ în România, acest lucru fiind justificat de tendinţa de creştere a numărului de vehicule scoase din </w:t>
      </w:r>
      <w:r w:rsidRPr="006C2DD6">
        <w:rPr>
          <w:rFonts w:ascii="Arial" w:hAnsi="Arial" w:cs="Arial"/>
          <w:sz w:val="24"/>
          <w:szCs w:val="24"/>
        </w:rPr>
        <w:lastRenderedPageBreak/>
        <w:t>uz din perioada 2005-2010, în care se observă iniţial o creştere ponderată, dar începând cu anul 2010-2011 creşterea a este semnificativă.</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Există o reţea de companii comerciale, care desfăşoară operaţiuni de colectare, dezmembrare şi valorificare a VSU. La primirea vehiculului uzat, operatorul economic eliberează certificatul de distrugere pe baza căruia se realizează radierea vehiculului, precum şi o notă în care se menţionează părţile componente lipsă.</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rPr>
      </w:pPr>
      <w:r w:rsidRPr="006C2DD6">
        <w:rPr>
          <w:rFonts w:ascii="Arial" w:hAnsi="Arial" w:cs="Arial"/>
          <w:sz w:val="24"/>
          <w:szCs w:val="24"/>
        </w:rPr>
        <w:t>În judeţul Brăila pentru anul 2017 au fost autorizaţi 5 operatori economici pentru colectare VSU : SC APAN SRL , SC APAN Motors SRL, SC Miorița Com SRL, SC Autobulserv SRL și SC Corsani  SRL, iar ultimii trei sunt autorizați și pentru tratare (dezmembrare).  Numai SC Miorița SRL tratează în totalitate VSU, ceilalți operatori colectează și valorifică (comercializează) părți/piese de schimb astfel încăt dezmembrează în funcție de solicitări.</w:t>
      </w:r>
    </w:p>
    <w:p w:rsidR="00B07C47" w:rsidRPr="006C2DD6" w:rsidRDefault="00B07C47" w:rsidP="00B07C47">
      <w:pPr>
        <w:autoSpaceDE w:val="0"/>
        <w:autoSpaceDN w:val="0"/>
        <w:adjustRightInd w:val="0"/>
        <w:spacing w:after="0" w:line="240" w:lineRule="auto"/>
        <w:jc w:val="both"/>
        <w:rPr>
          <w:rFonts w:ascii="Arial" w:hAnsi="Arial" w:cs="Arial"/>
          <w:sz w:val="24"/>
          <w:szCs w:val="24"/>
        </w:rPr>
      </w:pPr>
      <w:r w:rsidRPr="006C2DD6">
        <w:rPr>
          <w:rFonts w:ascii="Arial" w:hAnsi="Arial" w:cs="Arial"/>
          <w:sz w:val="24"/>
          <w:szCs w:val="24"/>
        </w:rPr>
        <w:tab/>
        <w:t>Numărul de vehicule scoase din uz  tratate în totalitate în anul 2015, a fost de 396 unităţi (tabel nr. VII.1.3.3.-1) din 534 colectate.</w:t>
      </w:r>
    </w:p>
    <w:p w:rsidR="00B07C47" w:rsidRPr="006C2DD6" w:rsidRDefault="00B07C47" w:rsidP="00B07C47">
      <w:pPr>
        <w:autoSpaceDE w:val="0"/>
        <w:autoSpaceDN w:val="0"/>
        <w:adjustRightInd w:val="0"/>
        <w:spacing w:after="0" w:line="240" w:lineRule="auto"/>
        <w:jc w:val="both"/>
        <w:rPr>
          <w:rFonts w:ascii="Arial" w:hAnsi="Arial" w:cs="Arial"/>
          <w:b/>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sz w:val="24"/>
          <w:szCs w:val="24"/>
        </w:rPr>
        <w:t>Tabel nr. VII.1.3.3.-1 VSU colectate si tratate in perioada 2005-2014 in judetul Brăila</w:t>
      </w:r>
    </w:p>
    <w:tbl>
      <w:tblPr>
        <w:tblW w:w="10495" w:type="dxa"/>
        <w:tblInd w:w="103" w:type="dxa"/>
        <w:tblLook w:val="04A0"/>
      </w:tblPr>
      <w:tblGrid>
        <w:gridCol w:w="1410"/>
        <w:gridCol w:w="844"/>
        <w:gridCol w:w="750"/>
        <w:gridCol w:w="804"/>
        <w:gridCol w:w="844"/>
        <w:gridCol w:w="750"/>
        <w:gridCol w:w="803"/>
        <w:gridCol w:w="845"/>
        <w:gridCol w:w="844"/>
        <w:gridCol w:w="845"/>
        <w:gridCol w:w="844"/>
        <w:gridCol w:w="912"/>
      </w:tblGrid>
      <w:tr w:rsidR="00B07C47" w:rsidRPr="006C2DD6" w:rsidTr="004E444C">
        <w:trPr>
          <w:trHeight w:val="300"/>
        </w:trPr>
        <w:tc>
          <w:tcPr>
            <w:tcW w:w="141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 Anul</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2005</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2006</w:t>
            </w:r>
          </w:p>
        </w:tc>
        <w:tc>
          <w:tcPr>
            <w:tcW w:w="804"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2007</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2008</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2009</w:t>
            </w:r>
          </w:p>
        </w:tc>
        <w:tc>
          <w:tcPr>
            <w:tcW w:w="803"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2012</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2013</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2014</w:t>
            </w:r>
          </w:p>
        </w:tc>
        <w:tc>
          <w:tcPr>
            <w:tcW w:w="922" w:type="dxa"/>
            <w:tcBorders>
              <w:top w:val="single" w:sz="4" w:space="0" w:color="auto"/>
              <w:left w:val="nil"/>
              <w:bottom w:val="single" w:sz="4" w:space="0" w:color="auto"/>
              <w:right w:val="single" w:sz="4" w:space="0" w:color="auto"/>
            </w:tcBorders>
            <w:shd w:val="clear" w:color="auto" w:fill="BFBFBF"/>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r>
      <w:tr w:rsidR="00B07C47" w:rsidRPr="006C2DD6" w:rsidTr="004E444C">
        <w:trPr>
          <w:trHeight w:val="600"/>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 xml:space="preserve">VSU colectate si tratate </w:t>
            </w:r>
          </w:p>
        </w:tc>
        <w:tc>
          <w:tcPr>
            <w:tcW w:w="84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134</w:t>
            </w:r>
          </w:p>
        </w:tc>
        <w:tc>
          <w:tcPr>
            <w:tcW w:w="745"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238</w:t>
            </w:r>
          </w:p>
        </w:tc>
        <w:tc>
          <w:tcPr>
            <w:tcW w:w="80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391</w:t>
            </w:r>
          </w:p>
        </w:tc>
        <w:tc>
          <w:tcPr>
            <w:tcW w:w="84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508</w:t>
            </w:r>
          </w:p>
        </w:tc>
        <w:tc>
          <w:tcPr>
            <w:tcW w:w="745"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485</w:t>
            </w:r>
          </w:p>
        </w:tc>
        <w:tc>
          <w:tcPr>
            <w:tcW w:w="803"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2376</w:t>
            </w:r>
          </w:p>
        </w:tc>
        <w:tc>
          <w:tcPr>
            <w:tcW w:w="845"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1838</w:t>
            </w:r>
          </w:p>
        </w:tc>
        <w:tc>
          <w:tcPr>
            <w:tcW w:w="84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607</w:t>
            </w:r>
          </w:p>
        </w:tc>
        <w:tc>
          <w:tcPr>
            <w:tcW w:w="845"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98</w:t>
            </w:r>
          </w:p>
        </w:tc>
        <w:tc>
          <w:tcPr>
            <w:tcW w:w="844" w:type="dxa"/>
            <w:tcBorders>
              <w:top w:val="nil"/>
              <w:left w:val="nil"/>
              <w:bottom w:val="single" w:sz="4" w:space="0" w:color="auto"/>
              <w:right w:val="single" w:sz="4" w:space="0" w:color="auto"/>
            </w:tcBorders>
            <w:shd w:val="clear" w:color="auto" w:fill="auto"/>
            <w:noWrap/>
            <w:vAlign w:val="center"/>
            <w:hideMark/>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290</w:t>
            </w:r>
          </w:p>
        </w:tc>
        <w:tc>
          <w:tcPr>
            <w:tcW w:w="922" w:type="dxa"/>
            <w:tcBorders>
              <w:top w:val="nil"/>
              <w:left w:val="nil"/>
              <w:bottom w:val="single" w:sz="4" w:space="0" w:color="auto"/>
              <w:right w:val="single" w:sz="4" w:space="0" w:color="auto"/>
            </w:tcBorders>
          </w:tcPr>
          <w:p w:rsidR="00B07C47" w:rsidRPr="006C2DD6" w:rsidRDefault="00B07C47" w:rsidP="004E444C">
            <w:pPr>
              <w:spacing w:after="0" w:line="240" w:lineRule="auto"/>
              <w:jc w:val="center"/>
              <w:rPr>
                <w:rFonts w:ascii="Arial" w:hAnsi="Arial" w:cs="Arial"/>
                <w:sz w:val="24"/>
                <w:szCs w:val="24"/>
              </w:rPr>
            </w:pPr>
          </w:p>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534</w:t>
            </w:r>
          </w:p>
        </w:tc>
      </w:tr>
    </w:tbl>
    <w:p w:rsidR="00B07C47" w:rsidRPr="006C2DD6" w:rsidRDefault="00B07C47" w:rsidP="00B07C47">
      <w:pPr>
        <w:spacing w:after="0" w:line="240" w:lineRule="auto"/>
        <w:jc w:val="both"/>
        <w:rPr>
          <w:rFonts w:ascii="Arial" w:hAnsi="Arial" w:cs="Arial"/>
          <w:b/>
          <w:sz w:val="24"/>
          <w:szCs w:val="24"/>
        </w:rPr>
      </w:pPr>
    </w:p>
    <w:p w:rsidR="00B07C47" w:rsidRPr="006C2DD6" w:rsidRDefault="00B07C47" w:rsidP="00B07C47">
      <w:pPr>
        <w:spacing w:after="0" w:line="240" w:lineRule="auto"/>
        <w:jc w:val="center"/>
        <w:rPr>
          <w:rFonts w:ascii="Arial" w:hAnsi="Arial" w:cs="Arial"/>
          <w:sz w:val="24"/>
          <w:szCs w:val="24"/>
        </w:rPr>
      </w:pPr>
      <w:r w:rsidRPr="006C2DD6">
        <w:rPr>
          <w:rFonts w:ascii="Arial" w:hAnsi="Arial" w:cs="Arial"/>
          <w:sz w:val="24"/>
          <w:szCs w:val="24"/>
        </w:rPr>
        <w:t>Figura VII.1.3.3.-1 VSU colectate si tratate in perioada 2005-2014 in judetul Braila</w:t>
      </w:r>
    </w:p>
    <w:p w:rsidR="00B07C47" w:rsidRPr="006C2DD6" w:rsidRDefault="00B07C47" w:rsidP="00B07C47">
      <w:pPr>
        <w:spacing w:after="0" w:line="240" w:lineRule="auto"/>
        <w:jc w:val="center"/>
        <w:rPr>
          <w:rFonts w:ascii="Arial" w:hAnsi="Arial" w:cs="Arial"/>
          <w:sz w:val="24"/>
          <w:szCs w:val="24"/>
        </w:rPr>
      </w:pPr>
    </w:p>
    <w:p w:rsidR="00B07C47" w:rsidRPr="006C2DD6" w:rsidRDefault="00B07C47" w:rsidP="00B07C47">
      <w:pPr>
        <w:spacing w:after="0" w:line="240" w:lineRule="auto"/>
        <w:jc w:val="center"/>
        <w:rPr>
          <w:rFonts w:ascii="Arial" w:hAnsi="Arial" w:cs="Arial"/>
          <w:b/>
          <w:sz w:val="24"/>
          <w:szCs w:val="24"/>
        </w:rPr>
      </w:pPr>
      <w:r w:rsidRPr="006C2DD6">
        <w:rPr>
          <w:rFonts w:ascii="Arial" w:hAnsi="Arial" w:cs="Arial"/>
          <w:b/>
          <w:noProof/>
          <w:sz w:val="24"/>
          <w:szCs w:val="24"/>
        </w:rPr>
        <w:drawing>
          <wp:inline distT="0" distB="0" distL="0" distR="0">
            <wp:extent cx="4629150" cy="3105150"/>
            <wp:effectExtent l="19050" t="0" r="19050"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07C47" w:rsidRPr="006C2DD6" w:rsidRDefault="00B07C47" w:rsidP="00B07C47">
      <w:pPr>
        <w:autoSpaceDE w:val="0"/>
        <w:autoSpaceDN w:val="0"/>
        <w:adjustRightInd w:val="0"/>
        <w:spacing w:after="0" w:line="240" w:lineRule="auto"/>
        <w:ind w:firstLine="737"/>
        <w:jc w:val="both"/>
        <w:rPr>
          <w:rFonts w:ascii="Arial" w:hAnsi="Arial" w:cs="Arial"/>
          <w:b/>
          <w:sz w:val="24"/>
          <w:szCs w:val="24"/>
        </w:rPr>
      </w:pPr>
    </w:p>
    <w:p w:rsidR="00B07C47" w:rsidRPr="006C2DD6" w:rsidRDefault="00B07C47" w:rsidP="00B07C47">
      <w:pPr>
        <w:autoSpaceDE w:val="0"/>
        <w:autoSpaceDN w:val="0"/>
        <w:adjustRightInd w:val="0"/>
        <w:spacing w:after="0" w:line="240" w:lineRule="auto"/>
        <w:ind w:firstLine="737"/>
        <w:jc w:val="both"/>
        <w:rPr>
          <w:rFonts w:ascii="Arial" w:hAnsi="Arial" w:cs="Arial"/>
          <w:b/>
          <w:sz w:val="24"/>
          <w:szCs w:val="24"/>
        </w:rPr>
      </w:pPr>
      <w:r w:rsidRPr="006C2DD6">
        <w:rPr>
          <w:rFonts w:ascii="Arial" w:hAnsi="Arial" w:cs="Arial"/>
          <w:sz w:val="24"/>
          <w:szCs w:val="24"/>
        </w:rPr>
        <w:t>Programul de reînnoire a parcului auto, desfăşurat în România (programul Rabla) este finanţat prin Administraţia Fondului pentru Mediu. Principalul deşeu valorificat rezultat din dezmembrarea vehiculelor colectate, a fost cel metalic. Celelalte părţi componente au fost fie valorificate către societăţi autorizate (de ex. acumulatori uzaţi, sticlă, ulei uzat, anvelope, componente mari de plastic), fie eliminate prin co-incinerare.</w:t>
      </w:r>
    </w:p>
    <w:p w:rsidR="00B07C47" w:rsidRPr="006C2DD6" w:rsidRDefault="00B07C47" w:rsidP="00B07C47">
      <w:pPr>
        <w:spacing w:after="0" w:line="240" w:lineRule="auto"/>
        <w:jc w:val="both"/>
        <w:rPr>
          <w:rFonts w:ascii="Arial" w:hAnsi="Arial" w:cs="Arial"/>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sz w:val="24"/>
          <w:szCs w:val="24"/>
        </w:rPr>
        <w:t>Tabel nr. VII.1.3.3.- 2 Cantităţi VSU colectate prin Programul de reînnoire a parcului auto</w:t>
      </w:r>
      <w:r w:rsidRPr="006C2DD6">
        <w:rPr>
          <w:rFonts w:ascii="Arial" w:hAnsi="Arial" w:cs="Arial"/>
          <w:i/>
          <w:sz w:val="24"/>
          <w:szCs w:val="24"/>
        </w:rPr>
        <w:t>”Rabla”</w:t>
      </w:r>
    </w:p>
    <w:tbl>
      <w:tblPr>
        <w:tblW w:w="10106" w:type="dxa"/>
        <w:jc w:val="center"/>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4"/>
        <w:gridCol w:w="764"/>
        <w:gridCol w:w="845"/>
        <w:gridCol w:w="844"/>
        <w:gridCol w:w="750"/>
        <w:gridCol w:w="813"/>
        <w:gridCol w:w="846"/>
        <w:gridCol w:w="847"/>
        <w:gridCol w:w="1013"/>
        <w:gridCol w:w="850"/>
        <w:gridCol w:w="850"/>
      </w:tblGrid>
      <w:tr w:rsidR="00B07C47" w:rsidRPr="006C2DD6" w:rsidTr="004E444C">
        <w:trPr>
          <w:jc w:val="center"/>
        </w:trPr>
        <w:tc>
          <w:tcPr>
            <w:tcW w:w="1684" w:type="dxa"/>
            <w:vAlign w:val="center"/>
          </w:tcPr>
          <w:p w:rsidR="00B07C47" w:rsidRPr="006C2DD6" w:rsidRDefault="00B07C47" w:rsidP="004E444C">
            <w:pPr>
              <w:spacing w:after="0" w:line="240" w:lineRule="auto"/>
              <w:jc w:val="center"/>
              <w:rPr>
                <w:rFonts w:ascii="Arial" w:hAnsi="Arial" w:cs="Arial"/>
                <w:b/>
                <w:sz w:val="24"/>
                <w:szCs w:val="24"/>
              </w:rPr>
            </w:pPr>
          </w:p>
        </w:tc>
        <w:tc>
          <w:tcPr>
            <w:tcW w:w="764"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2005</w:t>
            </w:r>
          </w:p>
        </w:tc>
        <w:tc>
          <w:tcPr>
            <w:tcW w:w="845"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2006</w:t>
            </w:r>
          </w:p>
        </w:tc>
        <w:tc>
          <w:tcPr>
            <w:tcW w:w="844"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2007</w:t>
            </w:r>
          </w:p>
        </w:tc>
        <w:tc>
          <w:tcPr>
            <w:tcW w:w="750"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2008</w:t>
            </w:r>
          </w:p>
        </w:tc>
        <w:tc>
          <w:tcPr>
            <w:tcW w:w="813"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2009</w:t>
            </w:r>
          </w:p>
        </w:tc>
        <w:tc>
          <w:tcPr>
            <w:tcW w:w="846"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2010</w:t>
            </w:r>
          </w:p>
        </w:tc>
        <w:tc>
          <w:tcPr>
            <w:tcW w:w="847" w:type="dxa"/>
            <w:shd w:val="clear" w:color="auto" w:fill="E0E0E0"/>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2011</w:t>
            </w:r>
          </w:p>
        </w:tc>
        <w:tc>
          <w:tcPr>
            <w:tcW w:w="1013" w:type="dxa"/>
            <w:tcBorders>
              <w:right w:val="single" w:sz="4" w:space="0" w:color="auto"/>
            </w:tcBorders>
            <w:shd w:val="clear" w:color="auto" w:fill="E0E0E0"/>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2012</w:t>
            </w:r>
          </w:p>
        </w:tc>
        <w:tc>
          <w:tcPr>
            <w:tcW w:w="850" w:type="dxa"/>
            <w:tcBorders>
              <w:left w:val="single" w:sz="4" w:space="0" w:color="auto"/>
            </w:tcBorders>
            <w:shd w:val="clear" w:color="auto" w:fill="E0E0E0"/>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2013</w:t>
            </w:r>
          </w:p>
        </w:tc>
        <w:tc>
          <w:tcPr>
            <w:tcW w:w="850" w:type="dxa"/>
            <w:tcBorders>
              <w:left w:val="single" w:sz="4" w:space="0" w:color="auto"/>
            </w:tcBorders>
            <w:shd w:val="clear" w:color="auto" w:fill="E0E0E0"/>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2015</w:t>
            </w:r>
          </w:p>
        </w:tc>
      </w:tr>
      <w:tr w:rsidR="00B07C47" w:rsidRPr="006C2DD6" w:rsidTr="004E444C">
        <w:trPr>
          <w:jc w:val="center"/>
        </w:trPr>
        <w:tc>
          <w:tcPr>
            <w:tcW w:w="1684" w:type="dxa"/>
            <w:vAlign w:val="center"/>
          </w:tcPr>
          <w:p w:rsidR="00B07C47" w:rsidRPr="006C2DD6" w:rsidRDefault="00B07C47" w:rsidP="004E444C">
            <w:pPr>
              <w:spacing w:after="0" w:line="240" w:lineRule="auto"/>
              <w:jc w:val="center"/>
              <w:rPr>
                <w:rFonts w:ascii="Arial" w:hAnsi="Arial" w:cs="Arial"/>
                <w:b/>
                <w:sz w:val="24"/>
                <w:szCs w:val="24"/>
                <w:lang w:val="pt-BR"/>
              </w:rPr>
            </w:pPr>
            <w:r w:rsidRPr="006C2DD6">
              <w:rPr>
                <w:rFonts w:ascii="Arial" w:hAnsi="Arial" w:cs="Arial"/>
                <w:sz w:val="24"/>
                <w:szCs w:val="24"/>
                <w:lang w:val="pt-BR"/>
              </w:rPr>
              <w:t>Vehicule scoase din uz colectate (numar/an)</w:t>
            </w:r>
          </w:p>
        </w:tc>
        <w:tc>
          <w:tcPr>
            <w:tcW w:w="764" w:type="dxa"/>
            <w:vAlign w:val="center"/>
          </w:tcPr>
          <w:p w:rsidR="00B07C47" w:rsidRPr="006C2DD6" w:rsidRDefault="00B07C47" w:rsidP="004E444C">
            <w:pPr>
              <w:spacing w:after="0" w:line="240" w:lineRule="auto"/>
              <w:jc w:val="center"/>
              <w:rPr>
                <w:rFonts w:ascii="Arial" w:hAnsi="Arial" w:cs="Arial"/>
                <w:b/>
                <w:sz w:val="24"/>
                <w:szCs w:val="24"/>
                <w:lang w:val="pt-BR"/>
              </w:rPr>
            </w:pPr>
            <w:r w:rsidRPr="006C2DD6">
              <w:rPr>
                <w:rFonts w:ascii="Arial" w:hAnsi="Arial" w:cs="Arial"/>
                <w:sz w:val="24"/>
                <w:szCs w:val="24"/>
                <w:lang w:val="pt-BR"/>
              </w:rPr>
              <w:t>134</w:t>
            </w:r>
          </w:p>
        </w:tc>
        <w:tc>
          <w:tcPr>
            <w:tcW w:w="845"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238</w:t>
            </w:r>
          </w:p>
        </w:tc>
        <w:tc>
          <w:tcPr>
            <w:tcW w:w="844"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391</w:t>
            </w:r>
          </w:p>
        </w:tc>
        <w:tc>
          <w:tcPr>
            <w:tcW w:w="750"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508</w:t>
            </w:r>
          </w:p>
        </w:tc>
        <w:tc>
          <w:tcPr>
            <w:tcW w:w="813"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485</w:t>
            </w:r>
          </w:p>
        </w:tc>
        <w:tc>
          <w:tcPr>
            <w:tcW w:w="846"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2376</w:t>
            </w:r>
          </w:p>
        </w:tc>
        <w:tc>
          <w:tcPr>
            <w:tcW w:w="847" w:type="dxa"/>
            <w:vAlign w:val="center"/>
          </w:tcPr>
          <w:p w:rsidR="00B07C47" w:rsidRPr="006C2DD6" w:rsidRDefault="00B07C47" w:rsidP="004E444C">
            <w:pPr>
              <w:spacing w:after="0" w:line="240" w:lineRule="auto"/>
              <w:jc w:val="center"/>
              <w:rPr>
                <w:rFonts w:ascii="Arial" w:hAnsi="Arial" w:cs="Arial"/>
                <w:b/>
                <w:sz w:val="24"/>
                <w:szCs w:val="24"/>
              </w:rPr>
            </w:pPr>
            <w:r w:rsidRPr="006C2DD6">
              <w:rPr>
                <w:rFonts w:ascii="Arial" w:hAnsi="Arial" w:cs="Arial"/>
                <w:sz w:val="24"/>
                <w:szCs w:val="24"/>
              </w:rPr>
              <w:t>1838</w:t>
            </w:r>
          </w:p>
        </w:tc>
        <w:tc>
          <w:tcPr>
            <w:tcW w:w="1013" w:type="dxa"/>
            <w:tcBorders>
              <w:right w:val="single" w:sz="4" w:space="0" w:color="auto"/>
            </w:tcBorders>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607</w:t>
            </w:r>
          </w:p>
        </w:tc>
        <w:tc>
          <w:tcPr>
            <w:tcW w:w="850" w:type="dxa"/>
            <w:tcBorders>
              <w:left w:val="single" w:sz="4" w:space="0" w:color="auto"/>
            </w:tcBorders>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98</w:t>
            </w:r>
          </w:p>
        </w:tc>
        <w:tc>
          <w:tcPr>
            <w:tcW w:w="850" w:type="dxa"/>
            <w:tcBorders>
              <w:left w:val="single" w:sz="4" w:space="0" w:color="auto"/>
            </w:tcBorders>
            <w:vAlign w:val="center"/>
          </w:tcPr>
          <w:p w:rsidR="00B07C47" w:rsidRPr="006C2DD6" w:rsidRDefault="00B07C47" w:rsidP="004E444C">
            <w:pPr>
              <w:spacing w:after="0" w:line="240" w:lineRule="auto"/>
              <w:jc w:val="center"/>
              <w:rPr>
                <w:rFonts w:ascii="Arial" w:hAnsi="Arial" w:cs="Arial"/>
                <w:sz w:val="24"/>
                <w:szCs w:val="24"/>
              </w:rPr>
            </w:pPr>
            <w:r w:rsidRPr="006C2DD6">
              <w:rPr>
                <w:rFonts w:ascii="Arial" w:hAnsi="Arial" w:cs="Arial"/>
                <w:sz w:val="24"/>
                <w:szCs w:val="24"/>
              </w:rPr>
              <w:t>425</w:t>
            </w:r>
          </w:p>
        </w:tc>
      </w:tr>
    </w:tbl>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rPr>
      </w:pPr>
      <w:r w:rsidRPr="006C2DD6">
        <w:rPr>
          <w:rFonts w:ascii="Arial" w:hAnsi="Arial" w:cs="Arial"/>
          <w:sz w:val="24"/>
          <w:szCs w:val="24"/>
        </w:rPr>
        <w:t>Numărul anual de vehicule predate ca VSU a fost în directă corelație cu numărul de tichete alocate la nivel județean prin programul ”Rabla”</w:t>
      </w:r>
    </w:p>
    <w:p w:rsidR="00B07C47" w:rsidRPr="006C2DD6" w:rsidRDefault="00B07C47" w:rsidP="00B07C47">
      <w:pPr>
        <w:tabs>
          <w:tab w:val="left" w:pos="1358"/>
          <w:tab w:val="left" w:leader="dot" w:pos="9356"/>
        </w:tabs>
        <w:spacing w:after="0" w:line="240" w:lineRule="auto"/>
        <w:jc w:val="both"/>
        <w:rPr>
          <w:rFonts w:ascii="Arial" w:hAnsi="Arial" w:cs="Arial"/>
          <w:b/>
          <w:sz w:val="24"/>
          <w:szCs w:val="24"/>
        </w:rPr>
      </w:pPr>
    </w:p>
    <w:p w:rsidR="00B07C47" w:rsidRPr="006C2DD6" w:rsidRDefault="00B07C47" w:rsidP="00B07C47">
      <w:pPr>
        <w:tabs>
          <w:tab w:val="left" w:pos="1358"/>
          <w:tab w:val="left" w:leader="dot" w:pos="9356"/>
        </w:tabs>
        <w:spacing w:after="0" w:line="240" w:lineRule="auto"/>
        <w:jc w:val="both"/>
        <w:rPr>
          <w:rFonts w:ascii="Arial" w:hAnsi="Arial" w:cs="Arial"/>
          <w:sz w:val="24"/>
          <w:szCs w:val="24"/>
        </w:rPr>
      </w:pPr>
      <w:r w:rsidRPr="006C2DD6">
        <w:rPr>
          <w:rFonts w:ascii="Arial" w:hAnsi="Arial" w:cs="Arial"/>
          <w:b/>
          <w:sz w:val="24"/>
          <w:szCs w:val="24"/>
        </w:rPr>
        <w:lastRenderedPageBreak/>
        <w:t>VII.1.4.</w:t>
      </w:r>
      <w:r w:rsidRPr="006C2DD6">
        <w:rPr>
          <w:rFonts w:ascii="Arial" w:hAnsi="Arial" w:cs="Arial"/>
          <w:b/>
          <w:i/>
          <w:sz w:val="24"/>
          <w:szCs w:val="24"/>
        </w:rPr>
        <w:t>Impacturi şi presiuni privind deşeurile</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Deşeurile industriale pot constitui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orăşenești. Aceasta situaţie poate genera apariţia unor amestecuri şi combinaţii inflamabile, explozive sau corozive.</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Principalele forme de impact şi risc determinate de depozitele de deşeuri municipale şi industriale, în ordinea în care sunt percepute de populaţie, sunt:</w:t>
      </w:r>
    </w:p>
    <w:p w:rsidR="00B07C47" w:rsidRPr="006C2DD6" w:rsidRDefault="00B07C47" w:rsidP="00EF3940">
      <w:pPr>
        <w:pStyle w:val="ListParagraph"/>
        <w:numPr>
          <w:ilvl w:val="0"/>
          <w:numId w:val="63"/>
        </w:numPr>
        <w:jc w:val="both"/>
        <w:rPr>
          <w:rFonts w:ascii="Arial" w:hAnsi="Arial" w:cs="Arial"/>
          <w:b/>
        </w:rPr>
      </w:pPr>
      <w:r w:rsidRPr="006C2DD6">
        <w:rPr>
          <w:rFonts w:ascii="Arial" w:hAnsi="Arial" w:cs="Arial"/>
        </w:rPr>
        <w:t xml:space="preserve">modificări de peisaj şi disconfort vizual; </w:t>
      </w:r>
    </w:p>
    <w:p w:rsidR="00B07C47" w:rsidRPr="006C2DD6" w:rsidRDefault="00B07C47" w:rsidP="00EF3940">
      <w:pPr>
        <w:pStyle w:val="ListParagraph"/>
        <w:numPr>
          <w:ilvl w:val="0"/>
          <w:numId w:val="63"/>
        </w:numPr>
        <w:jc w:val="both"/>
        <w:rPr>
          <w:rFonts w:ascii="Arial" w:hAnsi="Arial" w:cs="Arial"/>
          <w:b/>
        </w:rPr>
      </w:pPr>
      <w:r w:rsidRPr="006C2DD6">
        <w:rPr>
          <w:rFonts w:ascii="Arial" w:hAnsi="Arial" w:cs="Arial"/>
        </w:rPr>
        <w:t xml:space="preserve">poluarea aerului; </w:t>
      </w:r>
    </w:p>
    <w:p w:rsidR="00B07C47" w:rsidRPr="006C2DD6" w:rsidRDefault="00B07C47" w:rsidP="00EF3940">
      <w:pPr>
        <w:pStyle w:val="ListParagraph"/>
        <w:numPr>
          <w:ilvl w:val="0"/>
          <w:numId w:val="63"/>
        </w:numPr>
        <w:jc w:val="both"/>
        <w:rPr>
          <w:rFonts w:ascii="Arial" w:hAnsi="Arial" w:cs="Arial"/>
          <w:b/>
        </w:rPr>
      </w:pPr>
      <w:r w:rsidRPr="006C2DD6">
        <w:rPr>
          <w:rFonts w:ascii="Arial" w:hAnsi="Arial" w:cs="Arial"/>
        </w:rPr>
        <w:t xml:space="preserve">poluarea apelor de suprafaţă; </w:t>
      </w:r>
    </w:p>
    <w:p w:rsidR="00B07C47" w:rsidRPr="006C2DD6" w:rsidRDefault="00B07C47" w:rsidP="00EF3940">
      <w:pPr>
        <w:pStyle w:val="ListParagraph"/>
        <w:numPr>
          <w:ilvl w:val="0"/>
          <w:numId w:val="63"/>
        </w:numPr>
        <w:jc w:val="both"/>
        <w:rPr>
          <w:rFonts w:ascii="Arial" w:hAnsi="Arial" w:cs="Arial"/>
          <w:b/>
        </w:rPr>
      </w:pPr>
      <w:r w:rsidRPr="006C2DD6">
        <w:rPr>
          <w:rFonts w:ascii="Arial" w:hAnsi="Arial" w:cs="Arial"/>
        </w:rPr>
        <w:t xml:space="preserve">modificări ale fertilităţii solurilor şi ale compoziţiei biocenozelor pe terenurile învecinate.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Scoaterea din circuitul natural sau economic a terenurilor pentru depozitele de deşeuri este un proces ce poate fi considerat temporar, dar care în termenii conceptului de “dezvoltare durabilă”, se întinde pe durata a cel puţin două generaţii dacă se însumează perioadele de amenajare (1-3 ani), exploatare (15-30 ani), refacere ecologică şi postmonitorizare (15-20 ani).</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În prezent, în România, eliminarea deşeurilor urbane se face aproape exclusiv prin depozitare, cu excepţia unui procent de circa 5%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Impactul asupra mediului este ireversibil. Perioadele de timp pentru descompunerea deşeurilor depozitate variază în funcţie de compoziţia fiecărui tip de deşeu astfel:</w:t>
      </w:r>
    </w:p>
    <w:p w:rsidR="00B07C47" w:rsidRPr="006C2DD6" w:rsidRDefault="00B07C47" w:rsidP="00EF3940">
      <w:pPr>
        <w:pStyle w:val="ListParagraph"/>
        <w:numPr>
          <w:ilvl w:val="0"/>
          <w:numId w:val="64"/>
        </w:numPr>
        <w:jc w:val="both"/>
        <w:rPr>
          <w:rFonts w:ascii="Arial" w:hAnsi="Arial" w:cs="Arial"/>
          <w:b/>
        </w:rPr>
      </w:pPr>
      <w:r w:rsidRPr="006C2DD6">
        <w:rPr>
          <w:rFonts w:ascii="Arial" w:hAnsi="Arial" w:cs="Arial"/>
        </w:rPr>
        <w:t xml:space="preserve">pentru hârtie şi carton – 3 până la 12 luni, </w:t>
      </w:r>
    </w:p>
    <w:p w:rsidR="00B07C47" w:rsidRPr="006C2DD6" w:rsidRDefault="00B07C47" w:rsidP="00EF3940">
      <w:pPr>
        <w:pStyle w:val="ListParagraph"/>
        <w:numPr>
          <w:ilvl w:val="0"/>
          <w:numId w:val="64"/>
        </w:numPr>
        <w:jc w:val="both"/>
        <w:rPr>
          <w:rFonts w:ascii="Arial" w:hAnsi="Arial" w:cs="Arial"/>
          <w:b/>
        </w:rPr>
      </w:pPr>
      <w:r w:rsidRPr="006C2DD6">
        <w:rPr>
          <w:rFonts w:ascii="Arial" w:hAnsi="Arial" w:cs="Arial"/>
        </w:rPr>
        <w:t xml:space="preserve">pentru deşeuri biodegradabile din hrana vegetală – 3 luni, </w:t>
      </w:r>
    </w:p>
    <w:p w:rsidR="00B07C47" w:rsidRPr="006C2DD6" w:rsidRDefault="00B07C47" w:rsidP="00EF3940">
      <w:pPr>
        <w:pStyle w:val="ListParagraph"/>
        <w:numPr>
          <w:ilvl w:val="0"/>
          <w:numId w:val="64"/>
        </w:numPr>
        <w:jc w:val="both"/>
        <w:rPr>
          <w:rFonts w:ascii="Arial" w:hAnsi="Arial" w:cs="Arial"/>
          <w:b/>
          <w:lang w:val="da-DK"/>
        </w:rPr>
      </w:pPr>
      <w:r w:rsidRPr="006C2DD6">
        <w:rPr>
          <w:rFonts w:ascii="Arial" w:hAnsi="Arial" w:cs="Arial"/>
          <w:lang w:val="da-DK"/>
        </w:rPr>
        <w:t xml:space="preserve">pentru ambalajele din sticlă – 1000 ani, </w:t>
      </w:r>
    </w:p>
    <w:p w:rsidR="00B07C47" w:rsidRPr="006C2DD6" w:rsidRDefault="00B07C47" w:rsidP="00EF3940">
      <w:pPr>
        <w:pStyle w:val="ListParagraph"/>
        <w:numPr>
          <w:ilvl w:val="0"/>
          <w:numId w:val="64"/>
        </w:numPr>
        <w:jc w:val="both"/>
        <w:rPr>
          <w:rFonts w:ascii="Arial" w:hAnsi="Arial" w:cs="Arial"/>
          <w:b/>
          <w:lang w:val="da-DK"/>
        </w:rPr>
      </w:pPr>
      <w:r w:rsidRPr="006C2DD6">
        <w:rPr>
          <w:rFonts w:ascii="Arial" w:hAnsi="Arial" w:cs="Arial"/>
          <w:lang w:val="da-DK"/>
        </w:rPr>
        <w:t xml:space="preserve">pentru ambalajele din plastic tip PET – 100 până la 1000 ani, </w:t>
      </w:r>
    </w:p>
    <w:p w:rsidR="00B07C47" w:rsidRPr="006C2DD6" w:rsidRDefault="00B07C47" w:rsidP="00EF3940">
      <w:pPr>
        <w:pStyle w:val="ListParagraph"/>
        <w:numPr>
          <w:ilvl w:val="0"/>
          <w:numId w:val="64"/>
        </w:numPr>
        <w:jc w:val="both"/>
        <w:rPr>
          <w:rFonts w:ascii="Arial" w:hAnsi="Arial" w:cs="Arial"/>
          <w:b/>
          <w:lang w:val="da-DK"/>
        </w:rPr>
      </w:pPr>
      <w:r w:rsidRPr="006C2DD6">
        <w:rPr>
          <w:rFonts w:ascii="Arial" w:hAnsi="Arial" w:cs="Arial"/>
          <w:lang w:val="da-DK"/>
        </w:rPr>
        <w:t xml:space="preserve">dozele din aluminiu – 10 până la 100 ani, </w:t>
      </w:r>
    </w:p>
    <w:p w:rsidR="00B07C47" w:rsidRPr="006C2DD6" w:rsidRDefault="00B07C47" w:rsidP="00EF3940">
      <w:pPr>
        <w:pStyle w:val="ListParagraph"/>
        <w:numPr>
          <w:ilvl w:val="0"/>
          <w:numId w:val="64"/>
        </w:numPr>
        <w:jc w:val="both"/>
        <w:rPr>
          <w:rFonts w:ascii="Arial" w:hAnsi="Arial" w:cs="Arial"/>
          <w:b/>
          <w:lang w:val="da-DK"/>
        </w:rPr>
      </w:pPr>
      <w:r w:rsidRPr="006C2DD6">
        <w:rPr>
          <w:rFonts w:ascii="Arial" w:hAnsi="Arial" w:cs="Arial"/>
          <w:lang w:val="da-DK"/>
        </w:rPr>
        <w:t>textilele – 1 până la 7 ani, etc.</w:t>
      </w:r>
    </w:p>
    <w:p w:rsidR="00B07C47" w:rsidRPr="006C2DD6" w:rsidRDefault="00B07C47" w:rsidP="00B07C47">
      <w:pPr>
        <w:autoSpaceDE w:val="0"/>
        <w:autoSpaceDN w:val="0"/>
        <w:adjustRightInd w:val="0"/>
        <w:spacing w:after="0" w:line="240" w:lineRule="auto"/>
        <w:ind w:firstLine="708"/>
        <w:jc w:val="both"/>
        <w:rPr>
          <w:rFonts w:ascii="Arial" w:hAnsi="Arial" w:cs="Arial"/>
          <w:b/>
          <w:sz w:val="24"/>
          <w:szCs w:val="24"/>
          <w:lang w:val="it-IT"/>
        </w:rPr>
      </w:pPr>
      <w:r w:rsidRPr="006C2DD6">
        <w:rPr>
          <w:rFonts w:ascii="Arial" w:hAnsi="Arial" w:cs="Arial"/>
          <w:sz w:val="24"/>
          <w:szCs w:val="24"/>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că:</w:t>
      </w:r>
    </w:p>
    <w:p w:rsidR="00B07C47" w:rsidRPr="006C2DD6" w:rsidRDefault="00B07C47" w:rsidP="00EF3940">
      <w:pPr>
        <w:pStyle w:val="ListParagraph"/>
        <w:numPr>
          <w:ilvl w:val="0"/>
          <w:numId w:val="65"/>
        </w:numPr>
        <w:jc w:val="both"/>
        <w:rPr>
          <w:rFonts w:ascii="Arial" w:hAnsi="Arial" w:cs="Arial"/>
          <w:b/>
          <w:lang w:val="it-IT"/>
        </w:rPr>
      </w:pPr>
      <w:r w:rsidRPr="006C2DD6">
        <w:rPr>
          <w:rFonts w:ascii="Arial" w:hAnsi="Arial" w:cs="Arial"/>
          <w:lang w:val="it-IT"/>
        </w:rPr>
        <w:t xml:space="preserve">în asociaţiile vegetale devin dominante speciile ruderale specifice zonelor poluate; </w:t>
      </w:r>
    </w:p>
    <w:p w:rsidR="00B07C47" w:rsidRPr="006C2DD6" w:rsidRDefault="00B07C47" w:rsidP="00EF3940">
      <w:pPr>
        <w:pStyle w:val="ListParagraph"/>
        <w:numPr>
          <w:ilvl w:val="0"/>
          <w:numId w:val="65"/>
        </w:numPr>
        <w:jc w:val="both"/>
        <w:rPr>
          <w:rFonts w:ascii="Arial" w:hAnsi="Arial" w:cs="Arial"/>
          <w:b/>
          <w:lang w:val="it-IT"/>
        </w:rPr>
      </w:pPr>
      <w:r w:rsidRPr="006C2DD6">
        <w:rPr>
          <w:rFonts w:ascii="Arial" w:hAnsi="Arial" w:cs="Arial"/>
          <w:lang w:val="it-IT"/>
        </w:rPr>
        <w:t xml:space="preserve">unele mamifere, păsări, insecte părăsesc zona, în avantajul celor care îşi găsesc hrana în gunoaie (şobolani, ciori).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Deşi efectele asupra florei şi faunei sunt teoretic limitate în timp la durata exploatării depozitului, reconstrucţia ecologică realizată dupa eliberarea zonei de sarcini tehnologice nu va mai putea restabili echilibrul biologic iniţial, evoluţia biosistemului fiind ireversibil modificată. Terenurile ocupate de depozitele de deşeuri sunt considerate terenuri degradate, care nu mai pot fi utilizate în scopuri agricole.</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Datorită implicaţiilor deosebite pe care le are depozitarea în poluarea solului şi subsolului s-a impus sistarea depozitării pe depozitele neconforme de deşeuri municipale şi industriale. Ca urmare există un singur depozit neconform de deșeuri municipale în operare care este planificat să sisteze activitatea în anul 2017.</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lastRenderedPageBreak/>
        <w:t xml:space="preserve">În ceea ce priveşte industria de foraj şi extracţie a petrolului deşeurile din acest domeniu sunt periculoase pentru om şi mediu. Depozitarea necontrolată duce la poluarea solurilor şi a apelor subterane. Un astfel de exemplu este batalul vechi de şlam petrolier de la Oprişeneşti, depozit neconform, unde s-a sistat depozitarea în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Eliminarea deşeurilor menajere din mediul rural pe terenuri neamenajate a fost sistată la 16 iulie 2009 însă depozitările necontrolate nu au dispărut în totalitate. Aproximativ 80% din compoziţia deşeurilor care erau eliminate pe platformele rurale era reprezentată de dejecţiile de la animalele crescute în gospodăriile populaţiei.</w:t>
      </w:r>
    </w:p>
    <w:p w:rsidR="00B07C47" w:rsidRPr="006C2DD6" w:rsidRDefault="00B07C47" w:rsidP="00B07C47">
      <w:pPr>
        <w:autoSpaceDE w:val="0"/>
        <w:autoSpaceDN w:val="0"/>
        <w:adjustRightInd w:val="0"/>
        <w:spacing w:after="0" w:line="240" w:lineRule="auto"/>
        <w:jc w:val="both"/>
        <w:rPr>
          <w:rFonts w:ascii="Arial" w:hAnsi="Arial" w:cs="Arial"/>
          <w:sz w:val="24"/>
          <w:szCs w:val="24"/>
        </w:rPr>
      </w:pPr>
    </w:p>
    <w:p w:rsidR="00B07C47" w:rsidRPr="006C2DD6" w:rsidRDefault="00B07C47" w:rsidP="00B07C47">
      <w:pPr>
        <w:autoSpaceDE w:val="0"/>
        <w:autoSpaceDN w:val="0"/>
        <w:adjustRightInd w:val="0"/>
        <w:spacing w:after="0" w:line="240" w:lineRule="auto"/>
        <w:jc w:val="both"/>
        <w:rPr>
          <w:rFonts w:ascii="Arial" w:hAnsi="Arial" w:cs="Arial"/>
          <w:b/>
          <w:sz w:val="24"/>
          <w:szCs w:val="24"/>
        </w:rPr>
      </w:pPr>
      <w:r w:rsidRPr="006C2DD6">
        <w:rPr>
          <w:rFonts w:ascii="Arial" w:hAnsi="Arial" w:cs="Arial"/>
          <w:b/>
          <w:sz w:val="24"/>
          <w:szCs w:val="24"/>
        </w:rPr>
        <w:t xml:space="preserve">Măsuri aplicate de către autorităţile administrației publice locale și județene pentru îmbunătăţirea managementului deşeurilor </w:t>
      </w:r>
    </w:p>
    <w:p w:rsidR="00B07C47" w:rsidRPr="006C2DD6" w:rsidRDefault="00B07C47" w:rsidP="00B07C47">
      <w:pPr>
        <w:autoSpaceDE w:val="0"/>
        <w:autoSpaceDN w:val="0"/>
        <w:adjustRightInd w:val="0"/>
        <w:spacing w:after="0" w:line="240" w:lineRule="auto"/>
        <w:jc w:val="both"/>
        <w:rPr>
          <w:rFonts w:ascii="Arial" w:hAnsi="Arial" w:cs="Arial"/>
          <w:sz w:val="24"/>
          <w:szCs w:val="24"/>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Prin implementarea prevederilor legale în activitatea curentă a agenţilor economici şi a administraţiilor publice locale, se preconizează că impactul gestionării deşeurilor asupra mediului şi sănătăţii umane se va reduce semnificativ. Obiectivul general al Strategiei Naţionale de Gestionare a Deşeurilor este dezvoltarea unui sistem integrat de gestionare a deşeurilor, eficient din punct de vedere economic şi care să asigure protecţia sănătăţii populaţiei şi a mediului.Aplicarea unui sistem durabil de gestionare a deşeurilor implică schimbări majore ale practicilor actuale. În prezent priorităţile în gestionarea deşeurilor nu sunt în conformitate cu prevederile legislative care stabilesc următoarea ierarhie:</w:t>
      </w:r>
    </w:p>
    <w:p w:rsidR="00B07C47" w:rsidRPr="006C2DD6" w:rsidRDefault="005D0BB6" w:rsidP="00EF3940">
      <w:pPr>
        <w:pStyle w:val="ListParagraph"/>
        <w:numPr>
          <w:ilvl w:val="0"/>
          <w:numId w:val="66"/>
        </w:numPr>
        <w:jc w:val="both"/>
        <w:rPr>
          <w:rFonts w:ascii="Arial" w:hAnsi="Arial" w:cs="Arial"/>
          <w:b/>
        </w:rPr>
      </w:pPr>
      <w:hyperlink r:id="rId133" w:anchor="#" w:history="1"/>
      <w:r w:rsidR="00B07C47" w:rsidRPr="006C2DD6">
        <w:rPr>
          <w:rFonts w:ascii="Arial" w:hAnsi="Arial" w:cs="Arial"/>
        </w:rPr>
        <w:t>prevenirea( minimizarea cantităţilor generate);</w:t>
      </w:r>
    </w:p>
    <w:p w:rsidR="00B07C47" w:rsidRPr="006C2DD6" w:rsidRDefault="005D0BB6" w:rsidP="00EF3940">
      <w:pPr>
        <w:pStyle w:val="ListParagraph"/>
        <w:numPr>
          <w:ilvl w:val="0"/>
          <w:numId w:val="66"/>
        </w:numPr>
        <w:jc w:val="both"/>
        <w:rPr>
          <w:rFonts w:ascii="Arial" w:hAnsi="Arial" w:cs="Arial"/>
          <w:b/>
        </w:rPr>
      </w:pPr>
      <w:hyperlink r:id="rId134" w:anchor="#" w:history="1"/>
      <w:r w:rsidR="00B07C47" w:rsidRPr="006C2DD6">
        <w:rPr>
          <w:rFonts w:ascii="Arial" w:hAnsi="Arial" w:cs="Arial"/>
        </w:rPr>
        <w:t>pregătirea pentru reutilizare;</w:t>
      </w:r>
    </w:p>
    <w:p w:rsidR="00B07C47" w:rsidRPr="006C2DD6" w:rsidRDefault="005D0BB6" w:rsidP="00EF3940">
      <w:pPr>
        <w:pStyle w:val="ListParagraph"/>
        <w:numPr>
          <w:ilvl w:val="0"/>
          <w:numId w:val="66"/>
        </w:numPr>
        <w:jc w:val="both"/>
        <w:rPr>
          <w:rFonts w:ascii="Arial" w:hAnsi="Arial" w:cs="Arial"/>
          <w:b/>
        </w:rPr>
      </w:pPr>
      <w:hyperlink r:id="rId135" w:anchor="#" w:history="1"/>
      <w:r w:rsidR="00B07C47" w:rsidRPr="006C2DD6">
        <w:rPr>
          <w:rFonts w:ascii="Arial" w:hAnsi="Arial" w:cs="Arial"/>
        </w:rPr>
        <w:t>reciclarea;</w:t>
      </w:r>
    </w:p>
    <w:p w:rsidR="00B07C47" w:rsidRPr="006C2DD6" w:rsidRDefault="005D0BB6" w:rsidP="00EF3940">
      <w:pPr>
        <w:pStyle w:val="ListParagraph"/>
        <w:numPr>
          <w:ilvl w:val="0"/>
          <w:numId w:val="66"/>
        </w:numPr>
        <w:jc w:val="both"/>
        <w:rPr>
          <w:rFonts w:ascii="Arial" w:hAnsi="Arial" w:cs="Arial"/>
          <w:b/>
        </w:rPr>
      </w:pPr>
      <w:hyperlink r:id="rId136" w:anchor="#" w:history="1"/>
      <w:r w:rsidR="00B07C47" w:rsidRPr="006C2DD6">
        <w:rPr>
          <w:rFonts w:ascii="Arial" w:hAnsi="Arial" w:cs="Arial"/>
        </w:rPr>
        <w:t>alte operaţiuni de valorificare, de exemplu valorificarea energetică;</w:t>
      </w:r>
    </w:p>
    <w:p w:rsidR="00B07C47" w:rsidRPr="006C2DD6" w:rsidRDefault="005D0BB6" w:rsidP="00EF3940">
      <w:pPr>
        <w:pStyle w:val="ListParagraph"/>
        <w:numPr>
          <w:ilvl w:val="0"/>
          <w:numId w:val="66"/>
        </w:numPr>
        <w:jc w:val="both"/>
        <w:rPr>
          <w:rFonts w:ascii="Arial" w:hAnsi="Arial" w:cs="Arial"/>
          <w:b/>
        </w:rPr>
      </w:pPr>
      <w:hyperlink r:id="rId137" w:anchor="#" w:history="1"/>
      <w:r w:rsidR="00B07C47" w:rsidRPr="006C2DD6">
        <w:rPr>
          <w:rFonts w:ascii="Arial" w:hAnsi="Arial" w:cs="Arial"/>
        </w:rPr>
        <w:t>eliminarea (depozitarea).</w:t>
      </w:r>
    </w:p>
    <w:p w:rsidR="00B07C47" w:rsidRPr="006C2DD6" w:rsidRDefault="00B07C47" w:rsidP="00B07C47">
      <w:pPr>
        <w:spacing w:after="0" w:line="240" w:lineRule="auto"/>
        <w:jc w:val="both"/>
        <w:rPr>
          <w:rFonts w:ascii="Arial" w:hAnsi="Arial" w:cs="Arial"/>
          <w:b/>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b/>
          <w:sz w:val="24"/>
          <w:szCs w:val="24"/>
        </w:rPr>
        <w:t xml:space="preserve">Planul Judetean de Gestionare a Deşeurilor (PJGD) </w:t>
      </w:r>
    </w:p>
    <w:p w:rsidR="00B07C47" w:rsidRPr="006C2DD6" w:rsidRDefault="00B07C47" w:rsidP="00B07C47">
      <w:pPr>
        <w:widowControl w:val="0"/>
        <w:spacing w:after="0" w:line="240" w:lineRule="auto"/>
        <w:jc w:val="both"/>
        <w:rPr>
          <w:rFonts w:ascii="Arial" w:hAnsi="Arial" w:cs="Arial"/>
          <w:b/>
          <w:sz w:val="24"/>
          <w:szCs w:val="24"/>
          <w:lang w:val="it-IT"/>
        </w:rPr>
      </w:pPr>
      <w:r w:rsidRPr="006C2DD6">
        <w:rPr>
          <w:rFonts w:ascii="Arial" w:hAnsi="Arial" w:cs="Arial"/>
          <w:sz w:val="24"/>
          <w:szCs w:val="24"/>
          <w:lang w:val="it-IT"/>
        </w:rPr>
        <w:t>Planul Judeţean de Gestionare a Deşeurilor (PJGD) aprobat în 2009 a prevăzut:</w:t>
      </w:r>
    </w:p>
    <w:p w:rsidR="00B07C47" w:rsidRPr="006C2DD6" w:rsidRDefault="00B07C47" w:rsidP="00EF3940">
      <w:pPr>
        <w:pStyle w:val="ListParagraph"/>
        <w:numPr>
          <w:ilvl w:val="0"/>
          <w:numId w:val="67"/>
        </w:numPr>
        <w:tabs>
          <w:tab w:val="left" w:pos="171"/>
        </w:tabs>
        <w:jc w:val="both"/>
        <w:rPr>
          <w:rFonts w:ascii="Arial" w:hAnsi="Arial" w:cs="Arial"/>
          <w:b/>
        </w:rPr>
      </w:pPr>
      <w:r w:rsidRPr="006C2DD6">
        <w:rPr>
          <w:rFonts w:ascii="Arial" w:hAnsi="Arial" w:cs="Arial"/>
        </w:rPr>
        <w:t>precolectare aport individual la platforme comune pe 4 fracții- colectarea deşeurilor de către populație din gospodării și depozitarea la puncte de colectare (recipienți de depozitare specializați)</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 xml:space="preserve">colectare-gestionare pe 5 zone Muchea, Făurei, Ianca, Însurăţei si Frecăței, </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3 statii de transfer  Făurei, Frecăței și Însurăţei</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sortarea la depozitele ecologice Muchea și Ianca, la statie de sortare de la Ianca și la nivel centralizat -complex Ecologic Vădeni.</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 xml:space="preserve">3 statii de compost realizate anterior întocmirii PJGD, Făurei, Ianca și Însurăţei, </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tratare deşeuri- complex integrat la Vădeni tratare a deşeurilor</w:t>
      </w:r>
    </w:p>
    <w:p w:rsidR="00B07C47" w:rsidRPr="006C2DD6" w:rsidRDefault="00B07C47" w:rsidP="00EF3940">
      <w:pPr>
        <w:pStyle w:val="ListParagraph"/>
        <w:numPr>
          <w:ilvl w:val="0"/>
          <w:numId w:val="67"/>
        </w:numPr>
        <w:tabs>
          <w:tab w:val="left" w:pos="171"/>
        </w:tabs>
        <w:jc w:val="both"/>
        <w:rPr>
          <w:rFonts w:ascii="Arial" w:hAnsi="Arial" w:cs="Arial"/>
          <w:b/>
          <w:lang w:val="it-IT"/>
        </w:rPr>
      </w:pPr>
      <w:r w:rsidRPr="006C2DD6">
        <w:rPr>
          <w:rFonts w:ascii="Arial" w:hAnsi="Arial" w:cs="Arial"/>
          <w:lang w:val="it-IT"/>
        </w:rPr>
        <w:t>eliminare deşeuri-depozitate în două depozite conforme: Muchea (existent) și Ianca ce urmează a se înființa</w:t>
      </w:r>
    </w:p>
    <w:p w:rsidR="00B07C47" w:rsidRPr="006C2DD6" w:rsidRDefault="00B07C47" w:rsidP="00B07C47">
      <w:pPr>
        <w:tabs>
          <w:tab w:val="left" w:pos="171"/>
        </w:tabs>
        <w:spacing w:after="0" w:line="240" w:lineRule="auto"/>
        <w:jc w:val="both"/>
        <w:rPr>
          <w:rFonts w:ascii="Arial" w:hAnsi="Arial" w:cs="Arial"/>
          <w:b/>
          <w:sz w:val="24"/>
          <w:szCs w:val="24"/>
          <w:lang w:val="it-IT"/>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xml:space="preserve">Ulterior, a fost realizat Planul de investiții pe termen lung pentru perioada 2008 - 2038 ”Managementul Integrat al Deşeurilor în Județul Brăila” (MASTERPLAN), (aprobat prin HCJ nr. 95/2009), plan care stabileste calendarul de implementare pentru realizarea investițiilor din PJGD și obținerea finanțărilor prin POS Mediu. </w:t>
      </w:r>
    </w:p>
    <w:p w:rsidR="00B07C47" w:rsidRPr="006C2DD6" w:rsidRDefault="00B07C47" w:rsidP="00B07C47">
      <w:pPr>
        <w:widowControl w:val="0"/>
        <w:spacing w:after="0" w:line="240" w:lineRule="auto"/>
        <w:jc w:val="both"/>
        <w:rPr>
          <w:rFonts w:ascii="Arial" w:hAnsi="Arial" w:cs="Arial"/>
          <w:b/>
          <w:sz w:val="24"/>
          <w:szCs w:val="24"/>
          <w:lang w:val="it-IT"/>
        </w:rPr>
      </w:pPr>
    </w:p>
    <w:p w:rsidR="00B07C47" w:rsidRPr="006C2DD6" w:rsidRDefault="00B07C47" w:rsidP="00B07C47">
      <w:pPr>
        <w:widowControl w:val="0"/>
        <w:spacing w:after="0" w:line="240" w:lineRule="auto"/>
        <w:jc w:val="both"/>
        <w:rPr>
          <w:rFonts w:ascii="Arial" w:hAnsi="Arial" w:cs="Arial"/>
          <w:b/>
          <w:sz w:val="24"/>
          <w:szCs w:val="24"/>
          <w:lang w:val="it-IT"/>
        </w:rPr>
      </w:pPr>
      <w:r w:rsidRPr="006C2DD6">
        <w:rPr>
          <w:rFonts w:ascii="Arial" w:hAnsi="Arial" w:cs="Arial"/>
          <w:sz w:val="24"/>
          <w:szCs w:val="24"/>
          <w:lang w:val="it-IT"/>
        </w:rPr>
        <w:t>Obiectivele proiectului sunt următoarele:</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Asigurarea conformităţii cu legislaţia UE şi cu legislaţia românească privind depozitarea deşeurilor biodegradabile, prin construirea unei staţii de compostare a deşeurilor, precum şi prin implementarea unui sistem de colectare selectivă a acestora;</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Asigurarea conformităţii cu legislaţia UE şi cu legislaţia românească privind colectarea deşeurilor din ambalaje, prin construirea unei staţii de sortare a deşeurilor, precum şi prin implementarea unui sistem de colectare selectivă a acestora;</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 xml:space="preserve">Reducerea costurilor de transport a deşeurilor municipale mixte prin construirea unei </w:t>
      </w:r>
      <w:r w:rsidRPr="006C2DD6">
        <w:rPr>
          <w:rFonts w:ascii="Arial" w:hAnsi="Arial" w:cs="Arial"/>
          <w:lang w:val="it-IT"/>
        </w:rPr>
        <w:lastRenderedPageBreak/>
        <w:t>staţii de transfer şi achiziţia echipamentelor şi utilajelor necesare pentru transfer;</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Realizarea unei depozitări a deşeurilor eficientă din punct de vedere ecologic, prin construirea unui centru de management integrat al deşeurilor, a cărei componentă principală este un depozit ecologic;</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Reducerea la minim a impactului depozitelor urbane asupra mediului, prin închiderea şi reabilitarea depozitelor urbane existente în judeţul Brăila.</w:t>
      </w:r>
    </w:p>
    <w:p w:rsidR="00B07C47" w:rsidRPr="006C2DD6" w:rsidRDefault="00B07C47" w:rsidP="00EF3940">
      <w:pPr>
        <w:pStyle w:val="ListParagraph"/>
        <w:widowControl w:val="0"/>
        <w:numPr>
          <w:ilvl w:val="0"/>
          <w:numId w:val="68"/>
        </w:numPr>
        <w:jc w:val="both"/>
        <w:rPr>
          <w:rFonts w:ascii="Arial" w:hAnsi="Arial" w:cs="Arial"/>
          <w:b/>
          <w:lang w:val="it-IT"/>
        </w:rPr>
      </w:pPr>
      <w:r w:rsidRPr="006C2DD6">
        <w:rPr>
          <w:rFonts w:ascii="Arial" w:hAnsi="Arial" w:cs="Arial"/>
          <w:lang w:val="it-IT"/>
        </w:rPr>
        <w:t>La acestea se adaugă un contract de furnizare bunuri: “Achiziţii de echipamente pentru colectarea deşeurilor din judeţul Brăila” şi un contract de concesiune servicii pentru desemnarea operatorilor sistemului de management integrat al deşeurilor din judeţul Brăila.</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Proiectul de realizare a investiţiilor prevăzute în MASTERPLAN a fost reglementat în iulie 2011 (acord integrat de mediu emis de ARPM Galaţi). Sistemul va deservi o suprafaţă de 4765,76 km² şi întreaga populaţie a judeţului Brăila (362.352 locuitori la nivelul anului 2008).</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Valoarea totală a proiectului a fost de 117.510.033 lei inclusiv TVA, din care valoarea eligibilă conform POS Mediu este de 104.266.631 lei, împărțită pe surse de finanțare astfel:</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finanţare nerambursabilă din Fondul European de Dezvoltare Regională şi din bugetul de stat: 103.184.362 lei</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contribuţia Beneficiarului, din bugetul local: 1.042.269 lei</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contribuția Beneficiarului la valoarea proiectului, alta decât cea eligibilă conform POS Mediu este de 13.283.402 lei.</w:t>
      </w:r>
    </w:p>
    <w:p w:rsidR="00B07C47" w:rsidRPr="006C2DD6" w:rsidRDefault="00B07C47" w:rsidP="00B07C47">
      <w:pPr>
        <w:spacing w:after="0" w:line="240" w:lineRule="auto"/>
        <w:jc w:val="both"/>
        <w:rPr>
          <w:rFonts w:ascii="Arial" w:hAnsi="Arial" w:cs="Arial"/>
          <w:b/>
          <w:sz w:val="24"/>
          <w:szCs w:val="24"/>
        </w:rPr>
      </w:pPr>
    </w:p>
    <w:p w:rsidR="00B07C47" w:rsidRPr="006C2DD6" w:rsidRDefault="00B07C47" w:rsidP="00B07C47">
      <w:pPr>
        <w:spacing w:after="0" w:line="240" w:lineRule="auto"/>
        <w:jc w:val="both"/>
        <w:rPr>
          <w:rFonts w:ascii="Arial" w:hAnsi="Arial" w:cs="Arial"/>
          <w:b/>
          <w:sz w:val="24"/>
          <w:szCs w:val="24"/>
        </w:rPr>
      </w:pPr>
      <w:r w:rsidRPr="006C2DD6">
        <w:rPr>
          <w:rFonts w:ascii="Arial" w:hAnsi="Arial" w:cs="Arial"/>
          <w:b/>
          <w:sz w:val="24"/>
          <w:szCs w:val="24"/>
        </w:rPr>
        <w:t>Lucrările propuse prin proiect au fost:</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sz w:val="24"/>
          <w:szCs w:val="24"/>
        </w:rPr>
        <w:t>- Implementarea unui sistem de colectare selectivă duală în toate localităţile din judeţul Brăila;</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sz w:val="24"/>
          <w:szCs w:val="24"/>
        </w:rPr>
        <w:t xml:space="preserve">- Depozit de deşeuri nepericuloase şi staţie de sortare Ianca; </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sz w:val="24"/>
          <w:szCs w:val="24"/>
        </w:rPr>
        <w:t xml:space="preserve">- Staţie de transfer Însurăţei. </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sz w:val="24"/>
          <w:szCs w:val="24"/>
        </w:rPr>
        <w:t>- Închiderea depozitului neconform Ianca .</w:t>
      </w:r>
    </w:p>
    <w:p w:rsidR="00B07C47" w:rsidRPr="006C2DD6" w:rsidRDefault="00B07C47" w:rsidP="00B07C47">
      <w:pPr>
        <w:spacing w:after="0" w:line="240" w:lineRule="auto"/>
        <w:jc w:val="both"/>
        <w:rPr>
          <w:rFonts w:ascii="Arial" w:hAnsi="Arial" w:cs="Arial"/>
          <w:sz w:val="24"/>
          <w:szCs w:val="24"/>
        </w:rPr>
      </w:pPr>
      <w:r w:rsidRPr="006C2DD6">
        <w:rPr>
          <w:rFonts w:ascii="Arial" w:hAnsi="Arial" w:cs="Arial"/>
          <w:sz w:val="24"/>
          <w:szCs w:val="24"/>
        </w:rPr>
        <w:t xml:space="preserve">- Staţie de sortare şi compostare Vădeni </w:t>
      </w:r>
    </w:p>
    <w:p w:rsidR="00B07C47" w:rsidRPr="006C2DD6" w:rsidRDefault="00B07C47" w:rsidP="00B07C47">
      <w:pPr>
        <w:spacing w:after="0" w:line="240" w:lineRule="auto"/>
        <w:jc w:val="both"/>
        <w:rPr>
          <w:rFonts w:ascii="Arial" w:eastAsia="Times New Roman" w:hAnsi="Arial" w:cs="Arial"/>
          <w:sz w:val="24"/>
          <w:szCs w:val="24"/>
        </w:rPr>
      </w:pP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Există întârzieri în implementarea proiectului, deoarece antreprenorul nu a respectat graficul de execuție. Sistemul trebuia inițial pus în funcțiune în toamna 2015, s-a amânat pentru toamna 2016 dar termenul nu s-a respectat. Marea majoritate a lucrarilor a fost realizată până la sfârșitul trim. I 2015, a rămas nerealizată stația Vădeni.Contractul de finanțare POIM nr. 25/9.02.2017 prevede fazarea proiectului cu termen de finalizare 31.01.2019. Valoarea totală a contractului este de 34.181.045 lei cu TVA, din care 29.628.943 lei reprezintă valoarea eligibilă nerambursabilă din Fondul de Coeziune și Bugetul de Stat.</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Investițiile realizate deja nu pot fi puse în funcțiune deoarece nu s-a putut finaliza concesionarea gestiunii serviciului de salubrizare și a operării instalațiilor către un operator unic pentru întregul județ.</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 xml:space="preserve">Beneficiarul direct al proiectului va fi Consiliul Judeţean Brăila (în numele Asociaţiei de Dezvoltare Intercomunitară „Eco Dunărea” Brăila). Beneficiarii finali ai acestui proiect de management al deşeurilor vor fi gospodăriile din judeţ, instituţiile administrative şi sociale, precum şi agenţii economici ce îşi desfăşoară activitatea în Judeţul Brăila, în funcţie de tipul de deşeu pe care îl produc. Indirect, întreaga populaţie a judeţului va beneficia de pe urma acestui proiect, prin faptul că toţi vor utiliza un sistem de management al deşeurilor cu un impact redus asupra mediului înconjurator. </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Până la realizarea investiţiilor planificate s-a implementat deja o soluţie tranzitorie de colectare şi eliminare a deşeurilor menajere din judeţ prin :</w:t>
      </w:r>
    </w:p>
    <w:p w:rsidR="00B07C47" w:rsidRPr="006C2DD6" w:rsidRDefault="00B07C47" w:rsidP="00EF3940">
      <w:pPr>
        <w:pStyle w:val="Implicit"/>
        <w:numPr>
          <w:ilvl w:val="0"/>
          <w:numId w:val="69"/>
        </w:numPr>
        <w:tabs>
          <w:tab w:val="clear" w:pos="720"/>
          <w:tab w:val="left" w:pos="187"/>
          <w:tab w:val="left" w:pos="935"/>
          <w:tab w:val="left" w:pos="1260"/>
          <w:tab w:val="left" w:pos="1620"/>
        </w:tabs>
        <w:spacing w:after="0" w:line="240" w:lineRule="auto"/>
        <w:jc w:val="both"/>
        <w:rPr>
          <w:rFonts w:ascii="Arial" w:hAnsi="Arial" w:cs="Arial"/>
          <w:color w:val="auto"/>
          <w:lang w:val="ro-RO"/>
        </w:rPr>
      </w:pPr>
      <w:r w:rsidRPr="006C2DD6">
        <w:rPr>
          <w:rFonts w:ascii="Arial" w:hAnsi="Arial" w:cs="Arial"/>
          <w:color w:val="auto"/>
          <w:lang w:val="ro-RO"/>
        </w:rPr>
        <w:t xml:space="preserve">amenajarea a 10 puncte zonale de colectare prevăzute cu containere de mare capacitate (32mc) în localitățile: Frecăţei, Șuțești, Surdila Găiseanca, Bărăganu, Viziru, Cireşu, Jirlău, Movila Miresii, Silistraru şi Măxineni; </w:t>
      </w:r>
    </w:p>
    <w:p w:rsidR="00B07C47" w:rsidRPr="006C2DD6" w:rsidRDefault="00B07C47" w:rsidP="00EF3940">
      <w:pPr>
        <w:pStyle w:val="Implicit"/>
        <w:numPr>
          <w:ilvl w:val="0"/>
          <w:numId w:val="69"/>
        </w:numPr>
        <w:tabs>
          <w:tab w:val="clear" w:pos="720"/>
          <w:tab w:val="left" w:pos="187"/>
          <w:tab w:val="left" w:pos="935"/>
          <w:tab w:val="left" w:pos="1260"/>
          <w:tab w:val="left" w:pos="1620"/>
        </w:tabs>
        <w:spacing w:after="0" w:line="240" w:lineRule="auto"/>
        <w:jc w:val="both"/>
        <w:rPr>
          <w:rFonts w:ascii="Arial" w:hAnsi="Arial" w:cs="Arial"/>
          <w:color w:val="auto"/>
        </w:rPr>
      </w:pPr>
      <w:r w:rsidRPr="006C2DD6">
        <w:rPr>
          <w:rFonts w:ascii="Arial" w:hAnsi="Arial" w:cs="Arial"/>
          <w:color w:val="auto"/>
        </w:rPr>
        <w:t xml:space="preserve">fiecărui punct de colectare îi sunt arondate câte 3-4 comune, fiecare răspunde pentru colectarea deşeurilor de la populaţie şi depunerea la punctele zonale. Deşeurile sunt colectate de la locuinţe în saci de plastic, transportate cu ajutorul tractoarelor cu remorcă şi descărcate în containere; </w:t>
      </w:r>
    </w:p>
    <w:p w:rsidR="00B07C47" w:rsidRPr="006C2DD6" w:rsidRDefault="00B07C47" w:rsidP="00EF3940">
      <w:pPr>
        <w:pStyle w:val="Implicit"/>
        <w:numPr>
          <w:ilvl w:val="0"/>
          <w:numId w:val="69"/>
        </w:numPr>
        <w:tabs>
          <w:tab w:val="clear" w:pos="720"/>
          <w:tab w:val="left" w:pos="187"/>
          <w:tab w:val="left" w:pos="935"/>
          <w:tab w:val="left" w:pos="1260"/>
          <w:tab w:val="left" w:pos="1620"/>
        </w:tabs>
        <w:spacing w:after="0" w:line="240" w:lineRule="auto"/>
        <w:jc w:val="both"/>
        <w:rPr>
          <w:rFonts w:ascii="Arial" w:hAnsi="Arial" w:cs="Arial"/>
          <w:color w:val="auto"/>
        </w:rPr>
      </w:pPr>
      <w:r w:rsidRPr="006C2DD6">
        <w:rPr>
          <w:rFonts w:ascii="Arial" w:hAnsi="Arial" w:cs="Arial"/>
          <w:color w:val="auto"/>
        </w:rPr>
        <w:lastRenderedPageBreak/>
        <w:t>colectarea de la populaţie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B07C47" w:rsidRPr="006C2DD6" w:rsidRDefault="00B07C47" w:rsidP="00EF3940">
      <w:pPr>
        <w:pStyle w:val="ListParagraph"/>
        <w:numPr>
          <w:ilvl w:val="0"/>
          <w:numId w:val="69"/>
        </w:numPr>
        <w:shd w:val="clear" w:color="auto" w:fill="FFFFFF"/>
        <w:tabs>
          <w:tab w:val="num" w:pos="851"/>
        </w:tabs>
        <w:jc w:val="both"/>
        <w:rPr>
          <w:rFonts w:ascii="Arial" w:hAnsi="Arial" w:cs="Arial"/>
          <w:b/>
        </w:rPr>
      </w:pPr>
      <w:r w:rsidRPr="006C2DD6">
        <w:rPr>
          <w:rFonts w:ascii="Arial" w:hAnsi="Arial" w:cs="Arial"/>
        </w:rPr>
        <w:t>transportul deșeurilor menajere de la punctele de colectare pana la depozitul ecologic Muchea se realizeaza de catre operatorul de salubritate desemnat in urma procedurii de achizitie publica, cu ajutorul unui cap tractor cu sistem de incarcare – descarcare – basculare cu carlig, si a 11 containere metalice de capacitate mare, proprietate a Consiliului Judetean Braila</w:t>
      </w:r>
    </w:p>
    <w:p w:rsidR="00B07C47" w:rsidRPr="006C2DD6" w:rsidRDefault="00B07C47" w:rsidP="00EF3940">
      <w:pPr>
        <w:pStyle w:val="Implicit"/>
        <w:numPr>
          <w:ilvl w:val="0"/>
          <w:numId w:val="69"/>
        </w:numPr>
        <w:tabs>
          <w:tab w:val="clear" w:pos="720"/>
          <w:tab w:val="left" w:pos="187"/>
          <w:tab w:val="left" w:pos="935"/>
          <w:tab w:val="left" w:pos="1260"/>
          <w:tab w:val="left" w:pos="1620"/>
        </w:tabs>
        <w:spacing w:after="0" w:line="240" w:lineRule="auto"/>
        <w:jc w:val="both"/>
        <w:rPr>
          <w:rFonts w:ascii="Arial" w:hAnsi="Arial" w:cs="Arial"/>
          <w:color w:val="auto"/>
        </w:rPr>
      </w:pPr>
      <w:r w:rsidRPr="006C2DD6">
        <w:rPr>
          <w:rFonts w:ascii="Arial" w:hAnsi="Arial" w:cs="Arial"/>
          <w:color w:val="auto"/>
        </w:rPr>
        <w:t>după umplere containerele sunt transportate de către S.C. RECORWOOD S.R.L. (prin contract</w:t>
      </w:r>
      <w:r w:rsidRPr="006C2DD6">
        <w:rPr>
          <w:rFonts w:ascii="Arial" w:hAnsi="Arial" w:cs="Arial"/>
          <w:color w:val="auto"/>
          <w:lang w:val="ro-RO"/>
        </w:rPr>
        <w:t xml:space="preserve"> de delegare a gestiunii prin concesiune a serviciului de transport</w:t>
      </w:r>
      <w:r w:rsidRPr="006C2DD6">
        <w:rPr>
          <w:rFonts w:ascii="Arial" w:hAnsi="Arial" w:cs="Arial"/>
          <w:color w:val="auto"/>
        </w:rPr>
        <w:t xml:space="preserve"> încheiat cu ADI </w:t>
      </w:r>
      <w:r w:rsidRPr="006C2DD6">
        <w:rPr>
          <w:rFonts w:ascii="Arial" w:hAnsi="Arial" w:cs="Arial"/>
          <w:color w:val="auto"/>
          <w:lang w:val="ro-RO"/>
        </w:rPr>
        <w:t xml:space="preserve">,,ECO DUNĂREA" Brăila) </w:t>
      </w:r>
      <w:r w:rsidRPr="006C2DD6">
        <w:rPr>
          <w:rFonts w:ascii="Arial" w:hAnsi="Arial" w:cs="Arial"/>
          <w:color w:val="auto"/>
        </w:rPr>
        <w:t xml:space="preserve">la depozitul Muchea pentru eliminare. Containerele vor fi integrate ulterior în sistemul noilor investiţii şi vor deservi localităţile din Insula Mare a Brăilei precum şi municipiul Brăila pentru deşeurile din parcuri şi grădini care vor fi compostate. </w:t>
      </w:r>
    </w:p>
    <w:p w:rsidR="00B07C47" w:rsidRPr="006C2DD6" w:rsidRDefault="00B07C47" w:rsidP="00EF3940">
      <w:pPr>
        <w:pStyle w:val="ListParagraph"/>
        <w:widowControl w:val="0"/>
        <w:numPr>
          <w:ilvl w:val="0"/>
          <w:numId w:val="69"/>
        </w:numPr>
        <w:jc w:val="both"/>
        <w:rPr>
          <w:rFonts w:ascii="Arial" w:hAnsi="Arial" w:cs="Arial"/>
          <w:b/>
          <w:lang w:val="it-IT"/>
        </w:rPr>
      </w:pPr>
      <w:r w:rsidRPr="006C2DD6">
        <w:rPr>
          <w:rFonts w:ascii="Arial" w:hAnsi="Arial" w:cs="Arial"/>
          <w:lang w:val="it-IT"/>
        </w:rPr>
        <w:t>Soluţia implementată asigură un grad de acoperire cu servicii de salubritate de 100% în mediul rural, dar are caracter de tranziţie până la darea în exploatare a investiţiilor proiectate.</w:t>
      </w:r>
    </w:p>
    <w:p w:rsidR="00B07C47" w:rsidRPr="006C2DD6" w:rsidRDefault="00B07C47" w:rsidP="00B07C47">
      <w:pPr>
        <w:pStyle w:val="BodyTextIndent2BodyTextIndent2Char"/>
        <w:ind w:left="0" w:right="23"/>
        <w:rPr>
          <w:rFonts w:ascii="Arial" w:hAnsi="Arial" w:cs="Arial"/>
          <w:bCs/>
          <w:sz w:val="24"/>
          <w:szCs w:val="24"/>
        </w:rPr>
      </w:pPr>
    </w:p>
    <w:p w:rsidR="00B07C47" w:rsidRPr="006C2DD6" w:rsidRDefault="00B07C47" w:rsidP="00B07C47">
      <w:pPr>
        <w:tabs>
          <w:tab w:val="left" w:pos="1358"/>
          <w:tab w:val="left" w:leader="dot" w:pos="9356"/>
        </w:tabs>
        <w:spacing w:after="0" w:line="240" w:lineRule="auto"/>
        <w:ind w:left="993"/>
        <w:rPr>
          <w:rFonts w:ascii="Arial" w:hAnsi="Arial" w:cs="Arial"/>
          <w:b/>
          <w:sz w:val="24"/>
          <w:szCs w:val="24"/>
        </w:rPr>
      </w:pPr>
      <w:r w:rsidRPr="006C2DD6">
        <w:rPr>
          <w:rFonts w:ascii="Arial" w:hAnsi="Arial" w:cs="Arial"/>
          <w:b/>
          <w:sz w:val="24"/>
          <w:szCs w:val="24"/>
        </w:rPr>
        <w:t>VII.1.5.</w:t>
      </w:r>
      <w:r w:rsidRPr="006C2DD6">
        <w:rPr>
          <w:rFonts w:ascii="Arial" w:hAnsi="Arial" w:cs="Arial"/>
          <w:b/>
          <w:i/>
          <w:sz w:val="24"/>
          <w:szCs w:val="24"/>
        </w:rPr>
        <w:t>Tendinţe şi prognoze privind generarea deşeurilor</w:t>
      </w:r>
    </w:p>
    <w:p w:rsidR="00B07C47" w:rsidRPr="006C2DD6" w:rsidRDefault="00B07C47" w:rsidP="00B07C47">
      <w:pPr>
        <w:autoSpaceDE w:val="0"/>
        <w:autoSpaceDN w:val="0"/>
        <w:adjustRightInd w:val="0"/>
        <w:spacing w:after="0" w:line="240" w:lineRule="auto"/>
        <w:ind w:firstLine="708"/>
        <w:jc w:val="both"/>
        <w:rPr>
          <w:rFonts w:ascii="Arial" w:hAnsi="Arial" w:cs="Arial"/>
          <w:sz w:val="24"/>
          <w:szCs w:val="24"/>
          <w:lang w:val="it-IT"/>
        </w:rPr>
      </w:pPr>
      <w:r w:rsidRPr="006C2DD6">
        <w:rPr>
          <w:rFonts w:ascii="Arial" w:hAnsi="Arial" w:cs="Arial"/>
          <w:sz w:val="24"/>
          <w:szCs w:val="24"/>
          <w:lang w:val="it-IT"/>
        </w:rPr>
        <w:t>În conformitate cu prevederile legislative în vigoare, este în curs de elaborare Planul Naţional de Gestionare a Deşeurilor, care va stabili măsuri şi acţiuni pentru punerea în practică a obiectivelor stabilite prin Strategia Naţională de Gestionare a Deşeurilor 2014-2020. Pentru elaborarea acestui plan se vor realiza diferite studii, inclusiv referitoare la prognozele privind generarea şi gestionarea deşeurilor municipale şi industriale.</w:t>
      </w:r>
    </w:p>
    <w:p w:rsidR="005745BE" w:rsidRDefault="005745BE" w:rsidP="007F6E99">
      <w:pPr>
        <w:spacing w:after="0" w:line="240" w:lineRule="auto"/>
        <w:jc w:val="both"/>
        <w:rPr>
          <w:rFonts w:ascii="Arial" w:hAnsi="Arial" w:cs="Arial"/>
          <w:b/>
          <w:sz w:val="24"/>
          <w:szCs w:val="24"/>
          <w:lang w:val="en-US"/>
        </w:rPr>
      </w:pPr>
    </w:p>
    <w:p w:rsidR="007F6E99" w:rsidRDefault="007F6E99" w:rsidP="007F6E99">
      <w:pPr>
        <w:spacing w:after="0" w:line="240" w:lineRule="auto"/>
        <w:jc w:val="both"/>
        <w:rPr>
          <w:rFonts w:ascii="Arial" w:hAnsi="Arial" w:cs="Arial"/>
          <w:b/>
          <w:sz w:val="24"/>
          <w:szCs w:val="24"/>
          <w:lang w:val="en-US"/>
        </w:rPr>
      </w:pPr>
      <w:r w:rsidRPr="00C625DB">
        <w:rPr>
          <w:rFonts w:ascii="Arial" w:hAnsi="Arial" w:cs="Arial"/>
          <w:b/>
          <w:sz w:val="24"/>
          <w:szCs w:val="24"/>
          <w:lang w:val="en-US"/>
        </w:rPr>
        <w:t>VIII. MEDIUL URBAN, SǍNǍTATEA ŞI CALITATEA VIEŢII</w:t>
      </w:r>
    </w:p>
    <w:p w:rsidR="005745BE" w:rsidRPr="00C625DB" w:rsidRDefault="005745BE" w:rsidP="007F6E99">
      <w:pPr>
        <w:spacing w:after="0" w:line="240" w:lineRule="auto"/>
        <w:jc w:val="both"/>
        <w:rPr>
          <w:rFonts w:ascii="Arial" w:hAnsi="Arial" w:cs="Arial"/>
          <w:b/>
          <w:sz w:val="24"/>
          <w:szCs w:val="24"/>
          <w:lang w:val="en-US"/>
        </w:rPr>
      </w:pPr>
    </w:p>
    <w:p w:rsidR="007F6E99" w:rsidRDefault="007F6E99" w:rsidP="007F6E99">
      <w:pPr>
        <w:spacing w:after="0" w:line="240" w:lineRule="auto"/>
        <w:jc w:val="both"/>
        <w:rPr>
          <w:rFonts w:ascii="Arial" w:hAnsi="Arial" w:cs="Arial"/>
          <w:b/>
          <w:sz w:val="24"/>
          <w:szCs w:val="24"/>
          <w:lang w:val="en-US"/>
        </w:rPr>
      </w:pPr>
      <w:r w:rsidRPr="00C625DB">
        <w:rPr>
          <w:rFonts w:ascii="Arial" w:hAnsi="Arial" w:cs="Arial"/>
          <w:b/>
          <w:sz w:val="24"/>
          <w:szCs w:val="24"/>
          <w:lang w:val="en-US"/>
        </w:rPr>
        <w:t xml:space="preserve">    </w:t>
      </w:r>
      <w:r w:rsidRPr="009078D0">
        <w:rPr>
          <w:rFonts w:ascii="Arial" w:hAnsi="Arial" w:cs="Arial"/>
          <w:b/>
          <w:sz w:val="24"/>
          <w:szCs w:val="24"/>
          <w:lang w:val="en-US"/>
        </w:rPr>
        <w:t>VIII.1.Mediul urban şi calitatea vieţii: stare şi consecinţe</w:t>
      </w:r>
    </w:p>
    <w:p w:rsidR="007F6E99" w:rsidRPr="00BB6078" w:rsidRDefault="007F6E99" w:rsidP="007F6E99">
      <w:pPr>
        <w:widowControl w:val="0"/>
        <w:spacing w:after="0" w:line="240" w:lineRule="auto"/>
        <w:ind w:firstLine="720"/>
        <w:jc w:val="both"/>
        <w:rPr>
          <w:rFonts w:ascii="Arial" w:eastAsia="Calibri" w:hAnsi="Arial" w:cs="Arial"/>
          <w:sz w:val="24"/>
          <w:szCs w:val="24"/>
        </w:rPr>
      </w:pPr>
      <w:r w:rsidRPr="00BB6078">
        <w:rPr>
          <w:rFonts w:ascii="Arial" w:eastAsia="Calibri" w:hAnsi="Arial" w:cs="Arial"/>
          <w:sz w:val="24"/>
          <w:szCs w:val="24"/>
        </w:rPr>
        <w:t>Mediul urban reprezintă un ecosistem specific, un complex de factori naturali şi artificiali care asigură o serie de facilităţi pentru desfăşurarea mai comodă a vieţii, dar, în acelaşi timp, expun populaţia la diverse riscuri şi disconforturi, în funcţie de modul de organizare şi folosire, mai mult sau mai puţin echilibrată, al acestora.</w:t>
      </w:r>
    </w:p>
    <w:p w:rsidR="007F6E99" w:rsidRPr="00BB6078" w:rsidRDefault="007F6E99" w:rsidP="007F6E99">
      <w:pPr>
        <w:widowControl w:val="0"/>
        <w:spacing w:after="0" w:line="240" w:lineRule="auto"/>
        <w:ind w:firstLine="720"/>
        <w:jc w:val="both"/>
        <w:rPr>
          <w:rFonts w:ascii="Arial" w:eastAsia="Calibri" w:hAnsi="Arial" w:cs="Arial"/>
          <w:sz w:val="24"/>
          <w:szCs w:val="24"/>
        </w:rPr>
      </w:pPr>
      <w:r w:rsidRPr="00BB6078">
        <w:rPr>
          <w:rFonts w:ascii="Arial" w:eastAsia="Calibri" w:hAnsi="Arial" w:cs="Arial"/>
          <w:sz w:val="24"/>
          <w:szCs w:val="24"/>
        </w:rPr>
        <w:t>Un mediu curat este esenţial pentru sănătatea umană şi bunăstare, totuşi, interacţiunile dintre mediu şi sănătatea umană sunt extrem de complexe şi dificil de evaluat. Aceasta face ca utilizarea principiului precauţiei să fie extrem de utilă.</w:t>
      </w:r>
    </w:p>
    <w:p w:rsidR="007F6E99" w:rsidRPr="00BB6078" w:rsidRDefault="007F6E99" w:rsidP="007F6E99">
      <w:pPr>
        <w:widowControl w:val="0"/>
        <w:spacing w:after="0" w:line="240" w:lineRule="auto"/>
        <w:ind w:firstLine="720"/>
        <w:jc w:val="both"/>
        <w:rPr>
          <w:rFonts w:ascii="Arial" w:eastAsia="Calibri" w:hAnsi="Arial" w:cs="Arial"/>
          <w:sz w:val="24"/>
          <w:szCs w:val="24"/>
        </w:rPr>
      </w:pPr>
      <w:r w:rsidRPr="00BB6078">
        <w:rPr>
          <w:rFonts w:ascii="Arial" w:eastAsia="Calibri" w:hAnsi="Arial" w:cs="Arial"/>
          <w:sz w:val="24"/>
          <w:szCs w:val="24"/>
        </w:rPr>
        <w:t>În sistemele urbane, factorii artificiali se extind din ce în ce mai mult, în detrimentul celor naturali. Localităţile urbane se confruntă cu o serie de probleme care influenţează atât sănătatea cât şi calitatea vieţii populaţiei, precum cele legate de calitatea aerului, nivelul crescut de zgomot, terenuri abandonate, zone nesistematizate şi insuficienţa spaţiilor verzi, generarea de deşeuri şi ape uzate.</w:t>
      </w:r>
    </w:p>
    <w:p w:rsidR="007F6E99" w:rsidRPr="00BB6078" w:rsidRDefault="007F6E99" w:rsidP="007F6E99">
      <w:pPr>
        <w:spacing w:after="0" w:line="240" w:lineRule="auto"/>
        <w:ind w:firstLine="680"/>
        <w:jc w:val="both"/>
        <w:outlineLvl w:val="0"/>
        <w:rPr>
          <w:rFonts w:ascii="Arial" w:eastAsia="Times New Roman" w:hAnsi="Arial" w:cs="Arial"/>
          <w:sz w:val="24"/>
          <w:szCs w:val="24"/>
        </w:rPr>
      </w:pPr>
      <w:r w:rsidRPr="00BB6078">
        <w:rPr>
          <w:rFonts w:ascii="Arial" w:eastAsia="Times New Roman" w:hAnsi="Arial" w:cs="Arial"/>
          <w:sz w:val="24"/>
          <w:szCs w:val="24"/>
        </w:rPr>
        <w:t xml:space="preserve">Scopul principal al politicilor europene este de a furniza un mediu în care “nivelul poluării să nu dea naştere unor efecte dăunătoare asupra sănătăţii umane şi a mediului”, iar grupurile vulnerabile ale populaţiei să fie protejate. </w:t>
      </w:r>
    </w:p>
    <w:p w:rsidR="007F6E99" w:rsidRPr="00BB6078" w:rsidRDefault="007F6E99" w:rsidP="007F6E99">
      <w:pPr>
        <w:spacing w:after="0" w:line="240" w:lineRule="auto"/>
        <w:ind w:firstLine="680"/>
        <w:jc w:val="both"/>
        <w:outlineLvl w:val="0"/>
        <w:rPr>
          <w:rFonts w:ascii="Arial" w:eastAsia="Times New Roman" w:hAnsi="Arial" w:cs="Arial"/>
          <w:sz w:val="24"/>
          <w:szCs w:val="24"/>
        </w:rPr>
      </w:pPr>
      <w:r w:rsidRPr="00BB6078">
        <w:rPr>
          <w:rFonts w:ascii="Arial" w:eastAsia="Times New Roman" w:hAnsi="Arial" w:cs="Arial"/>
          <w:sz w:val="24"/>
          <w:szCs w:val="24"/>
        </w:rPr>
        <w:t xml:space="preserve">Acţiunea mediului poluant asupra mediului este foarte variată şi complexă, putând merge de la simple incomodităţi în activitatea omului, aşa zisul disconfort, până la perturbări puternice ale stării de sănătate. </w:t>
      </w:r>
    </w:p>
    <w:p w:rsidR="007F6E99" w:rsidRPr="00BB6078" w:rsidRDefault="007F6E99" w:rsidP="007F6E99">
      <w:pPr>
        <w:spacing w:after="0" w:line="240" w:lineRule="auto"/>
        <w:ind w:firstLine="680"/>
        <w:jc w:val="both"/>
        <w:outlineLvl w:val="0"/>
        <w:rPr>
          <w:rFonts w:ascii="Arial" w:eastAsia="Times New Roman" w:hAnsi="Arial" w:cs="Arial"/>
          <w:sz w:val="24"/>
          <w:szCs w:val="24"/>
        </w:rPr>
      </w:pPr>
      <w:r w:rsidRPr="00BB6078">
        <w:rPr>
          <w:rFonts w:ascii="Arial" w:eastAsia="Times New Roman" w:hAnsi="Arial" w:cs="Arial"/>
          <w:sz w:val="24"/>
          <w:szCs w:val="24"/>
        </w:rPr>
        <w:t>Evaluarea stării de sănătate a populaţiei constă în identificarea factorilor de risc</w:t>
      </w:r>
      <w:r>
        <w:rPr>
          <w:rFonts w:ascii="Arial" w:eastAsia="Times New Roman" w:hAnsi="Arial" w:cs="Arial"/>
          <w:sz w:val="24"/>
          <w:szCs w:val="24"/>
        </w:rPr>
        <w:t xml:space="preserve"> care ţin de: calitatea aerului, alimentarea cu apă potabilă,</w:t>
      </w:r>
      <w:r w:rsidRPr="00BB6078">
        <w:rPr>
          <w:rFonts w:ascii="Arial" w:eastAsia="Times New Roman" w:hAnsi="Arial" w:cs="Arial"/>
          <w:sz w:val="24"/>
          <w:szCs w:val="24"/>
        </w:rPr>
        <w:t xml:space="preserve"> colectarea şi îndepărtarea reziduurilor l</w:t>
      </w:r>
      <w:r>
        <w:rPr>
          <w:rFonts w:ascii="Arial" w:eastAsia="Times New Roman" w:hAnsi="Arial" w:cs="Arial"/>
          <w:sz w:val="24"/>
          <w:szCs w:val="24"/>
        </w:rPr>
        <w:t>ichide şi solide de orice natură și</w:t>
      </w:r>
      <w:r w:rsidRPr="00BB6078">
        <w:rPr>
          <w:rFonts w:ascii="Arial" w:eastAsia="Times New Roman" w:hAnsi="Arial" w:cs="Arial"/>
          <w:sz w:val="24"/>
          <w:szCs w:val="24"/>
        </w:rPr>
        <w:t xml:space="preserve"> zgomotul urban</w:t>
      </w:r>
      <w:r>
        <w:rPr>
          <w:rFonts w:ascii="Arial" w:eastAsia="Times New Roman" w:hAnsi="Arial" w:cs="Arial"/>
          <w:sz w:val="24"/>
          <w:szCs w:val="24"/>
        </w:rPr>
        <w:t xml:space="preserve">. </w:t>
      </w:r>
      <w:r w:rsidRPr="00BB6078">
        <w:rPr>
          <w:rFonts w:ascii="Arial" w:eastAsia="Times New Roman" w:hAnsi="Arial" w:cs="Arial"/>
          <w:sz w:val="24"/>
          <w:szCs w:val="24"/>
        </w:rPr>
        <w:t>Aprecierea stării de sănătate se face pe baza unor indicatori cum ar fi: sporul natural</w:t>
      </w:r>
      <w:r>
        <w:rPr>
          <w:rFonts w:ascii="Arial" w:eastAsia="Times New Roman" w:hAnsi="Arial" w:cs="Arial"/>
          <w:sz w:val="24"/>
          <w:szCs w:val="24"/>
        </w:rPr>
        <w:t>,</w:t>
      </w:r>
      <w:r w:rsidRPr="00BB6078">
        <w:rPr>
          <w:rFonts w:ascii="Arial" w:eastAsia="Times New Roman" w:hAnsi="Arial" w:cs="Arial"/>
          <w:sz w:val="24"/>
          <w:szCs w:val="24"/>
        </w:rPr>
        <w:t xml:space="preserve"> rata brută a mortalităţii</w:t>
      </w:r>
      <w:r>
        <w:rPr>
          <w:rFonts w:ascii="Arial" w:eastAsia="Times New Roman" w:hAnsi="Arial" w:cs="Arial"/>
          <w:sz w:val="24"/>
          <w:szCs w:val="24"/>
        </w:rPr>
        <w:t>,</w:t>
      </w:r>
      <w:r w:rsidRPr="00BB6078">
        <w:rPr>
          <w:rFonts w:ascii="Arial" w:eastAsia="Times New Roman" w:hAnsi="Arial" w:cs="Arial"/>
          <w:sz w:val="24"/>
          <w:szCs w:val="24"/>
        </w:rPr>
        <w:t xml:space="preserve"> durata medie a vieţii</w:t>
      </w:r>
      <w:r>
        <w:rPr>
          <w:rFonts w:ascii="Arial" w:eastAsia="Times New Roman" w:hAnsi="Arial" w:cs="Arial"/>
          <w:sz w:val="24"/>
          <w:szCs w:val="24"/>
        </w:rPr>
        <w:t>, mortalitatea infantilă.</w:t>
      </w:r>
    </w:p>
    <w:p w:rsidR="007F6E99" w:rsidRPr="009078D0" w:rsidRDefault="007F6E99" w:rsidP="007F6E99">
      <w:pPr>
        <w:spacing w:after="0" w:line="240" w:lineRule="auto"/>
        <w:jc w:val="both"/>
        <w:rPr>
          <w:rFonts w:ascii="Arial" w:hAnsi="Arial" w:cs="Arial"/>
          <w:b/>
          <w:sz w:val="24"/>
          <w:szCs w:val="24"/>
          <w:lang w:val="en-US"/>
        </w:rPr>
      </w:pPr>
    </w:p>
    <w:p w:rsidR="008D56C8" w:rsidRDefault="007F6E99" w:rsidP="007F6E99">
      <w:pPr>
        <w:spacing w:after="0" w:line="240" w:lineRule="auto"/>
        <w:jc w:val="both"/>
        <w:rPr>
          <w:rFonts w:ascii="Arial" w:hAnsi="Arial" w:cs="Arial"/>
          <w:i/>
          <w:sz w:val="24"/>
          <w:szCs w:val="24"/>
          <w:lang w:val="en-US"/>
        </w:rPr>
      </w:pPr>
      <w:r w:rsidRPr="009078D0">
        <w:rPr>
          <w:rFonts w:ascii="Arial" w:hAnsi="Arial" w:cs="Arial"/>
          <w:i/>
          <w:sz w:val="24"/>
          <w:szCs w:val="24"/>
          <w:lang w:val="en-US"/>
        </w:rPr>
        <w:t xml:space="preserve">      </w:t>
      </w:r>
    </w:p>
    <w:p w:rsidR="008D56C8" w:rsidRDefault="008D56C8" w:rsidP="007F6E99">
      <w:pPr>
        <w:spacing w:after="0" w:line="240" w:lineRule="auto"/>
        <w:jc w:val="both"/>
        <w:rPr>
          <w:rFonts w:ascii="Arial" w:hAnsi="Arial" w:cs="Arial"/>
          <w:i/>
          <w:sz w:val="24"/>
          <w:szCs w:val="24"/>
          <w:lang w:val="en-US"/>
        </w:rPr>
      </w:pPr>
    </w:p>
    <w:p w:rsidR="008D56C8" w:rsidRDefault="008D56C8" w:rsidP="007F6E99">
      <w:pPr>
        <w:spacing w:after="0" w:line="240" w:lineRule="auto"/>
        <w:jc w:val="both"/>
        <w:rPr>
          <w:rFonts w:ascii="Arial" w:hAnsi="Arial" w:cs="Arial"/>
          <w:i/>
          <w:sz w:val="24"/>
          <w:szCs w:val="24"/>
          <w:lang w:val="en-US"/>
        </w:rPr>
      </w:pPr>
    </w:p>
    <w:p w:rsidR="007F6E99" w:rsidRPr="009078D0" w:rsidRDefault="007F6E99" w:rsidP="007F6E99">
      <w:pPr>
        <w:spacing w:after="0" w:line="240" w:lineRule="auto"/>
        <w:jc w:val="both"/>
        <w:rPr>
          <w:rFonts w:ascii="Arial" w:hAnsi="Arial" w:cs="Arial"/>
          <w:b/>
          <w:i/>
          <w:sz w:val="24"/>
          <w:szCs w:val="24"/>
          <w:lang w:val="en-US"/>
        </w:rPr>
      </w:pPr>
      <w:r w:rsidRPr="009078D0">
        <w:rPr>
          <w:rFonts w:ascii="Arial" w:hAnsi="Arial" w:cs="Arial"/>
          <w:b/>
          <w:sz w:val="24"/>
          <w:szCs w:val="24"/>
          <w:lang w:val="en-US"/>
        </w:rPr>
        <w:lastRenderedPageBreak/>
        <w:t>VIII.1.1</w:t>
      </w:r>
      <w:r w:rsidRPr="009078D0">
        <w:rPr>
          <w:rFonts w:ascii="Arial" w:hAnsi="Arial" w:cs="Arial"/>
          <w:b/>
          <w:i/>
          <w:sz w:val="24"/>
          <w:szCs w:val="24"/>
          <w:lang w:val="en-US"/>
        </w:rPr>
        <w:t>.Calitatea aerului din aglomerările urbane şi efectele asupra sănătăţii</w:t>
      </w:r>
    </w:p>
    <w:p w:rsidR="007F6E99" w:rsidRDefault="007F6E99" w:rsidP="007F6E99">
      <w:pPr>
        <w:spacing w:after="0" w:line="240" w:lineRule="auto"/>
        <w:jc w:val="both"/>
        <w:rPr>
          <w:rFonts w:ascii="Arial" w:hAnsi="Arial" w:cs="Arial"/>
          <w:sz w:val="24"/>
          <w:szCs w:val="24"/>
          <w:lang w:val="en-US"/>
        </w:rPr>
      </w:pPr>
    </w:p>
    <w:p w:rsidR="007F6E99" w:rsidRPr="001F4DEA" w:rsidRDefault="007F6E99" w:rsidP="007F6E99">
      <w:pPr>
        <w:spacing w:after="0" w:line="240" w:lineRule="auto"/>
        <w:ind w:right="3" w:firstLine="720"/>
        <w:jc w:val="both"/>
        <w:rPr>
          <w:rFonts w:ascii="Arial" w:eastAsia="Times New Roman" w:hAnsi="Arial" w:cs="Arial"/>
          <w:sz w:val="24"/>
          <w:szCs w:val="24"/>
          <w:lang w:val="it-IT"/>
        </w:rPr>
      </w:pPr>
      <w:r w:rsidRPr="00B02924">
        <w:rPr>
          <w:rFonts w:ascii="Arial" w:eastAsia="Times New Roman" w:hAnsi="Arial" w:cs="Arial"/>
          <w:sz w:val="24"/>
          <w:szCs w:val="24"/>
          <w:lang w:val="it-IT"/>
        </w:rPr>
        <w:t xml:space="preserve">Poluarea atmosferică reprezintă introducerea de către om, direct sau indirect, în </w:t>
      </w:r>
      <w:r w:rsidRPr="001F4DEA">
        <w:rPr>
          <w:rFonts w:ascii="Arial" w:eastAsia="Times New Roman" w:hAnsi="Arial" w:cs="Arial"/>
          <w:sz w:val="24"/>
          <w:szCs w:val="24"/>
          <w:lang w:val="it-IT"/>
        </w:rPr>
        <w:t>atmosferă şi în spaţiile închise, a substanţelor care au consecinţe prejudiciabile de natură să pună în pericol sănătatea umană, să dăuneze resurselor biologice şi ecosistemelor, să aibă o influenţă asupra schimbărilor climatice și să deterioreze bunurile materiale.</w:t>
      </w:r>
    </w:p>
    <w:p w:rsidR="007F6E99" w:rsidRPr="001F4DEA" w:rsidRDefault="007F6E99" w:rsidP="007F6E99">
      <w:pPr>
        <w:autoSpaceDE w:val="0"/>
        <w:autoSpaceDN w:val="0"/>
        <w:adjustRightInd w:val="0"/>
        <w:spacing w:after="0" w:line="240" w:lineRule="auto"/>
        <w:ind w:firstLine="709"/>
        <w:jc w:val="both"/>
        <w:rPr>
          <w:rFonts w:ascii="Arial" w:eastAsia="Calibri" w:hAnsi="Arial" w:cs="Arial"/>
          <w:sz w:val="24"/>
          <w:szCs w:val="24"/>
        </w:rPr>
      </w:pPr>
      <w:r w:rsidRPr="001F4DEA">
        <w:rPr>
          <w:rFonts w:ascii="Arial" w:eastAsia="Calibri" w:hAnsi="Arial" w:cs="Arial"/>
          <w:sz w:val="24"/>
          <w:szCs w:val="24"/>
        </w:rPr>
        <w:t xml:space="preserve">Prezenţa impurităţilor în aer, sub formă de pulberi, aerosoli sau gaze, permit afectarea stării de sănătate a populaţiei prin efecte imediate (directe) sau de lungă durată. </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 xml:space="preserve">Efectele directe </w:t>
      </w:r>
      <w:r w:rsidRPr="001F4DEA">
        <w:rPr>
          <w:rFonts w:ascii="Arial" w:eastAsia="Calibri" w:hAnsi="Arial" w:cs="Arial"/>
          <w:sz w:val="24"/>
          <w:szCs w:val="24"/>
        </w:rPr>
        <w:t>sunt reprezentate de modificările care apar în starea de sănătate a populaţiei ca urmare a expunerii la agenţi poluanţi. Aceste modificări se pot traduce în ordinea gravităţii prin: creşterea mortalităţii, creşterea morbidităţii, apariţia unor simptome sau modificării fizio-patologice, apariţia unor modificări fiziologice directe şi/sau încărcarea organismului cu agentul sau agenţii poluanţi.</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 xml:space="preserve">Efectele de lungă durată </w:t>
      </w:r>
      <w:r w:rsidRPr="001F4DEA">
        <w:rPr>
          <w:rFonts w:ascii="Arial" w:eastAsia="Calibri" w:hAnsi="Arial" w:cs="Arial"/>
          <w:sz w:val="24"/>
          <w:szCs w:val="24"/>
        </w:rPr>
        <w:t xml:space="preserve">sunt caracterizate prin apariţia unor fenomene patologice în urma expunerii prelungite la poluanţii atmosferici. Aceste efecte pot fi rezultatul acumulării poluanţilor în organism, în situaţia poluanţilor cumulativi (Pb, F etc.), până când încărcarea atinge pragul toxic. Efectele de lungă durată apar după intervale lungi de timp de expunere care pot fi de ani sau chiar de zeci de ani. Manifestările patologice pot îmbrăca aspecte specifice poluanţilor (intoxicaţii cronice, fenomene alergice, efecte carcinogene, mutagene şi teratogene) sau pot fi caracterizate prin apariţia unor îmbolnăviri cu etimologie multiplă, în care poluanţii să reprezinte unul dintre agenţii etimologici determinanţi sau agravanţi (boli respiratorii acute şi cronice, anemii etc.). </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sz w:val="24"/>
          <w:szCs w:val="24"/>
        </w:rPr>
        <w:t>După tipul de acţiune pe care o au asupra organismului, poluanţii atmosferici sunt:</w:t>
      </w:r>
    </w:p>
    <w:p w:rsidR="007F6E99" w:rsidRPr="001F4DEA" w:rsidRDefault="007F6E99" w:rsidP="00EF3940">
      <w:pPr>
        <w:numPr>
          <w:ilvl w:val="0"/>
          <w:numId w:val="80"/>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1F4DEA">
        <w:rPr>
          <w:rFonts w:ascii="Arial" w:eastAsia="Calibri" w:hAnsi="Arial" w:cs="Arial"/>
          <w:sz w:val="24"/>
          <w:szCs w:val="24"/>
        </w:rPr>
        <w:t>cu acţiune iritantă;</w:t>
      </w:r>
    </w:p>
    <w:p w:rsidR="007F6E99" w:rsidRPr="001F4DEA" w:rsidRDefault="007F6E99" w:rsidP="00EF3940">
      <w:pPr>
        <w:numPr>
          <w:ilvl w:val="0"/>
          <w:numId w:val="80"/>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1F4DEA">
        <w:rPr>
          <w:rFonts w:ascii="Arial" w:eastAsia="Calibri" w:hAnsi="Arial" w:cs="Arial"/>
          <w:sz w:val="24"/>
          <w:szCs w:val="24"/>
        </w:rPr>
        <w:t>cu acţiune asfixiantă;</w:t>
      </w:r>
    </w:p>
    <w:p w:rsidR="007F6E99" w:rsidRPr="001F4DEA" w:rsidRDefault="007F6E99" w:rsidP="00EF3940">
      <w:pPr>
        <w:numPr>
          <w:ilvl w:val="0"/>
          <w:numId w:val="80"/>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1F4DEA">
        <w:rPr>
          <w:rFonts w:ascii="Arial" w:eastAsia="Calibri" w:hAnsi="Arial" w:cs="Arial"/>
          <w:sz w:val="24"/>
          <w:szCs w:val="24"/>
        </w:rPr>
        <w:t>cu acţiune toxică sistemică;</w:t>
      </w:r>
    </w:p>
    <w:p w:rsidR="007F6E99" w:rsidRPr="001F4DEA" w:rsidRDefault="007F6E99" w:rsidP="00EF3940">
      <w:pPr>
        <w:numPr>
          <w:ilvl w:val="0"/>
          <w:numId w:val="80"/>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1F4DEA">
        <w:rPr>
          <w:rFonts w:ascii="Arial" w:eastAsia="Calibri" w:hAnsi="Arial" w:cs="Arial"/>
          <w:sz w:val="24"/>
          <w:szCs w:val="24"/>
        </w:rPr>
        <w:t>cu acţiune fibrozantă şi alergizantă;</w:t>
      </w:r>
    </w:p>
    <w:p w:rsidR="007F6E99" w:rsidRPr="001F4DEA" w:rsidRDefault="007F6E99" w:rsidP="00EF3940">
      <w:pPr>
        <w:numPr>
          <w:ilvl w:val="0"/>
          <w:numId w:val="80"/>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1F4DEA">
        <w:rPr>
          <w:rFonts w:ascii="Arial" w:eastAsia="Calibri" w:hAnsi="Arial" w:cs="Arial"/>
          <w:sz w:val="24"/>
          <w:szCs w:val="24"/>
        </w:rPr>
        <w:t>cu acţiune cancerigenă.</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 xml:space="preserve">Poluanţii iritanţi </w:t>
      </w:r>
      <w:r w:rsidRPr="001F4DEA">
        <w:rPr>
          <w:rFonts w:ascii="Arial" w:eastAsia="Calibri" w:hAnsi="Arial" w:cs="Arial"/>
          <w:sz w:val="24"/>
          <w:szCs w:val="24"/>
        </w:rPr>
        <w:t>realizează efecte iritative asupra mucoasei oculare şi îndeosebi asupra aparatului respirator. În această grupă intră pulberile netoxice, precum şi o sumă de gaze şi vapori ca bioxidul de sulf, bioxidul de azot, ozonul şi substanţele oxidante, clorul, amoniacul etc. Poluarea iritantă constituie cea mai răspândită dintre tipurile de poluare, rezultând în primul rând din procesele de ardere a combustibilului, dar şi din celelalte surse de poluări. Poluanţii cu acţiune iritantă sunt cei mai răspândiţi în mediu, afectând populaţia umană prin modificări la nivelul căilor respiratorii, producând hipersecreţie de mucus şi alterarea activităţii cililor vibratili, precum şi afectarea alveolelor pulmonare. Inhalarea repetată şi prelungită a gazelor, vaporilor, aerosolilor şi pulberilor iritante determină apariţia la nivelul aparatului respirator a unor modificări funcţionale şi a unor leziuni anatomice, adesea ireversibile şi susceptibile de a se agrava.</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 xml:space="preserve">Poluanţii fibrozanţi </w:t>
      </w:r>
      <w:r w:rsidRPr="001F4DEA">
        <w:rPr>
          <w:rFonts w:ascii="Arial" w:eastAsia="Calibri" w:hAnsi="Arial" w:cs="Arial"/>
          <w:sz w:val="24"/>
          <w:szCs w:val="24"/>
        </w:rPr>
        <w:t xml:space="preserve">produc modificări fibroase la nivelul aparatului respirator. Printre cei mai răspândiţi sunt bioxidul de siliciu, azbestul şi oxizii de fier, la care se adaugă compuşii de cobalt, bariu etc. Sunt mult mai agresivi în mediul industrial, unde determină îmbolnăviri specifice care sunt excepţionale în condiţii de poluare a aerului. Totuşi poluarea intensă cu pulberi poate duce la modificări fibroase pulmonare. </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 xml:space="preserve">Poluanţii alergenici </w:t>
      </w:r>
      <w:r w:rsidRPr="001F4DEA">
        <w:rPr>
          <w:rFonts w:ascii="Arial" w:eastAsia="Calibri" w:hAnsi="Arial" w:cs="Arial"/>
          <w:sz w:val="24"/>
          <w:szCs w:val="24"/>
        </w:rPr>
        <w:t xml:space="preserve">din atmosferă sunt cunoscuţi de multă vreme, cum este cazul poluanţilor naturali (polen, fungi, insecte) precum şi a prafului din casă,ca fiind responsabili de un număr foarte mare de alergii respiratorii sau cutanate. Pe lângă aceştia se adaugă poluanţii proveniţi din surse artificiale, în special industriale, care pot emite în atmosferă o sumă de alergeni compleţi sau incompleţi. Pe primul loc din acest punct de vedere, se găseşte industria chimică (industria maselor plastice, industria farmaceutică, fabricile de insecticide etc.). </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i/>
          <w:iCs/>
          <w:sz w:val="24"/>
          <w:szCs w:val="24"/>
        </w:rPr>
        <w:t>Poluanţi cancerigeni</w:t>
      </w:r>
      <w:r w:rsidRPr="001F4DEA">
        <w:rPr>
          <w:rFonts w:ascii="Arial" w:eastAsia="Calibri" w:hAnsi="Arial" w:cs="Arial"/>
          <w:sz w:val="24"/>
          <w:szCs w:val="24"/>
        </w:rPr>
        <w:t xml:space="preserve">. Există foarte multe dificultăţi în estimarea rolului poluanţilor atmosferici ca factori etiologici ai cancerului. Totuşi creşterea frecvenţei cancerului îndeosebi în mediul urban, a impus luarea în considerare şi a poluanţilor atmosferici ca agenţi cauzali posibili, cu atât mai mult cu cât în zonele poluate au fost identificate în aer substanţe cert carcinogene. Putem clasifica substanţele cancerigene prezente în aer în substanţe organice şi substanţe anorganice. Dintre poluanţii organici cancerigeni din aer, cei mai răspândiţi sunt </w:t>
      </w:r>
      <w:r w:rsidRPr="001F4DEA">
        <w:rPr>
          <w:rFonts w:ascii="Arial" w:eastAsia="Calibri" w:hAnsi="Arial" w:cs="Arial"/>
          <w:sz w:val="24"/>
          <w:szCs w:val="24"/>
        </w:rPr>
        <w:lastRenderedPageBreak/>
        <w:t xml:space="preserve">hidrocarburile policiclice aromatice ca: enzopiren, benzontracen, benzofluoranten etc. Efecte cancerigene se atribuie şi insecticidelor organoclorurate precum şi unor monomeri folosiţi la fabricarea maselor plastice. Mai sunt incriminaţi ca agenţi cancerigeni dibenzacridina, epoxizii, precum şi nitrosaminele în aer putând fi prezenţi precursorii acestora (nitriţii şi aminele secundare). Dintre poluanţii cancerigeni anorganici menţionăm: azbestul, arsenul, cromul, cobaltul, beriliul, nichelul şi seleniul. Mai frecvent întâlnită în mediul industrial, prezenţa lor în aer a fost semnalată şi în zonele din apropierea industriilor. </w:t>
      </w:r>
    </w:p>
    <w:p w:rsidR="007F6E99" w:rsidRPr="001F4DEA"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1F4DEA">
        <w:rPr>
          <w:rFonts w:ascii="Arial" w:eastAsia="Calibri" w:hAnsi="Arial" w:cs="Arial"/>
          <w:sz w:val="24"/>
          <w:szCs w:val="24"/>
        </w:rPr>
        <w:t xml:space="preserve">Un aspect deosebit îl prezintă </w:t>
      </w:r>
      <w:r w:rsidRPr="001F4DEA">
        <w:rPr>
          <w:rFonts w:ascii="Arial" w:eastAsia="Calibri" w:hAnsi="Arial" w:cs="Arial"/>
          <w:i/>
          <w:iCs/>
          <w:sz w:val="24"/>
          <w:szCs w:val="24"/>
        </w:rPr>
        <w:t>azbestul</w:t>
      </w:r>
      <w:r w:rsidRPr="001F4DEA">
        <w:rPr>
          <w:rFonts w:ascii="Arial" w:eastAsia="Calibri" w:hAnsi="Arial" w:cs="Arial"/>
          <w:sz w:val="24"/>
          <w:szCs w:val="24"/>
        </w:rPr>
        <w:t xml:space="preserve">, mai periculos decât se presupunea cu câţiva ani în urmă şi a cărui prezenţă a fost demonstrată atât în atmosfera urbană, cât şi în plămânii (corpi azbestizici pulmonari) unui procent apreciabil din populaţia urbană neexpusă profesional. </w:t>
      </w:r>
    </w:p>
    <w:p w:rsidR="007F6E99" w:rsidRPr="00C625DB" w:rsidRDefault="007F6E99" w:rsidP="007F6E99">
      <w:pPr>
        <w:spacing w:after="0" w:line="240" w:lineRule="auto"/>
        <w:jc w:val="both"/>
        <w:rPr>
          <w:rFonts w:ascii="Arial" w:hAnsi="Arial" w:cs="Arial"/>
          <w:i/>
          <w:sz w:val="24"/>
          <w:szCs w:val="24"/>
          <w:lang w:val="en-US"/>
        </w:rPr>
      </w:pPr>
    </w:p>
    <w:p w:rsidR="007F6E99" w:rsidRPr="00D4086A" w:rsidRDefault="007F6E99" w:rsidP="007F6E99">
      <w:pPr>
        <w:spacing w:after="0" w:line="240" w:lineRule="auto"/>
        <w:jc w:val="both"/>
        <w:rPr>
          <w:rFonts w:ascii="Arial" w:hAnsi="Arial" w:cs="Arial"/>
          <w:b/>
          <w:sz w:val="24"/>
          <w:szCs w:val="24"/>
          <w:lang w:val="en-US"/>
        </w:rPr>
      </w:pPr>
      <w:r w:rsidRPr="00C625DB">
        <w:rPr>
          <w:rFonts w:ascii="Arial" w:hAnsi="Arial" w:cs="Arial"/>
          <w:b/>
          <w:sz w:val="24"/>
          <w:szCs w:val="24"/>
          <w:lang w:val="en-US"/>
        </w:rPr>
        <w:t xml:space="preserve">            VIII</w:t>
      </w:r>
      <w:r w:rsidRPr="00C625DB">
        <w:rPr>
          <w:rFonts w:ascii="Arial" w:hAnsi="Arial" w:cs="Arial"/>
          <w:b/>
          <w:i/>
          <w:sz w:val="24"/>
          <w:szCs w:val="24"/>
          <w:lang w:val="en-US"/>
        </w:rPr>
        <w:t>.</w:t>
      </w:r>
      <w:r w:rsidRPr="00C625DB">
        <w:rPr>
          <w:rFonts w:ascii="Arial" w:hAnsi="Arial" w:cs="Arial"/>
          <w:b/>
          <w:sz w:val="24"/>
          <w:szCs w:val="24"/>
        </w:rPr>
        <w:t>1.1.1.</w:t>
      </w:r>
      <w:r w:rsidRPr="00C625DB">
        <w:rPr>
          <w:rFonts w:ascii="Arial" w:hAnsi="Arial" w:cs="Arial"/>
          <w:sz w:val="24"/>
          <w:szCs w:val="24"/>
        </w:rPr>
        <w:t xml:space="preserve"> </w:t>
      </w:r>
      <w:r w:rsidRPr="00C625DB">
        <w:rPr>
          <w:rFonts w:ascii="Arial" w:hAnsi="Arial" w:cs="Arial"/>
          <w:b/>
          <w:sz w:val="24"/>
          <w:szCs w:val="24"/>
        </w:rPr>
        <w:t xml:space="preserve">Depăşiri ale concentraţiei medii anuale de PM10, NO2, SO2 şi O3 în   anumite aglomerări urbane  </w:t>
      </w:r>
      <w:r w:rsidRPr="00B47441">
        <w:rPr>
          <w:rFonts w:ascii="Arial" w:hAnsi="Arial" w:cs="Arial"/>
          <w:sz w:val="24"/>
          <w:szCs w:val="24"/>
          <w:highlight w:val="yellow"/>
          <w:lang w:val="en-US"/>
        </w:rPr>
        <w:t xml:space="preserve"> </w:t>
      </w:r>
    </w:p>
    <w:p w:rsidR="007F6E99" w:rsidRPr="00724DF7" w:rsidRDefault="007F6E99" w:rsidP="007F6E99">
      <w:pPr>
        <w:spacing w:after="0" w:line="240" w:lineRule="auto"/>
        <w:ind w:firstLine="708"/>
        <w:jc w:val="both"/>
        <w:rPr>
          <w:rFonts w:ascii="Arial" w:eastAsia="Calibri" w:hAnsi="Arial" w:cs="Arial"/>
          <w:sz w:val="24"/>
          <w:szCs w:val="24"/>
        </w:rPr>
      </w:pPr>
      <w:r w:rsidRPr="00724DF7">
        <w:rPr>
          <w:rFonts w:ascii="Arial" w:eastAsia="Calibri" w:hAnsi="Arial" w:cs="Arial"/>
          <w:sz w:val="24"/>
          <w:szCs w:val="24"/>
        </w:rPr>
        <w:t>Principalele surse de poluare a aerului din mediul urban sunt constituite din  trafic, procesele industriale şi încălzirea rezidenţială.</w:t>
      </w:r>
    </w:p>
    <w:p w:rsidR="007F6E99" w:rsidRDefault="007F6E99" w:rsidP="007F6E99">
      <w:pPr>
        <w:widowControl w:val="0"/>
        <w:spacing w:after="0" w:line="240" w:lineRule="auto"/>
        <w:jc w:val="both"/>
        <w:rPr>
          <w:rFonts w:ascii="Arial" w:eastAsia="Calibri" w:hAnsi="Arial" w:cs="Arial"/>
          <w:sz w:val="24"/>
          <w:szCs w:val="24"/>
        </w:rPr>
      </w:pPr>
      <w:r w:rsidRPr="00724DF7">
        <w:rPr>
          <w:rFonts w:ascii="Arial" w:eastAsia="Calibri" w:hAnsi="Arial" w:cs="Arial"/>
          <w:b/>
          <w:sz w:val="24"/>
          <w:szCs w:val="24"/>
        </w:rPr>
        <w:tab/>
      </w:r>
      <w:r w:rsidRPr="00724DF7">
        <w:rPr>
          <w:rFonts w:ascii="Arial" w:eastAsia="Calibri" w:hAnsi="Arial" w:cs="Arial"/>
          <w:sz w:val="24"/>
          <w:szCs w:val="24"/>
        </w:rPr>
        <w:t>Din datele referitoare la calitatea aerului în judeţul Braila care au fost prezentate la cap. I din prezentul raport, rezultă că în localitatile urbane din judeţ populaţia nu a fost expusă în anul 2017 la depăşiri ale concentraţiei medii anuale de PM</w:t>
      </w:r>
      <w:r w:rsidRPr="00724DF7">
        <w:rPr>
          <w:rFonts w:ascii="Arial" w:eastAsia="Calibri" w:hAnsi="Arial" w:cs="Arial"/>
          <w:sz w:val="24"/>
          <w:szCs w:val="24"/>
          <w:vertAlign w:val="subscript"/>
        </w:rPr>
        <w:t>10</w:t>
      </w:r>
      <w:r w:rsidRPr="00724DF7">
        <w:rPr>
          <w:rFonts w:ascii="Arial" w:eastAsia="Calibri" w:hAnsi="Arial" w:cs="Arial"/>
          <w:sz w:val="24"/>
          <w:szCs w:val="24"/>
        </w:rPr>
        <w:t>, PM</w:t>
      </w:r>
      <w:r w:rsidRPr="00724DF7">
        <w:rPr>
          <w:rFonts w:ascii="Arial" w:eastAsia="Calibri" w:hAnsi="Arial" w:cs="Arial"/>
          <w:sz w:val="24"/>
          <w:szCs w:val="24"/>
          <w:vertAlign w:val="subscript"/>
        </w:rPr>
        <w:t>2,5</w:t>
      </w:r>
      <w:r w:rsidRPr="00724DF7">
        <w:rPr>
          <w:rFonts w:ascii="Arial" w:eastAsia="Calibri" w:hAnsi="Arial" w:cs="Arial"/>
          <w:sz w:val="24"/>
          <w:szCs w:val="24"/>
        </w:rPr>
        <w:t>, NO</w:t>
      </w:r>
      <w:r w:rsidRPr="00724DF7">
        <w:rPr>
          <w:rFonts w:ascii="Arial" w:eastAsia="Calibri" w:hAnsi="Arial" w:cs="Arial"/>
          <w:sz w:val="24"/>
          <w:szCs w:val="24"/>
          <w:vertAlign w:val="subscript"/>
        </w:rPr>
        <w:t>2</w:t>
      </w:r>
      <w:r w:rsidRPr="00724DF7">
        <w:rPr>
          <w:rFonts w:ascii="Arial" w:eastAsia="Calibri" w:hAnsi="Arial" w:cs="Arial"/>
          <w:sz w:val="24"/>
          <w:szCs w:val="24"/>
        </w:rPr>
        <w:t>, SO</w:t>
      </w:r>
      <w:r w:rsidRPr="00724DF7">
        <w:rPr>
          <w:rFonts w:ascii="Arial" w:eastAsia="Calibri" w:hAnsi="Arial" w:cs="Arial"/>
          <w:sz w:val="24"/>
          <w:szCs w:val="24"/>
          <w:vertAlign w:val="subscript"/>
        </w:rPr>
        <w:t>2</w:t>
      </w:r>
      <w:r w:rsidRPr="00724DF7">
        <w:rPr>
          <w:rFonts w:ascii="Arial" w:eastAsia="Calibri" w:hAnsi="Arial" w:cs="Arial"/>
          <w:sz w:val="24"/>
          <w:szCs w:val="24"/>
        </w:rPr>
        <w:t>, CO, Benzen şi O</w:t>
      </w:r>
      <w:r w:rsidRPr="00724DF7">
        <w:rPr>
          <w:rFonts w:ascii="Arial" w:eastAsia="Calibri" w:hAnsi="Arial" w:cs="Arial"/>
          <w:sz w:val="24"/>
          <w:szCs w:val="24"/>
          <w:vertAlign w:val="subscript"/>
        </w:rPr>
        <w:t xml:space="preserve">3 </w:t>
      </w:r>
      <w:r w:rsidRPr="00724DF7">
        <w:rPr>
          <w:rFonts w:ascii="Arial" w:eastAsia="Calibri" w:hAnsi="Arial" w:cs="Arial"/>
          <w:sz w:val="24"/>
          <w:szCs w:val="24"/>
        </w:rPr>
        <w:t>.</w:t>
      </w:r>
    </w:p>
    <w:p w:rsidR="008D56C8" w:rsidRPr="00724DF7" w:rsidRDefault="008D56C8" w:rsidP="007F6E99">
      <w:pPr>
        <w:widowControl w:val="0"/>
        <w:spacing w:after="0" w:line="240" w:lineRule="auto"/>
        <w:jc w:val="both"/>
        <w:rPr>
          <w:rFonts w:ascii="Arial" w:eastAsia="Calibri" w:hAnsi="Arial" w:cs="Arial"/>
          <w:sz w:val="24"/>
          <w:szCs w:val="24"/>
        </w:rPr>
      </w:pPr>
    </w:p>
    <w:p w:rsidR="007F6E99" w:rsidRDefault="007F6E99" w:rsidP="007F6E99">
      <w:pPr>
        <w:widowControl w:val="0"/>
        <w:spacing w:after="0" w:line="240" w:lineRule="auto"/>
        <w:jc w:val="both"/>
        <w:rPr>
          <w:rFonts w:ascii="Arial" w:eastAsia="Calibri" w:hAnsi="Arial" w:cs="Arial"/>
          <w:color w:val="00B0F0"/>
          <w:sz w:val="24"/>
          <w:szCs w:val="24"/>
        </w:rPr>
      </w:pPr>
      <w:r w:rsidRPr="00EA20EC">
        <w:rPr>
          <w:rFonts w:ascii="Arial" w:eastAsia="Times New Roman" w:hAnsi="Arial" w:cs="Arial"/>
          <w:b/>
          <w:i/>
          <w:color w:val="000000"/>
          <w:sz w:val="24"/>
          <w:szCs w:val="24"/>
        </w:rPr>
        <w:t>Depășiri ale valorilor</w:t>
      </w:r>
      <w:r>
        <w:rPr>
          <w:rFonts w:ascii="Arial" w:eastAsia="Times New Roman" w:hAnsi="Arial" w:cs="Arial"/>
          <w:b/>
          <w:i/>
          <w:color w:val="000000"/>
          <w:sz w:val="24"/>
          <w:szCs w:val="24"/>
        </w:rPr>
        <w:t xml:space="preserve"> </w:t>
      </w:r>
      <w:r w:rsidRPr="00EA20EC">
        <w:rPr>
          <w:rFonts w:ascii="Arial" w:eastAsia="Times New Roman" w:hAnsi="Arial" w:cs="Arial"/>
          <w:b/>
          <w:i/>
          <w:color w:val="000000"/>
          <w:sz w:val="24"/>
          <w:szCs w:val="24"/>
        </w:rPr>
        <w:t>limită</w:t>
      </w:r>
      <w:r>
        <w:rPr>
          <w:rFonts w:ascii="Arial" w:eastAsia="Times New Roman" w:hAnsi="Arial" w:cs="Arial"/>
          <w:b/>
          <w:i/>
          <w:color w:val="000000"/>
          <w:sz w:val="24"/>
          <w:szCs w:val="24"/>
        </w:rPr>
        <w:t xml:space="preserve"> </w:t>
      </w:r>
      <w:r w:rsidRPr="00EA20EC">
        <w:rPr>
          <w:rFonts w:ascii="Arial" w:eastAsia="Times New Roman" w:hAnsi="Arial" w:cs="Arial"/>
          <w:b/>
          <w:i/>
          <w:color w:val="000000"/>
          <w:sz w:val="24"/>
          <w:szCs w:val="24"/>
        </w:rPr>
        <w:t>privind</w:t>
      </w:r>
      <w:r>
        <w:rPr>
          <w:rFonts w:ascii="Arial" w:eastAsia="Times New Roman" w:hAnsi="Arial" w:cs="Arial"/>
          <w:b/>
          <w:i/>
          <w:color w:val="000000"/>
          <w:sz w:val="24"/>
          <w:szCs w:val="24"/>
        </w:rPr>
        <w:t xml:space="preserve"> </w:t>
      </w:r>
      <w:r w:rsidRPr="00EA20EC">
        <w:rPr>
          <w:rFonts w:ascii="Arial" w:eastAsia="Times New Roman" w:hAnsi="Arial" w:cs="Arial"/>
          <w:b/>
          <w:i/>
          <w:color w:val="000000"/>
          <w:sz w:val="24"/>
          <w:szCs w:val="24"/>
        </w:rPr>
        <w:t>concentrațiile de particule PM10 în</w:t>
      </w:r>
      <w:r>
        <w:rPr>
          <w:rFonts w:ascii="Arial" w:eastAsia="Times New Roman" w:hAnsi="Arial" w:cs="Arial"/>
          <w:b/>
          <w:i/>
          <w:color w:val="000000"/>
          <w:sz w:val="24"/>
          <w:szCs w:val="24"/>
        </w:rPr>
        <w:t xml:space="preserve"> </w:t>
      </w:r>
      <w:r w:rsidRPr="00EA20EC">
        <w:rPr>
          <w:rFonts w:ascii="Arial" w:eastAsia="Times New Roman" w:hAnsi="Arial" w:cs="Arial"/>
          <w:b/>
          <w:i/>
          <w:color w:val="000000"/>
          <w:sz w:val="24"/>
          <w:szCs w:val="24"/>
        </w:rPr>
        <w:t>aerul</w:t>
      </w:r>
      <w:r>
        <w:rPr>
          <w:rFonts w:ascii="Arial" w:eastAsia="Times New Roman" w:hAnsi="Arial" w:cs="Arial"/>
          <w:b/>
          <w:i/>
          <w:color w:val="000000"/>
          <w:sz w:val="24"/>
          <w:szCs w:val="24"/>
        </w:rPr>
        <w:t xml:space="preserve"> </w:t>
      </w:r>
      <w:r w:rsidRPr="00EA20EC">
        <w:rPr>
          <w:rFonts w:ascii="Arial" w:eastAsia="Times New Roman" w:hAnsi="Arial" w:cs="Arial"/>
          <w:b/>
          <w:i/>
          <w:color w:val="000000"/>
          <w:sz w:val="24"/>
          <w:szCs w:val="24"/>
        </w:rPr>
        <w:t>înconjurător</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Studiile epidemiologice au demonstrat existenţa unei asocieri statistice semnificative între expunerea pe termen scurt şi lung la concentraţii ridicate de particule în suspensie şi morbiditatea crescută şi prematură. Particulele din aerul înconjurător care sunt semnificative pentru sănătatea umană sunt pulberile PM</w:t>
      </w:r>
      <w:r w:rsidRPr="00724DF7">
        <w:rPr>
          <w:rFonts w:ascii="Arial" w:eastAsia="Calibri" w:hAnsi="Arial" w:cs="Arial"/>
          <w:sz w:val="24"/>
          <w:szCs w:val="24"/>
          <w:vertAlign w:val="subscript"/>
        </w:rPr>
        <w:t>10</w:t>
      </w:r>
      <w:r w:rsidRPr="00724DF7">
        <w:rPr>
          <w:rFonts w:ascii="Arial" w:eastAsia="Calibri" w:hAnsi="Arial" w:cs="Arial"/>
          <w:sz w:val="24"/>
          <w:szCs w:val="24"/>
        </w:rPr>
        <w:t xml:space="preserve"> şi PM</w:t>
      </w:r>
      <w:r w:rsidRPr="00724DF7">
        <w:rPr>
          <w:rFonts w:ascii="Arial" w:eastAsia="Calibri" w:hAnsi="Arial" w:cs="Arial"/>
          <w:sz w:val="24"/>
          <w:szCs w:val="24"/>
          <w:vertAlign w:val="subscript"/>
        </w:rPr>
        <w:t>2,5</w:t>
      </w:r>
      <w:r w:rsidRPr="00724DF7">
        <w:rPr>
          <w:rFonts w:ascii="Arial" w:eastAsia="Calibri" w:hAnsi="Arial" w:cs="Arial"/>
          <w:sz w:val="24"/>
          <w:szCs w:val="24"/>
        </w:rPr>
        <w:t xml:space="preserve">, reprezentând acele particule din aer care trec printr-un orificiu de selectare a dimensiunii cu un randament de separare de 50% pentru un diametru aerodinamic de 10 μm, respectiv 2,5 μm. </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 xml:space="preserve">Pentrupulberile în suspensie PM10, Legea nr. 104/2011 stabileşte: </w:t>
      </w:r>
    </w:p>
    <w:p w:rsidR="007F6E99" w:rsidRPr="00724DF7" w:rsidRDefault="007F6E99" w:rsidP="00EF3940">
      <w:pPr>
        <w:widowControl w:val="0"/>
        <w:numPr>
          <w:ilvl w:val="0"/>
          <w:numId w:val="81"/>
        </w:numPr>
        <w:spacing w:after="0" w:line="240" w:lineRule="auto"/>
        <w:ind w:left="709"/>
        <w:jc w:val="both"/>
        <w:rPr>
          <w:rFonts w:ascii="Arial" w:eastAsia="Calibri" w:hAnsi="Arial" w:cs="Arial"/>
          <w:sz w:val="24"/>
          <w:szCs w:val="24"/>
        </w:rPr>
      </w:pPr>
      <w:r w:rsidRPr="00724DF7">
        <w:rPr>
          <w:rFonts w:ascii="Arial" w:eastAsia="Calibri" w:hAnsi="Arial" w:cs="Arial"/>
          <w:sz w:val="24"/>
          <w:szCs w:val="24"/>
        </w:rPr>
        <w:t>o valoare limită zilnică de 50 µg/m</w:t>
      </w:r>
      <w:r w:rsidRPr="00724DF7">
        <w:rPr>
          <w:rFonts w:ascii="Arial" w:eastAsia="Calibri" w:hAnsi="Arial" w:cs="Arial"/>
          <w:sz w:val="24"/>
          <w:szCs w:val="24"/>
          <w:vertAlign w:val="superscript"/>
        </w:rPr>
        <w:t>3</w:t>
      </w:r>
      <w:r w:rsidRPr="00724DF7">
        <w:rPr>
          <w:rFonts w:ascii="Arial" w:eastAsia="Calibri" w:hAnsi="Arial" w:cs="Arial"/>
          <w:sz w:val="24"/>
          <w:szCs w:val="24"/>
        </w:rPr>
        <w:t>, care nu trebuie depășită în mai mult de 35 de zile într-un an calendaristic.</w:t>
      </w:r>
    </w:p>
    <w:p w:rsidR="007F6E99" w:rsidRPr="00724DF7" w:rsidRDefault="007F6E99" w:rsidP="00EF3940">
      <w:pPr>
        <w:widowControl w:val="0"/>
        <w:numPr>
          <w:ilvl w:val="0"/>
          <w:numId w:val="81"/>
        </w:numPr>
        <w:spacing w:after="0" w:line="240" w:lineRule="auto"/>
        <w:ind w:left="709"/>
        <w:jc w:val="both"/>
        <w:rPr>
          <w:rFonts w:ascii="Arial" w:eastAsia="Calibri" w:hAnsi="Arial" w:cs="Arial"/>
          <w:sz w:val="24"/>
          <w:szCs w:val="24"/>
        </w:rPr>
      </w:pPr>
      <w:r w:rsidRPr="00724DF7">
        <w:rPr>
          <w:rFonts w:ascii="Arial" w:eastAsia="Calibri" w:hAnsi="Arial" w:cs="Arial"/>
          <w:sz w:val="24"/>
          <w:szCs w:val="24"/>
        </w:rPr>
        <w:t>o valoare limită anuală, de 40 µg/m</w:t>
      </w:r>
      <w:r w:rsidRPr="00724DF7">
        <w:rPr>
          <w:rFonts w:ascii="Arial" w:eastAsia="Calibri" w:hAnsi="Arial" w:cs="Arial"/>
          <w:sz w:val="24"/>
          <w:szCs w:val="24"/>
          <w:vertAlign w:val="superscript"/>
        </w:rPr>
        <w:t>3</w:t>
      </w:r>
      <w:r w:rsidRPr="00724DF7">
        <w:rPr>
          <w:rFonts w:ascii="Arial" w:eastAsia="Calibri" w:hAnsi="Arial" w:cs="Arial"/>
          <w:sz w:val="24"/>
          <w:szCs w:val="24"/>
        </w:rPr>
        <w:t>.</w:t>
      </w:r>
    </w:p>
    <w:p w:rsidR="007F6E99" w:rsidRPr="00724DF7" w:rsidRDefault="007F6E99" w:rsidP="007F6E99">
      <w:pPr>
        <w:widowControl w:val="0"/>
        <w:autoSpaceDE w:val="0"/>
        <w:autoSpaceDN w:val="0"/>
        <w:adjustRightInd w:val="0"/>
        <w:spacing w:after="0" w:line="240" w:lineRule="auto"/>
        <w:jc w:val="both"/>
        <w:rPr>
          <w:rFonts w:ascii="Arial" w:eastAsia="Calibri" w:hAnsi="Arial" w:cs="Arial"/>
          <w:b/>
          <w:sz w:val="24"/>
          <w:szCs w:val="24"/>
        </w:rPr>
      </w:pPr>
      <w:r w:rsidRPr="00724DF7">
        <w:rPr>
          <w:rFonts w:ascii="Arial" w:eastAsia="Times New Roman" w:hAnsi="Arial" w:cs="Arial"/>
          <w:sz w:val="24"/>
          <w:szCs w:val="24"/>
        </w:rPr>
        <w:tab/>
        <w:t>Înanul 2017, măsurătorile</w:t>
      </w:r>
      <w:r>
        <w:rPr>
          <w:rFonts w:ascii="Arial" w:eastAsia="Times New Roman" w:hAnsi="Arial" w:cs="Arial"/>
          <w:sz w:val="24"/>
          <w:szCs w:val="24"/>
        </w:rPr>
        <w:t>v</w:t>
      </w:r>
      <w:r w:rsidRPr="00724DF7">
        <w:rPr>
          <w:rFonts w:ascii="Arial" w:eastAsia="Times New Roman" w:hAnsi="Arial" w:cs="Arial"/>
          <w:sz w:val="24"/>
          <w:szCs w:val="24"/>
        </w:rPr>
        <w:t>pentru</w:t>
      </w:r>
      <w:r>
        <w:rPr>
          <w:rFonts w:ascii="Arial" w:eastAsia="Times New Roman" w:hAnsi="Arial" w:cs="Arial"/>
          <w:sz w:val="24"/>
          <w:szCs w:val="24"/>
        </w:rPr>
        <w:t xml:space="preserve"> </w:t>
      </w:r>
      <w:r w:rsidRPr="00724DF7">
        <w:rPr>
          <w:rFonts w:ascii="Arial" w:eastAsia="Times New Roman" w:hAnsi="Arial" w:cs="Arial"/>
          <w:sz w:val="24"/>
          <w:szCs w:val="24"/>
        </w:rPr>
        <w:t>poluanţi PM</w:t>
      </w:r>
      <w:r w:rsidRPr="00724DF7">
        <w:rPr>
          <w:rFonts w:ascii="Arial" w:eastAsia="Times New Roman" w:hAnsi="Arial" w:cs="Arial"/>
          <w:sz w:val="24"/>
          <w:szCs w:val="24"/>
          <w:vertAlign w:val="subscript"/>
        </w:rPr>
        <w:t>10</w:t>
      </w:r>
      <w:r w:rsidRPr="00724DF7">
        <w:rPr>
          <w:rFonts w:ascii="Arial" w:eastAsia="Times New Roman" w:hAnsi="Arial" w:cs="Arial"/>
          <w:sz w:val="24"/>
          <w:szCs w:val="24"/>
        </w:rPr>
        <w:t>şi PM</w:t>
      </w:r>
      <w:r w:rsidRPr="00724DF7">
        <w:rPr>
          <w:rFonts w:ascii="Arial" w:eastAsia="Times New Roman" w:hAnsi="Arial" w:cs="Arial"/>
          <w:sz w:val="24"/>
          <w:szCs w:val="24"/>
          <w:vertAlign w:val="subscript"/>
        </w:rPr>
        <w:t>2,5</w:t>
      </w:r>
      <w:r w:rsidRPr="00724DF7">
        <w:rPr>
          <w:rFonts w:ascii="Arial" w:eastAsia="Times New Roman" w:hAnsi="Arial" w:cs="Arial"/>
          <w:sz w:val="24"/>
          <w:szCs w:val="24"/>
        </w:rPr>
        <w:t>, nefelometric</w:t>
      </w:r>
      <w:r>
        <w:rPr>
          <w:rFonts w:ascii="Arial" w:eastAsia="Times New Roman" w:hAnsi="Arial" w:cs="Arial"/>
          <w:sz w:val="24"/>
          <w:szCs w:val="24"/>
        </w:rPr>
        <w:t xml:space="preserve"> </w:t>
      </w:r>
      <w:r w:rsidRPr="00724DF7">
        <w:rPr>
          <w:rFonts w:ascii="Arial" w:eastAsia="Times New Roman" w:hAnsi="Arial" w:cs="Arial"/>
          <w:sz w:val="24"/>
          <w:szCs w:val="24"/>
        </w:rPr>
        <w:t>şi gravimetric au evidenţiat un număr de 12 depăşiri</w:t>
      </w:r>
      <w:r>
        <w:rPr>
          <w:rFonts w:ascii="Arial" w:eastAsia="Times New Roman" w:hAnsi="Arial" w:cs="Arial"/>
          <w:sz w:val="24"/>
          <w:szCs w:val="24"/>
        </w:rPr>
        <w:t xml:space="preserve"> </w:t>
      </w:r>
      <w:r w:rsidRPr="00724DF7">
        <w:rPr>
          <w:rFonts w:ascii="Arial" w:eastAsia="Times New Roman" w:hAnsi="Arial" w:cs="Arial"/>
          <w:sz w:val="24"/>
          <w:szCs w:val="24"/>
        </w:rPr>
        <w:t>zilnice.</w:t>
      </w:r>
      <w:r w:rsidRPr="00724DF7">
        <w:rPr>
          <w:rFonts w:ascii="Arial" w:eastAsia="Calibri" w:hAnsi="Arial" w:cs="Arial"/>
          <w:sz w:val="24"/>
          <w:szCs w:val="24"/>
        </w:rPr>
        <w:t>Faţă de numărul maxim admis de 35 de depăşiri/an, în anul 2017 la staţia BR1 a fost inregistrata o singură valoare zilnică de mai mare de 50 µg/m</w:t>
      </w:r>
      <w:r w:rsidRPr="00724DF7">
        <w:rPr>
          <w:rFonts w:ascii="Arial" w:eastAsia="Calibri" w:hAnsi="Arial" w:cs="Arial"/>
          <w:sz w:val="24"/>
          <w:szCs w:val="24"/>
          <w:vertAlign w:val="superscript"/>
        </w:rPr>
        <w:t>3</w:t>
      </w:r>
      <w:r w:rsidRPr="00724DF7">
        <w:rPr>
          <w:rFonts w:ascii="Arial" w:eastAsia="Calibri" w:hAnsi="Arial" w:cs="Arial"/>
          <w:sz w:val="24"/>
          <w:szCs w:val="24"/>
        </w:rPr>
        <w:t>, la staţia BR3 au fost inregistrate 8 valori zilnice mai mari de 50 µg/m</w:t>
      </w:r>
      <w:r w:rsidRPr="00724DF7">
        <w:rPr>
          <w:rFonts w:ascii="Arial" w:eastAsia="Calibri" w:hAnsi="Arial" w:cs="Arial"/>
          <w:sz w:val="24"/>
          <w:szCs w:val="24"/>
          <w:vertAlign w:val="superscript"/>
        </w:rPr>
        <w:t xml:space="preserve">3 </w:t>
      </w:r>
      <w:r w:rsidRPr="00724DF7">
        <w:rPr>
          <w:rFonts w:ascii="Arial" w:eastAsia="Calibri" w:hAnsi="Arial" w:cs="Arial"/>
          <w:sz w:val="24"/>
          <w:szCs w:val="24"/>
        </w:rPr>
        <w:t>si la staţia BR5 au fost inregistrate 3 valoari zilnice mai mari de 50 µg/m</w:t>
      </w:r>
      <w:r w:rsidRPr="00724DF7">
        <w:rPr>
          <w:rFonts w:ascii="Arial" w:eastAsia="Calibri" w:hAnsi="Arial" w:cs="Arial"/>
          <w:sz w:val="24"/>
          <w:szCs w:val="24"/>
          <w:vertAlign w:val="superscript"/>
        </w:rPr>
        <w:t>3</w:t>
      </w:r>
      <w:r w:rsidRPr="00724DF7">
        <w:rPr>
          <w:rFonts w:ascii="Arial" w:eastAsia="Calibri" w:hAnsi="Arial" w:cs="Arial"/>
          <w:sz w:val="24"/>
          <w:szCs w:val="24"/>
        </w:rPr>
        <w:t xml:space="preserve">. Prin urmare in judetul Braila, pentru poluantul PM10 </w:t>
      </w:r>
      <w:r w:rsidRPr="00724DF7">
        <w:rPr>
          <w:rFonts w:ascii="Arial" w:eastAsia="Calibri" w:hAnsi="Arial" w:cs="Arial"/>
          <w:b/>
          <w:sz w:val="24"/>
          <w:szCs w:val="24"/>
        </w:rPr>
        <w:t xml:space="preserve">nu a fost depășită valoarea limită zilnică </w:t>
      </w:r>
      <w:r w:rsidRPr="00724DF7">
        <w:rPr>
          <w:rFonts w:ascii="Arial" w:eastAsia="Calibri" w:hAnsi="Arial" w:cs="Arial"/>
          <w:sz w:val="24"/>
          <w:szCs w:val="24"/>
        </w:rPr>
        <w:t>pentru protecția sănătății umane la pulberi în suspensie</w:t>
      </w:r>
      <w:r w:rsidRPr="00724DF7">
        <w:rPr>
          <w:rFonts w:ascii="Arial" w:eastAsia="Calibri" w:hAnsi="Arial" w:cs="Arial"/>
          <w:b/>
          <w:sz w:val="24"/>
          <w:szCs w:val="24"/>
        </w:rPr>
        <w:t xml:space="preserve"> PM10.</w:t>
      </w:r>
    </w:p>
    <w:p w:rsidR="007F6E99" w:rsidRPr="00EA20EC" w:rsidRDefault="007F6E99" w:rsidP="007F6E99">
      <w:pPr>
        <w:widowControl w:val="0"/>
        <w:spacing w:after="0" w:line="240" w:lineRule="auto"/>
        <w:jc w:val="both"/>
        <w:rPr>
          <w:rFonts w:ascii="Arial" w:eastAsia="Calibri" w:hAnsi="Arial" w:cs="Arial"/>
          <w:sz w:val="16"/>
          <w:szCs w:val="16"/>
          <w:highlight w:val="yellow"/>
        </w:rPr>
      </w:pPr>
    </w:p>
    <w:p w:rsidR="007F6E99" w:rsidRPr="00EA20EC" w:rsidRDefault="007F6E99" w:rsidP="007F6E99">
      <w:pPr>
        <w:widowControl w:val="0"/>
        <w:spacing w:after="0" w:line="240" w:lineRule="auto"/>
        <w:rPr>
          <w:rFonts w:ascii="Arial" w:eastAsia="Calibri" w:hAnsi="Arial" w:cs="Arial"/>
          <w:b/>
          <w:i/>
          <w:sz w:val="24"/>
          <w:szCs w:val="24"/>
        </w:rPr>
      </w:pPr>
      <w:r w:rsidRPr="00EA20EC">
        <w:rPr>
          <w:rFonts w:ascii="Arial" w:eastAsia="Calibri" w:hAnsi="Arial" w:cs="Arial"/>
          <w:b/>
          <w:i/>
          <w:sz w:val="24"/>
          <w:szCs w:val="24"/>
        </w:rPr>
        <w:t xml:space="preserve">Depășiri ale valorilor țintă privind concentrațiile de ozon din aerul înconjurător </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 xml:space="preserve">Pentru protecția sănătății populației, prin Legea nr. 104/2011 s-a stabilit o valoare țintă de </w:t>
      </w:r>
      <w:r w:rsidRPr="00724DF7">
        <w:rPr>
          <w:rFonts w:ascii="Arial" w:eastAsia="Calibri" w:hAnsi="Arial" w:cs="Arial"/>
          <w:i/>
          <w:sz w:val="24"/>
          <w:szCs w:val="24"/>
        </w:rPr>
        <w:t>120 µg/m</w:t>
      </w:r>
      <w:r w:rsidRPr="00724DF7">
        <w:rPr>
          <w:rFonts w:ascii="Arial" w:eastAsia="Calibri" w:hAnsi="Arial" w:cs="Arial"/>
          <w:i/>
          <w:sz w:val="24"/>
          <w:szCs w:val="24"/>
          <w:vertAlign w:val="superscript"/>
        </w:rPr>
        <w:t>3</w:t>
      </w:r>
      <w:r w:rsidRPr="00724DF7">
        <w:rPr>
          <w:rFonts w:ascii="Arial" w:eastAsia="Calibri" w:hAnsi="Arial" w:cs="Arial"/>
          <w:sz w:val="24"/>
          <w:szCs w:val="24"/>
        </w:rPr>
        <w:t xml:space="preserve"> a valorii maxime zilnice a mediilor mobile pe 8 ore, care </w:t>
      </w:r>
      <w:r w:rsidRPr="00724DF7">
        <w:rPr>
          <w:rFonts w:ascii="Arial" w:eastAsia="Calibri" w:hAnsi="Arial" w:cs="Arial"/>
          <w:i/>
          <w:sz w:val="24"/>
          <w:szCs w:val="24"/>
        </w:rPr>
        <w:t>nu trebuie depășită în mai mult de 25 de zile într-un an calendaristic, mediată pe trei ani</w:t>
      </w:r>
      <w:r w:rsidRPr="00724DF7">
        <w:rPr>
          <w:rFonts w:ascii="Arial" w:eastAsia="Calibri" w:hAnsi="Arial" w:cs="Arial"/>
          <w:sz w:val="24"/>
          <w:szCs w:val="24"/>
        </w:rPr>
        <w:t>.</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Expunerea la concentraţii semnificative de ozon pentru perioade de câteva zile, poate avea efecte adverse asupra sănătăţii, în special răspunsuri inflamatorii şi reducerea funcţiei pulmonare. În cazul copiilor, expunerea la concentraţii moderate de ozon pe perioade mai lungi poate duce la reducerea funcţiei pulmonare.</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În anul 2017 nu au fost înregistrate depășiri ale valorii țintă la ozon, în stațiile de monitorizare automată a calităţii aerului de pe raza judeţului Brăila.</w:t>
      </w:r>
    </w:p>
    <w:p w:rsidR="007F6E99" w:rsidRPr="00724DF7" w:rsidRDefault="007F6E99" w:rsidP="007F6E99">
      <w:pPr>
        <w:widowControl w:val="0"/>
        <w:spacing w:after="0" w:line="240" w:lineRule="auto"/>
        <w:ind w:firstLine="720"/>
        <w:jc w:val="both"/>
        <w:rPr>
          <w:rFonts w:ascii="Arial" w:eastAsia="Calibri" w:hAnsi="Arial" w:cs="Arial"/>
          <w:sz w:val="24"/>
          <w:szCs w:val="24"/>
        </w:rPr>
      </w:pPr>
      <w:r w:rsidRPr="00724DF7">
        <w:rPr>
          <w:rFonts w:ascii="Arial" w:eastAsia="Calibri" w:hAnsi="Arial" w:cs="Arial"/>
          <w:sz w:val="24"/>
          <w:szCs w:val="24"/>
        </w:rPr>
        <w:t>Pentru perioada 2008 - 2017 valorile medii anuale ale concentraţiei poluanţilor monitorizaţi pe raza judeţului Brăila sunt prezentate în tabelul următor:</w:t>
      </w:r>
    </w:p>
    <w:p w:rsidR="007F6E99" w:rsidRPr="00EA20EC" w:rsidRDefault="007F6E99" w:rsidP="007F6E99">
      <w:pPr>
        <w:spacing w:after="0" w:line="240" w:lineRule="auto"/>
        <w:jc w:val="both"/>
        <w:rPr>
          <w:rFonts w:ascii="Arial" w:eastAsia="Calibri" w:hAnsi="Arial" w:cs="Arial"/>
          <w:b/>
          <w:sz w:val="24"/>
          <w:szCs w:val="24"/>
        </w:rPr>
      </w:pPr>
    </w:p>
    <w:p w:rsidR="007F6E99" w:rsidRPr="00EA20EC" w:rsidRDefault="007F6E99" w:rsidP="007F6E99">
      <w:pPr>
        <w:spacing w:after="0" w:line="240" w:lineRule="auto"/>
        <w:jc w:val="both"/>
        <w:rPr>
          <w:rFonts w:ascii="Arial" w:eastAsia="Calibri" w:hAnsi="Arial" w:cs="Arial"/>
          <w:sz w:val="24"/>
          <w:szCs w:val="24"/>
        </w:rPr>
      </w:pPr>
      <w:r w:rsidRPr="00EA20EC">
        <w:rPr>
          <w:rFonts w:ascii="Arial" w:eastAsia="Calibri" w:hAnsi="Arial" w:cs="Arial"/>
          <w:sz w:val="24"/>
          <w:szCs w:val="24"/>
        </w:rPr>
        <w:t>Tabel nr. VIII.1.1.1. – 1 Concentraţiile medii ale poluanţilor monitorizaţi în aglomerarea Brăila</w:t>
      </w:r>
    </w:p>
    <w:tbl>
      <w:tblPr>
        <w:tblW w:w="5129" w:type="pct"/>
        <w:jc w:val="center"/>
        <w:tblInd w:w="2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116"/>
        <w:gridCol w:w="1114"/>
        <w:gridCol w:w="849"/>
        <w:gridCol w:w="851"/>
        <w:gridCol w:w="851"/>
        <w:gridCol w:w="806"/>
        <w:gridCol w:w="853"/>
        <w:gridCol w:w="853"/>
        <w:gridCol w:w="849"/>
        <w:gridCol w:w="853"/>
        <w:gridCol w:w="849"/>
        <w:gridCol w:w="847"/>
      </w:tblGrid>
      <w:tr w:rsidR="007F6E99" w:rsidRPr="00EA20EC" w:rsidTr="004E444C">
        <w:trPr>
          <w:trHeight w:val="255"/>
          <w:jc w:val="center"/>
        </w:trPr>
        <w:tc>
          <w:tcPr>
            <w:tcW w:w="522" w:type="pct"/>
            <w:vMerge w:val="restart"/>
            <w:tcBorders>
              <w:top w:val="single" w:sz="12"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POLUANT</w:t>
            </w:r>
          </w:p>
        </w:tc>
        <w:tc>
          <w:tcPr>
            <w:tcW w:w="521" w:type="pct"/>
            <w:vMerge w:val="restart"/>
            <w:tcBorders>
              <w:top w:val="single" w:sz="12"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Tip staţie</w:t>
            </w:r>
          </w:p>
        </w:tc>
        <w:tc>
          <w:tcPr>
            <w:tcW w:w="3957" w:type="pct"/>
            <w:gridSpan w:val="10"/>
            <w:tcBorders>
              <w:top w:val="single" w:sz="12" w:space="0" w:color="000000"/>
              <w:left w:val="single" w:sz="6" w:space="0" w:color="000000"/>
              <w:bottom w:val="single" w:sz="6" w:space="0" w:color="000000"/>
              <w:right w:val="single" w:sz="12"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Concentraţia medie anuală</w:t>
            </w:r>
          </w:p>
        </w:tc>
      </w:tr>
      <w:tr w:rsidR="007F6E99" w:rsidRPr="00EA20EC" w:rsidTr="004E444C">
        <w:trPr>
          <w:trHeight w:val="386"/>
          <w:jc w:val="center"/>
        </w:trPr>
        <w:tc>
          <w:tcPr>
            <w:tcW w:w="522" w:type="pct"/>
            <w:vMerge/>
            <w:tcBorders>
              <w:top w:val="single" w:sz="12"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vMerge/>
            <w:tcBorders>
              <w:top w:val="single" w:sz="12" w:space="0" w:color="000000"/>
              <w:left w:val="single" w:sz="6"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b/>
                <w:sz w:val="20"/>
                <w:szCs w:val="20"/>
              </w:rPr>
            </w:pPr>
            <w:r w:rsidRPr="00EA20EC">
              <w:rPr>
                <w:rFonts w:ascii="Arial" w:eastAsia="Calibri" w:hAnsi="Arial" w:cs="Arial"/>
                <w:b/>
                <w:color w:val="000000"/>
                <w:sz w:val="20"/>
                <w:szCs w:val="20"/>
              </w:rPr>
              <w:t>2008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2009</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2010</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2011</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2012</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2013</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2014</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2015</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tabs>
                <w:tab w:val="center" w:pos="4680"/>
                <w:tab w:val="right" w:pos="9000"/>
              </w:tabs>
              <w:spacing w:after="0"/>
              <w:jc w:val="center"/>
              <w:rPr>
                <w:rFonts w:ascii="Arial" w:eastAsia="Calibri" w:hAnsi="Arial" w:cs="Arial"/>
                <w:b/>
                <w:color w:val="000000"/>
                <w:sz w:val="20"/>
                <w:szCs w:val="20"/>
              </w:rPr>
            </w:pPr>
            <w:r w:rsidRPr="00EA20EC">
              <w:rPr>
                <w:rFonts w:ascii="Arial" w:eastAsia="Calibri" w:hAnsi="Arial" w:cs="Arial"/>
                <w:b/>
                <w:color w:val="000000"/>
                <w:sz w:val="20"/>
                <w:szCs w:val="20"/>
              </w:rPr>
              <w:t>2016</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tabs>
                <w:tab w:val="center" w:pos="4680"/>
                <w:tab w:val="right" w:pos="9000"/>
              </w:tabs>
              <w:spacing w:after="0"/>
              <w:jc w:val="center"/>
              <w:rPr>
                <w:rFonts w:ascii="Arial" w:eastAsia="Calibri" w:hAnsi="Arial" w:cs="Arial"/>
                <w:b/>
                <w:sz w:val="20"/>
                <w:szCs w:val="20"/>
              </w:rPr>
            </w:pPr>
            <w:r w:rsidRPr="00724DF7">
              <w:rPr>
                <w:rFonts w:ascii="Arial" w:eastAsia="Calibri" w:hAnsi="Arial" w:cs="Arial"/>
                <w:b/>
                <w:sz w:val="20"/>
                <w:szCs w:val="20"/>
              </w:rPr>
              <w:t>2017</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vertAlign w:val="subscript"/>
              </w:rPr>
            </w:pPr>
            <w:r w:rsidRPr="00EA20EC">
              <w:rPr>
                <w:rFonts w:ascii="Arial" w:eastAsia="Calibri" w:hAnsi="Arial" w:cs="Arial"/>
                <w:color w:val="000000"/>
                <w:sz w:val="20"/>
                <w:szCs w:val="20"/>
              </w:rPr>
              <w:t>SO</w:t>
            </w:r>
            <w:r w:rsidRPr="00EA20EC">
              <w:rPr>
                <w:rFonts w:ascii="Arial" w:eastAsia="Calibri" w:hAnsi="Arial" w:cs="Arial"/>
                <w:color w:val="000000"/>
                <w:sz w:val="20"/>
                <w:szCs w:val="20"/>
                <w:vertAlign w:val="subscript"/>
              </w:rPr>
              <w:t>2</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11,62</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11,73</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10,63</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3.59</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4,41</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9,49</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12,28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14,39</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16,60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14,00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8,01</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4.50</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4,97</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3,51</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8,63</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14,74</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5.09</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5,08</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 xml:space="preserve">PM10 nef </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34,02</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29,51</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22,61</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36,68</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21.91</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19,11</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31,52</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28,1</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24,5</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32,5</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28,07</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36,15</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46,03</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27.93</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20,70</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28,54</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22,64</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29,07</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24.31</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21,79</w:t>
            </w:r>
          </w:p>
        </w:tc>
      </w:tr>
      <w:tr w:rsidR="007F6E99" w:rsidRPr="00EA20EC" w:rsidTr="004E444C">
        <w:trPr>
          <w:trHeight w:val="255"/>
          <w:jc w:val="center"/>
        </w:trPr>
        <w:tc>
          <w:tcPr>
            <w:tcW w:w="522" w:type="pct"/>
            <w:vMerge w:val="restart"/>
            <w:tcBorders>
              <w:top w:val="single" w:sz="6" w:space="0" w:color="000000"/>
              <w:left w:val="single" w:sz="12"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PM10 grv.</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17,12</w:t>
            </w:r>
          </w:p>
        </w:tc>
      </w:tr>
      <w:tr w:rsidR="007F6E99" w:rsidRPr="00EA20EC" w:rsidTr="004E444C">
        <w:trPr>
          <w:trHeight w:val="255"/>
          <w:jc w:val="center"/>
        </w:trPr>
        <w:tc>
          <w:tcPr>
            <w:tcW w:w="522" w:type="pct"/>
            <w:vMerge/>
            <w:tcBorders>
              <w:left w:val="single" w:sz="12" w:space="0" w:color="000000"/>
              <w:right w:val="single" w:sz="6" w:space="0" w:color="000000"/>
            </w:tcBorders>
            <w:shd w:val="clear" w:color="auto" w:fill="F2DBDB" w:themeFill="accent2" w:themeFillTint="33"/>
            <w:noWrap/>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19,18</w:t>
            </w:r>
          </w:p>
        </w:tc>
      </w:tr>
      <w:tr w:rsidR="007F6E99" w:rsidRPr="00EA20EC" w:rsidTr="004E444C">
        <w:trPr>
          <w:trHeight w:val="255"/>
          <w:jc w:val="center"/>
        </w:trPr>
        <w:tc>
          <w:tcPr>
            <w:tcW w:w="522" w:type="pct"/>
            <w:vMerge/>
            <w:tcBorders>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22,98</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vertAlign w:val="subscript"/>
              </w:rPr>
            </w:pPr>
            <w:r w:rsidRPr="00EA20EC">
              <w:rPr>
                <w:rFonts w:ascii="Arial" w:eastAsia="Calibri" w:hAnsi="Arial" w:cs="Arial"/>
                <w:color w:val="000000"/>
                <w:sz w:val="20"/>
                <w:szCs w:val="20"/>
              </w:rPr>
              <w:t>O</w:t>
            </w:r>
            <w:r w:rsidRPr="00EA20EC">
              <w:rPr>
                <w:rFonts w:ascii="Arial" w:eastAsia="Calibri" w:hAnsi="Arial" w:cs="Arial"/>
                <w:color w:val="000000"/>
                <w:sz w:val="20"/>
                <w:szCs w:val="20"/>
                <w:vertAlign w:val="subscript"/>
              </w:rPr>
              <w:t xml:space="preserve">3 </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72,66</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65,38</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63,30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67,42</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57,39</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20,02</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53,23</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36.48</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43,37</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63,16</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68,8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66,00</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52,50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71,80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69,60</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48,24</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44,13</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50.25</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58,21</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vertAlign w:val="subscript"/>
              </w:rPr>
            </w:pPr>
            <w:r w:rsidRPr="00EA20EC">
              <w:rPr>
                <w:rFonts w:ascii="Arial" w:eastAsia="Calibri" w:hAnsi="Arial" w:cs="Arial"/>
                <w:color w:val="000000"/>
                <w:sz w:val="20"/>
                <w:szCs w:val="20"/>
              </w:rPr>
              <w:t>NO</w:t>
            </w:r>
            <w:r w:rsidRPr="00EA20EC">
              <w:rPr>
                <w:rFonts w:ascii="Arial" w:eastAsia="Calibri" w:hAnsi="Arial" w:cs="Arial"/>
                <w:color w:val="000000"/>
                <w:sz w:val="20"/>
                <w:szCs w:val="20"/>
                <w:vertAlign w:val="subscript"/>
              </w:rPr>
              <w:t xml:space="preserve">2 </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15,76</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12,25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23,94</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25,36</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24,94</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3,86</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15.5</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12,83</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20.22</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17,17</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12,65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9,98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10,50</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21,70</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5,15</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12,31</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12.68</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10,90</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43,02</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30,73</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28,09</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30,52</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20.25</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26,25</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vertAlign w:val="subscript"/>
              </w:rPr>
            </w:pPr>
            <w:r w:rsidRPr="00EA20EC">
              <w:rPr>
                <w:rFonts w:ascii="Arial" w:eastAsia="Calibri" w:hAnsi="Arial" w:cs="Arial"/>
                <w:color w:val="000000"/>
                <w:sz w:val="20"/>
                <w:szCs w:val="20"/>
              </w:rPr>
              <w:t>NO</w:t>
            </w:r>
            <w:r w:rsidRPr="00EA20EC">
              <w:rPr>
                <w:rFonts w:ascii="Arial" w:eastAsia="Calibri" w:hAnsi="Arial" w:cs="Arial"/>
                <w:color w:val="000000"/>
                <w:sz w:val="20"/>
                <w:szCs w:val="20"/>
                <w:vertAlign w:val="subscript"/>
              </w:rPr>
              <w:t xml:space="preserve">x </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21,29</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19,09</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32,95</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33,21</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34,49</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12,14</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20,8</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22,30</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22,30</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25,92</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16,25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17,83</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17,25</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31,62</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14,30</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19,78</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19,78</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16,71</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61,58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55,37</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43,68</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43,83</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25.23</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41,51</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 xml:space="preserve">CO </w:t>
            </w:r>
          </w:p>
          <w:p w:rsidR="007F6E99" w:rsidRPr="00EA20EC" w:rsidRDefault="007F6E99" w:rsidP="004E444C">
            <w:pPr>
              <w:tabs>
                <w:tab w:val="center" w:pos="4680"/>
                <w:tab w:val="right" w:pos="9000"/>
              </w:tabs>
              <w:spacing w:after="0"/>
              <w:jc w:val="center"/>
              <w:rPr>
                <w:rFonts w:ascii="Arial" w:eastAsia="Calibri" w:hAnsi="Arial" w:cs="Arial"/>
                <w:color w:val="000000"/>
                <w:sz w:val="20"/>
                <w:szCs w:val="20"/>
              </w:rPr>
            </w:pPr>
            <w:r w:rsidRPr="00EA20EC">
              <w:rPr>
                <w:rFonts w:ascii="Arial" w:eastAsia="Calibri" w:hAnsi="Arial" w:cs="Arial"/>
                <w:color w:val="000000"/>
                <w:sz w:val="20"/>
                <w:szCs w:val="20"/>
              </w:rPr>
              <w:t>(mg/mc)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0,12</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0,12</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0,13</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0,13</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0,19</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0,15</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0,22</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0,11</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0.11</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0,09</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0,16</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0,104</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0,15</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0,26</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0,07</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0,08</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0,07</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0.09</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0,085</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0,98</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0,40</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0,19</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0,42</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0,27</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0,34</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0.19</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0,16</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 xml:space="preserve">Pb </w:t>
            </w:r>
          </w:p>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0,0423</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tabs>
                <w:tab w:val="center" w:pos="4680"/>
                <w:tab w:val="right" w:pos="9000"/>
              </w:tabs>
              <w:spacing w:after="0"/>
              <w:jc w:val="center"/>
              <w:rPr>
                <w:rFonts w:ascii="Arial" w:eastAsia="Calibri" w:hAnsi="Arial" w:cs="Arial"/>
                <w:sz w:val="20"/>
                <w:szCs w:val="20"/>
              </w:rPr>
            </w:pPr>
            <w:r w:rsidRPr="00EA20EC">
              <w:rPr>
                <w:rFonts w:ascii="Arial" w:eastAsia="Calibri" w:hAnsi="Arial" w:cs="Arial"/>
                <w:sz w:val="20"/>
                <w:szCs w:val="20"/>
              </w:rPr>
              <w:t>In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0,0301</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0,0075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0,0052</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0,0463</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0,0009</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0,0085</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r>
      <w:tr w:rsidR="007F6E99" w:rsidRPr="00EA20EC" w:rsidTr="004E444C">
        <w:trPr>
          <w:trHeight w:val="255"/>
          <w:jc w:val="center"/>
        </w:trPr>
        <w:tc>
          <w:tcPr>
            <w:tcW w:w="52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Benzen</w:t>
            </w:r>
          </w:p>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 xml:space="preserve"> (µg/mc)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3,145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0,25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0,13</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1.2</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1,4</w:t>
            </w:r>
          </w:p>
        </w:tc>
      </w:tr>
      <w:tr w:rsidR="007F6E99" w:rsidRPr="00EA20EC" w:rsidTr="004E444C">
        <w:trPr>
          <w:trHeight w:val="255"/>
          <w:jc w:val="center"/>
        </w:trPr>
        <w:tc>
          <w:tcPr>
            <w:tcW w:w="52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4,65</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2,41</w:t>
            </w:r>
          </w:p>
        </w:tc>
        <w:tc>
          <w:tcPr>
            <w:tcW w:w="377"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1.93</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2,39</w:t>
            </w:r>
          </w:p>
        </w:tc>
      </w:tr>
      <w:tr w:rsidR="007F6E99" w:rsidRPr="00EA20EC" w:rsidTr="004E444C">
        <w:trPr>
          <w:trHeight w:val="255"/>
          <w:jc w:val="center"/>
        </w:trPr>
        <w:tc>
          <w:tcPr>
            <w:tcW w:w="522" w:type="pct"/>
            <w:vMerge w:val="restart"/>
            <w:tcBorders>
              <w:top w:val="single" w:sz="6" w:space="0" w:color="000000"/>
              <w:left w:val="single" w:sz="12"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vertAlign w:val="subscript"/>
              </w:rPr>
            </w:pPr>
            <w:r w:rsidRPr="00EA20EC">
              <w:rPr>
                <w:rFonts w:ascii="Arial" w:eastAsia="Calibri" w:hAnsi="Arial" w:cs="Arial"/>
                <w:sz w:val="20"/>
                <w:szCs w:val="20"/>
              </w:rPr>
              <w:t>PM</w:t>
            </w:r>
            <w:r w:rsidRPr="00EA20EC">
              <w:rPr>
                <w:rFonts w:ascii="Arial" w:eastAsia="Calibri" w:hAnsi="Arial" w:cs="Arial"/>
                <w:sz w:val="20"/>
                <w:szCs w:val="20"/>
                <w:vertAlign w:val="subscript"/>
              </w:rPr>
              <w:t xml:space="preserve">2.5 </w:t>
            </w:r>
          </w:p>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(µg/mc)</w:t>
            </w:r>
          </w:p>
        </w:tc>
        <w:tc>
          <w:tcPr>
            <w:tcW w:w="52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Fd urban</w:t>
            </w:r>
          </w:p>
        </w:tc>
        <w:tc>
          <w:tcPr>
            <w:tcW w:w="397"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6"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6"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13,56</w:t>
            </w:r>
          </w:p>
        </w:tc>
      </w:tr>
      <w:tr w:rsidR="007F6E99" w:rsidRPr="00EA20EC" w:rsidTr="004E444C">
        <w:trPr>
          <w:trHeight w:val="255"/>
          <w:jc w:val="center"/>
        </w:trPr>
        <w:tc>
          <w:tcPr>
            <w:tcW w:w="522" w:type="pct"/>
            <w:vMerge/>
            <w:tcBorders>
              <w:left w:val="single" w:sz="12" w:space="0" w:color="000000"/>
              <w:bottom w:val="single" w:sz="12"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p>
        </w:tc>
        <w:tc>
          <w:tcPr>
            <w:tcW w:w="521" w:type="pct"/>
            <w:tcBorders>
              <w:top w:val="single" w:sz="6" w:space="0" w:color="000000"/>
              <w:left w:val="single" w:sz="6" w:space="0" w:color="000000"/>
              <w:bottom w:val="single" w:sz="12" w:space="0" w:color="000000"/>
              <w:right w:val="single" w:sz="6" w:space="0" w:color="000000"/>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color w:val="FF0000"/>
                <w:sz w:val="20"/>
                <w:szCs w:val="20"/>
              </w:rPr>
            </w:pPr>
            <w:r w:rsidRPr="00EA20EC">
              <w:rPr>
                <w:rFonts w:ascii="Arial" w:eastAsia="Calibri" w:hAnsi="Arial" w:cs="Arial"/>
                <w:sz w:val="20"/>
                <w:szCs w:val="20"/>
              </w:rPr>
              <w:t>T</w:t>
            </w:r>
          </w:p>
        </w:tc>
        <w:tc>
          <w:tcPr>
            <w:tcW w:w="397" w:type="pct"/>
            <w:tcBorders>
              <w:top w:val="single" w:sz="6" w:space="0" w:color="000000"/>
              <w:left w:val="single" w:sz="6" w:space="0" w:color="000000"/>
              <w:bottom w:val="single" w:sz="12"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8" w:type="pct"/>
            <w:tcBorders>
              <w:top w:val="single" w:sz="6" w:space="0" w:color="000000"/>
              <w:left w:val="single" w:sz="4" w:space="0" w:color="auto"/>
              <w:bottom w:val="single" w:sz="12" w:space="0" w:color="000000"/>
              <w:right w:val="single" w:sz="4" w:space="0" w:color="auto"/>
            </w:tcBorders>
            <w:shd w:val="clear" w:color="auto" w:fill="F2DBDB" w:themeFill="accent2" w:themeFillTint="33"/>
            <w:noWrap/>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15,46</w:t>
            </w:r>
          </w:p>
        </w:tc>
        <w:tc>
          <w:tcPr>
            <w:tcW w:w="398" w:type="pct"/>
            <w:tcBorders>
              <w:top w:val="single" w:sz="6" w:space="0" w:color="000000"/>
              <w:left w:val="single" w:sz="4" w:space="0" w:color="auto"/>
              <w:bottom w:val="single" w:sz="12"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77"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0,93</w:t>
            </w:r>
          </w:p>
        </w:tc>
        <w:tc>
          <w:tcPr>
            <w:tcW w:w="399"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8" w:space="0" w:color="000000"/>
              <w:bottom w:val="single" w:sz="12" w:space="0" w:color="000000"/>
              <w:right w:val="single" w:sz="6" w:space="0" w:color="000000"/>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9" w:type="pct"/>
            <w:tcBorders>
              <w:top w:val="single" w:sz="6" w:space="0" w:color="000000"/>
              <w:left w:val="single" w:sz="6" w:space="0" w:color="000000"/>
              <w:bottom w:val="single" w:sz="12"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7" w:type="pct"/>
            <w:tcBorders>
              <w:top w:val="single" w:sz="6" w:space="0" w:color="000000"/>
              <w:left w:val="single" w:sz="4" w:space="0" w:color="auto"/>
              <w:bottom w:val="single" w:sz="12" w:space="0" w:color="000000"/>
              <w:right w:val="single" w:sz="4" w:space="0" w:color="auto"/>
            </w:tcBorders>
            <w:shd w:val="clear" w:color="auto" w:fill="F2DBDB" w:themeFill="accent2" w:themeFillTint="33"/>
            <w:vAlign w:val="center"/>
          </w:tcPr>
          <w:p w:rsidR="007F6E99" w:rsidRPr="00EA20EC" w:rsidRDefault="007F6E99" w:rsidP="004E444C">
            <w:pPr>
              <w:spacing w:after="0"/>
              <w:jc w:val="center"/>
              <w:rPr>
                <w:rFonts w:ascii="Arial" w:eastAsia="Calibri" w:hAnsi="Arial" w:cs="Arial"/>
                <w:sz w:val="20"/>
                <w:szCs w:val="20"/>
              </w:rPr>
            </w:pPr>
            <w:r w:rsidRPr="00EA20EC">
              <w:rPr>
                <w:rFonts w:ascii="Arial" w:eastAsia="Calibri" w:hAnsi="Arial" w:cs="Arial"/>
                <w:sz w:val="20"/>
                <w:szCs w:val="20"/>
              </w:rPr>
              <w:t>-</w:t>
            </w:r>
          </w:p>
        </w:tc>
        <w:tc>
          <w:tcPr>
            <w:tcW w:w="396" w:type="pct"/>
            <w:tcBorders>
              <w:top w:val="single" w:sz="6" w:space="0" w:color="000000"/>
              <w:left w:val="single" w:sz="4" w:space="0" w:color="auto"/>
              <w:bottom w:val="single" w:sz="12" w:space="0" w:color="000000"/>
              <w:right w:val="single" w:sz="12" w:space="0" w:color="000000"/>
            </w:tcBorders>
            <w:shd w:val="clear" w:color="auto" w:fill="F2DBDB" w:themeFill="accent2" w:themeFillTint="33"/>
            <w:vAlign w:val="center"/>
          </w:tcPr>
          <w:p w:rsidR="007F6E99" w:rsidRPr="00724DF7" w:rsidRDefault="007F6E99" w:rsidP="004E444C">
            <w:pPr>
              <w:spacing w:after="0"/>
              <w:jc w:val="center"/>
              <w:rPr>
                <w:rFonts w:ascii="Arial" w:eastAsia="Calibri" w:hAnsi="Arial" w:cs="Arial"/>
                <w:sz w:val="20"/>
                <w:szCs w:val="20"/>
              </w:rPr>
            </w:pPr>
            <w:r w:rsidRPr="00724DF7">
              <w:rPr>
                <w:rFonts w:ascii="Arial" w:eastAsia="Calibri" w:hAnsi="Arial" w:cs="Arial"/>
                <w:sz w:val="20"/>
                <w:szCs w:val="20"/>
              </w:rPr>
              <w:t>-</w:t>
            </w:r>
          </w:p>
        </w:tc>
      </w:tr>
    </w:tbl>
    <w:p w:rsidR="007F6E99" w:rsidRPr="00724DF7" w:rsidRDefault="007F6E99" w:rsidP="007F6E99">
      <w:pPr>
        <w:spacing w:after="0" w:line="240" w:lineRule="auto"/>
        <w:ind w:firstLine="708"/>
        <w:jc w:val="both"/>
        <w:rPr>
          <w:rFonts w:ascii="Arial" w:eastAsia="Calibri" w:hAnsi="Arial" w:cs="Arial"/>
          <w:sz w:val="24"/>
          <w:szCs w:val="24"/>
        </w:rPr>
      </w:pPr>
      <w:r w:rsidRPr="00724DF7">
        <w:rPr>
          <w:rFonts w:ascii="Arial" w:eastAsia="Calibri" w:hAnsi="Arial" w:cs="Arial"/>
          <w:sz w:val="24"/>
          <w:szCs w:val="24"/>
        </w:rPr>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7F6E99" w:rsidRDefault="007F6E99" w:rsidP="007F6E99">
      <w:pPr>
        <w:spacing w:after="0" w:line="240" w:lineRule="auto"/>
        <w:ind w:firstLine="708"/>
        <w:jc w:val="both"/>
        <w:rPr>
          <w:rFonts w:ascii="Arial" w:hAnsi="Arial" w:cs="Arial"/>
          <w:sz w:val="24"/>
          <w:szCs w:val="24"/>
        </w:rPr>
      </w:pPr>
    </w:p>
    <w:p w:rsidR="005745BE" w:rsidRDefault="007F6E99" w:rsidP="007F6E99">
      <w:pPr>
        <w:spacing w:after="0" w:line="240" w:lineRule="auto"/>
        <w:jc w:val="both"/>
        <w:rPr>
          <w:rFonts w:ascii="Arial" w:hAnsi="Arial" w:cs="Arial"/>
          <w:sz w:val="24"/>
          <w:szCs w:val="24"/>
        </w:rPr>
      </w:pPr>
      <w:r w:rsidRPr="00594535">
        <w:rPr>
          <w:rFonts w:ascii="Arial" w:hAnsi="Arial" w:cs="Arial"/>
          <w:b/>
          <w:sz w:val="24"/>
          <w:szCs w:val="24"/>
          <w:lang w:val="en-US"/>
        </w:rPr>
        <w:t xml:space="preserve">Indicatori ai efectelor poluării aerului  asupra sănătăţii populației umane </w:t>
      </w:r>
    </w:p>
    <w:p w:rsidR="007F6E99" w:rsidRDefault="007F6E99" w:rsidP="007F6E99">
      <w:pPr>
        <w:spacing w:after="0" w:line="240" w:lineRule="auto"/>
        <w:ind w:right="-567"/>
        <w:jc w:val="both"/>
        <w:rPr>
          <w:rFonts w:ascii="Arial" w:hAnsi="Arial" w:cs="Arial"/>
          <w:sz w:val="24"/>
          <w:szCs w:val="24"/>
          <w:lang w:val="en-US"/>
        </w:rPr>
      </w:pPr>
      <w:r w:rsidRPr="00BB71FF">
        <w:rPr>
          <w:rFonts w:ascii="Arial" w:hAnsi="Arial" w:cs="Arial"/>
          <w:sz w:val="24"/>
          <w:szCs w:val="24"/>
        </w:rPr>
        <w:t>Tabel nr. VIII.1.1.1.- 2</w:t>
      </w:r>
      <w:r w:rsidRPr="00594535">
        <w:rPr>
          <w:rFonts w:ascii="Arial" w:hAnsi="Arial" w:cs="Arial"/>
          <w:b/>
          <w:sz w:val="24"/>
          <w:szCs w:val="24"/>
        </w:rPr>
        <w:t xml:space="preserve"> -</w:t>
      </w:r>
      <w:r w:rsidRPr="00594535">
        <w:rPr>
          <w:rFonts w:ascii="Arial" w:hAnsi="Arial" w:cs="Arial"/>
          <w:sz w:val="24"/>
          <w:szCs w:val="24"/>
          <w:lang w:val="en-US"/>
        </w:rPr>
        <w:t xml:space="preserve"> </w:t>
      </w:r>
      <w:r w:rsidRPr="001739E9">
        <w:rPr>
          <w:rFonts w:ascii="Arial" w:hAnsi="Arial" w:cs="Arial"/>
          <w:sz w:val="24"/>
          <w:szCs w:val="24"/>
          <w:lang w:val="en-US"/>
        </w:rPr>
        <w:t xml:space="preserve">Mortalitatea generală, la nivelul  judeţului </w:t>
      </w:r>
      <w:r>
        <w:rPr>
          <w:rFonts w:ascii="Arial" w:hAnsi="Arial" w:cs="Arial"/>
          <w:sz w:val="24"/>
          <w:szCs w:val="24"/>
          <w:lang w:val="en-US"/>
        </w:rPr>
        <w:t>Brăila</w:t>
      </w:r>
      <w:r w:rsidRPr="001739E9">
        <w:rPr>
          <w:rFonts w:ascii="Arial" w:hAnsi="Arial" w:cs="Arial"/>
          <w:sz w:val="24"/>
          <w:szCs w:val="24"/>
          <w:lang w:val="en-US"/>
        </w:rPr>
        <w:t>, cea datorată</w:t>
      </w:r>
    </w:p>
    <w:p w:rsidR="007F6E99" w:rsidRPr="001739E9" w:rsidRDefault="007F6E99" w:rsidP="007F6E99">
      <w:pPr>
        <w:spacing w:after="0" w:line="240" w:lineRule="auto"/>
        <w:ind w:right="-143"/>
        <w:jc w:val="both"/>
        <w:rPr>
          <w:rFonts w:ascii="Arial" w:hAnsi="Arial" w:cs="Arial"/>
          <w:sz w:val="24"/>
          <w:szCs w:val="24"/>
          <w:lang w:val="en-US"/>
        </w:rPr>
      </w:pPr>
      <w:r w:rsidRPr="001739E9">
        <w:rPr>
          <w:rFonts w:ascii="Arial" w:hAnsi="Arial" w:cs="Arial"/>
          <w:sz w:val="24"/>
          <w:szCs w:val="24"/>
          <w:lang w:val="en-US"/>
        </w:rPr>
        <w:t xml:space="preserve"> afecţiunilor respiratorii şi cea prin afecţiuni cardiovasculare în perioada 201</w:t>
      </w:r>
      <w:r>
        <w:rPr>
          <w:rFonts w:ascii="Arial" w:hAnsi="Arial" w:cs="Arial"/>
          <w:sz w:val="24"/>
          <w:szCs w:val="24"/>
          <w:lang w:val="en-US"/>
        </w:rPr>
        <w:t>3</w:t>
      </w:r>
      <w:r w:rsidRPr="001739E9">
        <w:rPr>
          <w:rFonts w:ascii="Arial" w:hAnsi="Arial" w:cs="Arial"/>
          <w:sz w:val="24"/>
          <w:szCs w:val="24"/>
          <w:lang w:val="en-US"/>
        </w:rPr>
        <w:t xml:space="preserve"> – 201</w:t>
      </w:r>
      <w:r>
        <w:rPr>
          <w:rFonts w:ascii="Arial" w:hAnsi="Arial" w:cs="Arial"/>
          <w:sz w:val="24"/>
          <w:szCs w:val="24"/>
          <w:lang w:val="en-US"/>
        </w:rPr>
        <w:t>7</w:t>
      </w:r>
      <w:r w:rsidRPr="001739E9">
        <w:rPr>
          <w:rFonts w:ascii="Arial" w:hAnsi="Arial" w:cs="Arial"/>
          <w:sz w:val="24"/>
          <w:szCs w:val="24"/>
          <w:lang w:val="en-US"/>
        </w:rPr>
        <w:t xml:space="preserve"> </w:t>
      </w:r>
    </w:p>
    <w:tbl>
      <w:tblPr>
        <w:tblW w:w="8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8"/>
        <w:gridCol w:w="841"/>
        <w:gridCol w:w="841"/>
        <w:gridCol w:w="884"/>
        <w:gridCol w:w="841"/>
        <w:gridCol w:w="841"/>
      </w:tblGrid>
      <w:tr w:rsidR="007F6E99" w:rsidRPr="0090130C" w:rsidTr="004E444C">
        <w:trPr>
          <w:jc w:val="center"/>
        </w:trPr>
        <w:tc>
          <w:tcPr>
            <w:tcW w:w="4786" w:type="dxa"/>
            <w:shd w:val="clear" w:color="auto" w:fill="FABF8F"/>
          </w:tcPr>
          <w:p w:rsidR="007F6E99" w:rsidRPr="0090130C" w:rsidRDefault="007F6E99" w:rsidP="004E444C">
            <w:pPr>
              <w:spacing w:after="0" w:line="240" w:lineRule="auto"/>
              <w:jc w:val="both"/>
              <w:rPr>
                <w:rFonts w:ascii="Arial" w:hAnsi="Arial" w:cs="Arial"/>
                <w:b/>
                <w:sz w:val="24"/>
                <w:szCs w:val="24"/>
                <w:lang w:val="en-US"/>
              </w:rPr>
            </w:pPr>
            <w:r w:rsidRPr="0090130C">
              <w:rPr>
                <w:rFonts w:ascii="Arial" w:hAnsi="Arial" w:cs="Arial"/>
                <w:b/>
                <w:sz w:val="24"/>
                <w:szCs w:val="24"/>
                <w:lang w:val="en-US"/>
              </w:rPr>
              <w:t xml:space="preserve">Judeţul </w:t>
            </w:r>
            <w:r>
              <w:rPr>
                <w:rFonts w:ascii="Arial" w:hAnsi="Arial" w:cs="Arial"/>
                <w:b/>
                <w:sz w:val="24"/>
                <w:szCs w:val="24"/>
                <w:lang w:val="en-US"/>
              </w:rPr>
              <w:t>Brăila</w:t>
            </w:r>
          </w:p>
        </w:tc>
        <w:tc>
          <w:tcPr>
            <w:tcW w:w="842" w:type="dxa"/>
            <w:shd w:val="clear" w:color="auto" w:fill="FABF8F"/>
          </w:tcPr>
          <w:p w:rsidR="007F6E99" w:rsidRPr="0090130C" w:rsidRDefault="007F6E99" w:rsidP="004E444C">
            <w:pPr>
              <w:spacing w:after="0" w:line="240" w:lineRule="auto"/>
              <w:jc w:val="both"/>
              <w:rPr>
                <w:rFonts w:ascii="Arial" w:hAnsi="Arial" w:cs="Arial"/>
                <w:b/>
                <w:sz w:val="24"/>
                <w:szCs w:val="24"/>
                <w:lang w:val="en-US"/>
              </w:rPr>
            </w:pPr>
            <w:r w:rsidRPr="0090130C">
              <w:rPr>
                <w:rFonts w:ascii="Arial" w:hAnsi="Arial" w:cs="Arial"/>
                <w:b/>
                <w:sz w:val="24"/>
                <w:szCs w:val="24"/>
                <w:lang w:val="en-US"/>
              </w:rPr>
              <w:t>2013</w:t>
            </w:r>
          </w:p>
        </w:tc>
        <w:tc>
          <w:tcPr>
            <w:tcW w:w="842" w:type="dxa"/>
            <w:shd w:val="clear" w:color="auto" w:fill="FABF8F"/>
          </w:tcPr>
          <w:p w:rsidR="007F6E99" w:rsidRPr="0090130C" w:rsidRDefault="007F6E99" w:rsidP="004E444C">
            <w:pPr>
              <w:spacing w:after="0" w:line="240" w:lineRule="auto"/>
              <w:jc w:val="both"/>
              <w:rPr>
                <w:rFonts w:ascii="Arial" w:hAnsi="Arial" w:cs="Arial"/>
                <w:b/>
                <w:sz w:val="24"/>
                <w:szCs w:val="24"/>
                <w:lang w:val="en-US"/>
              </w:rPr>
            </w:pPr>
            <w:r w:rsidRPr="0090130C">
              <w:rPr>
                <w:rFonts w:ascii="Arial" w:hAnsi="Arial" w:cs="Arial"/>
                <w:b/>
                <w:sz w:val="24"/>
                <w:szCs w:val="24"/>
                <w:lang w:val="en-US"/>
              </w:rPr>
              <w:t>2014</w:t>
            </w:r>
          </w:p>
        </w:tc>
        <w:tc>
          <w:tcPr>
            <w:tcW w:w="842" w:type="dxa"/>
            <w:shd w:val="clear" w:color="auto" w:fill="FABF8F"/>
          </w:tcPr>
          <w:p w:rsidR="007F6E99" w:rsidRPr="0090130C" w:rsidRDefault="007F6E99" w:rsidP="004E444C">
            <w:pPr>
              <w:spacing w:after="0" w:line="240" w:lineRule="auto"/>
              <w:jc w:val="both"/>
              <w:rPr>
                <w:rFonts w:ascii="Arial" w:hAnsi="Arial" w:cs="Arial"/>
                <w:b/>
                <w:sz w:val="24"/>
                <w:szCs w:val="24"/>
                <w:lang w:val="en-US"/>
              </w:rPr>
            </w:pPr>
            <w:r w:rsidRPr="0090130C">
              <w:rPr>
                <w:rFonts w:ascii="Arial" w:hAnsi="Arial" w:cs="Arial"/>
                <w:b/>
                <w:sz w:val="24"/>
                <w:szCs w:val="24"/>
                <w:lang w:val="en-US"/>
              </w:rPr>
              <w:t>2015</w:t>
            </w:r>
          </w:p>
        </w:tc>
        <w:tc>
          <w:tcPr>
            <w:tcW w:w="842" w:type="dxa"/>
            <w:shd w:val="clear" w:color="auto" w:fill="FABF8F"/>
          </w:tcPr>
          <w:p w:rsidR="007F6E99" w:rsidRPr="001739E9" w:rsidRDefault="007F6E99" w:rsidP="004E444C">
            <w:pPr>
              <w:spacing w:after="0" w:line="240" w:lineRule="auto"/>
              <w:jc w:val="both"/>
              <w:rPr>
                <w:rFonts w:ascii="Arial" w:hAnsi="Arial" w:cs="Arial"/>
                <w:b/>
                <w:sz w:val="24"/>
                <w:szCs w:val="24"/>
                <w:lang w:val="en-US"/>
              </w:rPr>
            </w:pPr>
            <w:r w:rsidRPr="001739E9">
              <w:rPr>
                <w:rFonts w:ascii="Arial" w:hAnsi="Arial" w:cs="Arial"/>
                <w:b/>
                <w:sz w:val="24"/>
                <w:szCs w:val="24"/>
                <w:lang w:val="en-US"/>
              </w:rPr>
              <w:t>2016</w:t>
            </w:r>
          </w:p>
        </w:tc>
        <w:tc>
          <w:tcPr>
            <w:tcW w:w="842" w:type="dxa"/>
            <w:shd w:val="clear" w:color="auto" w:fill="FABF8F"/>
          </w:tcPr>
          <w:p w:rsidR="007F6E99" w:rsidRPr="0090130C" w:rsidRDefault="007F6E99" w:rsidP="004E444C">
            <w:pPr>
              <w:spacing w:after="0" w:line="240" w:lineRule="auto"/>
              <w:jc w:val="both"/>
              <w:rPr>
                <w:rFonts w:ascii="Arial" w:hAnsi="Arial" w:cs="Arial"/>
                <w:b/>
                <w:sz w:val="24"/>
                <w:szCs w:val="24"/>
                <w:lang w:val="en-US"/>
              </w:rPr>
            </w:pPr>
            <w:r>
              <w:rPr>
                <w:rFonts w:ascii="Arial" w:hAnsi="Arial" w:cs="Arial"/>
                <w:b/>
                <w:sz w:val="24"/>
                <w:szCs w:val="24"/>
                <w:lang w:val="en-US"/>
              </w:rPr>
              <w:t>2017</w:t>
            </w:r>
          </w:p>
        </w:tc>
      </w:tr>
      <w:tr w:rsidR="007F6E99" w:rsidRPr="0090130C" w:rsidTr="004E444C">
        <w:trPr>
          <w:jc w:val="center"/>
        </w:trPr>
        <w:tc>
          <w:tcPr>
            <w:tcW w:w="4786" w:type="dxa"/>
            <w:shd w:val="clear" w:color="auto" w:fill="EAF1DD"/>
          </w:tcPr>
          <w:p w:rsidR="007F6E99" w:rsidRPr="0090130C" w:rsidRDefault="007F6E99" w:rsidP="004E444C">
            <w:pPr>
              <w:spacing w:after="0" w:line="240" w:lineRule="auto"/>
              <w:jc w:val="both"/>
              <w:rPr>
                <w:rFonts w:ascii="Arial" w:hAnsi="Arial" w:cs="Arial"/>
                <w:sz w:val="24"/>
                <w:szCs w:val="24"/>
              </w:rPr>
            </w:pPr>
            <w:r w:rsidRPr="0090130C">
              <w:rPr>
                <w:rFonts w:ascii="Arial" w:hAnsi="Arial" w:cs="Arial"/>
                <w:sz w:val="24"/>
                <w:szCs w:val="24"/>
                <w:lang w:val="en-US"/>
              </w:rPr>
              <w:t xml:space="preserve">Mortalitate </w:t>
            </w:r>
            <w:r w:rsidRPr="0090130C">
              <w:rPr>
                <w:rFonts w:ascii="Arial" w:hAnsi="Arial" w:cs="Arial"/>
                <w:sz w:val="24"/>
                <w:szCs w:val="24"/>
              </w:rPr>
              <w:t>generală/din care</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4464</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4455</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12210</w:t>
            </w:r>
          </w:p>
        </w:tc>
        <w:tc>
          <w:tcPr>
            <w:tcW w:w="842" w:type="dxa"/>
            <w:shd w:val="clear" w:color="auto" w:fill="EAF1DD"/>
          </w:tcPr>
          <w:p w:rsidR="007F6E99" w:rsidRPr="001739E9" w:rsidRDefault="007F6E99" w:rsidP="004E444C">
            <w:pPr>
              <w:spacing w:after="0" w:line="240" w:lineRule="auto"/>
              <w:jc w:val="both"/>
              <w:rPr>
                <w:rFonts w:ascii="Arial" w:hAnsi="Arial" w:cs="Arial"/>
                <w:sz w:val="24"/>
                <w:szCs w:val="24"/>
                <w:lang w:val="en-US"/>
              </w:rPr>
            </w:pPr>
            <w:r w:rsidRPr="001739E9">
              <w:rPr>
                <w:rFonts w:ascii="Arial" w:hAnsi="Arial" w:cs="Arial"/>
                <w:sz w:val="24"/>
                <w:szCs w:val="24"/>
                <w:lang w:val="en-US"/>
              </w:rPr>
              <w:t>4613</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Pr>
                <w:rFonts w:ascii="Arial" w:hAnsi="Arial" w:cs="Arial"/>
                <w:sz w:val="24"/>
                <w:szCs w:val="24"/>
                <w:lang w:val="en-US"/>
              </w:rPr>
              <w:t>4574</w:t>
            </w:r>
          </w:p>
        </w:tc>
      </w:tr>
      <w:tr w:rsidR="007F6E99" w:rsidRPr="0090130C" w:rsidTr="004E444C">
        <w:trPr>
          <w:jc w:val="center"/>
        </w:trPr>
        <w:tc>
          <w:tcPr>
            <w:tcW w:w="4786"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Boli ale aparatului circulator (număr cazuri)</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2560</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2484</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2660</w:t>
            </w:r>
          </w:p>
        </w:tc>
        <w:tc>
          <w:tcPr>
            <w:tcW w:w="842" w:type="dxa"/>
            <w:shd w:val="clear" w:color="auto" w:fill="EAF1DD"/>
          </w:tcPr>
          <w:p w:rsidR="007F6E99" w:rsidRPr="001739E9" w:rsidRDefault="007F6E99" w:rsidP="004E444C">
            <w:pPr>
              <w:spacing w:after="0" w:line="240" w:lineRule="auto"/>
              <w:jc w:val="both"/>
              <w:rPr>
                <w:rFonts w:ascii="Arial" w:hAnsi="Arial" w:cs="Arial"/>
                <w:sz w:val="24"/>
                <w:szCs w:val="24"/>
                <w:lang w:val="en-US"/>
              </w:rPr>
            </w:pPr>
            <w:r w:rsidRPr="001739E9">
              <w:rPr>
                <w:rFonts w:ascii="Arial" w:hAnsi="Arial" w:cs="Arial"/>
                <w:sz w:val="24"/>
                <w:szCs w:val="24"/>
                <w:lang w:val="en-US"/>
              </w:rPr>
              <w:t>2694</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Pr>
                <w:rFonts w:ascii="Arial" w:hAnsi="Arial" w:cs="Arial"/>
                <w:sz w:val="24"/>
                <w:szCs w:val="24"/>
                <w:lang w:val="en-US"/>
              </w:rPr>
              <w:t>2720</w:t>
            </w:r>
          </w:p>
        </w:tc>
      </w:tr>
      <w:tr w:rsidR="007F6E99" w:rsidRPr="0090130C" w:rsidTr="004E444C">
        <w:trPr>
          <w:jc w:val="center"/>
        </w:trPr>
        <w:tc>
          <w:tcPr>
            <w:tcW w:w="4786"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Boală ischemică a inimii (număr cazuri)</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367</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353</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345</w:t>
            </w:r>
          </w:p>
        </w:tc>
        <w:tc>
          <w:tcPr>
            <w:tcW w:w="842" w:type="dxa"/>
            <w:shd w:val="clear" w:color="auto" w:fill="EAF1DD"/>
          </w:tcPr>
          <w:p w:rsidR="007F6E99" w:rsidRPr="001739E9" w:rsidRDefault="007F6E99" w:rsidP="004E444C">
            <w:pPr>
              <w:spacing w:after="0" w:line="240" w:lineRule="auto"/>
              <w:jc w:val="both"/>
              <w:rPr>
                <w:rFonts w:ascii="Arial" w:hAnsi="Arial" w:cs="Arial"/>
                <w:sz w:val="24"/>
                <w:szCs w:val="24"/>
                <w:lang w:val="en-US"/>
              </w:rPr>
            </w:pPr>
            <w:r w:rsidRPr="001739E9">
              <w:rPr>
                <w:rFonts w:ascii="Arial" w:hAnsi="Arial" w:cs="Arial"/>
                <w:sz w:val="24"/>
                <w:szCs w:val="24"/>
                <w:lang w:val="en-US"/>
              </w:rPr>
              <w:t>594</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Pr>
                <w:rFonts w:ascii="Arial" w:hAnsi="Arial" w:cs="Arial"/>
                <w:sz w:val="24"/>
                <w:szCs w:val="24"/>
                <w:lang w:val="en-US"/>
              </w:rPr>
              <w:t>593</w:t>
            </w:r>
          </w:p>
        </w:tc>
      </w:tr>
      <w:tr w:rsidR="007F6E99" w:rsidRPr="0090130C" w:rsidTr="004E444C">
        <w:trPr>
          <w:jc w:val="center"/>
        </w:trPr>
        <w:tc>
          <w:tcPr>
            <w:tcW w:w="4786"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Boli respiratorii (număr cazuri)</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237</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260</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sidRPr="0090130C">
              <w:rPr>
                <w:rFonts w:ascii="Arial" w:hAnsi="Arial" w:cs="Arial"/>
                <w:sz w:val="24"/>
                <w:szCs w:val="24"/>
                <w:lang w:val="en-US"/>
              </w:rPr>
              <w:t>261</w:t>
            </w:r>
          </w:p>
        </w:tc>
        <w:tc>
          <w:tcPr>
            <w:tcW w:w="842" w:type="dxa"/>
            <w:shd w:val="clear" w:color="auto" w:fill="EAF1DD"/>
          </w:tcPr>
          <w:p w:rsidR="007F6E99" w:rsidRPr="001739E9" w:rsidRDefault="007F6E99" w:rsidP="004E444C">
            <w:pPr>
              <w:spacing w:after="0" w:line="240" w:lineRule="auto"/>
              <w:jc w:val="both"/>
              <w:rPr>
                <w:rFonts w:ascii="Arial" w:hAnsi="Arial" w:cs="Arial"/>
                <w:sz w:val="24"/>
                <w:szCs w:val="24"/>
                <w:lang w:val="en-US"/>
              </w:rPr>
            </w:pPr>
            <w:r w:rsidRPr="001739E9">
              <w:rPr>
                <w:rFonts w:ascii="Arial" w:hAnsi="Arial" w:cs="Arial"/>
                <w:sz w:val="24"/>
                <w:szCs w:val="24"/>
                <w:lang w:val="en-US"/>
              </w:rPr>
              <w:t>222</w:t>
            </w:r>
          </w:p>
        </w:tc>
        <w:tc>
          <w:tcPr>
            <w:tcW w:w="842" w:type="dxa"/>
            <w:shd w:val="clear" w:color="auto" w:fill="EAF1DD"/>
          </w:tcPr>
          <w:p w:rsidR="007F6E99" w:rsidRPr="0090130C" w:rsidRDefault="007F6E99" w:rsidP="004E444C">
            <w:pPr>
              <w:spacing w:after="0" w:line="240" w:lineRule="auto"/>
              <w:jc w:val="both"/>
              <w:rPr>
                <w:rFonts w:ascii="Arial" w:hAnsi="Arial" w:cs="Arial"/>
                <w:sz w:val="24"/>
                <w:szCs w:val="24"/>
                <w:lang w:val="en-US"/>
              </w:rPr>
            </w:pPr>
            <w:r>
              <w:rPr>
                <w:rFonts w:ascii="Arial" w:hAnsi="Arial" w:cs="Arial"/>
                <w:sz w:val="24"/>
                <w:szCs w:val="24"/>
                <w:lang w:val="en-US"/>
              </w:rPr>
              <w:t>319</w:t>
            </w:r>
          </w:p>
        </w:tc>
      </w:tr>
    </w:tbl>
    <w:p w:rsidR="007F6E99" w:rsidRPr="001739E9" w:rsidRDefault="007F6E99" w:rsidP="007F6E99">
      <w:pPr>
        <w:jc w:val="both"/>
        <w:rPr>
          <w:rFonts w:ascii="Arial" w:hAnsi="Arial" w:cs="Arial"/>
          <w:i/>
          <w:sz w:val="20"/>
          <w:szCs w:val="20"/>
        </w:rPr>
      </w:pPr>
      <w:r w:rsidRPr="001739E9">
        <w:rPr>
          <w:rFonts w:ascii="Arial" w:hAnsi="Arial" w:cs="Arial"/>
          <w:i/>
          <w:sz w:val="20"/>
          <w:szCs w:val="20"/>
          <w:lang w:val="en-US"/>
        </w:rPr>
        <w:t>Not</w:t>
      </w:r>
      <w:r w:rsidRPr="001739E9">
        <w:rPr>
          <w:rFonts w:ascii="Arial" w:hAnsi="Arial" w:cs="Arial"/>
          <w:i/>
          <w:sz w:val="20"/>
          <w:szCs w:val="20"/>
        </w:rPr>
        <w:t xml:space="preserve">ă: Informații furnizate de către Direcția de Sănătate Publică a județului </w:t>
      </w:r>
      <w:r>
        <w:rPr>
          <w:rFonts w:ascii="Arial" w:hAnsi="Arial" w:cs="Arial"/>
          <w:i/>
          <w:sz w:val="20"/>
          <w:szCs w:val="20"/>
        </w:rPr>
        <w:t>Brăila</w:t>
      </w:r>
    </w:p>
    <w:p w:rsidR="007F6E99" w:rsidRDefault="007F6E99" w:rsidP="007F6E99">
      <w:pPr>
        <w:jc w:val="center"/>
        <w:rPr>
          <w:rFonts w:ascii="Arial" w:hAnsi="Arial" w:cs="Arial"/>
          <w:sz w:val="24"/>
          <w:szCs w:val="24"/>
          <w:lang w:val="en-US"/>
        </w:rPr>
      </w:pPr>
      <w:r>
        <w:rPr>
          <w:rFonts w:ascii="Arial" w:hAnsi="Arial" w:cs="Arial"/>
          <w:noProof/>
          <w:sz w:val="24"/>
          <w:szCs w:val="24"/>
          <w:shd w:val="clear" w:color="auto" w:fill="F2DBDB"/>
        </w:rPr>
        <w:drawing>
          <wp:inline distT="0" distB="0" distL="0" distR="0">
            <wp:extent cx="4733925" cy="2343150"/>
            <wp:effectExtent l="19050" t="0" r="9525" b="0"/>
            <wp:docPr id="76" name="Chart 2" descr="Title: 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7F6E99" w:rsidRPr="00844F99" w:rsidRDefault="007F6E99" w:rsidP="007F6E99">
      <w:pPr>
        <w:jc w:val="both"/>
        <w:rPr>
          <w:rFonts w:ascii="Arial" w:hAnsi="Arial" w:cs="Arial"/>
          <w:sz w:val="24"/>
          <w:szCs w:val="24"/>
          <w:lang w:val="en-US"/>
        </w:rPr>
      </w:pPr>
      <w:r w:rsidRPr="00BB71FF">
        <w:rPr>
          <w:rFonts w:ascii="Arial" w:hAnsi="Arial" w:cs="Arial"/>
          <w:sz w:val="24"/>
          <w:szCs w:val="24"/>
        </w:rPr>
        <w:lastRenderedPageBreak/>
        <w:t>Tabel nr. VIII.1.1.1. – 3</w:t>
      </w:r>
      <w:r w:rsidRPr="00594535">
        <w:rPr>
          <w:rFonts w:ascii="Arial" w:hAnsi="Arial" w:cs="Arial"/>
          <w:b/>
          <w:sz w:val="24"/>
          <w:szCs w:val="24"/>
        </w:rPr>
        <w:t xml:space="preserve"> -</w:t>
      </w:r>
      <w:r w:rsidRPr="00594535">
        <w:rPr>
          <w:rFonts w:ascii="Arial" w:hAnsi="Arial" w:cs="Arial"/>
          <w:sz w:val="24"/>
          <w:szCs w:val="24"/>
          <w:lang w:val="en-US"/>
        </w:rPr>
        <w:t xml:space="preserve"> </w:t>
      </w:r>
      <w:r w:rsidRPr="00844F99">
        <w:rPr>
          <w:rFonts w:ascii="Arial" w:hAnsi="Arial" w:cs="Arial"/>
          <w:sz w:val="24"/>
          <w:szCs w:val="24"/>
          <w:lang w:val="en-US"/>
        </w:rPr>
        <w:t>Mortalitate infantilă şi prin afecţiuni respiratorii în mediul Urban în perioada 201</w:t>
      </w:r>
      <w:r>
        <w:rPr>
          <w:rFonts w:ascii="Arial" w:hAnsi="Arial" w:cs="Arial"/>
          <w:sz w:val="24"/>
          <w:szCs w:val="24"/>
          <w:lang w:val="en-US"/>
        </w:rPr>
        <w:t>3</w:t>
      </w:r>
      <w:r w:rsidRPr="00844F99">
        <w:rPr>
          <w:rFonts w:ascii="Arial" w:hAnsi="Arial" w:cs="Arial"/>
          <w:sz w:val="24"/>
          <w:szCs w:val="24"/>
          <w:lang w:val="en-US"/>
        </w:rPr>
        <w:t xml:space="preserve"> – 201</w:t>
      </w:r>
      <w:r>
        <w:rPr>
          <w:rFonts w:ascii="Arial" w:hAnsi="Arial" w:cs="Arial"/>
          <w:sz w:val="24"/>
          <w:szCs w:val="24"/>
          <w:lang w:val="en-US"/>
        </w:rPr>
        <w:t>7</w:t>
      </w:r>
    </w:p>
    <w:tbl>
      <w:tblPr>
        <w:tblW w:w="8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6"/>
        <w:gridCol w:w="1017"/>
        <w:gridCol w:w="884"/>
        <w:gridCol w:w="884"/>
        <w:gridCol w:w="881"/>
        <w:gridCol w:w="884"/>
      </w:tblGrid>
      <w:tr w:rsidR="007F6E99" w:rsidRPr="0090130C" w:rsidTr="004E444C">
        <w:trPr>
          <w:trHeight w:val="392"/>
          <w:jc w:val="center"/>
        </w:trPr>
        <w:tc>
          <w:tcPr>
            <w:tcW w:w="4486" w:type="dxa"/>
            <w:shd w:val="clear" w:color="auto" w:fill="FABF8F"/>
          </w:tcPr>
          <w:p w:rsidR="007F6E99" w:rsidRPr="0090130C" w:rsidRDefault="007F6E99" w:rsidP="004E444C">
            <w:pPr>
              <w:spacing w:after="0" w:line="240" w:lineRule="auto"/>
              <w:rPr>
                <w:rFonts w:ascii="Arial" w:hAnsi="Arial" w:cs="Arial"/>
                <w:b/>
                <w:sz w:val="24"/>
                <w:szCs w:val="24"/>
                <w:lang w:val="en-US"/>
              </w:rPr>
            </w:pPr>
            <w:r w:rsidRPr="0090130C">
              <w:rPr>
                <w:rFonts w:ascii="Arial" w:hAnsi="Arial" w:cs="Arial"/>
                <w:b/>
                <w:sz w:val="24"/>
                <w:szCs w:val="24"/>
                <w:lang w:val="en-US"/>
              </w:rPr>
              <w:t xml:space="preserve">Judeţul </w:t>
            </w:r>
            <w:r>
              <w:rPr>
                <w:rFonts w:ascii="Arial" w:hAnsi="Arial" w:cs="Arial"/>
                <w:b/>
                <w:sz w:val="24"/>
                <w:szCs w:val="24"/>
                <w:lang w:val="en-US"/>
              </w:rPr>
              <w:t>Brăila</w:t>
            </w:r>
          </w:p>
        </w:tc>
        <w:tc>
          <w:tcPr>
            <w:tcW w:w="884" w:type="dxa"/>
            <w:shd w:val="clear" w:color="auto" w:fill="FABF8F"/>
          </w:tcPr>
          <w:p w:rsidR="007F6E99" w:rsidRPr="0090130C" w:rsidRDefault="007F6E99" w:rsidP="004E444C">
            <w:pPr>
              <w:spacing w:after="0" w:line="240" w:lineRule="auto"/>
              <w:rPr>
                <w:rFonts w:ascii="Arial" w:hAnsi="Arial" w:cs="Arial"/>
                <w:b/>
                <w:sz w:val="24"/>
                <w:szCs w:val="24"/>
                <w:lang w:val="en-US"/>
              </w:rPr>
            </w:pPr>
            <w:r w:rsidRPr="0090130C">
              <w:rPr>
                <w:rFonts w:ascii="Arial" w:hAnsi="Arial" w:cs="Arial"/>
                <w:b/>
                <w:sz w:val="24"/>
                <w:szCs w:val="24"/>
                <w:lang w:val="en-US"/>
              </w:rPr>
              <w:t>2013</w:t>
            </w:r>
          </w:p>
        </w:tc>
        <w:tc>
          <w:tcPr>
            <w:tcW w:w="884" w:type="dxa"/>
            <w:shd w:val="clear" w:color="auto" w:fill="FABF8F"/>
          </w:tcPr>
          <w:p w:rsidR="007F6E99" w:rsidRPr="0090130C" w:rsidRDefault="007F6E99" w:rsidP="004E444C">
            <w:pPr>
              <w:spacing w:after="0" w:line="240" w:lineRule="auto"/>
              <w:rPr>
                <w:rFonts w:ascii="Arial" w:hAnsi="Arial" w:cs="Arial"/>
                <w:b/>
                <w:sz w:val="24"/>
                <w:szCs w:val="24"/>
                <w:lang w:val="en-US"/>
              </w:rPr>
            </w:pPr>
            <w:r w:rsidRPr="0090130C">
              <w:rPr>
                <w:rFonts w:ascii="Arial" w:hAnsi="Arial" w:cs="Arial"/>
                <w:b/>
                <w:sz w:val="24"/>
                <w:szCs w:val="24"/>
                <w:lang w:val="en-US"/>
              </w:rPr>
              <w:t>2014</w:t>
            </w:r>
          </w:p>
        </w:tc>
        <w:tc>
          <w:tcPr>
            <w:tcW w:w="884" w:type="dxa"/>
            <w:shd w:val="clear" w:color="auto" w:fill="FABF8F"/>
          </w:tcPr>
          <w:p w:rsidR="007F6E99" w:rsidRPr="0090130C" w:rsidRDefault="007F6E99" w:rsidP="004E444C">
            <w:pPr>
              <w:spacing w:after="0" w:line="240" w:lineRule="auto"/>
              <w:rPr>
                <w:rFonts w:ascii="Arial" w:hAnsi="Arial" w:cs="Arial"/>
                <w:b/>
                <w:sz w:val="24"/>
                <w:szCs w:val="24"/>
                <w:lang w:val="en-US"/>
              </w:rPr>
            </w:pPr>
            <w:r w:rsidRPr="0090130C">
              <w:rPr>
                <w:rFonts w:ascii="Arial" w:hAnsi="Arial" w:cs="Arial"/>
                <w:b/>
                <w:sz w:val="24"/>
                <w:szCs w:val="24"/>
                <w:lang w:val="en-US"/>
              </w:rPr>
              <w:t>2015</w:t>
            </w:r>
          </w:p>
        </w:tc>
        <w:tc>
          <w:tcPr>
            <w:tcW w:w="884" w:type="dxa"/>
            <w:shd w:val="clear" w:color="auto" w:fill="FABF8F"/>
          </w:tcPr>
          <w:p w:rsidR="007F6E99" w:rsidRPr="007C55B4" w:rsidRDefault="007F6E99" w:rsidP="004E444C">
            <w:pPr>
              <w:spacing w:after="0" w:line="240" w:lineRule="auto"/>
              <w:rPr>
                <w:rFonts w:ascii="Arial" w:hAnsi="Arial" w:cs="Arial"/>
                <w:b/>
                <w:sz w:val="24"/>
                <w:szCs w:val="24"/>
                <w:lang w:val="en-US"/>
              </w:rPr>
            </w:pPr>
            <w:r w:rsidRPr="007C55B4">
              <w:rPr>
                <w:rFonts w:ascii="Arial" w:hAnsi="Arial" w:cs="Arial"/>
                <w:b/>
                <w:sz w:val="24"/>
                <w:szCs w:val="24"/>
                <w:lang w:val="en-US"/>
              </w:rPr>
              <w:t>2016</w:t>
            </w:r>
          </w:p>
        </w:tc>
        <w:tc>
          <w:tcPr>
            <w:tcW w:w="884" w:type="dxa"/>
            <w:shd w:val="clear" w:color="auto" w:fill="FABF8F"/>
          </w:tcPr>
          <w:p w:rsidR="007F6E99" w:rsidRPr="0090130C" w:rsidRDefault="007F6E99" w:rsidP="004E444C">
            <w:pPr>
              <w:spacing w:after="0" w:line="240" w:lineRule="auto"/>
              <w:rPr>
                <w:rFonts w:ascii="Arial" w:hAnsi="Arial" w:cs="Arial"/>
                <w:b/>
                <w:sz w:val="24"/>
                <w:szCs w:val="24"/>
                <w:lang w:val="en-US"/>
              </w:rPr>
            </w:pPr>
            <w:r>
              <w:rPr>
                <w:rFonts w:ascii="Arial" w:hAnsi="Arial" w:cs="Arial"/>
                <w:b/>
                <w:sz w:val="24"/>
                <w:szCs w:val="24"/>
                <w:lang w:val="en-US"/>
              </w:rPr>
              <w:t>2017</w:t>
            </w:r>
          </w:p>
        </w:tc>
      </w:tr>
      <w:tr w:rsidR="007F6E99" w:rsidRPr="0090130C" w:rsidTr="004E444C">
        <w:trPr>
          <w:jc w:val="center"/>
        </w:trPr>
        <w:tc>
          <w:tcPr>
            <w:tcW w:w="4486" w:type="dxa"/>
            <w:shd w:val="clear" w:color="auto" w:fill="DAEEF3"/>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Mortalitate infantilă în mediul Urban (decedaţi sub 1 an la 1000 născuţi vii)</w:t>
            </w:r>
          </w:p>
        </w:tc>
        <w:tc>
          <w:tcPr>
            <w:tcW w:w="884" w:type="dxa"/>
            <w:shd w:val="clear" w:color="auto" w:fill="DAEEF3"/>
            <w:vAlign w:val="center"/>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16/12,1</w:t>
            </w:r>
          </w:p>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vAlign w:val="center"/>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8/6,03</w:t>
            </w:r>
          </w:p>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5/3,69</w:t>
            </w:r>
          </w:p>
          <w:p w:rsidR="007F6E99" w:rsidRPr="0090130C" w:rsidRDefault="007F6E99" w:rsidP="004E444C">
            <w:pPr>
              <w:spacing w:after="0" w:line="240" w:lineRule="auto"/>
              <w:rPr>
                <w:rFonts w:ascii="Arial" w:hAnsi="Arial" w:cs="Arial"/>
                <w:sz w:val="24"/>
                <w:szCs w:val="24"/>
                <w:vertAlign w:val="subscript"/>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tcPr>
          <w:p w:rsidR="007F6E99" w:rsidRDefault="007F6E99" w:rsidP="004E444C">
            <w:pPr>
              <w:spacing w:after="0" w:line="240" w:lineRule="auto"/>
              <w:rPr>
                <w:rFonts w:ascii="Times New Roman" w:hAnsi="Times New Roman"/>
                <w:sz w:val="24"/>
                <w:szCs w:val="24"/>
              </w:rPr>
            </w:pPr>
            <w:r w:rsidRPr="00844F99">
              <w:rPr>
                <w:rFonts w:ascii="Times New Roman" w:hAnsi="Times New Roman"/>
                <w:sz w:val="24"/>
                <w:szCs w:val="24"/>
              </w:rPr>
              <w:t>9/7</w:t>
            </w:r>
            <w:r>
              <w:rPr>
                <w:rFonts w:ascii="Times New Roman" w:hAnsi="Times New Roman"/>
                <w:sz w:val="24"/>
                <w:szCs w:val="24"/>
              </w:rPr>
              <w:t>,</w:t>
            </w:r>
            <w:r w:rsidRPr="00844F99">
              <w:rPr>
                <w:rFonts w:ascii="Times New Roman" w:hAnsi="Times New Roman"/>
                <w:sz w:val="24"/>
                <w:szCs w:val="24"/>
              </w:rPr>
              <w:t>29</w:t>
            </w:r>
          </w:p>
          <w:p w:rsidR="007F6E99" w:rsidRPr="00844F99"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vAlign w:val="center"/>
          </w:tcPr>
          <w:p w:rsidR="007F6E99" w:rsidRDefault="007F6E99" w:rsidP="004E444C">
            <w:pPr>
              <w:spacing w:after="0" w:line="240" w:lineRule="auto"/>
              <w:rPr>
                <w:rFonts w:ascii="Arial" w:hAnsi="Arial" w:cs="Arial"/>
                <w:sz w:val="24"/>
                <w:szCs w:val="24"/>
                <w:lang w:val="en-US"/>
              </w:rPr>
            </w:pPr>
            <w:r>
              <w:rPr>
                <w:rFonts w:ascii="Arial" w:hAnsi="Arial" w:cs="Arial"/>
                <w:sz w:val="24"/>
                <w:szCs w:val="24"/>
                <w:lang w:val="en-US"/>
              </w:rPr>
              <w:t>6/2,58</w:t>
            </w:r>
          </w:p>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r>
      <w:tr w:rsidR="007F6E99" w:rsidRPr="0090130C" w:rsidTr="004E444C">
        <w:trPr>
          <w:jc w:val="center"/>
        </w:trPr>
        <w:tc>
          <w:tcPr>
            <w:tcW w:w="4486" w:type="dxa"/>
            <w:shd w:val="clear" w:color="auto" w:fill="DAEEF3"/>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Mortalitate infantilă prin afecţiuni respiratorii în mediul Urban (decedaţi sub 1 an la 1000 născuţi vii)</w:t>
            </w:r>
          </w:p>
        </w:tc>
        <w:tc>
          <w:tcPr>
            <w:tcW w:w="884" w:type="dxa"/>
            <w:shd w:val="clear" w:color="auto" w:fill="DAEEF3"/>
            <w:vAlign w:val="center"/>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3/2,27</w:t>
            </w:r>
          </w:p>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vAlign w:val="center"/>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0/0</w:t>
            </w:r>
          </w:p>
        </w:tc>
        <w:tc>
          <w:tcPr>
            <w:tcW w:w="884" w:type="dxa"/>
            <w:shd w:val="clear" w:color="auto" w:fill="DAEEF3"/>
          </w:tcPr>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lang w:val="en-US"/>
              </w:rPr>
              <w:t>1/0,73</w:t>
            </w:r>
          </w:p>
          <w:p w:rsidR="007F6E99" w:rsidRPr="0090130C" w:rsidRDefault="007F6E99" w:rsidP="004E444C">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tcPr>
          <w:p w:rsidR="007F6E99" w:rsidRPr="007C55B4" w:rsidRDefault="007F6E99" w:rsidP="004E444C">
            <w:pPr>
              <w:spacing w:after="0" w:line="240" w:lineRule="auto"/>
              <w:rPr>
                <w:rFonts w:ascii="Times New Roman" w:hAnsi="Times New Roman"/>
                <w:sz w:val="24"/>
                <w:szCs w:val="24"/>
              </w:rPr>
            </w:pPr>
            <w:r w:rsidRPr="007C55B4">
              <w:rPr>
                <w:rFonts w:ascii="Times New Roman" w:hAnsi="Times New Roman"/>
                <w:sz w:val="24"/>
                <w:szCs w:val="24"/>
              </w:rPr>
              <w:t>2/1</w:t>
            </w:r>
            <w:r>
              <w:rPr>
                <w:rFonts w:ascii="Times New Roman" w:hAnsi="Times New Roman"/>
                <w:sz w:val="24"/>
                <w:szCs w:val="24"/>
              </w:rPr>
              <w:t>,</w:t>
            </w:r>
            <w:r w:rsidRPr="007C55B4">
              <w:rPr>
                <w:rFonts w:ascii="Times New Roman" w:hAnsi="Times New Roman"/>
                <w:sz w:val="24"/>
                <w:szCs w:val="24"/>
              </w:rPr>
              <w:t>46</w:t>
            </w:r>
          </w:p>
          <w:p w:rsidR="007F6E99" w:rsidRPr="0090130C" w:rsidRDefault="007F6E99" w:rsidP="004E444C">
            <w:pPr>
              <w:spacing w:after="0" w:line="240" w:lineRule="auto"/>
              <w:rPr>
                <w:rFonts w:ascii="Arial" w:hAnsi="Arial" w:cs="Arial"/>
                <w:color w:val="FF0000"/>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884" w:type="dxa"/>
            <w:shd w:val="clear" w:color="auto" w:fill="DAEEF3"/>
            <w:vAlign w:val="center"/>
          </w:tcPr>
          <w:p w:rsidR="007F6E99" w:rsidRPr="0090130C" w:rsidRDefault="007F6E99" w:rsidP="004E444C">
            <w:pPr>
              <w:spacing w:after="0" w:line="240" w:lineRule="auto"/>
              <w:rPr>
                <w:rFonts w:ascii="Arial" w:hAnsi="Arial" w:cs="Arial"/>
                <w:sz w:val="24"/>
                <w:szCs w:val="24"/>
                <w:lang w:val="en-US"/>
              </w:rPr>
            </w:pPr>
            <w:r>
              <w:rPr>
                <w:rFonts w:ascii="Arial" w:hAnsi="Arial" w:cs="Arial"/>
                <w:sz w:val="24"/>
                <w:szCs w:val="24"/>
                <w:lang w:val="en-US"/>
              </w:rPr>
              <w:t>0/0</w:t>
            </w:r>
          </w:p>
        </w:tc>
      </w:tr>
    </w:tbl>
    <w:p w:rsidR="007F6E99" w:rsidRPr="005D01FF" w:rsidRDefault="007F6E99" w:rsidP="007F6E99">
      <w:pPr>
        <w:jc w:val="both"/>
        <w:rPr>
          <w:rFonts w:ascii="Arial" w:hAnsi="Arial" w:cs="Arial"/>
          <w:i/>
          <w:sz w:val="20"/>
          <w:szCs w:val="20"/>
        </w:rPr>
      </w:pPr>
      <w:r>
        <w:rPr>
          <w:rFonts w:ascii="Arial" w:hAnsi="Arial" w:cs="Arial"/>
          <w:i/>
          <w:sz w:val="20"/>
          <w:szCs w:val="20"/>
          <w:lang w:val="en-US"/>
        </w:rPr>
        <w:t xml:space="preserve">    </w:t>
      </w:r>
      <w:r w:rsidRPr="005D01FF">
        <w:rPr>
          <w:rFonts w:ascii="Arial" w:hAnsi="Arial" w:cs="Arial"/>
          <w:i/>
          <w:sz w:val="20"/>
          <w:szCs w:val="20"/>
          <w:lang w:val="en-US"/>
        </w:rPr>
        <w:t>Not</w:t>
      </w:r>
      <w:r w:rsidRPr="005D01FF">
        <w:rPr>
          <w:rFonts w:ascii="Arial" w:hAnsi="Arial" w:cs="Arial"/>
          <w:i/>
          <w:sz w:val="20"/>
          <w:szCs w:val="20"/>
        </w:rPr>
        <w:t xml:space="preserve">ă: Informații furnizate de către Direcția de Sănătate Publică a județului </w:t>
      </w:r>
      <w:r>
        <w:rPr>
          <w:rFonts w:ascii="Arial" w:hAnsi="Arial" w:cs="Arial"/>
          <w:i/>
          <w:sz w:val="20"/>
          <w:szCs w:val="20"/>
        </w:rPr>
        <w:t>Brăila</w:t>
      </w:r>
    </w:p>
    <w:p w:rsidR="007F6E99" w:rsidRPr="00594535" w:rsidRDefault="007F6E99" w:rsidP="007F6E99">
      <w:pPr>
        <w:jc w:val="center"/>
        <w:rPr>
          <w:rFonts w:ascii="Arial" w:hAnsi="Arial" w:cs="Arial"/>
          <w:sz w:val="24"/>
          <w:szCs w:val="24"/>
        </w:rPr>
      </w:pPr>
      <w:r>
        <w:rPr>
          <w:rFonts w:ascii="Arial" w:hAnsi="Arial" w:cs="Arial"/>
          <w:noProof/>
          <w:sz w:val="24"/>
          <w:szCs w:val="24"/>
        </w:rPr>
        <w:drawing>
          <wp:inline distT="0" distB="0" distL="0" distR="0">
            <wp:extent cx="4733925" cy="3124200"/>
            <wp:effectExtent l="19050" t="0" r="9525" b="0"/>
            <wp:docPr id="22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745BE" w:rsidRDefault="005745BE" w:rsidP="007F6E99">
      <w:pPr>
        <w:tabs>
          <w:tab w:val="left" w:pos="1515"/>
        </w:tabs>
        <w:spacing w:after="0" w:line="240" w:lineRule="auto"/>
        <w:jc w:val="both"/>
        <w:rPr>
          <w:rFonts w:ascii="Arial" w:hAnsi="Arial" w:cs="Arial"/>
          <w:sz w:val="24"/>
          <w:szCs w:val="24"/>
        </w:rPr>
      </w:pPr>
    </w:p>
    <w:p w:rsidR="005745BE" w:rsidRPr="00D02803" w:rsidRDefault="007F6E99" w:rsidP="007F6E99">
      <w:pPr>
        <w:tabs>
          <w:tab w:val="left" w:pos="1515"/>
        </w:tabs>
        <w:spacing w:after="0" w:line="240" w:lineRule="auto"/>
        <w:jc w:val="both"/>
        <w:rPr>
          <w:rFonts w:ascii="Arial" w:hAnsi="Arial" w:cs="Arial"/>
          <w:sz w:val="24"/>
          <w:szCs w:val="24"/>
        </w:rPr>
      </w:pPr>
      <w:r w:rsidRPr="00BB71FF">
        <w:rPr>
          <w:rFonts w:ascii="Arial" w:hAnsi="Arial" w:cs="Arial"/>
          <w:sz w:val="24"/>
          <w:szCs w:val="24"/>
        </w:rPr>
        <w:t>Tabel nr. VIII.1.1.1. – 4</w:t>
      </w:r>
      <w:r w:rsidRPr="00594535">
        <w:rPr>
          <w:rFonts w:ascii="Arial" w:hAnsi="Arial" w:cs="Arial"/>
          <w:b/>
          <w:sz w:val="24"/>
          <w:szCs w:val="24"/>
        </w:rPr>
        <w:t xml:space="preserve"> </w:t>
      </w:r>
      <w:r w:rsidRPr="00E32EE1">
        <w:rPr>
          <w:rFonts w:ascii="Arial" w:hAnsi="Arial" w:cs="Arial"/>
          <w:b/>
          <w:sz w:val="24"/>
          <w:szCs w:val="24"/>
        </w:rPr>
        <w:t>-</w:t>
      </w:r>
      <w:r w:rsidRPr="00E32EE1">
        <w:rPr>
          <w:rFonts w:ascii="Arial" w:hAnsi="Arial" w:cs="Arial"/>
          <w:sz w:val="24"/>
          <w:szCs w:val="24"/>
          <w:lang w:val="en-US"/>
        </w:rPr>
        <w:t xml:space="preserve"> </w:t>
      </w:r>
      <w:r w:rsidRPr="00D02803">
        <w:rPr>
          <w:rFonts w:ascii="Arial" w:hAnsi="Arial" w:cs="Arial"/>
          <w:sz w:val="24"/>
          <w:szCs w:val="24"/>
        </w:rPr>
        <w:t xml:space="preserve">Mortalitatea prin afecțiuni cardiovasculare pe orașele din județul </w:t>
      </w:r>
      <w:r>
        <w:rPr>
          <w:rFonts w:ascii="Arial" w:hAnsi="Arial" w:cs="Arial"/>
          <w:sz w:val="24"/>
          <w:szCs w:val="24"/>
        </w:rPr>
        <w:t>Brăila</w:t>
      </w:r>
      <w:r w:rsidRPr="00D02803">
        <w:rPr>
          <w:rFonts w:ascii="Arial" w:hAnsi="Arial" w:cs="Arial"/>
          <w:sz w:val="24"/>
          <w:szCs w:val="24"/>
        </w:rPr>
        <w:t xml:space="preserve"> (număr cazuri) în perioada 201</w:t>
      </w:r>
      <w:r>
        <w:rPr>
          <w:rFonts w:ascii="Arial" w:hAnsi="Arial" w:cs="Arial"/>
          <w:sz w:val="24"/>
          <w:szCs w:val="24"/>
        </w:rPr>
        <w:t>3</w:t>
      </w:r>
      <w:r w:rsidRPr="00D02803">
        <w:rPr>
          <w:rFonts w:ascii="Arial" w:hAnsi="Arial" w:cs="Arial"/>
          <w:sz w:val="24"/>
          <w:szCs w:val="24"/>
        </w:rPr>
        <w:t xml:space="preserve"> – 201</w:t>
      </w:r>
      <w:r>
        <w:rPr>
          <w:rFonts w:ascii="Arial" w:hAnsi="Arial" w:cs="Arial"/>
          <w:sz w:val="24"/>
          <w:szCs w:val="24"/>
        </w:rPr>
        <w:t>7</w:t>
      </w:r>
    </w:p>
    <w:tbl>
      <w:tblPr>
        <w:tblW w:w="0" w:type="auto"/>
        <w:jc w:val="center"/>
        <w:tblInd w:w="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824"/>
        <w:gridCol w:w="824"/>
        <w:gridCol w:w="824"/>
        <w:gridCol w:w="824"/>
        <w:gridCol w:w="824"/>
      </w:tblGrid>
      <w:tr w:rsidR="007F6E99" w:rsidRPr="0090130C" w:rsidTr="004E444C">
        <w:trPr>
          <w:jc w:val="center"/>
        </w:trPr>
        <w:tc>
          <w:tcPr>
            <w:tcW w:w="2214" w:type="dxa"/>
            <w:shd w:val="clear" w:color="auto" w:fill="FABF8F"/>
          </w:tcPr>
          <w:p w:rsidR="007F6E99" w:rsidRPr="0090130C" w:rsidRDefault="007F6E99" w:rsidP="004E444C">
            <w:pPr>
              <w:tabs>
                <w:tab w:val="left" w:pos="1139"/>
              </w:tabs>
              <w:spacing w:after="0" w:line="240" w:lineRule="auto"/>
              <w:rPr>
                <w:rFonts w:ascii="Arial" w:hAnsi="Arial" w:cs="Arial"/>
                <w:b/>
                <w:sz w:val="24"/>
                <w:szCs w:val="24"/>
              </w:rPr>
            </w:pPr>
            <w:r w:rsidRPr="0090130C">
              <w:rPr>
                <w:rFonts w:ascii="Arial" w:hAnsi="Arial" w:cs="Arial"/>
                <w:b/>
                <w:sz w:val="24"/>
                <w:szCs w:val="24"/>
              </w:rPr>
              <w:t>Mortalitate prin afecțiuni cardiovasculare</w:t>
            </w:r>
          </w:p>
        </w:tc>
        <w:tc>
          <w:tcPr>
            <w:tcW w:w="824" w:type="dxa"/>
            <w:shd w:val="clear" w:color="auto" w:fill="FABF8F"/>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824" w:type="dxa"/>
            <w:shd w:val="clear" w:color="auto" w:fill="FABF8F"/>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824" w:type="dxa"/>
            <w:shd w:val="clear" w:color="auto" w:fill="FABF8F"/>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824" w:type="dxa"/>
            <w:shd w:val="clear" w:color="auto" w:fill="FABF8F"/>
          </w:tcPr>
          <w:p w:rsidR="007F6E99" w:rsidRPr="00D02803" w:rsidRDefault="007F6E99" w:rsidP="004E444C">
            <w:pPr>
              <w:tabs>
                <w:tab w:val="left" w:pos="1139"/>
              </w:tabs>
              <w:spacing w:after="0" w:line="240" w:lineRule="auto"/>
              <w:jc w:val="both"/>
              <w:rPr>
                <w:rFonts w:ascii="Arial" w:hAnsi="Arial" w:cs="Arial"/>
                <w:b/>
                <w:sz w:val="24"/>
                <w:szCs w:val="24"/>
              </w:rPr>
            </w:pPr>
            <w:r w:rsidRPr="00D02803">
              <w:rPr>
                <w:rFonts w:ascii="Arial" w:hAnsi="Arial" w:cs="Arial"/>
                <w:b/>
                <w:sz w:val="24"/>
                <w:szCs w:val="24"/>
              </w:rPr>
              <w:t>2016</w:t>
            </w:r>
          </w:p>
        </w:tc>
        <w:tc>
          <w:tcPr>
            <w:tcW w:w="824" w:type="dxa"/>
            <w:shd w:val="clear" w:color="auto" w:fill="FABF8F"/>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2017</w:t>
            </w:r>
          </w:p>
        </w:tc>
      </w:tr>
      <w:tr w:rsidR="007F6E99" w:rsidRPr="0090130C" w:rsidTr="004E444C">
        <w:trPr>
          <w:jc w:val="center"/>
        </w:trPr>
        <w:tc>
          <w:tcPr>
            <w:tcW w:w="221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Brăila</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1145</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1147</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1242</w:t>
            </w:r>
          </w:p>
        </w:tc>
        <w:tc>
          <w:tcPr>
            <w:tcW w:w="824" w:type="dxa"/>
            <w:shd w:val="clear" w:color="auto" w:fill="E5DFEC"/>
          </w:tcPr>
          <w:p w:rsidR="007F6E99" w:rsidRPr="00D02803" w:rsidRDefault="007F6E99" w:rsidP="004E444C">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1178</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1194</w:t>
            </w:r>
          </w:p>
        </w:tc>
      </w:tr>
      <w:tr w:rsidR="007F6E99" w:rsidRPr="0090130C" w:rsidTr="004E444C">
        <w:trPr>
          <w:jc w:val="center"/>
        </w:trPr>
        <w:tc>
          <w:tcPr>
            <w:tcW w:w="221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Ianca</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86</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71</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71</w:t>
            </w:r>
          </w:p>
        </w:tc>
        <w:tc>
          <w:tcPr>
            <w:tcW w:w="824" w:type="dxa"/>
            <w:shd w:val="clear" w:color="auto" w:fill="E5DFEC"/>
          </w:tcPr>
          <w:p w:rsidR="007F6E99" w:rsidRPr="00D02803" w:rsidRDefault="007F6E99" w:rsidP="004E444C">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90</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29</w:t>
            </w:r>
          </w:p>
        </w:tc>
      </w:tr>
      <w:tr w:rsidR="007F6E99" w:rsidRPr="0090130C" w:rsidTr="004E444C">
        <w:trPr>
          <w:jc w:val="center"/>
        </w:trPr>
        <w:tc>
          <w:tcPr>
            <w:tcW w:w="221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Făurei</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23</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23</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33</w:t>
            </w:r>
          </w:p>
        </w:tc>
        <w:tc>
          <w:tcPr>
            <w:tcW w:w="824" w:type="dxa"/>
            <w:shd w:val="clear" w:color="auto" w:fill="E5DFEC"/>
          </w:tcPr>
          <w:p w:rsidR="007F6E99" w:rsidRPr="00D02803" w:rsidRDefault="007F6E99" w:rsidP="004E444C">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31</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75</w:t>
            </w:r>
          </w:p>
        </w:tc>
      </w:tr>
      <w:tr w:rsidR="007F6E99" w:rsidRPr="0090130C" w:rsidTr="004E444C">
        <w:trPr>
          <w:jc w:val="center"/>
        </w:trPr>
        <w:tc>
          <w:tcPr>
            <w:tcW w:w="221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Însurăței</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55</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54</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51</w:t>
            </w:r>
          </w:p>
        </w:tc>
        <w:tc>
          <w:tcPr>
            <w:tcW w:w="824" w:type="dxa"/>
            <w:shd w:val="clear" w:color="auto" w:fill="E5DFEC"/>
          </w:tcPr>
          <w:p w:rsidR="007F6E99" w:rsidRPr="00D02803" w:rsidRDefault="007F6E99" w:rsidP="004E444C">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59</w:t>
            </w:r>
          </w:p>
        </w:tc>
        <w:tc>
          <w:tcPr>
            <w:tcW w:w="824" w:type="dxa"/>
            <w:shd w:val="clear" w:color="auto" w:fill="E5DFEC"/>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59</w:t>
            </w:r>
          </w:p>
        </w:tc>
      </w:tr>
    </w:tbl>
    <w:p w:rsidR="007F6E99" w:rsidRDefault="007F6E99" w:rsidP="007F6E99">
      <w:pPr>
        <w:jc w:val="both"/>
        <w:rPr>
          <w:rFonts w:ascii="Arial" w:hAnsi="Arial" w:cs="Arial"/>
          <w:i/>
          <w:sz w:val="20"/>
          <w:szCs w:val="20"/>
        </w:rPr>
      </w:pPr>
      <w:r>
        <w:rPr>
          <w:rFonts w:ascii="Arial" w:hAnsi="Arial" w:cs="Arial"/>
          <w:i/>
          <w:color w:val="FF0000"/>
          <w:sz w:val="20"/>
          <w:szCs w:val="20"/>
          <w:lang w:val="en-US"/>
        </w:rPr>
        <w:t xml:space="preserve">                    </w:t>
      </w:r>
      <w:r w:rsidRPr="00D02803">
        <w:rPr>
          <w:rFonts w:ascii="Arial" w:hAnsi="Arial" w:cs="Arial"/>
          <w:i/>
          <w:sz w:val="20"/>
          <w:szCs w:val="20"/>
          <w:lang w:val="en-US"/>
        </w:rPr>
        <w:t>Not</w:t>
      </w:r>
      <w:r w:rsidRPr="00D02803">
        <w:rPr>
          <w:rFonts w:ascii="Arial" w:hAnsi="Arial" w:cs="Arial"/>
          <w:i/>
          <w:sz w:val="20"/>
          <w:szCs w:val="20"/>
        </w:rPr>
        <w:t xml:space="preserve">ă: Informații furnizate de către Direcția de Sănătate Publică a județului </w:t>
      </w:r>
      <w:r>
        <w:rPr>
          <w:rFonts w:ascii="Arial" w:hAnsi="Arial" w:cs="Arial"/>
          <w:i/>
          <w:sz w:val="20"/>
          <w:szCs w:val="20"/>
        </w:rPr>
        <w:t>Brăila</w:t>
      </w:r>
    </w:p>
    <w:p w:rsidR="007F6E99" w:rsidRPr="00CC43F0" w:rsidRDefault="007F6E99" w:rsidP="007F6E99">
      <w:pPr>
        <w:jc w:val="both"/>
        <w:rPr>
          <w:rFonts w:ascii="Arial" w:hAnsi="Arial" w:cs="Arial"/>
          <w:sz w:val="24"/>
          <w:szCs w:val="24"/>
        </w:rPr>
      </w:pPr>
      <w:r w:rsidRPr="00CC43F0">
        <w:rPr>
          <w:rFonts w:ascii="Arial" w:hAnsi="Arial" w:cs="Arial"/>
          <w:b/>
          <w:bCs/>
          <w:sz w:val="24"/>
          <w:szCs w:val="24"/>
        </w:rPr>
        <w:t>Figura nr. VIII.1.1.1. – 3 -</w:t>
      </w:r>
      <w:r w:rsidRPr="00CC43F0">
        <w:rPr>
          <w:rFonts w:ascii="Arial" w:hAnsi="Arial" w:cs="Arial"/>
          <w:sz w:val="24"/>
          <w:szCs w:val="24"/>
        </w:rPr>
        <w:t xml:space="preserve"> Mortalitatea prin afecțiuni cardiovasculare pe orașele din județul Brăila (număr cazuri) în perioada 2013 – 2017</w:t>
      </w:r>
    </w:p>
    <w:p w:rsidR="007F6E99" w:rsidRPr="00BC587E" w:rsidRDefault="007F6E99" w:rsidP="007F6E99">
      <w:pPr>
        <w:tabs>
          <w:tab w:val="left" w:pos="1139"/>
        </w:tabs>
        <w:jc w:val="center"/>
        <w:rPr>
          <w:rFonts w:ascii="Arial" w:hAnsi="Arial" w:cs="Arial"/>
          <w:b/>
          <w:color w:val="FF0000"/>
          <w:sz w:val="24"/>
          <w:szCs w:val="24"/>
        </w:rPr>
      </w:pPr>
      <w:r w:rsidRPr="00CC43F0">
        <w:rPr>
          <w:rFonts w:ascii="Arial" w:hAnsi="Arial" w:cs="Arial"/>
          <w:b/>
          <w:noProof/>
          <w:color w:val="FF0000"/>
          <w:sz w:val="24"/>
          <w:szCs w:val="24"/>
        </w:rPr>
        <w:drawing>
          <wp:inline distT="0" distB="0" distL="0" distR="0">
            <wp:extent cx="4562475" cy="1905000"/>
            <wp:effectExtent l="19050" t="0" r="9525" b="0"/>
            <wp:docPr id="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7F6E99" w:rsidRDefault="007F6E99" w:rsidP="007F6E99">
      <w:pPr>
        <w:tabs>
          <w:tab w:val="left" w:pos="1139"/>
        </w:tabs>
        <w:spacing w:after="0" w:line="240" w:lineRule="auto"/>
        <w:jc w:val="both"/>
        <w:rPr>
          <w:rFonts w:ascii="Arial" w:hAnsi="Arial" w:cs="Arial"/>
          <w:sz w:val="24"/>
          <w:szCs w:val="24"/>
        </w:rPr>
      </w:pPr>
      <w:r w:rsidRPr="00BB71FF">
        <w:rPr>
          <w:rFonts w:ascii="Arial" w:hAnsi="Arial" w:cs="Arial"/>
          <w:sz w:val="24"/>
          <w:szCs w:val="24"/>
        </w:rPr>
        <w:lastRenderedPageBreak/>
        <w:t>Tabel nr. VIII.1.1.1. – 5 -</w:t>
      </w:r>
      <w:r w:rsidRPr="00594535">
        <w:rPr>
          <w:rFonts w:ascii="Arial" w:hAnsi="Arial" w:cs="Arial"/>
          <w:sz w:val="24"/>
          <w:szCs w:val="24"/>
          <w:lang w:val="en-US"/>
        </w:rPr>
        <w:t xml:space="preserve"> </w:t>
      </w:r>
      <w:r w:rsidRPr="00083DC8">
        <w:rPr>
          <w:rFonts w:ascii="Arial" w:hAnsi="Arial" w:cs="Arial"/>
          <w:sz w:val="24"/>
          <w:szCs w:val="24"/>
        </w:rPr>
        <w:t xml:space="preserve">Incidența cazurilor de astm </w:t>
      </w:r>
      <w:r>
        <w:rPr>
          <w:rFonts w:ascii="Arial" w:hAnsi="Arial" w:cs="Arial"/>
          <w:sz w:val="24"/>
          <w:szCs w:val="24"/>
        </w:rPr>
        <w:t>Br</w:t>
      </w:r>
      <w:r w:rsidRPr="00083DC8">
        <w:rPr>
          <w:rFonts w:ascii="Arial" w:hAnsi="Arial" w:cs="Arial"/>
          <w:sz w:val="24"/>
          <w:szCs w:val="24"/>
        </w:rPr>
        <w:t xml:space="preserve">onșic pe orașele din județul </w:t>
      </w:r>
      <w:r>
        <w:rPr>
          <w:rFonts w:ascii="Arial" w:hAnsi="Arial" w:cs="Arial"/>
          <w:sz w:val="24"/>
          <w:szCs w:val="24"/>
        </w:rPr>
        <w:t>Brăila</w:t>
      </w:r>
      <w:r w:rsidRPr="00083DC8">
        <w:rPr>
          <w:rFonts w:ascii="Arial" w:hAnsi="Arial" w:cs="Arial"/>
          <w:sz w:val="24"/>
          <w:szCs w:val="24"/>
        </w:rPr>
        <w:t xml:space="preserve"> (număr cazuri) </w:t>
      </w:r>
      <w:r w:rsidRPr="00083DC8">
        <w:rPr>
          <w:rFonts w:ascii="Arial" w:hAnsi="Arial" w:cs="Arial"/>
          <w:sz w:val="24"/>
          <w:szCs w:val="24"/>
          <w:lang w:val="en-US"/>
        </w:rPr>
        <w:t>corelată cu PM</w:t>
      </w:r>
      <w:r w:rsidRPr="00083DC8">
        <w:rPr>
          <w:rFonts w:ascii="Arial" w:hAnsi="Arial" w:cs="Arial"/>
          <w:sz w:val="24"/>
          <w:szCs w:val="24"/>
          <w:vertAlign w:val="subscript"/>
          <w:lang w:val="en-US"/>
        </w:rPr>
        <w:t>10</w:t>
      </w:r>
      <w:r w:rsidRPr="00083DC8">
        <w:rPr>
          <w:rFonts w:ascii="Arial" w:hAnsi="Arial" w:cs="Arial"/>
          <w:sz w:val="24"/>
          <w:szCs w:val="24"/>
          <w:lang w:val="en-US"/>
        </w:rPr>
        <w:t xml:space="preserve"> - concentraţie medie/an</w:t>
      </w:r>
      <w:r w:rsidRPr="00083DC8">
        <w:rPr>
          <w:rFonts w:ascii="Arial" w:hAnsi="Arial" w:cs="Arial"/>
          <w:sz w:val="24"/>
          <w:szCs w:val="24"/>
        </w:rPr>
        <w:t xml:space="preserve"> (µg/mc) perioada 201</w:t>
      </w:r>
      <w:r>
        <w:rPr>
          <w:rFonts w:ascii="Arial" w:hAnsi="Arial" w:cs="Arial"/>
          <w:sz w:val="24"/>
          <w:szCs w:val="24"/>
        </w:rPr>
        <w:t>3</w:t>
      </w:r>
      <w:r w:rsidRPr="00083DC8">
        <w:rPr>
          <w:rFonts w:ascii="Arial" w:hAnsi="Arial" w:cs="Arial"/>
          <w:sz w:val="24"/>
          <w:szCs w:val="24"/>
        </w:rPr>
        <w:t xml:space="preserve"> – 201</w:t>
      </w:r>
      <w:r>
        <w:rPr>
          <w:rFonts w:ascii="Arial" w:hAnsi="Arial" w:cs="Arial"/>
          <w:sz w:val="24"/>
          <w:szCs w:val="24"/>
        </w:rPr>
        <w:t>7</w:t>
      </w:r>
    </w:p>
    <w:p w:rsidR="005F3EF8" w:rsidRPr="00083DC8" w:rsidRDefault="005F3EF8" w:rsidP="007F6E99">
      <w:pPr>
        <w:tabs>
          <w:tab w:val="left" w:pos="1139"/>
        </w:tabs>
        <w:spacing w:after="0" w:line="24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1"/>
        <w:gridCol w:w="848"/>
        <w:gridCol w:w="848"/>
        <w:gridCol w:w="848"/>
        <w:gridCol w:w="848"/>
        <w:gridCol w:w="848"/>
      </w:tblGrid>
      <w:tr w:rsidR="007F6E99" w:rsidRPr="0090130C" w:rsidTr="004E444C">
        <w:trPr>
          <w:jc w:val="center"/>
        </w:trPr>
        <w:tc>
          <w:tcPr>
            <w:tcW w:w="4521" w:type="dxa"/>
            <w:shd w:val="clear" w:color="auto" w:fill="FBD4B4"/>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 xml:space="preserve">Număr cazuri de astm </w:t>
            </w:r>
            <w:r>
              <w:rPr>
                <w:rFonts w:ascii="Arial" w:hAnsi="Arial" w:cs="Arial"/>
                <w:b/>
                <w:sz w:val="24"/>
                <w:szCs w:val="24"/>
              </w:rPr>
              <w:t>Br</w:t>
            </w:r>
            <w:r w:rsidRPr="0090130C">
              <w:rPr>
                <w:rFonts w:ascii="Arial" w:hAnsi="Arial" w:cs="Arial"/>
                <w:b/>
                <w:sz w:val="24"/>
                <w:szCs w:val="24"/>
              </w:rPr>
              <w:t>onșic</w:t>
            </w:r>
          </w:p>
        </w:tc>
        <w:tc>
          <w:tcPr>
            <w:tcW w:w="848" w:type="dxa"/>
            <w:shd w:val="clear" w:color="auto" w:fill="FBD4B4"/>
            <w:vAlign w:val="center"/>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848" w:type="dxa"/>
            <w:shd w:val="clear" w:color="auto" w:fill="FBD4B4"/>
            <w:vAlign w:val="center"/>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848" w:type="dxa"/>
            <w:shd w:val="clear" w:color="auto" w:fill="FBD4B4"/>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848" w:type="dxa"/>
            <w:shd w:val="clear" w:color="auto" w:fill="FBD4B4"/>
          </w:tcPr>
          <w:p w:rsidR="007F6E99" w:rsidRPr="00083DC8" w:rsidRDefault="007F6E99" w:rsidP="004E444C">
            <w:pPr>
              <w:tabs>
                <w:tab w:val="left" w:pos="1139"/>
              </w:tabs>
              <w:spacing w:after="0" w:line="240" w:lineRule="auto"/>
              <w:jc w:val="both"/>
              <w:rPr>
                <w:rFonts w:ascii="Arial" w:hAnsi="Arial" w:cs="Arial"/>
                <w:b/>
                <w:sz w:val="24"/>
                <w:szCs w:val="24"/>
              </w:rPr>
            </w:pPr>
            <w:r w:rsidRPr="00083DC8">
              <w:rPr>
                <w:rFonts w:ascii="Arial" w:hAnsi="Arial" w:cs="Arial"/>
                <w:b/>
                <w:sz w:val="24"/>
                <w:szCs w:val="24"/>
              </w:rPr>
              <w:t>2016</w:t>
            </w:r>
          </w:p>
        </w:tc>
        <w:tc>
          <w:tcPr>
            <w:tcW w:w="848" w:type="dxa"/>
            <w:shd w:val="clear" w:color="auto" w:fill="FBD4B4"/>
            <w:vAlign w:val="center"/>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2017</w:t>
            </w:r>
          </w:p>
        </w:tc>
      </w:tr>
      <w:tr w:rsidR="007F6E99" w:rsidRPr="0090130C" w:rsidTr="004E444C">
        <w:trPr>
          <w:jc w:val="center"/>
        </w:trPr>
        <w:tc>
          <w:tcPr>
            <w:tcW w:w="4521"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Brăila</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201</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217</w:t>
            </w:r>
          </w:p>
        </w:tc>
        <w:tc>
          <w:tcPr>
            <w:tcW w:w="848" w:type="dxa"/>
            <w:shd w:val="clear" w:color="auto" w:fill="DAEEF3"/>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210</w:t>
            </w:r>
          </w:p>
        </w:tc>
        <w:tc>
          <w:tcPr>
            <w:tcW w:w="848" w:type="dxa"/>
            <w:shd w:val="clear" w:color="auto" w:fill="DAEEF3"/>
          </w:tcPr>
          <w:p w:rsidR="007F6E99" w:rsidRPr="00083DC8" w:rsidRDefault="007F6E99" w:rsidP="004E444C">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181</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344</w:t>
            </w:r>
          </w:p>
        </w:tc>
      </w:tr>
      <w:tr w:rsidR="007F6E99" w:rsidRPr="0090130C" w:rsidTr="004E444C">
        <w:trPr>
          <w:jc w:val="center"/>
        </w:trPr>
        <w:tc>
          <w:tcPr>
            <w:tcW w:w="4521"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Ianca</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14</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25</w:t>
            </w:r>
          </w:p>
        </w:tc>
        <w:tc>
          <w:tcPr>
            <w:tcW w:w="848" w:type="dxa"/>
            <w:shd w:val="clear" w:color="auto" w:fill="DAEEF3"/>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5</w:t>
            </w:r>
          </w:p>
        </w:tc>
        <w:tc>
          <w:tcPr>
            <w:tcW w:w="848" w:type="dxa"/>
            <w:shd w:val="clear" w:color="auto" w:fill="DAEEF3"/>
          </w:tcPr>
          <w:p w:rsidR="007F6E99" w:rsidRPr="00083DC8" w:rsidRDefault="007F6E99" w:rsidP="004E444C">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31</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23</w:t>
            </w:r>
          </w:p>
        </w:tc>
      </w:tr>
      <w:tr w:rsidR="007F6E99" w:rsidRPr="0090130C" w:rsidTr="004E444C">
        <w:trPr>
          <w:jc w:val="center"/>
        </w:trPr>
        <w:tc>
          <w:tcPr>
            <w:tcW w:w="4521"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Făurei</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19</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27</w:t>
            </w:r>
          </w:p>
        </w:tc>
        <w:tc>
          <w:tcPr>
            <w:tcW w:w="848" w:type="dxa"/>
            <w:shd w:val="clear" w:color="auto" w:fill="DAEEF3"/>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9</w:t>
            </w:r>
          </w:p>
        </w:tc>
        <w:tc>
          <w:tcPr>
            <w:tcW w:w="848" w:type="dxa"/>
            <w:shd w:val="clear" w:color="auto" w:fill="DAEEF3"/>
          </w:tcPr>
          <w:p w:rsidR="007F6E99" w:rsidRPr="00083DC8" w:rsidRDefault="007F6E99" w:rsidP="004E444C">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8</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4</w:t>
            </w:r>
          </w:p>
        </w:tc>
      </w:tr>
      <w:tr w:rsidR="007F6E99" w:rsidRPr="0090130C" w:rsidTr="004E444C">
        <w:trPr>
          <w:jc w:val="center"/>
        </w:trPr>
        <w:tc>
          <w:tcPr>
            <w:tcW w:w="4521"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Însurăței</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0</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10</w:t>
            </w:r>
          </w:p>
        </w:tc>
        <w:tc>
          <w:tcPr>
            <w:tcW w:w="848" w:type="dxa"/>
            <w:shd w:val="clear" w:color="auto" w:fill="DAEEF3"/>
          </w:tcPr>
          <w:p w:rsidR="007F6E99" w:rsidRPr="0090130C" w:rsidRDefault="007F6E99" w:rsidP="004E444C">
            <w:pPr>
              <w:tabs>
                <w:tab w:val="left" w:pos="1139"/>
              </w:tabs>
              <w:spacing w:after="0" w:line="240" w:lineRule="auto"/>
              <w:jc w:val="both"/>
              <w:rPr>
                <w:rFonts w:ascii="Arial" w:hAnsi="Arial" w:cs="Arial"/>
                <w:sz w:val="24"/>
                <w:szCs w:val="24"/>
              </w:rPr>
            </w:pPr>
            <w:r w:rsidRPr="0090130C">
              <w:rPr>
                <w:rFonts w:ascii="Arial" w:hAnsi="Arial" w:cs="Arial"/>
                <w:sz w:val="24"/>
                <w:szCs w:val="24"/>
              </w:rPr>
              <w:t>1</w:t>
            </w:r>
          </w:p>
        </w:tc>
        <w:tc>
          <w:tcPr>
            <w:tcW w:w="848" w:type="dxa"/>
            <w:shd w:val="clear" w:color="auto" w:fill="DAEEF3"/>
          </w:tcPr>
          <w:p w:rsidR="007F6E99" w:rsidRPr="00083DC8" w:rsidRDefault="007F6E99" w:rsidP="004E444C">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4</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sz w:val="24"/>
                <w:szCs w:val="24"/>
              </w:rPr>
            </w:pPr>
            <w:r>
              <w:rPr>
                <w:rFonts w:ascii="Arial" w:hAnsi="Arial" w:cs="Arial"/>
                <w:sz w:val="24"/>
                <w:szCs w:val="24"/>
              </w:rPr>
              <w:t>5</w:t>
            </w:r>
          </w:p>
        </w:tc>
      </w:tr>
      <w:tr w:rsidR="007F6E99" w:rsidRPr="0090130C" w:rsidTr="004E444C">
        <w:trPr>
          <w:jc w:val="center"/>
        </w:trPr>
        <w:tc>
          <w:tcPr>
            <w:tcW w:w="4521"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 xml:space="preserve">Total județ </w:t>
            </w:r>
            <w:r>
              <w:rPr>
                <w:rFonts w:ascii="Arial" w:hAnsi="Arial" w:cs="Arial"/>
                <w:b/>
                <w:sz w:val="24"/>
                <w:szCs w:val="24"/>
              </w:rPr>
              <w:t>Brăila</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332</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504</w:t>
            </w:r>
          </w:p>
        </w:tc>
        <w:tc>
          <w:tcPr>
            <w:tcW w:w="848" w:type="dxa"/>
            <w:shd w:val="clear" w:color="auto" w:fill="DAEEF3"/>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400</w:t>
            </w:r>
          </w:p>
        </w:tc>
        <w:tc>
          <w:tcPr>
            <w:tcW w:w="848" w:type="dxa"/>
            <w:shd w:val="clear" w:color="auto" w:fill="DAEEF3"/>
          </w:tcPr>
          <w:p w:rsidR="007F6E99" w:rsidRPr="00083DC8" w:rsidRDefault="007F6E99" w:rsidP="004E444C">
            <w:pPr>
              <w:tabs>
                <w:tab w:val="left" w:pos="1139"/>
              </w:tabs>
              <w:spacing w:after="0" w:line="240" w:lineRule="auto"/>
              <w:jc w:val="center"/>
              <w:rPr>
                <w:rFonts w:ascii="Times New Roman" w:hAnsi="Times New Roman"/>
                <w:b/>
                <w:sz w:val="24"/>
                <w:szCs w:val="24"/>
              </w:rPr>
            </w:pPr>
            <w:r w:rsidRPr="00083DC8">
              <w:rPr>
                <w:rFonts w:ascii="Times New Roman" w:hAnsi="Times New Roman"/>
                <w:b/>
                <w:sz w:val="24"/>
                <w:szCs w:val="24"/>
              </w:rPr>
              <w:t>399</w:t>
            </w:r>
          </w:p>
        </w:tc>
        <w:tc>
          <w:tcPr>
            <w:tcW w:w="848" w:type="dxa"/>
            <w:shd w:val="clear" w:color="auto" w:fill="DAEEF3"/>
            <w:vAlign w:val="center"/>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376</w:t>
            </w:r>
          </w:p>
        </w:tc>
      </w:tr>
      <w:tr w:rsidR="007F6E99" w:rsidRPr="0090130C" w:rsidTr="004E444C">
        <w:trPr>
          <w:jc w:val="center"/>
        </w:trPr>
        <w:tc>
          <w:tcPr>
            <w:tcW w:w="4521" w:type="dxa"/>
            <w:shd w:val="clear" w:color="auto" w:fill="DAEEF3"/>
          </w:tcPr>
          <w:p w:rsidR="007F6E99" w:rsidRPr="00D4086A" w:rsidRDefault="007F6E99" w:rsidP="004E444C">
            <w:pPr>
              <w:tabs>
                <w:tab w:val="left" w:pos="1139"/>
              </w:tabs>
              <w:spacing w:after="0" w:line="240" w:lineRule="auto"/>
              <w:jc w:val="both"/>
              <w:rPr>
                <w:rFonts w:ascii="Arial" w:hAnsi="Arial" w:cs="Arial"/>
                <w:b/>
                <w:sz w:val="24"/>
                <w:szCs w:val="24"/>
              </w:rPr>
            </w:pPr>
            <w:r w:rsidRPr="00D4086A">
              <w:rPr>
                <w:rFonts w:ascii="Arial" w:hAnsi="Arial" w:cs="Arial"/>
                <w:sz w:val="24"/>
                <w:szCs w:val="24"/>
                <w:lang w:val="en-US"/>
              </w:rPr>
              <w:t>PM</w:t>
            </w:r>
            <w:r w:rsidRPr="00D4086A">
              <w:rPr>
                <w:rFonts w:ascii="Arial" w:hAnsi="Arial" w:cs="Arial"/>
                <w:sz w:val="24"/>
                <w:szCs w:val="24"/>
                <w:vertAlign w:val="subscript"/>
                <w:lang w:val="en-US"/>
              </w:rPr>
              <w:t>10</w:t>
            </w:r>
            <w:r w:rsidRPr="00D4086A">
              <w:rPr>
                <w:rFonts w:ascii="Arial" w:hAnsi="Arial" w:cs="Arial"/>
                <w:sz w:val="24"/>
                <w:szCs w:val="24"/>
                <w:lang w:val="en-US"/>
              </w:rPr>
              <w:t xml:space="preserve"> - concentraţie medie/an</w:t>
            </w:r>
            <w:r w:rsidRPr="00D4086A">
              <w:rPr>
                <w:rFonts w:ascii="Arial" w:hAnsi="Arial" w:cs="Arial"/>
                <w:sz w:val="24"/>
                <w:szCs w:val="24"/>
              </w:rPr>
              <w:t xml:space="preserve">  (µg/mc)</w:t>
            </w:r>
          </w:p>
        </w:tc>
        <w:tc>
          <w:tcPr>
            <w:tcW w:w="848" w:type="dxa"/>
            <w:shd w:val="clear" w:color="auto" w:fill="DAEEF3"/>
            <w:vAlign w:val="center"/>
          </w:tcPr>
          <w:p w:rsidR="007F6E99" w:rsidRPr="0090130C" w:rsidRDefault="007F6E99" w:rsidP="004E444C">
            <w:pPr>
              <w:spacing w:after="0" w:line="240" w:lineRule="auto"/>
              <w:jc w:val="both"/>
              <w:rPr>
                <w:rFonts w:ascii="Arial" w:hAnsi="Arial" w:cs="Arial"/>
                <w:sz w:val="24"/>
                <w:szCs w:val="24"/>
              </w:rPr>
            </w:pPr>
            <w:r w:rsidRPr="0090130C">
              <w:rPr>
                <w:rFonts w:ascii="Arial" w:hAnsi="Arial" w:cs="Arial"/>
                <w:sz w:val="24"/>
                <w:szCs w:val="24"/>
              </w:rPr>
              <w:t>36,15</w:t>
            </w:r>
          </w:p>
        </w:tc>
        <w:tc>
          <w:tcPr>
            <w:tcW w:w="848" w:type="dxa"/>
            <w:shd w:val="clear" w:color="auto" w:fill="DAEEF3"/>
            <w:vAlign w:val="center"/>
          </w:tcPr>
          <w:p w:rsidR="007F6E99" w:rsidRPr="0090130C" w:rsidRDefault="007F6E99" w:rsidP="004E444C">
            <w:pPr>
              <w:spacing w:after="0" w:line="240" w:lineRule="auto"/>
              <w:jc w:val="both"/>
              <w:rPr>
                <w:rFonts w:ascii="Arial" w:hAnsi="Arial" w:cs="Arial"/>
                <w:sz w:val="24"/>
                <w:szCs w:val="24"/>
              </w:rPr>
            </w:pPr>
            <w:r w:rsidRPr="0090130C">
              <w:rPr>
                <w:rFonts w:ascii="Arial" w:hAnsi="Arial" w:cs="Arial"/>
                <w:sz w:val="24"/>
                <w:szCs w:val="24"/>
              </w:rPr>
              <w:t>46,03</w:t>
            </w:r>
          </w:p>
        </w:tc>
        <w:tc>
          <w:tcPr>
            <w:tcW w:w="848" w:type="dxa"/>
            <w:shd w:val="clear" w:color="auto" w:fill="DAEEF3"/>
          </w:tcPr>
          <w:p w:rsidR="007F6E99" w:rsidRPr="0090130C" w:rsidRDefault="007F6E99" w:rsidP="004E444C">
            <w:pPr>
              <w:spacing w:after="0" w:line="240" w:lineRule="auto"/>
              <w:jc w:val="both"/>
              <w:rPr>
                <w:rFonts w:ascii="Arial" w:hAnsi="Arial" w:cs="Arial"/>
                <w:sz w:val="24"/>
                <w:szCs w:val="24"/>
              </w:rPr>
            </w:pPr>
            <w:r w:rsidRPr="0090130C">
              <w:rPr>
                <w:rFonts w:ascii="Arial" w:hAnsi="Arial" w:cs="Arial"/>
                <w:sz w:val="24"/>
                <w:szCs w:val="24"/>
              </w:rPr>
              <w:t>36,68</w:t>
            </w:r>
          </w:p>
        </w:tc>
        <w:tc>
          <w:tcPr>
            <w:tcW w:w="848" w:type="dxa"/>
            <w:shd w:val="clear" w:color="auto" w:fill="DAEEF3"/>
          </w:tcPr>
          <w:p w:rsidR="007F6E99" w:rsidRPr="0090130C" w:rsidRDefault="007F6E99" w:rsidP="004E444C">
            <w:pPr>
              <w:spacing w:after="0" w:line="240" w:lineRule="auto"/>
              <w:jc w:val="both"/>
              <w:rPr>
                <w:rFonts w:ascii="Arial" w:hAnsi="Arial" w:cs="Arial"/>
                <w:color w:val="FF0000"/>
                <w:sz w:val="24"/>
                <w:szCs w:val="24"/>
              </w:rPr>
            </w:pPr>
            <w:r w:rsidRPr="00717595">
              <w:rPr>
                <w:rFonts w:ascii="Arial" w:hAnsi="Arial" w:cs="Arial"/>
              </w:rPr>
              <w:t>27</w:t>
            </w:r>
            <w:r>
              <w:rPr>
                <w:rFonts w:ascii="Arial" w:hAnsi="Arial" w:cs="Arial"/>
              </w:rPr>
              <w:t>,</w:t>
            </w:r>
            <w:r w:rsidRPr="00717595">
              <w:rPr>
                <w:rFonts w:ascii="Arial" w:hAnsi="Arial" w:cs="Arial"/>
              </w:rPr>
              <w:t>93</w:t>
            </w:r>
          </w:p>
        </w:tc>
        <w:tc>
          <w:tcPr>
            <w:tcW w:w="848" w:type="dxa"/>
            <w:shd w:val="clear" w:color="auto" w:fill="DAEEF3"/>
            <w:vAlign w:val="center"/>
          </w:tcPr>
          <w:p w:rsidR="007F6E99" w:rsidRPr="0090130C" w:rsidRDefault="007F6E99" w:rsidP="004E444C">
            <w:pPr>
              <w:spacing w:after="0" w:line="240" w:lineRule="auto"/>
              <w:jc w:val="both"/>
              <w:rPr>
                <w:rFonts w:ascii="Arial" w:hAnsi="Arial" w:cs="Arial"/>
                <w:sz w:val="24"/>
                <w:szCs w:val="24"/>
              </w:rPr>
            </w:pPr>
            <w:r>
              <w:rPr>
                <w:rFonts w:ascii="Arial" w:hAnsi="Arial" w:cs="Arial"/>
                <w:sz w:val="24"/>
                <w:szCs w:val="24"/>
              </w:rPr>
              <w:t>20,70</w:t>
            </w:r>
          </w:p>
        </w:tc>
      </w:tr>
    </w:tbl>
    <w:p w:rsidR="007F6E99" w:rsidRPr="00CB3D34" w:rsidRDefault="007F6E99" w:rsidP="007F6E99">
      <w:pPr>
        <w:jc w:val="both"/>
        <w:rPr>
          <w:rFonts w:ascii="Arial" w:hAnsi="Arial" w:cs="Arial"/>
          <w:sz w:val="24"/>
          <w:szCs w:val="24"/>
        </w:rPr>
      </w:pPr>
      <w:r w:rsidRPr="00CB3D34">
        <w:rPr>
          <w:rFonts w:ascii="Arial" w:hAnsi="Arial" w:cs="Arial"/>
          <w:i/>
          <w:sz w:val="20"/>
          <w:szCs w:val="20"/>
          <w:lang w:val="en-US"/>
        </w:rPr>
        <w:t>Not</w:t>
      </w:r>
      <w:r w:rsidRPr="00CB3D34">
        <w:rPr>
          <w:rFonts w:ascii="Arial" w:hAnsi="Arial" w:cs="Arial"/>
          <w:i/>
          <w:sz w:val="20"/>
          <w:szCs w:val="20"/>
        </w:rPr>
        <w:t xml:space="preserve">ă: Informații furnizate de către Direcția de Sănătate Publică a județului </w:t>
      </w:r>
      <w:r>
        <w:rPr>
          <w:rFonts w:ascii="Arial" w:hAnsi="Arial" w:cs="Arial"/>
          <w:i/>
          <w:sz w:val="20"/>
          <w:szCs w:val="20"/>
        </w:rPr>
        <w:t>Brăila</w:t>
      </w:r>
      <w:r w:rsidRPr="00CB3D34">
        <w:rPr>
          <w:rFonts w:ascii="Arial" w:hAnsi="Arial" w:cs="Arial"/>
          <w:i/>
          <w:sz w:val="20"/>
          <w:szCs w:val="20"/>
        </w:rPr>
        <w:t xml:space="preserve"> </w:t>
      </w:r>
      <w:r w:rsidRPr="00D4086A">
        <w:rPr>
          <w:rFonts w:ascii="Arial" w:hAnsi="Arial" w:cs="Arial"/>
          <w:i/>
          <w:sz w:val="20"/>
          <w:szCs w:val="20"/>
        </w:rPr>
        <w:t xml:space="preserve">și de APM </w:t>
      </w:r>
      <w:r>
        <w:rPr>
          <w:rFonts w:ascii="Arial" w:hAnsi="Arial" w:cs="Arial"/>
          <w:i/>
          <w:sz w:val="20"/>
          <w:szCs w:val="20"/>
        </w:rPr>
        <w:t>Brăila</w:t>
      </w:r>
    </w:p>
    <w:p w:rsidR="007F6E99" w:rsidRDefault="007F6E99" w:rsidP="007F6E99">
      <w:pPr>
        <w:pStyle w:val="Heading1"/>
        <w:jc w:val="center"/>
        <w:rPr>
          <w:b w:val="0"/>
          <w:sz w:val="24"/>
          <w:szCs w:val="24"/>
        </w:rPr>
      </w:pPr>
      <w:r w:rsidRPr="00601D94">
        <w:rPr>
          <w:b w:val="0"/>
          <w:noProof/>
          <w:sz w:val="24"/>
          <w:szCs w:val="24"/>
          <w:lang w:val="ro-RO" w:eastAsia="ro-RO"/>
        </w:rPr>
        <w:drawing>
          <wp:inline distT="0" distB="0" distL="0" distR="0">
            <wp:extent cx="5495925" cy="2505075"/>
            <wp:effectExtent l="19050" t="0" r="9525" b="0"/>
            <wp:docPr id="78" name="Chart 1" descr="Title: Figura nr.VIII.1.1.1. - 4 - Incidența cazurilor de astm bronșic pe orașele din județul Brăila (număr cazuri) - Description: Figura nr.VIII.1.1.1. - 4 - Incidența cazurilor de astm bronșic pe orașele din județul Brăila (număr cazur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7F6E99" w:rsidRPr="00E860C3" w:rsidRDefault="007F6E99" w:rsidP="007F6E99">
      <w:pPr>
        <w:rPr>
          <w:lang w:val="en-GB"/>
        </w:rPr>
      </w:pPr>
    </w:p>
    <w:p w:rsidR="007F6E99" w:rsidRDefault="007F6E99" w:rsidP="007F6E99">
      <w:pPr>
        <w:tabs>
          <w:tab w:val="left" w:pos="1139"/>
        </w:tabs>
        <w:spacing w:after="0" w:line="240" w:lineRule="auto"/>
        <w:jc w:val="both"/>
        <w:rPr>
          <w:rFonts w:ascii="Arial" w:hAnsi="Arial" w:cs="Arial"/>
          <w:sz w:val="24"/>
          <w:szCs w:val="24"/>
        </w:rPr>
      </w:pPr>
      <w:r w:rsidRPr="00121D9E">
        <w:rPr>
          <w:rFonts w:ascii="Arial" w:hAnsi="Arial" w:cs="Arial"/>
          <w:sz w:val="24"/>
          <w:szCs w:val="24"/>
        </w:rPr>
        <w:t>Tabel nr. VIII.1.1.1. – 6 –</w:t>
      </w:r>
      <w:r w:rsidRPr="00121D9E">
        <w:rPr>
          <w:rFonts w:ascii="Arial" w:hAnsi="Arial" w:cs="Arial"/>
          <w:sz w:val="24"/>
          <w:szCs w:val="24"/>
          <w:lang w:val="en-US"/>
        </w:rPr>
        <w:t xml:space="preserve"> Evoluția </w:t>
      </w:r>
      <w:r w:rsidRPr="00121D9E">
        <w:rPr>
          <w:rFonts w:ascii="Arial" w:hAnsi="Arial" w:cs="Arial"/>
          <w:sz w:val="24"/>
          <w:szCs w:val="24"/>
        </w:rPr>
        <w:t xml:space="preserve"> </w:t>
      </w:r>
      <w:r w:rsidRPr="00121D9E">
        <w:rPr>
          <w:rFonts w:ascii="Arial" w:hAnsi="Arial" w:cs="Arial"/>
          <w:sz w:val="24"/>
          <w:szCs w:val="24"/>
          <w:lang w:val="en-US"/>
        </w:rPr>
        <w:t>concentraţiilor  medii anuale a</w:t>
      </w:r>
      <w:r w:rsidRPr="00121D9E">
        <w:rPr>
          <w:rFonts w:ascii="Arial" w:hAnsi="Arial" w:cs="Arial"/>
          <w:sz w:val="24"/>
          <w:szCs w:val="24"/>
        </w:rPr>
        <w:t xml:space="preserve"> </w:t>
      </w:r>
      <w:r w:rsidRPr="00121D9E">
        <w:rPr>
          <w:rFonts w:ascii="Arial" w:hAnsi="Arial" w:cs="Arial"/>
          <w:sz w:val="24"/>
          <w:szCs w:val="24"/>
          <w:lang w:val="en-US"/>
        </w:rPr>
        <w:t>PM</w:t>
      </w:r>
      <w:r w:rsidRPr="00121D9E">
        <w:rPr>
          <w:rFonts w:ascii="Arial" w:hAnsi="Arial" w:cs="Arial"/>
          <w:sz w:val="24"/>
          <w:szCs w:val="24"/>
          <w:vertAlign w:val="subscript"/>
          <w:lang w:val="en-US"/>
        </w:rPr>
        <w:t>10</w:t>
      </w:r>
      <w:r w:rsidRPr="00121D9E">
        <w:rPr>
          <w:rFonts w:ascii="Arial" w:hAnsi="Arial" w:cs="Arial"/>
          <w:sz w:val="24"/>
          <w:szCs w:val="24"/>
          <w:lang w:val="en-US"/>
        </w:rPr>
        <w:t xml:space="preserve"> - </w:t>
      </w:r>
      <w:r w:rsidRPr="00121D9E">
        <w:rPr>
          <w:rFonts w:ascii="Arial" w:hAnsi="Arial" w:cs="Arial"/>
          <w:sz w:val="24"/>
          <w:szCs w:val="24"/>
        </w:rPr>
        <w:t>(µg/mc) în județul Brăila în perioada 2012 – 201</w:t>
      </w:r>
      <w:r>
        <w:rPr>
          <w:rFonts w:ascii="Arial" w:hAnsi="Arial" w:cs="Arial"/>
          <w:sz w:val="24"/>
          <w:szCs w:val="24"/>
        </w:rPr>
        <w:t>7</w:t>
      </w:r>
      <w:r w:rsidRPr="00121D9E">
        <w:rPr>
          <w:rFonts w:ascii="Arial" w:hAnsi="Arial" w:cs="Arial"/>
          <w:sz w:val="24"/>
          <w:szCs w:val="24"/>
        </w:rPr>
        <w:t xml:space="preserve"> </w:t>
      </w:r>
    </w:p>
    <w:p w:rsidR="005F3EF8" w:rsidRPr="00121D9E" w:rsidRDefault="005F3EF8" w:rsidP="007F6E99">
      <w:pPr>
        <w:tabs>
          <w:tab w:val="left" w:pos="1139"/>
        </w:tabs>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9"/>
        <w:gridCol w:w="1031"/>
        <w:gridCol w:w="1031"/>
        <w:gridCol w:w="1031"/>
        <w:gridCol w:w="1031"/>
        <w:gridCol w:w="1031"/>
        <w:gridCol w:w="1031"/>
      </w:tblGrid>
      <w:tr w:rsidR="007F6E99" w:rsidRPr="0090130C" w:rsidTr="004E444C">
        <w:trPr>
          <w:jc w:val="center"/>
        </w:trPr>
        <w:tc>
          <w:tcPr>
            <w:tcW w:w="4049"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județul</w:t>
            </w:r>
            <w:r w:rsidRPr="0090130C">
              <w:rPr>
                <w:rFonts w:ascii="Arial" w:hAnsi="Arial" w:cs="Arial"/>
                <w:sz w:val="24"/>
                <w:szCs w:val="24"/>
              </w:rPr>
              <w:t xml:space="preserve"> </w:t>
            </w:r>
            <w:r>
              <w:rPr>
                <w:rFonts w:ascii="Arial" w:hAnsi="Arial" w:cs="Arial"/>
                <w:b/>
                <w:sz w:val="24"/>
                <w:szCs w:val="24"/>
              </w:rPr>
              <w:t>Brăila</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2012</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both"/>
              <w:rPr>
                <w:rFonts w:ascii="Arial" w:hAnsi="Arial" w:cs="Arial"/>
                <w:b/>
                <w:sz w:val="24"/>
                <w:szCs w:val="24"/>
              </w:rPr>
            </w:pPr>
            <w:r>
              <w:rPr>
                <w:rFonts w:ascii="Arial" w:hAnsi="Arial" w:cs="Arial"/>
                <w:b/>
                <w:sz w:val="24"/>
                <w:szCs w:val="24"/>
              </w:rPr>
              <w:t>2016</w:t>
            </w:r>
          </w:p>
        </w:tc>
        <w:tc>
          <w:tcPr>
            <w:tcW w:w="1031" w:type="dxa"/>
            <w:shd w:val="clear" w:color="auto" w:fill="E5B8B7" w:themeFill="accent2" w:themeFillTint="66"/>
          </w:tcPr>
          <w:p w:rsidR="007F6E99" w:rsidRPr="0090130C" w:rsidRDefault="007F6E99" w:rsidP="004E444C">
            <w:pPr>
              <w:tabs>
                <w:tab w:val="left" w:pos="1139"/>
              </w:tabs>
              <w:spacing w:after="0" w:line="240" w:lineRule="auto"/>
              <w:jc w:val="center"/>
              <w:rPr>
                <w:rFonts w:ascii="Arial" w:hAnsi="Arial" w:cs="Arial"/>
                <w:b/>
                <w:sz w:val="24"/>
                <w:szCs w:val="24"/>
              </w:rPr>
            </w:pPr>
            <w:r>
              <w:rPr>
                <w:rFonts w:ascii="Arial" w:hAnsi="Arial" w:cs="Arial"/>
                <w:b/>
                <w:sz w:val="24"/>
                <w:szCs w:val="24"/>
              </w:rPr>
              <w:t>2017</w:t>
            </w:r>
          </w:p>
        </w:tc>
      </w:tr>
      <w:tr w:rsidR="007F6E99" w:rsidRPr="0090130C" w:rsidTr="004E444C">
        <w:trPr>
          <w:trHeight w:val="571"/>
          <w:jc w:val="center"/>
        </w:trPr>
        <w:tc>
          <w:tcPr>
            <w:tcW w:w="4049" w:type="dxa"/>
            <w:shd w:val="clear" w:color="auto" w:fill="FDE9D9"/>
          </w:tcPr>
          <w:p w:rsidR="007F6E99" w:rsidRPr="0090130C" w:rsidRDefault="007F6E99" w:rsidP="004E444C">
            <w:pPr>
              <w:tabs>
                <w:tab w:val="left" w:pos="1139"/>
              </w:tabs>
              <w:spacing w:line="240" w:lineRule="auto"/>
              <w:rPr>
                <w:rFonts w:ascii="Arial" w:hAnsi="Arial" w:cs="Arial"/>
                <w:b/>
                <w:sz w:val="24"/>
                <w:szCs w:val="24"/>
              </w:rPr>
            </w:pPr>
            <w:r w:rsidRPr="0090130C">
              <w:rPr>
                <w:rFonts w:ascii="Arial" w:hAnsi="Arial" w:cs="Arial"/>
                <w:sz w:val="24"/>
                <w:szCs w:val="24"/>
                <w:lang w:val="en-US"/>
              </w:rPr>
              <w:t>PM</w:t>
            </w:r>
            <w:r w:rsidRPr="0090130C">
              <w:rPr>
                <w:rFonts w:ascii="Arial" w:hAnsi="Arial" w:cs="Arial"/>
                <w:sz w:val="24"/>
                <w:szCs w:val="24"/>
                <w:vertAlign w:val="subscript"/>
                <w:lang w:val="en-US"/>
              </w:rPr>
              <w:t>10</w:t>
            </w:r>
            <w:r w:rsidRPr="0090130C">
              <w:rPr>
                <w:rFonts w:ascii="Arial" w:hAnsi="Arial" w:cs="Arial"/>
                <w:sz w:val="24"/>
                <w:szCs w:val="24"/>
                <w:lang w:val="en-US"/>
              </w:rPr>
              <w:t xml:space="preserve"> (concentraţie medie/an)</w:t>
            </w:r>
            <w:r w:rsidRPr="0090130C">
              <w:rPr>
                <w:rFonts w:ascii="Arial" w:hAnsi="Arial" w:cs="Arial"/>
                <w:sz w:val="24"/>
                <w:szCs w:val="24"/>
              </w:rPr>
              <w:t xml:space="preserve">  (µg/mc)</w:t>
            </w:r>
          </w:p>
        </w:tc>
        <w:tc>
          <w:tcPr>
            <w:tcW w:w="103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Pr>
                <w:rFonts w:ascii="Arial" w:hAnsi="Arial" w:cs="Arial"/>
                <w:sz w:val="24"/>
                <w:szCs w:val="24"/>
              </w:rPr>
              <w:t>28,7</w:t>
            </w:r>
          </w:p>
        </w:tc>
        <w:tc>
          <w:tcPr>
            <w:tcW w:w="103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36,15</w:t>
            </w:r>
          </w:p>
        </w:tc>
        <w:tc>
          <w:tcPr>
            <w:tcW w:w="103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46,03</w:t>
            </w:r>
          </w:p>
        </w:tc>
        <w:tc>
          <w:tcPr>
            <w:tcW w:w="103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36,68</w:t>
            </w:r>
          </w:p>
        </w:tc>
        <w:tc>
          <w:tcPr>
            <w:tcW w:w="1031" w:type="dxa"/>
            <w:shd w:val="clear" w:color="auto" w:fill="FDE9D9"/>
            <w:vAlign w:val="center"/>
          </w:tcPr>
          <w:p w:rsidR="007F6E99" w:rsidRPr="00CB3D34" w:rsidRDefault="007F6E99" w:rsidP="004E444C">
            <w:pPr>
              <w:spacing w:after="0" w:line="240" w:lineRule="auto"/>
              <w:jc w:val="center"/>
              <w:rPr>
                <w:rFonts w:ascii="Arial" w:hAnsi="Arial" w:cs="Arial"/>
                <w:color w:val="FF0000"/>
                <w:sz w:val="24"/>
                <w:szCs w:val="24"/>
              </w:rPr>
            </w:pPr>
            <w:r w:rsidRPr="00717595">
              <w:rPr>
                <w:rFonts w:ascii="Arial" w:hAnsi="Arial" w:cs="Arial"/>
              </w:rPr>
              <w:t>27</w:t>
            </w:r>
            <w:r>
              <w:rPr>
                <w:rFonts w:ascii="Arial" w:hAnsi="Arial" w:cs="Arial"/>
              </w:rPr>
              <w:t>,</w:t>
            </w:r>
            <w:r w:rsidRPr="00717595">
              <w:rPr>
                <w:rFonts w:ascii="Arial" w:hAnsi="Arial" w:cs="Arial"/>
              </w:rPr>
              <w:t>93</w:t>
            </w:r>
          </w:p>
        </w:tc>
        <w:tc>
          <w:tcPr>
            <w:tcW w:w="103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Pr>
                <w:rFonts w:ascii="Arial" w:hAnsi="Arial" w:cs="Arial"/>
                <w:sz w:val="24"/>
                <w:szCs w:val="24"/>
              </w:rPr>
              <w:t>20,70</w:t>
            </w:r>
          </w:p>
        </w:tc>
      </w:tr>
    </w:tbl>
    <w:p w:rsidR="007F6E99" w:rsidRPr="00594535" w:rsidRDefault="007F6E99" w:rsidP="007F6E99">
      <w:pPr>
        <w:jc w:val="both"/>
        <w:rPr>
          <w:rFonts w:ascii="Arial" w:hAnsi="Arial" w:cs="Arial"/>
          <w:b/>
          <w:sz w:val="24"/>
          <w:szCs w:val="24"/>
          <w:lang w:val="en-US"/>
        </w:rPr>
      </w:pPr>
    </w:p>
    <w:p w:rsidR="007F6E99" w:rsidRPr="00594535" w:rsidRDefault="007F6E99" w:rsidP="007F6E99">
      <w:pPr>
        <w:tabs>
          <w:tab w:val="left" w:pos="4253"/>
        </w:tabs>
        <w:jc w:val="center"/>
        <w:rPr>
          <w:rFonts w:ascii="Arial" w:hAnsi="Arial" w:cs="Arial"/>
          <w:b/>
          <w:sz w:val="24"/>
          <w:szCs w:val="24"/>
          <w:lang w:val="en-US"/>
        </w:rPr>
      </w:pPr>
      <w:r>
        <w:rPr>
          <w:rFonts w:ascii="Arial" w:hAnsi="Arial" w:cs="Arial"/>
          <w:b/>
          <w:noProof/>
          <w:sz w:val="24"/>
          <w:szCs w:val="24"/>
        </w:rPr>
        <w:drawing>
          <wp:inline distT="0" distB="0" distL="0" distR="0">
            <wp:extent cx="5248275" cy="2419350"/>
            <wp:effectExtent l="19050" t="0" r="9525" b="0"/>
            <wp:docPr id="79"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7F6E99" w:rsidRDefault="007F6E99" w:rsidP="007F6E99">
      <w:pPr>
        <w:jc w:val="both"/>
        <w:rPr>
          <w:rFonts w:ascii="Arial" w:hAnsi="Arial" w:cs="Arial"/>
          <w:b/>
          <w:sz w:val="24"/>
          <w:szCs w:val="24"/>
          <w:lang w:val="en-US"/>
        </w:rPr>
      </w:pPr>
    </w:p>
    <w:p w:rsidR="005F3EF8" w:rsidRDefault="005F3EF8" w:rsidP="007F6E99">
      <w:pPr>
        <w:jc w:val="both"/>
        <w:rPr>
          <w:rFonts w:ascii="Arial" w:hAnsi="Arial" w:cs="Arial"/>
          <w:b/>
          <w:sz w:val="24"/>
          <w:szCs w:val="24"/>
          <w:lang w:val="en-US"/>
        </w:rPr>
      </w:pPr>
    </w:p>
    <w:p w:rsidR="005F3EF8" w:rsidRDefault="005F3EF8" w:rsidP="007F6E99">
      <w:pPr>
        <w:jc w:val="both"/>
        <w:rPr>
          <w:rFonts w:ascii="Arial" w:hAnsi="Arial" w:cs="Arial"/>
          <w:b/>
          <w:sz w:val="24"/>
          <w:szCs w:val="24"/>
          <w:lang w:val="en-US"/>
        </w:rPr>
      </w:pPr>
    </w:p>
    <w:p w:rsidR="007F6E99" w:rsidRDefault="007F6E99" w:rsidP="007F6E99">
      <w:pPr>
        <w:jc w:val="both"/>
        <w:rPr>
          <w:rFonts w:ascii="Arial" w:hAnsi="Arial" w:cs="Arial"/>
          <w:b/>
          <w:i/>
          <w:sz w:val="24"/>
          <w:szCs w:val="24"/>
        </w:rPr>
      </w:pPr>
      <w:r w:rsidRPr="00594535">
        <w:rPr>
          <w:rFonts w:ascii="Arial" w:hAnsi="Arial" w:cs="Arial"/>
          <w:b/>
          <w:sz w:val="24"/>
          <w:szCs w:val="24"/>
          <w:lang w:val="en-US"/>
        </w:rPr>
        <w:lastRenderedPageBreak/>
        <w:t>VIII.</w:t>
      </w:r>
      <w:r w:rsidRPr="00594535">
        <w:rPr>
          <w:rFonts w:ascii="Arial" w:hAnsi="Arial" w:cs="Arial"/>
          <w:b/>
          <w:bCs/>
          <w:sz w:val="24"/>
          <w:szCs w:val="24"/>
        </w:rPr>
        <w:t>1.2</w:t>
      </w:r>
      <w:r w:rsidRPr="00594535">
        <w:rPr>
          <w:rFonts w:ascii="Arial" w:hAnsi="Arial" w:cs="Arial"/>
          <w:b/>
          <w:bCs/>
          <w:i/>
          <w:sz w:val="24"/>
          <w:szCs w:val="24"/>
        </w:rPr>
        <w:t xml:space="preserve"> </w:t>
      </w:r>
      <w:r w:rsidRPr="004638BD">
        <w:rPr>
          <w:rFonts w:ascii="Arial" w:hAnsi="Arial" w:cs="Arial"/>
          <w:b/>
          <w:i/>
          <w:sz w:val="24"/>
          <w:szCs w:val="24"/>
        </w:rPr>
        <w:t xml:space="preserve">Poluarea fonică și efectele asupra sănătății și calității vieții </w:t>
      </w:r>
    </w:p>
    <w:p w:rsidR="007F6E99" w:rsidRPr="00EA20EC" w:rsidRDefault="007F6E99" w:rsidP="007F6E99">
      <w:pPr>
        <w:spacing w:after="0" w:line="240" w:lineRule="auto"/>
        <w:ind w:firstLine="708"/>
        <w:jc w:val="both"/>
        <w:rPr>
          <w:rFonts w:ascii="Arial" w:eastAsia="Calibri" w:hAnsi="Arial" w:cs="Arial"/>
          <w:sz w:val="24"/>
          <w:szCs w:val="24"/>
        </w:rPr>
      </w:pPr>
      <w:r w:rsidRPr="00EA20EC">
        <w:rPr>
          <w:rFonts w:ascii="Arial" w:eastAsia="Calibri" w:hAnsi="Arial" w:cs="Arial"/>
          <w:sz w:val="24"/>
          <w:szCs w:val="24"/>
        </w:rPr>
        <w:t xml:space="preserve">Poluarea fonică reprezintă expunerea oamenilor sau a animalelor la sunete ale căror intensități sunt stresante sau care afectează sistemul auditiv. Deși sunetele puternice fac parte din natură, în ultimele doua secole zonele urbane au devenit extrem de zgomotoase. </w:t>
      </w:r>
    </w:p>
    <w:p w:rsidR="007F6E99" w:rsidRPr="00EA20EC" w:rsidRDefault="007F6E99" w:rsidP="007F6E99">
      <w:pPr>
        <w:autoSpaceDE w:val="0"/>
        <w:autoSpaceDN w:val="0"/>
        <w:adjustRightInd w:val="0"/>
        <w:spacing w:after="0" w:line="240" w:lineRule="auto"/>
        <w:jc w:val="both"/>
        <w:rPr>
          <w:rFonts w:ascii="Arial" w:eastAsia="Calibri" w:hAnsi="Arial" w:cs="Arial"/>
          <w:sz w:val="24"/>
          <w:szCs w:val="24"/>
        </w:rPr>
      </w:pPr>
      <w:r w:rsidRPr="00EA20EC">
        <w:rPr>
          <w:rFonts w:ascii="Arial" w:eastAsia="Calibri" w:hAnsi="Arial" w:cs="Arial"/>
          <w:sz w:val="24"/>
          <w:szCs w:val="24"/>
        </w:rPr>
        <w:tab/>
        <w:t xml:space="preserve">Zgomotul în cadrul unui oraș provine în principal de la diversele activități desfășurate de către locuitori în zonele industriale aflate în interiorul aglomerărilor, de la mijloacele de transport personal sau comunitar care asigură deplasarea în oraș sau în afara acestuia, precum și de la mijloacele de transport feroviar și/sau aerian. Activităţile specifice din sectorul construcţiilor, activităţile publice, sistemele de alarmare (pentru clădiri şi autovehicule) precum şi cele din sectorul specific de consum şi de recreere (restaurante, discoteci, mici ateliere, animale domestice, stadioane, concerte în aer liber, manifestări culturale în aer liber) sunt alte surse generatoare de zgomot specifice vieţii de zi cu zi a unei societăţi umane. </w:t>
      </w:r>
    </w:p>
    <w:p w:rsidR="007F6E99" w:rsidRPr="00EA20EC" w:rsidRDefault="007F6E99" w:rsidP="007F6E99">
      <w:pPr>
        <w:autoSpaceDE w:val="0"/>
        <w:autoSpaceDN w:val="0"/>
        <w:adjustRightInd w:val="0"/>
        <w:spacing w:after="0" w:line="240" w:lineRule="auto"/>
        <w:ind w:firstLine="360"/>
        <w:jc w:val="both"/>
        <w:rPr>
          <w:rFonts w:ascii="Arial" w:eastAsia="Calibri" w:hAnsi="Arial" w:cs="Arial"/>
          <w:sz w:val="24"/>
          <w:szCs w:val="24"/>
        </w:rPr>
      </w:pPr>
      <w:r w:rsidRPr="00EA20EC">
        <w:rPr>
          <w:rFonts w:ascii="Arial" w:eastAsia="Calibri" w:hAnsi="Arial" w:cs="Arial"/>
          <w:sz w:val="24"/>
          <w:szCs w:val="24"/>
        </w:rPr>
        <w:t xml:space="preserve">Influenţa zgomotului asupra organismului depinde de mai mulţi factori: </w:t>
      </w:r>
    </w:p>
    <w:p w:rsidR="007F6E99" w:rsidRPr="00EA20EC" w:rsidRDefault="007F6E99" w:rsidP="00EF3940">
      <w:pPr>
        <w:numPr>
          <w:ilvl w:val="0"/>
          <w:numId w:val="70"/>
        </w:numPr>
        <w:autoSpaceDE w:val="0"/>
        <w:autoSpaceDN w:val="0"/>
        <w:adjustRightInd w:val="0"/>
        <w:spacing w:after="0" w:line="240" w:lineRule="auto"/>
        <w:ind w:left="1080"/>
        <w:contextualSpacing/>
        <w:jc w:val="both"/>
        <w:rPr>
          <w:rFonts w:ascii="Arial" w:eastAsia="Times New Roman" w:hAnsi="Arial" w:cs="Arial"/>
          <w:sz w:val="24"/>
          <w:szCs w:val="24"/>
        </w:rPr>
      </w:pPr>
      <w:r w:rsidRPr="00EA20EC">
        <w:rPr>
          <w:rFonts w:ascii="Arial" w:eastAsia="Times New Roman" w:hAnsi="Arial" w:cs="Arial"/>
          <w:sz w:val="24"/>
          <w:szCs w:val="24"/>
        </w:rPr>
        <w:t xml:space="preserve">mărimea zgomotului, considerând frecvenţa, intensitatea, timpul de acţiune şi caracteristicile (continuu, pulsatoriu, accidental); </w:t>
      </w:r>
    </w:p>
    <w:p w:rsidR="007F6E99" w:rsidRPr="00EA20EC" w:rsidRDefault="007F6E99" w:rsidP="00EF3940">
      <w:pPr>
        <w:numPr>
          <w:ilvl w:val="0"/>
          <w:numId w:val="70"/>
        </w:numPr>
        <w:autoSpaceDE w:val="0"/>
        <w:autoSpaceDN w:val="0"/>
        <w:adjustRightInd w:val="0"/>
        <w:spacing w:after="0" w:line="240" w:lineRule="auto"/>
        <w:ind w:left="1080"/>
        <w:contextualSpacing/>
        <w:jc w:val="both"/>
        <w:rPr>
          <w:rFonts w:ascii="Arial" w:eastAsia="Times New Roman" w:hAnsi="Arial" w:cs="Arial"/>
          <w:sz w:val="24"/>
          <w:szCs w:val="24"/>
        </w:rPr>
      </w:pPr>
      <w:r w:rsidRPr="00EA20EC">
        <w:rPr>
          <w:rFonts w:ascii="Arial" w:eastAsia="Times New Roman" w:hAnsi="Arial" w:cs="Arial"/>
          <w:sz w:val="24"/>
          <w:szCs w:val="24"/>
        </w:rPr>
        <w:t xml:space="preserve">caracteristicile distribuţiei zgomotului de fond existent în afara celui perturbator; </w:t>
      </w:r>
    </w:p>
    <w:p w:rsidR="007F6E99" w:rsidRPr="00EA20EC" w:rsidRDefault="007F6E99" w:rsidP="00EF3940">
      <w:pPr>
        <w:numPr>
          <w:ilvl w:val="0"/>
          <w:numId w:val="70"/>
        </w:numPr>
        <w:autoSpaceDE w:val="0"/>
        <w:autoSpaceDN w:val="0"/>
        <w:adjustRightInd w:val="0"/>
        <w:spacing w:after="0" w:line="240" w:lineRule="auto"/>
        <w:ind w:left="1080"/>
        <w:contextualSpacing/>
        <w:jc w:val="both"/>
        <w:rPr>
          <w:rFonts w:ascii="Arial" w:eastAsia="Times New Roman" w:hAnsi="Arial" w:cs="Arial"/>
          <w:sz w:val="24"/>
          <w:szCs w:val="24"/>
        </w:rPr>
      </w:pPr>
      <w:r w:rsidRPr="00EA20EC">
        <w:rPr>
          <w:rFonts w:ascii="Arial" w:eastAsia="Times New Roman" w:hAnsi="Arial" w:cs="Arial"/>
          <w:sz w:val="24"/>
          <w:szCs w:val="24"/>
        </w:rPr>
        <w:t xml:space="preserve">organism: vârsta, starea fizică, sensibilitatea individuală, obișnuința; </w:t>
      </w:r>
    </w:p>
    <w:p w:rsidR="007F6E99" w:rsidRPr="00EA20EC" w:rsidRDefault="007F6E99" w:rsidP="00EF3940">
      <w:pPr>
        <w:numPr>
          <w:ilvl w:val="0"/>
          <w:numId w:val="70"/>
        </w:numPr>
        <w:autoSpaceDE w:val="0"/>
        <w:autoSpaceDN w:val="0"/>
        <w:adjustRightInd w:val="0"/>
        <w:spacing w:after="0" w:line="240" w:lineRule="auto"/>
        <w:ind w:left="1080"/>
        <w:contextualSpacing/>
        <w:jc w:val="both"/>
        <w:rPr>
          <w:rFonts w:ascii="Arial" w:eastAsia="Times New Roman" w:hAnsi="Arial" w:cs="Arial"/>
          <w:sz w:val="24"/>
          <w:szCs w:val="24"/>
        </w:rPr>
      </w:pPr>
      <w:r w:rsidRPr="00EA20EC">
        <w:rPr>
          <w:rFonts w:ascii="Arial" w:eastAsia="Times New Roman" w:hAnsi="Arial" w:cs="Arial"/>
          <w:sz w:val="24"/>
          <w:szCs w:val="24"/>
        </w:rPr>
        <w:t>mediul de propagare: dimensiunea spaţiului (închis, în afară, configuraţia terenului, structura arhitecturală).</w:t>
      </w:r>
    </w:p>
    <w:p w:rsidR="007F6E99" w:rsidRPr="0095362A" w:rsidRDefault="007F6E99" w:rsidP="007F6E99">
      <w:pPr>
        <w:widowControl w:val="0"/>
        <w:autoSpaceDE w:val="0"/>
        <w:autoSpaceDN w:val="0"/>
        <w:adjustRightInd w:val="0"/>
        <w:spacing w:after="0" w:line="240" w:lineRule="auto"/>
        <w:ind w:firstLine="720"/>
        <w:jc w:val="both"/>
        <w:rPr>
          <w:rFonts w:ascii="Arial" w:eastAsia="Times New Roman" w:hAnsi="Arial" w:cs="Arial"/>
          <w:sz w:val="24"/>
          <w:szCs w:val="24"/>
        </w:rPr>
      </w:pPr>
      <w:r w:rsidRPr="0095362A">
        <w:rPr>
          <w:rFonts w:ascii="Arial" w:eastAsia="Times New Roman" w:hAnsi="Arial" w:cs="Arial"/>
          <w:sz w:val="24"/>
          <w:szCs w:val="24"/>
        </w:rPr>
        <w:t xml:space="preserve">Factorii care influenţează nivelul de zgomot ambiental sunt: </w:t>
      </w:r>
    </w:p>
    <w:p w:rsidR="007F6E99" w:rsidRPr="0095362A" w:rsidRDefault="007F6E99" w:rsidP="00EF3940">
      <w:pPr>
        <w:widowControl w:val="0"/>
        <w:numPr>
          <w:ilvl w:val="0"/>
          <w:numId w:val="83"/>
        </w:numPr>
        <w:autoSpaceDE w:val="0"/>
        <w:autoSpaceDN w:val="0"/>
        <w:adjustRightInd w:val="0"/>
        <w:spacing w:after="0" w:line="240" w:lineRule="auto"/>
        <w:ind w:left="1134"/>
        <w:contextualSpacing/>
        <w:jc w:val="both"/>
        <w:rPr>
          <w:rFonts w:ascii="Arial" w:eastAsia="Times New Roman" w:hAnsi="Arial" w:cs="Arial"/>
          <w:sz w:val="24"/>
          <w:szCs w:val="24"/>
        </w:rPr>
      </w:pPr>
      <w:r w:rsidRPr="0095362A">
        <w:rPr>
          <w:rFonts w:ascii="Arial" w:eastAsia="Times New Roman" w:hAnsi="Arial" w:cs="Arial"/>
          <w:sz w:val="24"/>
          <w:szCs w:val="24"/>
        </w:rPr>
        <w:t>mărimea zgomotului emis de sursă;</w:t>
      </w:r>
    </w:p>
    <w:p w:rsidR="007F6E99" w:rsidRPr="0095362A" w:rsidRDefault="007F6E99" w:rsidP="00EF3940">
      <w:pPr>
        <w:widowControl w:val="0"/>
        <w:numPr>
          <w:ilvl w:val="0"/>
          <w:numId w:val="83"/>
        </w:numPr>
        <w:autoSpaceDE w:val="0"/>
        <w:autoSpaceDN w:val="0"/>
        <w:adjustRightInd w:val="0"/>
        <w:spacing w:after="0" w:line="240" w:lineRule="auto"/>
        <w:ind w:left="1134"/>
        <w:contextualSpacing/>
        <w:jc w:val="both"/>
        <w:rPr>
          <w:rFonts w:ascii="Arial" w:eastAsia="Times New Roman" w:hAnsi="Arial" w:cs="Arial"/>
          <w:sz w:val="24"/>
          <w:szCs w:val="24"/>
        </w:rPr>
      </w:pPr>
      <w:r w:rsidRPr="0095362A">
        <w:rPr>
          <w:rFonts w:ascii="Arial" w:eastAsia="Times New Roman" w:hAnsi="Arial" w:cs="Arial"/>
          <w:sz w:val="24"/>
          <w:szCs w:val="24"/>
        </w:rPr>
        <w:t>textura suprafeţei de rulare, în cazul surselor de trafic terestru;</w:t>
      </w:r>
    </w:p>
    <w:p w:rsidR="007F6E99" w:rsidRPr="0095362A" w:rsidRDefault="007F6E99" w:rsidP="00EF3940">
      <w:pPr>
        <w:widowControl w:val="0"/>
        <w:numPr>
          <w:ilvl w:val="0"/>
          <w:numId w:val="83"/>
        </w:numPr>
        <w:autoSpaceDE w:val="0"/>
        <w:autoSpaceDN w:val="0"/>
        <w:adjustRightInd w:val="0"/>
        <w:spacing w:after="0" w:line="240" w:lineRule="auto"/>
        <w:ind w:left="1134"/>
        <w:contextualSpacing/>
        <w:jc w:val="both"/>
        <w:rPr>
          <w:rFonts w:ascii="Arial" w:eastAsia="Times New Roman" w:hAnsi="Arial" w:cs="Arial"/>
          <w:sz w:val="24"/>
          <w:szCs w:val="24"/>
        </w:rPr>
      </w:pPr>
      <w:r w:rsidRPr="0095362A">
        <w:rPr>
          <w:rFonts w:ascii="Arial" w:eastAsia="Times New Roman" w:hAnsi="Arial" w:cs="Arial"/>
          <w:sz w:val="24"/>
          <w:szCs w:val="24"/>
        </w:rPr>
        <w:t>sistemul de propulsie, transmisiile mecanice şi contactul pneu-cale de rulare, în cazul circulaţiei rutiere;</w:t>
      </w:r>
    </w:p>
    <w:p w:rsidR="007F6E99" w:rsidRPr="0095362A" w:rsidRDefault="007F6E99" w:rsidP="00EF3940">
      <w:pPr>
        <w:widowControl w:val="0"/>
        <w:numPr>
          <w:ilvl w:val="0"/>
          <w:numId w:val="83"/>
        </w:numPr>
        <w:autoSpaceDE w:val="0"/>
        <w:autoSpaceDN w:val="0"/>
        <w:adjustRightInd w:val="0"/>
        <w:spacing w:after="0" w:line="240" w:lineRule="auto"/>
        <w:ind w:left="1134"/>
        <w:contextualSpacing/>
        <w:jc w:val="both"/>
        <w:rPr>
          <w:rFonts w:ascii="Arial" w:eastAsia="Times New Roman" w:hAnsi="Arial" w:cs="Arial"/>
          <w:sz w:val="24"/>
          <w:szCs w:val="24"/>
        </w:rPr>
      </w:pPr>
      <w:r w:rsidRPr="0095362A">
        <w:rPr>
          <w:rFonts w:ascii="Arial" w:eastAsia="Times New Roman" w:hAnsi="Arial" w:cs="Arial"/>
          <w:sz w:val="24"/>
          <w:szCs w:val="24"/>
        </w:rPr>
        <w:t xml:space="preserve">factorii de propagare (distanţa faţă de sursă, obstacole, suprafeţe reflectante etc.); </w:t>
      </w:r>
    </w:p>
    <w:p w:rsidR="007F6E99" w:rsidRDefault="007F6E99" w:rsidP="00EF3940">
      <w:pPr>
        <w:widowControl w:val="0"/>
        <w:numPr>
          <w:ilvl w:val="0"/>
          <w:numId w:val="83"/>
        </w:numPr>
        <w:autoSpaceDE w:val="0"/>
        <w:autoSpaceDN w:val="0"/>
        <w:adjustRightInd w:val="0"/>
        <w:spacing w:after="0" w:line="240" w:lineRule="auto"/>
        <w:ind w:left="1134"/>
        <w:contextualSpacing/>
        <w:jc w:val="both"/>
        <w:rPr>
          <w:rFonts w:ascii="Arial" w:eastAsia="Times New Roman" w:hAnsi="Arial" w:cs="Arial"/>
          <w:sz w:val="24"/>
          <w:szCs w:val="24"/>
        </w:rPr>
      </w:pPr>
      <w:r w:rsidRPr="0095362A">
        <w:rPr>
          <w:rFonts w:ascii="Arial" w:eastAsia="Times New Roman" w:hAnsi="Arial" w:cs="Arial"/>
          <w:sz w:val="24"/>
          <w:szCs w:val="24"/>
        </w:rPr>
        <w:t>factorii meteorologici.</w:t>
      </w:r>
    </w:p>
    <w:p w:rsidR="007F6E99" w:rsidRPr="00EA20EC" w:rsidRDefault="007F6E99" w:rsidP="007F6E99">
      <w:pPr>
        <w:autoSpaceDE w:val="0"/>
        <w:autoSpaceDN w:val="0"/>
        <w:adjustRightInd w:val="0"/>
        <w:spacing w:after="0" w:line="240" w:lineRule="auto"/>
        <w:ind w:firstLine="720"/>
        <w:jc w:val="both"/>
        <w:rPr>
          <w:rFonts w:ascii="Arial" w:eastAsia="Calibri" w:hAnsi="Arial" w:cs="Arial"/>
          <w:sz w:val="24"/>
          <w:szCs w:val="24"/>
        </w:rPr>
      </w:pPr>
      <w:r w:rsidRPr="00EA20EC">
        <w:rPr>
          <w:rFonts w:ascii="Arial" w:eastAsia="Calibri" w:hAnsi="Arial" w:cs="Arial"/>
          <w:bCs/>
          <w:sz w:val="24"/>
          <w:szCs w:val="24"/>
        </w:rPr>
        <w:t xml:space="preserve">Efectele dăunătoare </w:t>
      </w:r>
      <w:r w:rsidRPr="00EA20EC">
        <w:rPr>
          <w:rFonts w:ascii="Arial" w:eastAsia="Calibri" w:hAnsi="Arial" w:cs="Arial"/>
          <w:sz w:val="24"/>
          <w:szCs w:val="24"/>
        </w:rPr>
        <w:t>ale zgomotului asupra comunităţilor umane sunt :</w:t>
      </w:r>
    </w:p>
    <w:p w:rsidR="007F6E99" w:rsidRPr="00EA20EC" w:rsidRDefault="007F6E99" w:rsidP="00EF3940">
      <w:pPr>
        <w:numPr>
          <w:ilvl w:val="0"/>
          <w:numId w:val="71"/>
        </w:numPr>
        <w:autoSpaceDE w:val="0"/>
        <w:autoSpaceDN w:val="0"/>
        <w:adjustRightInd w:val="0"/>
        <w:spacing w:after="0" w:line="240" w:lineRule="auto"/>
        <w:contextualSpacing/>
        <w:jc w:val="both"/>
        <w:rPr>
          <w:rFonts w:ascii="Arial" w:eastAsia="Times New Roman" w:hAnsi="Arial" w:cs="Arial"/>
          <w:sz w:val="24"/>
          <w:szCs w:val="24"/>
        </w:rPr>
      </w:pPr>
      <w:r w:rsidRPr="00EA20EC">
        <w:rPr>
          <w:rFonts w:ascii="Arial" w:eastAsia="Times New Roman" w:hAnsi="Arial" w:cs="Arial"/>
          <w:sz w:val="24"/>
          <w:szCs w:val="24"/>
        </w:rPr>
        <w:t>65 dB (A) - risc asupra sănătăţii;</w:t>
      </w:r>
    </w:p>
    <w:p w:rsidR="007F6E99" w:rsidRPr="00EA20EC" w:rsidRDefault="007F6E99" w:rsidP="00EF3940">
      <w:pPr>
        <w:numPr>
          <w:ilvl w:val="0"/>
          <w:numId w:val="71"/>
        </w:numPr>
        <w:autoSpaceDE w:val="0"/>
        <w:autoSpaceDN w:val="0"/>
        <w:adjustRightInd w:val="0"/>
        <w:spacing w:after="0" w:line="240" w:lineRule="auto"/>
        <w:contextualSpacing/>
        <w:jc w:val="both"/>
        <w:rPr>
          <w:rFonts w:ascii="Arial" w:eastAsia="Times New Roman" w:hAnsi="Arial" w:cs="Arial"/>
          <w:sz w:val="24"/>
          <w:szCs w:val="24"/>
        </w:rPr>
      </w:pPr>
      <w:r w:rsidRPr="00EA20EC">
        <w:rPr>
          <w:rFonts w:ascii="Arial" w:eastAsia="Times New Roman" w:hAnsi="Arial" w:cs="Arial"/>
          <w:sz w:val="24"/>
          <w:szCs w:val="24"/>
        </w:rPr>
        <w:t>55 dB (A) - este perturbată comunicarea;</w:t>
      </w:r>
    </w:p>
    <w:p w:rsidR="007F6E99" w:rsidRPr="00EA20EC" w:rsidRDefault="007F6E99" w:rsidP="00EF3940">
      <w:pPr>
        <w:numPr>
          <w:ilvl w:val="0"/>
          <w:numId w:val="71"/>
        </w:numPr>
        <w:spacing w:after="0" w:line="240" w:lineRule="auto"/>
        <w:contextualSpacing/>
        <w:jc w:val="both"/>
        <w:rPr>
          <w:rFonts w:ascii="Arial" w:eastAsia="Times New Roman" w:hAnsi="Arial" w:cs="Arial"/>
          <w:sz w:val="24"/>
          <w:szCs w:val="24"/>
        </w:rPr>
      </w:pPr>
      <w:r w:rsidRPr="00EA20EC">
        <w:rPr>
          <w:rFonts w:ascii="Arial" w:eastAsia="Times New Roman" w:hAnsi="Arial" w:cs="Arial"/>
          <w:sz w:val="24"/>
          <w:szCs w:val="24"/>
        </w:rPr>
        <w:t>45 dB (A) - este perturbat somnul.</w:t>
      </w:r>
    </w:p>
    <w:p w:rsidR="007F6E99" w:rsidRPr="0095362A" w:rsidRDefault="007F6E99" w:rsidP="007F6E99">
      <w:pPr>
        <w:widowControl w:val="0"/>
        <w:spacing w:after="0" w:line="240" w:lineRule="auto"/>
        <w:ind w:firstLine="720"/>
        <w:jc w:val="both"/>
        <w:rPr>
          <w:rFonts w:ascii="Arial" w:eastAsia="Times New Roman" w:hAnsi="Arial" w:cs="Arial"/>
          <w:sz w:val="24"/>
          <w:szCs w:val="24"/>
        </w:rPr>
      </w:pPr>
      <w:r w:rsidRPr="0095362A">
        <w:rPr>
          <w:rFonts w:ascii="Arial" w:eastAsia="Times New Roman" w:hAnsi="Arial" w:cs="Arial"/>
          <w:sz w:val="24"/>
          <w:szCs w:val="24"/>
        </w:rPr>
        <w:t>Efectele zgomotului asupra organismului uman pot fi:</w:t>
      </w:r>
    </w:p>
    <w:p w:rsidR="007F6E99" w:rsidRPr="0095362A" w:rsidRDefault="007F6E99" w:rsidP="00EF3940">
      <w:pPr>
        <w:widowControl w:val="0"/>
        <w:numPr>
          <w:ilvl w:val="0"/>
          <w:numId w:val="82"/>
        </w:numPr>
        <w:overflowPunct w:val="0"/>
        <w:autoSpaceDE w:val="0"/>
        <w:autoSpaceDN w:val="0"/>
        <w:adjustRightInd w:val="0"/>
        <w:spacing w:after="0" w:line="240" w:lineRule="auto"/>
        <w:ind w:left="1134" w:hanging="284"/>
        <w:jc w:val="both"/>
        <w:textAlignment w:val="baseline"/>
        <w:rPr>
          <w:rFonts w:ascii="Arial" w:eastAsia="Times New Roman" w:hAnsi="Arial" w:cs="Arial"/>
          <w:sz w:val="24"/>
          <w:szCs w:val="24"/>
        </w:rPr>
      </w:pPr>
      <w:r w:rsidRPr="0095362A">
        <w:rPr>
          <w:rFonts w:ascii="Arial" w:eastAsia="Times New Roman" w:hAnsi="Arial" w:cs="Arial"/>
          <w:sz w:val="24"/>
          <w:szCs w:val="24"/>
        </w:rPr>
        <w:t>efecte specifice: hipoacuzie, surditate;</w:t>
      </w:r>
    </w:p>
    <w:p w:rsidR="007F6E99" w:rsidRPr="0095362A" w:rsidRDefault="007F6E99" w:rsidP="00EF3940">
      <w:pPr>
        <w:widowControl w:val="0"/>
        <w:numPr>
          <w:ilvl w:val="0"/>
          <w:numId w:val="82"/>
        </w:numPr>
        <w:overflowPunct w:val="0"/>
        <w:autoSpaceDE w:val="0"/>
        <w:autoSpaceDN w:val="0"/>
        <w:adjustRightInd w:val="0"/>
        <w:spacing w:after="0" w:line="240" w:lineRule="auto"/>
        <w:ind w:left="1134" w:hanging="284"/>
        <w:jc w:val="both"/>
        <w:textAlignment w:val="baseline"/>
        <w:rPr>
          <w:rFonts w:ascii="Arial" w:eastAsia="Times New Roman" w:hAnsi="Arial" w:cs="Arial"/>
          <w:sz w:val="24"/>
          <w:szCs w:val="24"/>
        </w:rPr>
      </w:pPr>
      <w:r w:rsidRPr="0095362A">
        <w:rPr>
          <w:rFonts w:ascii="Arial" w:eastAsia="Times New Roman" w:hAnsi="Arial" w:cs="Arial"/>
          <w:sz w:val="24"/>
          <w:szCs w:val="24"/>
        </w:rPr>
        <w:t>efecte nespecifice: oboseală cronică caracterizată prin astenie, iritabilitate, depresie, scăderea atenţiei, a capacităţii de concentrare, tulburări vizuale</w:t>
      </w:r>
    </w:p>
    <w:p w:rsidR="007F6E99" w:rsidRPr="0095362A" w:rsidRDefault="007F6E99" w:rsidP="007F6E99">
      <w:pPr>
        <w:widowControl w:val="0"/>
        <w:spacing w:after="0" w:line="240" w:lineRule="auto"/>
        <w:ind w:firstLine="720"/>
        <w:jc w:val="both"/>
        <w:rPr>
          <w:rFonts w:ascii="Arial" w:eastAsia="Times New Roman" w:hAnsi="Arial" w:cs="Arial"/>
          <w:sz w:val="24"/>
          <w:szCs w:val="24"/>
        </w:rPr>
      </w:pPr>
      <w:r w:rsidRPr="0095362A">
        <w:rPr>
          <w:rFonts w:ascii="Arial" w:eastAsia="Times New Roman" w:hAnsi="Arial" w:cs="Arial"/>
          <w:sz w:val="24"/>
          <w:szCs w:val="24"/>
        </w:rPr>
        <w:t xml:space="preserve">Disconfortul acustic este accentuat mai ales în zonele adiacente arterelor de circulaţie şi a unor activităţi industriale. </w:t>
      </w:r>
    </w:p>
    <w:p w:rsidR="007F6E99" w:rsidRDefault="007F6E99" w:rsidP="007F6E99">
      <w:pPr>
        <w:widowControl w:val="0"/>
        <w:autoSpaceDE w:val="0"/>
        <w:autoSpaceDN w:val="0"/>
        <w:adjustRightInd w:val="0"/>
        <w:spacing w:after="0" w:line="240" w:lineRule="auto"/>
        <w:ind w:firstLine="720"/>
        <w:jc w:val="both"/>
        <w:rPr>
          <w:rFonts w:ascii="Arial" w:eastAsia="Calibri" w:hAnsi="Arial" w:cs="Arial"/>
          <w:b/>
          <w:bCs/>
          <w:sz w:val="24"/>
          <w:szCs w:val="24"/>
        </w:rPr>
      </w:pPr>
      <w:r w:rsidRPr="0095362A">
        <w:rPr>
          <w:rFonts w:ascii="Arial" w:eastAsia="Times New Roman" w:hAnsi="Arial" w:cs="Arial"/>
          <w:sz w:val="24"/>
          <w:szCs w:val="24"/>
        </w:rPr>
        <w:t xml:space="preserve">Zgomotul produs de traficul feroviar nu afectează întreaga populaţie a oraşelor, fiind concentrat pe anumite direcţii şi zone adiacente liniilor de cale ferată. </w:t>
      </w:r>
    </w:p>
    <w:p w:rsidR="007F6E99" w:rsidRDefault="007F6E99" w:rsidP="007F6E99">
      <w:pPr>
        <w:spacing w:after="0" w:line="240" w:lineRule="auto"/>
        <w:jc w:val="both"/>
        <w:rPr>
          <w:rFonts w:ascii="Arial" w:eastAsia="Calibri" w:hAnsi="Arial" w:cs="Arial"/>
          <w:b/>
          <w:bCs/>
          <w:sz w:val="24"/>
          <w:szCs w:val="24"/>
        </w:rPr>
      </w:pPr>
    </w:p>
    <w:p w:rsidR="007F6E99" w:rsidRPr="00EA20EC" w:rsidRDefault="007F6E99" w:rsidP="007F6E99">
      <w:pPr>
        <w:spacing w:after="0" w:line="240" w:lineRule="auto"/>
        <w:jc w:val="both"/>
        <w:rPr>
          <w:rFonts w:ascii="Arial" w:eastAsia="Calibri" w:hAnsi="Arial" w:cs="Arial"/>
          <w:b/>
          <w:bCs/>
          <w:sz w:val="24"/>
          <w:szCs w:val="24"/>
        </w:rPr>
      </w:pPr>
      <w:r w:rsidRPr="00EA20EC">
        <w:rPr>
          <w:rFonts w:ascii="Arial" w:eastAsia="Calibri" w:hAnsi="Arial" w:cs="Arial"/>
          <w:b/>
          <w:bCs/>
          <w:sz w:val="24"/>
          <w:szCs w:val="24"/>
        </w:rPr>
        <w:t>VIIII.1.2.1 Expunerea la poluarea sonoră a aglomerărilor urbane cu peste 250.000 locuitori</w:t>
      </w:r>
    </w:p>
    <w:p w:rsidR="007F6E99" w:rsidRPr="00EA20EC" w:rsidRDefault="007F6E99" w:rsidP="007F6E99">
      <w:pPr>
        <w:autoSpaceDE w:val="0"/>
        <w:autoSpaceDN w:val="0"/>
        <w:adjustRightInd w:val="0"/>
        <w:spacing w:after="0" w:line="240" w:lineRule="auto"/>
        <w:jc w:val="both"/>
        <w:rPr>
          <w:rFonts w:ascii="Arial" w:eastAsia="Calibri" w:hAnsi="Arial" w:cs="Arial"/>
          <w:sz w:val="24"/>
          <w:szCs w:val="24"/>
        </w:rPr>
      </w:pPr>
      <w:r w:rsidRPr="00EA20EC">
        <w:rPr>
          <w:rFonts w:ascii="Arial" w:eastAsia="Calibri" w:hAnsi="Arial" w:cs="Arial"/>
          <w:sz w:val="24"/>
          <w:szCs w:val="24"/>
        </w:rPr>
        <w:tab/>
      </w:r>
    </w:p>
    <w:p w:rsidR="007F6E99" w:rsidRDefault="007F6E99" w:rsidP="007F6E99">
      <w:pPr>
        <w:widowControl w:val="0"/>
        <w:spacing w:after="0" w:line="240" w:lineRule="auto"/>
        <w:ind w:firstLine="720"/>
        <w:jc w:val="both"/>
        <w:rPr>
          <w:rFonts w:ascii="Arial" w:eastAsia="Calibri" w:hAnsi="Arial" w:cs="Arial"/>
          <w:b/>
          <w:spacing w:val="-10"/>
          <w:sz w:val="24"/>
          <w:szCs w:val="24"/>
        </w:rPr>
      </w:pPr>
      <w:r w:rsidRPr="00EA20EC">
        <w:rPr>
          <w:rFonts w:ascii="Arial" w:eastAsia="Calibri" w:hAnsi="Arial" w:cs="Arial"/>
          <w:sz w:val="24"/>
          <w:szCs w:val="24"/>
        </w:rPr>
        <w:t xml:space="preserve">APM Brăila monitorizează nivelul de zgomot ambiant </w:t>
      </w:r>
      <w:r w:rsidRPr="00EA20EC">
        <w:rPr>
          <w:rFonts w:ascii="Arial" w:eastAsia="Times New Roman" w:hAnsi="Arial" w:cs="Arial"/>
          <w:sz w:val="24"/>
          <w:szCs w:val="24"/>
        </w:rPr>
        <w:t xml:space="preserve">în municipiul </w:t>
      </w:r>
      <w:r w:rsidRPr="00EA20EC">
        <w:rPr>
          <w:rFonts w:ascii="Arial" w:eastAsia="Calibri" w:hAnsi="Arial" w:cs="Arial"/>
          <w:sz w:val="24"/>
          <w:szCs w:val="24"/>
        </w:rPr>
        <w:t>Brăila</w:t>
      </w:r>
      <w:r w:rsidRPr="00EA20EC">
        <w:rPr>
          <w:rFonts w:ascii="Arial" w:eastAsia="Times New Roman" w:hAnsi="Arial" w:cs="Arial"/>
          <w:sz w:val="24"/>
          <w:szCs w:val="24"/>
        </w:rPr>
        <w:t xml:space="preserve">, pe străzi şi zone funcţionale care pot prezenta riscuri de afectare a populaţiei expuse la niveluri crescute de zgomot exterior. </w:t>
      </w:r>
    </w:p>
    <w:p w:rsidR="007F6E99" w:rsidRPr="00EA20EC" w:rsidRDefault="007F6E99" w:rsidP="007F6E99">
      <w:pPr>
        <w:spacing w:after="0" w:line="240" w:lineRule="auto"/>
        <w:ind w:firstLine="720"/>
        <w:jc w:val="both"/>
        <w:rPr>
          <w:rFonts w:ascii="Arial" w:eastAsia="Calibri" w:hAnsi="Arial" w:cs="Arial"/>
          <w:b/>
          <w:spacing w:val="-10"/>
          <w:sz w:val="24"/>
          <w:szCs w:val="24"/>
        </w:rPr>
      </w:pPr>
      <w:r w:rsidRPr="00EA20EC">
        <w:rPr>
          <w:rFonts w:ascii="Arial" w:eastAsia="Calibri" w:hAnsi="Arial" w:cs="Arial"/>
          <w:b/>
          <w:spacing w:val="-10"/>
          <w:sz w:val="24"/>
          <w:szCs w:val="24"/>
        </w:rPr>
        <w:t>Măsurători de zgomot efectuate în Municipiul Brăila</w:t>
      </w:r>
    </w:p>
    <w:p w:rsidR="007F6E99" w:rsidRPr="0014227E" w:rsidRDefault="007F6E99" w:rsidP="007F6E99">
      <w:pPr>
        <w:spacing w:after="0" w:line="240" w:lineRule="auto"/>
        <w:jc w:val="both"/>
        <w:rPr>
          <w:rFonts w:ascii="Arial" w:eastAsia="Calibri" w:hAnsi="Arial" w:cs="Arial"/>
          <w:sz w:val="24"/>
          <w:szCs w:val="24"/>
        </w:rPr>
      </w:pPr>
      <w:r w:rsidRPr="0014227E">
        <w:rPr>
          <w:rFonts w:ascii="Arial" w:eastAsia="Calibri" w:hAnsi="Arial" w:cs="Arial"/>
          <w:b/>
          <w:sz w:val="24"/>
          <w:szCs w:val="24"/>
        </w:rPr>
        <w:t>Nivelul de zgomoturban</w:t>
      </w:r>
      <w:r w:rsidRPr="0014227E">
        <w:rPr>
          <w:rFonts w:ascii="Arial" w:eastAsia="Calibri" w:hAnsi="Arial" w:cs="Arial"/>
          <w:sz w:val="24"/>
          <w:szCs w:val="24"/>
        </w:rPr>
        <w:t xml:space="preserve"> în decursul anului 2017 s-a determinat în 42 de puncte reprezentative astfel: </w:t>
      </w:r>
    </w:p>
    <w:p w:rsidR="007F6E99" w:rsidRPr="0014227E" w:rsidRDefault="007F6E99" w:rsidP="00EF3940">
      <w:pPr>
        <w:numPr>
          <w:ilvl w:val="0"/>
          <w:numId w:val="72"/>
        </w:numPr>
        <w:spacing w:after="0" w:line="240" w:lineRule="auto"/>
        <w:contextualSpacing/>
        <w:jc w:val="both"/>
        <w:rPr>
          <w:rFonts w:ascii="Arial" w:eastAsia="Times New Roman" w:hAnsi="Arial" w:cs="Arial"/>
          <w:sz w:val="24"/>
          <w:szCs w:val="24"/>
        </w:rPr>
      </w:pPr>
      <w:r w:rsidRPr="0014227E">
        <w:rPr>
          <w:rFonts w:ascii="Arial" w:eastAsia="Times New Roman" w:hAnsi="Arial" w:cs="Arial"/>
          <w:sz w:val="24"/>
          <w:szCs w:val="24"/>
        </w:rPr>
        <w:t>17 puncte pe diferite categorii de străzi cu lăţimi de 3m, 7m, 14m şi respectiv 21m;</w:t>
      </w:r>
    </w:p>
    <w:p w:rsidR="007F6E99" w:rsidRPr="0014227E" w:rsidRDefault="007F6E99" w:rsidP="00EF3940">
      <w:pPr>
        <w:numPr>
          <w:ilvl w:val="0"/>
          <w:numId w:val="72"/>
        </w:numPr>
        <w:spacing w:after="0" w:line="240" w:lineRule="auto"/>
        <w:contextualSpacing/>
        <w:jc w:val="both"/>
        <w:rPr>
          <w:rFonts w:ascii="Arial" w:eastAsia="Times New Roman" w:hAnsi="Arial" w:cs="Arial"/>
          <w:spacing w:val="-10"/>
          <w:sz w:val="24"/>
          <w:szCs w:val="24"/>
        </w:rPr>
      </w:pPr>
      <w:r w:rsidRPr="0014227E">
        <w:rPr>
          <w:rFonts w:ascii="Arial" w:eastAsia="Times New Roman" w:hAnsi="Arial" w:cs="Arial"/>
          <w:sz w:val="24"/>
          <w:szCs w:val="24"/>
        </w:rPr>
        <w:t>25 puncte expertizate situate la limita exterioară a parcurilor, zonelor de recreere, tratament medical şi balneoclimateric, incintelor de şcoli, pieţelor şi spaţiilor comerciale, incintelor  industriale, parcajelor auto şi zonelor rezidenţiale.</w:t>
      </w:r>
    </w:p>
    <w:p w:rsidR="007F6E99" w:rsidRPr="0014227E" w:rsidRDefault="007F6E99" w:rsidP="007F6E99">
      <w:pPr>
        <w:spacing w:after="0" w:line="240" w:lineRule="auto"/>
        <w:ind w:left="720"/>
        <w:contextualSpacing/>
        <w:jc w:val="both"/>
        <w:rPr>
          <w:rFonts w:ascii="Arial" w:eastAsia="Times New Roman" w:hAnsi="Arial" w:cs="Arial"/>
          <w:spacing w:val="-10"/>
          <w:sz w:val="24"/>
          <w:szCs w:val="24"/>
        </w:rPr>
      </w:pPr>
    </w:p>
    <w:p w:rsidR="007F6E99" w:rsidRDefault="007F6E99" w:rsidP="007F6E99">
      <w:pPr>
        <w:spacing w:after="0" w:line="240" w:lineRule="auto"/>
        <w:jc w:val="both"/>
        <w:rPr>
          <w:rFonts w:ascii="Arial" w:eastAsia="Calibri" w:hAnsi="Arial" w:cs="Arial"/>
          <w:bCs/>
          <w:sz w:val="24"/>
          <w:szCs w:val="24"/>
        </w:rPr>
      </w:pPr>
      <w:r w:rsidRPr="0014227E">
        <w:rPr>
          <w:rFonts w:ascii="Arial" w:eastAsia="Calibri" w:hAnsi="Arial" w:cs="Arial"/>
          <w:bCs/>
          <w:sz w:val="24"/>
          <w:szCs w:val="24"/>
        </w:rPr>
        <w:t>În tabelul VIII.1.2.1.1. sunt prezentate date privind monitorizarea zgomotului urban din anul 2017, după cum urmează:</w:t>
      </w:r>
    </w:p>
    <w:p w:rsidR="005F3EF8" w:rsidRDefault="005F3EF8" w:rsidP="007F6E99">
      <w:pPr>
        <w:spacing w:after="0" w:line="240" w:lineRule="auto"/>
        <w:rPr>
          <w:rFonts w:ascii="Arial" w:eastAsia="Calibri" w:hAnsi="Arial" w:cs="Arial"/>
          <w:b/>
          <w:bCs/>
          <w:sz w:val="24"/>
          <w:szCs w:val="24"/>
        </w:rPr>
      </w:pPr>
    </w:p>
    <w:p w:rsidR="007F6E99" w:rsidRPr="005C5FFB" w:rsidRDefault="007F6E99" w:rsidP="007F6E99">
      <w:pPr>
        <w:spacing w:after="0" w:line="240" w:lineRule="auto"/>
        <w:rPr>
          <w:rFonts w:ascii="Arial" w:eastAsia="Calibri" w:hAnsi="Arial" w:cs="Arial"/>
          <w:b/>
          <w:bCs/>
          <w:sz w:val="24"/>
          <w:szCs w:val="24"/>
        </w:rPr>
      </w:pPr>
      <w:r w:rsidRPr="005C5FFB">
        <w:rPr>
          <w:rFonts w:ascii="Arial" w:eastAsia="Calibri" w:hAnsi="Arial" w:cs="Arial"/>
          <w:b/>
          <w:bCs/>
          <w:sz w:val="24"/>
          <w:szCs w:val="24"/>
        </w:rPr>
        <w:lastRenderedPageBreak/>
        <w:t>Tabel VIII.1.2.1.1.privind monitorizarea zgomotului urban în anul 2017</w:t>
      </w:r>
    </w:p>
    <w:tbl>
      <w:tblPr>
        <w:tblW w:w="4607" w:type="pct"/>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ayout w:type="fixed"/>
        <w:tblCellMar>
          <w:left w:w="28" w:type="dxa"/>
          <w:right w:w="28" w:type="dxa"/>
        </w:tblCellMar>
        <w:tblLook w:val="01E0"/>
      </w:tblPr>
      <w:tblGrid>
        <w:gridCol w:w="1900"/>
        <w:gridCol w:w="2314"/>
        <w:gridCol w:w="1133"/>
        <w:gridCol w:w="1416"/>
        <w:gridCol w:w="1276"/>
        <w:gridCol w:w="1416"/>
      </w:tblGrid>
      <w:tr w:rsidR="007F6E99" w:rsidRPr="005C5FFB" w:rsidTr="004E444C">
        <w:trPr>
          <w:trHeight w:val="14"/>
          <w:jc w:val="center"/>
        </w:trPr>
        <w:tc>
          <w:tcPr>
            <w:tcW w:w="1004"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Tip măsurătoare</w:t>
            </w:r>
          </w:p>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zgomot</w:t>
            </w:r>
          </w:p>
        </w:tc>
        <w:tc>
          <w:tcPr>
            <w:tcW w:w="1223"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Punct de măsurare</w:t>
            </w:r>
          </w:p>
        </w:tc>
        <w:tc>
          <w:tcPr>
            <w:tcW w:w="599"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Număr măsurători</w:t>
            </w:r>
          </w:p>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2017</w:t>
            </w:r>
          </w:p>
        </w:tc>
        <w:tc>
          <w:tcPr>
            <w:tcW w:w="749"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Nivelul echivalent de zgomot  maxim măsurat dB(A)</w:t>
            </w:r>
          </w:p>
        </w:tc>
        <w:tc>
          <w:tcPr>
            <w:tcW w:w="675"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Număr depăşiri</w:t>
            </w:r>
          </w:p>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2017</w:t>
            </w:r>
          </w:p>
        </w:tc>
        <w:tc>
          <w:tcPr>
            <w:tcW w:w="749"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b/>
                <w:sz w:val="20"/>
                <w:szCs w:val="20"/>
              </w:rPr>
            </w:pPr>
            <w:r w:rsidRPr="005C5FFB">
              <w:rPr>
                <w:rFonts w:ascii="Arial" w:eastAsia="Calibri" w:hAnsi="Arial" w:cs="Arial"/>
                <w:b/>
                <w:sz w:val="20"/>
                <w:szCs w:val="20"/>
              </w:rPr>
              <w:t>Nivelul echiv. de zgomot admisibil dB(A)</w:t>
            </w:r>
          </w:p>
        </w:tc>
      </w:tr>
      <w:tr w:rsidR="007F6E99" w:rsidRPr="005C5FFB" w:rsidTr="004E444C">
        <w:trPr>
          <w:trHeight w:val="2"/>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Parcuri, zone de recreere şi odihnă</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Parcul Grădina Mare</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55,66</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val="restar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45</w:t>
            </w: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Parcul Monument</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60,06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Faleza Dunării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56,29</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Staţiunea Lacu – Sărat</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51,87</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Spitalul Sf. Spiridon</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62,37</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Incinte de școli, spații de joacă</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Liceul Gh. M. Murgoci</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57,06</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75</w:t>
            </w: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Liceul N. Iorga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64,95</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Liceul N. Bălcescu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65,81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Şcoala Generală nr. 7</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58,75</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Piețe, spații comerciale, restaurante în aer liber</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Piaţa Concordia</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60,50</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65</w:t>
            </w: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Piaţa Halelor</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59,40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Piaţa Radu Negru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54,50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bottom"/>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Piaţa Pistruiatu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58,80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Terasa Dreams</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60,70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Restaurant Swing</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57,76</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Incinte industriale</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S.C. Progresu S.A.</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57,10</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65</w:t>
            </w: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S.C. Farex S.A.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59,98</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S.C. Laminoru S.A.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60,68</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5"/>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Şantier Naval Vard S.A</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61,81</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5"/>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Parcaje auto</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Supermarket XXL</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58,35</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70</w:t>
            </w:r>
          </w:p>
        </w:tc>
      </w:tr>
      <w:tr w:rsidR="007F6E99" w:rsidRPr="005C5FFB" w:rsidTr="004E444C">
        <w:trPr>
          <w:trHeight w:val="5"/>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Supermarket Billa/Praktiker</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64,92</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5"/>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Zone rezidențiale</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Teatrul Maria Filotti</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60,19</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50</w:t>
            </w:r>
          </w:p>
        </w:tc>
      </w:tr>
      <w:tr w:rsidR="007F6E99" w:rsidRPr="005C5FFB" w:rsidTr="004E444C">
        <w:trPr>
          <w:trHeight w:val="5"/>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Şoseaua-Buzăului (Supermarket Billa)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53,67</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5"/>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 xml:space="preserve">Faleza Dunării </w:t>
            </w:r>
          </w:p>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(Direcţia de Finanţe)</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56,31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5"/>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Cartier Hipodrom</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57,10</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4</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Stradă de categorie tehnică I, magistrală</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B-dul Dorobanţilor/Apollo</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72,87</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80</w:t>
            </w:r>
          </w:p>
        </w:tc>
      </w:tr>
      <w:tr w:rsidR="007F6E99" w:rsidRPr="005C5FFB" w:rsidTr="004E444C">
        <w:trPr>
          <w:trHeight w:val="1"/>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B-dul Independenţei– APM Brăila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64,31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Calea Călăraşi IAS-IMB</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73,27</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Calea Călăraşi/Dorobanţi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72,51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Calea Galaţi/Dorobanţi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73,37</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Calea Călăraşi/B-dul Independenţei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70,00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Calea Călăraşi/Griviţa</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72,23</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Stradă de categorie tehnică II, de legătură</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Centură – IDMS</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71,60</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2</w:t>
            </w:r>
          </w:p>
        </w:tc>
        <w:tc>
          <w:tcPr>
            <w:tcW w:w="749" w:type="pct"/>
            <w:vMerge w:val="restart"/>
            <w:tcBorders>
              <w:top w:val="single" w:sz="8" w:space="0" w:color="auto"/>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70</w:t>
            </w: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Calea Galaţi (Pţa. Traian)</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68,76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1 Decembrie 1918</w:t>
            </w:r>
          </w:p>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/Griviţa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67,54</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1Decembrie 1918/Dorobanţi</w:t>
            </w:r>
          </w:p>
        </w:tc>
        <w:tc>
          <w:tcPr>
            <w:tcW w:w="599"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69,20</w:t>
            </w:r>
          </w:p>
        </w:tc>
        <w:tc>
          <w:tcPr>
            <w:tcW w:w="675"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left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1"/>
          <w:jc w:val="center"/>
        </w:trPr>
        <w:tc>
          <w:tcPr>
            <w:tcW w:w="1004" w:type="pct"/>
            <w:vMerge/>
            <w:tcBorders>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Comuna din Paris/Focşani</w:t>
            </w:r>
          </w:p>
        </w:tc>
        <w:tc>
          <w:tcPr>
            <w:tcW w:w="599"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71,06</w:t>
            </w:r>
          </w:p>
        </w:tc>
        <w:tc>
          <w:tcPr>
            <w:tcW w:w="675"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1</w:t>
            </w:r>
          </w:p>
        </w:tc>
        <w:tc>
          <w:tcPr>
            <w:tcW w:w="749" w:type="pct"/>
            <w:vMerge/>
            <w:tcBorders>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Stradă de categorie tehnică III, de colectare</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t>Rahova/Biserica Sf. Constantin</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60,33</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65</w:t>
            </w:r>
          </w:p>
        </w:tc>
      </w:tr>
      <w:tr w:rsidR="007F6E99" w:rsidRPr="005C5FFB" w:rsidTr="004E444C">
        <w:trPr>
          <w:trHeight w:val="2"/>
          <w:jc w:val="center"/>
        </w:trPr>
        <w:tc>
          <w:tcPr>
            <w:tcW w:w="1004"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Roşiori /Sf. Constantin</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61,88</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Chişinău/Grigore Alexandrescu</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69,87</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3</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p>
        </w:tc>
      </w:tr>
      <w:tr w:rsidR="007F6E99" w:rsidRPr="005C5FFB" w:rsidTr="004E444C">
        <w:trPr>
          <w:trHeight w:val="2"/>
          <w:jc w:val="center"/>
        </w:trPr>
        <w:tc>
          <w:tcPr>
            <w:tcW w:w="1004"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rPr>
                <w:rFonts w:ascii="Arial" w:eastAsia="Calibri" w:hAnsi="Arial" w:cs="Arial"/>
                <w:sz w:val="20"/>
                <w:szCs w:val="20"/>
              </w:rPr>
            </w:pPr>
            <w:r w:rsidRPr="005C5FFB">
              <w:rPr>
                <w:rFonts w:ascii="Arial" w:eastAsia="Calibri" w:hAnsi="Arial" w:cs="Arial"/>
                <w:sz w:val="20"/>
                <w:szCs w:val="20"/>
              </w:rPr>
              <w:lastRenderedPageBreak/>
              <w:t>Stradă de categorie tehnică IV, de deservire locală</w:t>
            </w:r>
          </w:p>
        </w:tc>
        <w:tc>
          <w:tcPr>
            <w:tcW w:w="1223"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Orientului/Poliţie</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57,08</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60</w:t>
            </w:r>
          </w:p>
        </w:tc>
      </w:tr>
      <w:tr w:rsidR="007F6E99" w:rsidRPr="005C5FFB" w:rsidTr="004E444C">
        <w:trPr>
          <w:trHeight w:val="2"/>
          <w:jc w:val="center"/>
        </w:trPr>
        <w:tc>
          <w:tcPr>
            <w:tcW w:w="1004"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both"/>
              <w:rPr>
                <w:rFonts w:ascii="Arial" w:eastAsia="Calibri" w:hAnsi="Arial" w:cs="Arial"/>
                <w:b/>
                <w:sz w:val="20"/>
                <w:szCs w:val="20"/>
              </w:rPr>
            </w:pPr>
          </w:p>
        </w:tc>
        <w:tc>
          <w:tcPr>
            <w:tcW w:w="1223"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both"/>
              <w:rPr>
                <w:rFonts w:ascii="Arial" w:eastAsia="Calibri" w:hAnsi="Arial" w:cs="Arial"/>
                <w:sz w:val="20"/>
                <w:szCs w:val="20"/>
              </w:rPr>
            </w:pPr>
            <w:r w:rsidRPr="005C5FFB">
              <w:rPr>
                <w:rFonts w:ascii="Arial" w:eastAsia="Calibri" w:hAnsi="Arial" w:cs="Arial"/>
                <w:sz w:val="20"/>
                <w:szCs w:val="20"/>
              </w:rPr>
              <w:t>Rubinelor/Univ. Brâncoveanu</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240" w:lineRule="auto"/>
              <w:jc w:val="center"/>
              <w:rPr>
                <w:rFonts w:ascii="Arial" w:eastAsia="Calibri" w:hAnsi="Arial" w:cs="Arial"/>
                <w:sz w:val="20"/>
                <w:szCs w:val="20"/>
              </w:rPr>
            </w:pPr>
            <w:r w:rsidRPr="005C5FFB">
              <w:rPr>
                <w:rFonts w:ascii="Arial" w:eastAsia="Calibri" w:hAnsi="Arial" w:cs="Arial"/>
                <w:sz w:val="20"/>
                <w:szCs w:val="20"/>
              </w:rPr>
              <w:t>4</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57,80</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jc w:val="center"/>
              <w:rPr>
                <w:rFonts w:ascii="Arial" w:eastAsia="Calibri" w:hAnsi="Arial" w:cs="Arial"/>
                <w:sz w:val="20"/>
                <w:szCs w:val="20"/>
              </w:rPr>
            </w:pPr>
            <w:r w:rsidRPr="005C5FFB">
              <w:rPr>
                <w:rFonts w:ascii="Arial" w:eastAsia="Calibri" w:hAnsi="Arial" w:cs="Arial"/>
                <w:sz w:val="20"/>
                <w:szCs w:val="20"/>
              </w:rPr>
              <w:t>0</w:t>
            </w:r>
          </w:p>
        </w:tc>
        <w:tc>
          <w:tcPr>
            <w:tcW w:w="749"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7F6E99" w:rsidRPr="005C5FFB" w:rsidRDefault="007F6E99" w:rsidP="004E444C">
            <w:pPr>
              <w:spacing w:after="0" w:line="480" w:lineRule="auto"/>
              <w:jc w:val="both"/>
              <w:rPr>
                <w:rFonts w:ascii="Arial" w:eastAsia="Calibri" w:hAnsi="Arial" w:cs="Arial"/>
                <w:sz w:val="20"/>
                <w:szCs w:val="20"/>
              </w:rPr>
            </w:pPr>
          </w:p>
        </w:tc>
      </w:tr>
    </w:tbl>
    <w:p w:rsidR="007F6E99" w:rsidRPr="0014227E" w:rsidRDefault="007F6E99" w:rsidP="007F6E99">
      <w:pPr>
        <w:tabs>
          <w:tab w:val="left" w:pos="3240"/>
          <w:tab w:val="center" w:pos="4536"/>
          <w:tab w:val="left" w:pos="6300"/>
          <w:tab w:val="right" w:pos="9072"/>
        </w:tabs>
        <w:spacing w:after="0" w:line="264" w:lineRule="auto"/>
        <w:jc w:val="both"/>
        <w:rPr>
          <w:rFonts w:ascii="Arial" w:eastAsia="Calibri" w:hAnsi="Arial" w:cs="Arial"/>
          <w:b/>
          <w:sz w:val="24"/>
          <w:szCs w:val="24"/>
        </w:rPr>
      </w:pPr>
    </w:p>
    <w:p w:rsidR="007F6E99" w:rsidRPr="00EA20EC" w:rsidRDefault="007F6E99" w:rsidP="007F6E99">
      <w:pPr>
        <w:tabs>
          <w:tab w:val="left" w:pos="3240"/>
          <w:tab w:val="center" w:pos="4536"/>
          <w:tab w:val="left" w:pos="6300"/>
          <w:tab w:val="right" w:pos="9072"/>
        </w:tabs>
        <w:spacing w:after="0" w:line="264" w:lineRule="auto"/>
        <w:jc w:val="both"/>
        <w:rPr>
          <w:rFonts w:ascii="Arial" w:eastAsia="Calibri" w:hAnsi="Arial" w:cs="Arial"/>
          <w:b/>
          <w:sz w:val="24"/>
          <w:szCs w:val="24"/>
        </w:rPr>
      </w:pPr>
    </w:p>
    <w:p w:rsidR="007F6E99" w:rsidRPr="00EA20EC" w:rsidRDefault="007F6E99" w:rsidP="007F6E99">
      <w:pPr>
        <w:tabs>
          <w:tab w:val="left" w:pos="3240"/>
          <w:tab w:val="center" w:pos="4536"/>
          <w:tab w:val="left" w:pos="6300"/>
          <w:tab w:val="right" w:pos="9072"/>
        </w:tabs>
        <w:spacing w:after="0" w:line="264" w:lineRule="auto"/>
        <w:jc w:val="both"/>
        <w:rPr>
          <w:rFonts w:ascii="Arial" w:eastAsia="Calibri" w:hAnsi="Arial" w:cs="Arial"/>
          <w:sz w:val="24"/>
          <w:szCs w:val="24"/>
        </w:rPr>
      </w:pPr>
      <w:r w:rsidRPr="00EA20EC">
        <w:rPr>
          <w:rFonts w:ascii="Arial" w:eastAsia="Calibri" w:hAnsi="Arial" w:cs="Arial"/>
          <w:sz w:val="24"/>
          <w:szCs w:val="24"/>
        </w:rPr>
        <w:t xml:space="preserve">Tabelul </w:t>
      </w:r>
      <w:r w:rsidRPr="00EA20EC">
        <w:rPr>
          <w:rFonts w:ascii="Arial" w:eastAsia="Calibri" w:hAnsi="Arial" w:cs="Arial"/>
          <w:bCs/>
          <w:sz w:val="24"/>
          <w:szCs w:val="24"/>
        </w:rPr>
        <w:t>VIII.1.2.1.2.</w:t>
      </w:r>
      <w:r w:rsidRPr="00EA20EC">
        <w:rPr>
          <w:rFonts w:ascii="Arial" w:eastAsia="Calibri" w:hAnsi="Arial" w:cs="Arial"/>
          <w:spacing w:val="-10"/>
          <w:sz w:val="24"/>
          <w:szCs w:val="24"/>
        </w:rPr>
        <w:t>Centralizator pe tipurilor de măsurători de zgomot exterior, efectuate în anul 201</w:t>
      </w:r>
      <w:r w:rsidR="005F3EF8">
        <w:rPr>
          <w:rFonts w:ascii="Arial" w:eastAsia="Calibri" w:hAnsi="Arial" w:cs="Arial"/>
          <w:spacing w:val="-10"/>
          <w:sz w:val="24"/>
          <w:szCs w:val="24"/>
        </w:rPr>
        <w:t>7</w:t>
      </w:r>
    </w:p>
    <w:tbl>
      <w:tblPr>
        <w:tblW w:w="4652" w:type="pct"/>
        <w:jc w:val="center"/>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072"/>
        <w:gridCol w:w="1553"/>
        <w:gridCol w:w="1356"/>
        <w:gridCol w:w="1222"/>
        <w:gridCol w:w="1592"/>
        <w:gridCol w:w="1579"/>
        <w:gridCol w:w="1323"/>
      </w:tblGrid>
      <w:tr w:rsidR="007F6E99" w:rsidRPr="00EA20EC" w:rsidTr="004E444C">
        <w:trPr>
          <w:trHeight w:val="814"/>
          <w:jc w:val="center"/>
        </w:trPr>
        <w:tc>
          <w:tcPr>
            <w:tcW w:w="552"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Judeţul</w:t>
            </w:r>
          </w:p>
        </w:tc>
        <w:tc>
          <w:tcPr>
            <w:tcW w:w="801"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Număr măsurători</w:t>
            </w:r>
          </w:p>
        </w:tc>
        <w:tc>
          <w:tcPr>
            <w:tcW w:w="699"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Maxima măsurată</w:t>
            </w:r>
          </w:p>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(dB)</w:t>
            </w:r>
          </w:p>
        </w:tc>
        <w:tc>
          <w:tcPr>
            <w:tcW w:w="630"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Depăşiri</w:t>
            </w:r>
          </w:p>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w:t>
            </w:r>
          </w:p>
        </w:tc>
        <w:tc>
          <w:tcPr>
            <w:tcW w:w="821"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Indicator utilizat</w:t>
            </w:r>
          </w:p>
        </w:tc>
        <w:tc>
          <w:tcPr>
            <w:tcW w:w="814"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Determinări în urma sesizărilor</w:t>
            </w:r>
          </w:p>
        </w:tc>
        <w:tc>
          <w:tcPr>
            <w:tcW w:w="682" w:type="pct"/>
            <w:shd w:val="clear" w:color="auto" w:fill="E6E6E6"/>
            <w:vAlign w:val="center"/>
          </w:tcPr>
          <w:p w:rsidR="007F6E99" w:rsidRPr="00EA20EC" w:rsidRDefault="007F6E99" w:rsidP="004E444C">
            <w:pPr>
              <w:spacing w:after="0" w:line="240" w:lineRule="auto"/>
              <w:jc w:val="center"/>
              <w:rPr>
                <w:rFonts w:ascii="Arial" w:eastAsia="Calibri" w:hAnsi="Arial" w:cs="Arial"/>
                <w:b/>
                <w:sz w:val="24"/>
                <w:szCs w:val="24"/>
              </w:rPr>
            </w:pPr>
            <w:r w:rsidRPr="00EA20EC">
              <w:rPr>
                <w:rFonts w:ascii="Arial" w:eastAsia="Calibri" w:hAnsi="Arial" w:cs="Arial"/>
                <w:b/>
                <w:sz w:val="24"/>
                <w:szCs w:val="24"/>
              </w:rPr>
              <w:t>Sesizări rezolvate       %</w:t>
            </w:r>
          </w:p>
        </w:tc>
      </w:tr>
      <w:tr w:rsidR="007F6E99" w:rsidRPr="00EA20EC" w:rsidTr="004E444C">
        <w:trPr>
          <w:trHeight w:val="258"/>
          <w:jc w:val="center"/>
        </w:trPr>
        <w:tc>
          <w:tcPr>
            <w:tcW w:w="552" w:type="pct"/>
            <w:shd w:val="clear" w:color="auto" w:fill="auto"/>
            <w:vAlign w:val="center"/>
          </w:tcPr>
          <w:p w:rsidR="007F6E99" w:rsidRPr="00EA20EC" w:rsidRDefault="007F6E99" w:rsidP="004E444C">
            <w:pPr>
              <w:spacing w:after="0" w:line="240" w:lineRule="auto"/>
              <w:jc w:val="both"/>
              <w:rPr>
                <w:rFonts w:ascii="Arial" w:eastAsia="Calibri" w:hAnsi="Arial" w:cs="Arial"/>
                <w:b/>
                <w:sz w:val="24"/>
                <w:szCs w:val="24"/>
              </w:rPr>
            </w:pPr>
            <w:r w:rsidRPr="00EA20EC">
              <w:rPr>
                <w:rFonts w:ascii="Arial" w:eastAsia="Calibri" w:hAnsi="Arial" w:cs="Arial"/>
                <w:b/>
                <w:sz w:val="24"/>
                <w:szCs w:val="24"/>
              </w:rPr>
              <w:t>Brăila</w:t>
            </w:r>
          </w:p>
        </w:tc>
        <w:tc>
          <w:tcPr>
            <w:tcW w:w="801" w:type="pct"/>
            <w:shd w:val="clear" w:color="auto" w:fill="auto"/>
            <w:vAlign w:val="center"/>
          </w:tcPr>
          <w:p w:rsidR="007F6E99" w:rsidRPr="0014227E" w:rsidRDefault="007F6E99" w:rsidP="004E444C">
            <w:pPr>
              <w:spacing w:after="0" w:line="240" w:lineRule="auto"/>
              <w:jc w:val="center"/>
              <w:rPr>
                <w:rFonts w:ascii="Arial" w:eastAsia="Calibri" w:hAnsi="Arial" w:cs="Arial"/>
                <w:sz w:val="24"/>
                <w:szCs w:val="24"/>
              </w:rPr>
            </w:pPr>
            <w:r w:rsidRPr="0014227E">
              <w:rPr>
                <w:rFonts w:ascii="Arial" w:eastAsia="Calibri" w:hAnsi="Arial" w:cs="Arial"/>
                <w:sz w:val="24"/>
                <w:szCs w:val="24"/>
              </w:rPr>
              <w:t>168</w:t>
            </w:r>
          </w:p>
        </w:tc>
        <w:tc>
          <w:tcPr>
            <w:tcW w:w="699" w:type="pct"/>
            <w:shd w:val="clear" w:color="auto" w:fill="auto"/>
            <w:vAlign w:val="center"/>
          </w:tcPr>
          <w:p w:rsidR="007F6E99" w:rsidRPr="0014227E" w:rsidRDefault="007F6E99" w:rsidP="004E444C">
            <w:pPr>
              <w:spacing w:after="0" w:line="240" w:lineRule="auto"/>
              <w:jc w:val="center"/>
              <w:rPr>
                <w:rFonts w:ascii="Arial" w:eastAsia="Calibri" w:hAnsi="Arial" w:cs="Arial"/>
                <w:sz w:val="24"/>
                <w:szCs w:val="24"/>
              </w:rPr>
            </w:pPr>
            <w:r w:rsidRPr="0014227E">
              <w:rPr>
                <w:rFonts w:ascii="Arial" w:eastAsia="Calibri" w:hAnsi="Arial" w:cs="Arial"/>
                <w:sz w:val="24"/>
                <w:szCs w:val="24"/>
              </w:rPr>
              <w:t>73,37</w:t>
            </w:r>
          </w:p>
        </w:tc>
        <w:tc>
          <w:tcPr>
            <w:tcW w:w="630" w:type="pct"/>
            <w:shd w:val="clear" w:color="auto" w:fill="auto"/>
            <w:vAlign w:val="center"/>
          </w:tcPr>
          <w:p w:rsidR="007F6E99" w:rsidRPr="0014227E" w:rsidRDefault="007F6E99" w:rsidP="004E444C">
            <w:pPr>
              <w:spacing w:after="0" w:line="240" w:lineRule="auto"/>
              <w:jc w:val="center"/>
              <w:rPr>
                <w:rFonts w:ascii="Arial" w:eastAsia="Calibri" w:hAnsi="Arial" w:cs="Arial"/>
                <w:sz w:val="24"/>
                <w:szCs w:val="24"/>
              </w:rPr>
            </w:pPr>
            <w:r w:rsidRPr="0014227E">
              <w:rPr>
                <w:rFonts w:ascii="Arial" w:eastAsia="Calibri" w:hAnsi="Arial" w:cs="Arial"/>
                <w:sz w:val="24"/>
                <w:szCs w:val="24"/>
              </w:rPr>
              <w:t>26,2</w:t>
            </w:r>
          </w:p>
        </w:tc>
        <w:tc>
          <w:tcPr>
            <w:tcW w:w="821" w:type="pct"/>
            <w:shd w:val="clear" w:color="auto" w:fill="auto"/>
            <w:vAlign w:val="center"/>
          </w:tcPr>
          <w:p w:rsidR="007F6E99" w:rsidRPr="00EA20EC" w:rsidRDefault="007F6E99" w:rsidP="004E444C">
            <w:pPr>
              <w:spacing w:after="0" w:line="240" w:lineRule="auto"/>
              <w:jc w:val="center"/>
              <w:rPr>
                <w:rFonts w:ascii="Arial" w:eastAsia="Calibri" w:hAnsi="Arial" w:cs="Arial"/>
                <w:sz w:val="24"/>
                <w:szCs w:val="24"/>
              </w:rPr>
            </w:pPr>
            <w:r w:rsidRPr="00EA20EC">
              <w:rPr>
                <w:rFonts w:ascii="Arial" w:eastAsia="Calibri" w:hAnsi="Arial" w:cs="Arial"/>
                <w:sz w:val="24"/>
                <w:szCs w:val="24"/>
              </w:rPr>
              <w:t>Nivelul de zgomot echivalent    Leq</w:t>
            </w:r>
          </w:p>
        </w:tc>
        <w:tc>
          <w:tcPr>
            <w:tcW w:w="814" w:type="pct"/>
            <w:shd w:val="clear" w:color="auto" w:fill="auto"/>
            <w:vAlign w:val="center"/>
          </w:tcPr>
          <w:p w:rsidR="007F6E99" w:rsidRPr="00EA20EC" w:rsidRDefault="007F6E99" w:rsidP="004E444C">
            <w:pPr>
              <w:spacing w:after="0" w:line="240" w:lineRule="auto"/>
              <w:jc w:val="center"/>
              <w:rPr>
                <w:rFonts w:ascii="Arial" w:eastAsia="Calibri" w:hAnsi="Arial" w:cs="Arial"/>
                <w:sz w:val="24"/>
                <w:szCs w:val="24"/>
              </w:rPr>
            </w:pPr>
            <w:r w:rsidRPr="00EA20EC">
              <w:rPr>
                <w:rFonts w:ascii="Arial" w:eastAsia="Calibri" w:hAnsi="Arial" w:cs="Arial"/>
                <w:sz w:val="24"/>
                <w:szCs w:val="24"/>
              </w:rPr>
              <w:t>-</w:t>
            </w:r>
          </w:p>
        </w:tc>
        <w:tc>
          <w:tcPr>
            <w:tcW w:w="682" w:type="pct"/>
            <w:shd w:val="clear" w:color="auto" w:fill="auto"/>
            <w:vAlign w:val="center"/>
          </w:tcPr>
          <w:p w:rsidR="007F6E99" w:rsidRPr="00EA20EC" w:rsidRDefault="007F6E99" w:rsidP="004E444C">
            <w:pPr>
              <w:spacing w:after="0" w:line="240" w:lineRule="auto"/>
              <w:jc w:val="center"/>
              <w:rPr>
                <w:rFonts w:ascii="Arial" w:eastAsia="Calibri" w:hAnsi="Arial" w:cs="Arial"/>
                <w:sz w:val="24"/>
                <w:szCs w:val="24"/>
              </w:rPr>
            </w:pPr>
            <w:r w:rsidRPr="00EA20EC">
              <w:rPr>
                <w:rFonts w:ascii="Arial" w:eastAsia="Calibri" w:hAnsi="Arial" w:cs="Arial"/>
                <w:sz w:val="24"/>
                <w:szCs w:val="24"/>
              </w:rPr>
              <w:t>-</w:t>
            </w:r>
          </w:p>
        </w:tc>
      </w:tr>
    </w:tbl>
    <w:p w:rsidR="007F6E99" w:rsidRDefault="007F6E99" w:rsidP="007F6E99">
      <w:pPr>
        <w:autoSpaceDE w:val="0"/>
        <w:autoSpaceDN w:val="0"/>
        <w:adjustRightInd w:val="0"/>
        <w:spacing w:after="0" w:line="240" w:lineRule="auto"/>
        <w:ind w:firstLine="708"/>
        <w:jc w:val="both"/>
        <w:rPr>
          <w:rFonts w:ascii="Arial" w:eastAsia="Calibri" w:hAnsi="Arial" w:cs="Arial"/>
          <w:sz w:val="24"/>
          <w:szCs w:val="24"/>
        </w:rPr>
      </w:pPr>
    </w:p>
    <w:p w:rsidR="007F6E99" w:rsidRPr="0014227E" w:rsidRDefault="007F6E99" w:rsidP="007F6E99">
      <w:pPr>
        <w:autoSpaceDE w:val="0"/>
        <w:autoSpaceDN w:val="0"/>
        <w:adjustRightInd w:val="0"/>
        <w:spacing w:after="0" w:line="240" w:lineRule="auto"/>
        <w:ind w:firstLine="708"/>
        <w:jc w:val="both"/>
        <w:rPr>
          <w:rFonts w:ascii="Arial" w:eastAsia="Calibri" w:hAnsi="Arial" w:cs="Arial"/>
          <w:sz w:val="24"/>
          <w:szCs w:val="24"/>
        </w:rPr>
      </w:pPr>
      <w:r w:rsidRPr="0014227E">
        <w:rPr>
          <w:rFonts w:ascii="Arial" w:eastAsia="Calibri" w:hAnsi="Arial" w:cs="Arial"/>
          <w:sz w:val="24"/>
          <w:szCs w:val="24"/>
        </w:rPr>
        <w:t>Măsurările efectuate au surprins valori momentane ale zgomotului la ore  diferite ale zilei. Valorile măsurate au fost comparate cu valorile admisibile ale nivelului de zgomot exterior pe străzi, funcţie de categoria tehnică a străzilor şi la limita zonelor funcţionale din mediul urban specificate de STAS 10009 / martie 2017 Acustica urbană "Limitele admisibile ale nivelului de zgomot din mediul ambiant".</w:t>
      </w:r>
    </w:p>
    <w:p w:rsidR="007F6E99" w:rsidRPr="00EA20EC" w:rsidRDefault="007F6E99" w:rsidP="007F6E99">
      <w:pPr>
        <w:spacing w:after="0" w:line="240" w:lineRule="auto"/>
        <w:jc w:val="both"/>
        <w:rPr>
          <w:rFonts w:ascii="Arial" w:eastAsia="Calibri" w:hAnsi="Arial" w:cs="Arial"/>
          <w:sz w:val="24"/>
          <w:szCs w:val="24"/>
        </w:rPr>
      </w:pPr>
      <w:r w:rsidRPr="0014227E">
        <w:rPr>
          <w:rFonts w:ascii="Arial" w:eastAsia="Calibri" w:hAnsi="Arial" w:cs="Arial"/>
          <w:sz w:val="24"/>
          <w:szCs w:val="24"/>
        </w:rPr>
        <w:tab/>
        <w:t xml:space="preserve">În tabelul următor sunt prezentate mediile determinărilor nivelului de zgomot echivalent, depăşirile şi valoarea maximă, din perioada 2013 – 2017. </w:t>
      </w:r>
    </w:p>
    <w:p w:rsidR="007F6E99" w:rsidRPr="0057532D" w:rsidRDefault="007F6E99" w:rsidP="007F6E99">
      <w:pPr>
        <w:spacing w:after="0" w:line="240" w:lineRule="auto"/>
        <w:jc w:val="both"/>
        <w:rPr>
          <w:rFonts w:ascii="Arial" w:eastAsia="Calibri" w:hAnsi="Arial" w:cs="Arial"/>
          <w:b/>
          <w:sz w:val="24"/>
          <w:szCs w:val="24"/>
        </w:rPr>
      </w:pPr>
      <w:r w:rsidRPr="0057532D">
        <w:rPr>
          <w:rFonts w:ascii="Arial" w:eastAsia="Calibri" w:hAnsi="Arial" w:cs="Arial"/>
          <w:b/>
          <w:sz w:val="24"/>
          <w:szCs w:val="24"/>
        </w:rPr>
        <w:t>Tabelul VII</w:t>
      </w:r>
      <w:r w:rsidRPr="0057532D">
        <w:rPr>
          <w:rFonts w:ascii="Arial" w:eastAsia="Calibri" w:hAnsi="Arial" w:cs="Arial"/>
          <w:b/>
          <w:bCs/>
          <w:sz w:val="24"/>
          <w:szCs w:val="24"/>
        </w:rPr>
        <w:t>I.1.2.1.3.</w:t>
      </w:r>
      <w:r w:rsidRPr="0057532D">
        <w:rPr>
          <w:rFonts w:ascii="Arial" w:eastAsia="Calibri" w:hAnsi="Arial" w:cs="Arial"/>
          <w:b/>
          <w:sz w:val="24"/>
          <w:szCs w:val="24"/>
        </w:rPr>
        <w:t>Medii anuale ale nivelului de zgomot echivalent pentru anii 2013-2017</w:t>
      </w:r>
    </w:p>
    <w:tbl>
      <w:tblPr>
        <w:tblW w:w="9262" w:type="dxa"/>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850"/>
        <w:gridCol w:w="851"/>
        <w:gridCol w:w="992"/>
        <w:gridCol w:w="1134"/>
        <w:gridCol w:w="1134"/>
        <w:gridCol w:w="1134"/>
      </w:tblGrid>
      <w:tr w:rsidR="007F6E99" w:rsidRPr="0014227E" w:rsidTr="004E444C">
        <w:trPr>
          <w:jc w:val="center"/>
        </w:trPr>
        <w:tc>
          <w:tcPr>
            <w:tcW w:w="3167" w:type="dxa"/>
            <w:shd w:val="clear" w:color="auto" w:fill="E0E0E0"/>
            <w:vAlign w:val="center"/>
          </w:tcPr>
          <w:p w:rsidR="007F6E99" w:rsidRPr="0014227E" w:rsidRDefault="007F6E99" w:rsidP="004E444C">
            <w:pPr>
              <w:tabs>
                <w:tab w:val="center" w:pos="4536"/>
                <w:tab w:val="right" w:pos="9072"/>
              </w:tabs>
              <w:spacing w:after="0" w:line="240" w:lineRule="auto"/>
              <w:jc w:val="both"/>
              <w:rPr>
                <w:rFonts w:ascii="Arial" w:eastAsia="Calibri" w:hAnsi="Arial" w:cs="Arial"/>
                <w:b/>
                <w:sz w:val="24"/>
                <w:szCs w:val="24"/>
              </w:rPr>
            </w:pPr>
            <w:r w:rsidRPr="0014227E">
              <w:rPr>
                <w:rFonts w:ascii="Arial" w:eastAsia="Calibri" w:hAnsi="Arial" w:cs="Arial"/>
                <w:b/>
                <w:sz w:val="24"/>
                <w:szCs w:val="24"/>
              </w:rPr>
              <w:t>Tip măsurătoare</w:t>
            </w:r>
          </w:p>
        </w:tc>
        <w:tc>
          <w:tcPr>
            <w:tcW w:w="850" w:type="dxa"/>
            <w:shd w:val="clear" w:color="auto" w:fill="E0E0E0"/>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Med.</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2013</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c>
          <w:tcPr>
            <w:tcW w:w="851" w:type="dxa"/>
            <w:shd w:val="clear" w:color="auto" w:fill="E0E0E0"/>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Med.</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2014</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c>
          <w:tcPr>
            <w:tcW w:w="992" w:type="dxa"/>
            <w:shd w:val="clear" w:color="auto" w:fill="E0E0E0"/>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Med.</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2015</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c>
          <w:tcPr>
            <w:tcW w:w="1134" w:type="dxa"/>
            <w:shd w:val="clear" w:color="auto" w:fill="E0E0E0"/>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Med.</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2016</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c>
          <w:tcPr>
            <w:tcW w:w="1134" w:type="dxa"/>
            <w:shd w:val="clear" w:color="auto" w:fill="E0E0E0"/>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Med.</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2017</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c>
          <w:tcPr>
            <w:tcW w:w="1134" w:type="dxa"/>
            <w:shd w:val="clear" w:color="auto" w:fill="E0E0E0"/>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Limita admisă</w:t>
            </w:r>
          </w:p>
          <w:p w:rsidR="007F6E99" w:rsidRPr="0014227E" w:rsidRDefault="007F6E99" w:rsidP="004E444C">
            <w:pPr>
              <w:tabs>
                <w:tab w:val="center" w:pos="4536"/>
                <w:tab w:val="right" w:pos="9072"/>
              </w:tabs>
              <w:spacing w:after="0" w:line="240" w:lineRule="auto"/>
              <w:jc w:val="center"/>
              <w:rPr>
                <w:rFonts w:ascii="Arial" w:eastAsia="Calibri" w:hAnsi="Arial" w:cs="Arial"/>
                <w:b/>
                <w:sz w:val="24"/>
                <w:szCs w:val="24"/>
              </w:rPr>
            </w:pPr>
            <w:r w:rsidRPr="0014227E">
              <w:rPr>
                <w:rFonts w:ascii="Arial" w:eastAsia="Calibri" w:hAnsi="Arial" w:cs="Arial"/>
                <w:b/>
                <w:sz w:val="24"/>
                <w:szCs w:val="24"/>
              </w:rPr>
              <w:t>(dB)</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 xml:space="preserve">Pieţe, spaţii comerciale, restaurante în aer liber </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63,4</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64,2</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62,3</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60,9</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55,2</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65</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Incinte de şcoli, spaţii de joacă pentru copii</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62,4</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63,7</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61,4</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60,8</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59,0</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75</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 xml:space="preserve">Parcuri, zone de recreere şi odihnă </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56,2</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54,7</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55,3</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54,4</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53,8</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45</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Incinta industrială</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58,5</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59,7</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58,5</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55,2</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56,2</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65</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Parcaje auto</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59,7</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60,1</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61,8</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58,9</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57,7</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70</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Stradă de categorie tehnică I</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69,7</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67,6</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68,8</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69,6</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69,0</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80</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Stradă de categorie tehnică II</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69,7</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69,6</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67,7</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67,9</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70</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Stradă de categorie tehnică III</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65,6</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64,9</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67,0</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64,3</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61,4</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65</w:t>
            </w:r>
          </w:p>
        </w:tc>
      </w:tr>
      <w:tr w:rsidR="007F6E99" w:rsidRPr="0014227E" w:rsidTr="004E444C">
        <w:trPr>
          <w:jc w:val="center"/>
        </w:trPr>
        <w:tc>
          <w:tcPr>
            <w:tcW w:w="3167" w:type="dxa"/>
          </w:tcPr>
          <w:p w:rsidR="007F6E99" w:rsidRPr="0014227E" w:rsidRDefault="007F6E99" w:rsidP="004E444C">
            <w:pPr>
              <w:spacing w:after="0" w:line="240" w:lineRule="auto"/>
              <w:jc w:val="both"/>
              <w:rPr>
                <w:rFonts w:ascii="Arial" w:eastAsia="Calibri" w:hAnsi="Arial" w:cs="Arial"/>
                <w:sz w:val="24"/>
                <w:szCs w:val="24"/>
              </w:rPr>
            </w:pPr>
            <w:r w:rsidRPr="0014227E">
              <w:rPr>
                <w:rFonts w:ascii="Arial" w:eastAsia="Calibri" w:hAnsi="Arial" w:cs="Arial"/>
                <w:sz w:val="24"/>
                <w:szCs w:val="24"/>
              </w:rPr>
              <w:t>Stradă de categorie tehnică IV</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59,4</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59,4</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57,2</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56,2</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55,92</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60</w:t>
            </w:r>
          </w:p>
        </w:tc>
      </w:tr>
      <w:tr w:rsidR="007F6E99" w:rsidRPr="0014227E" w:rsidTr="004E444C">
        <w:trPr>
          <w:jc w:val="center"/>
        </w:trPr>
        <w:tc>
          <w:tcPr>
            <w:tcW w:w="3167" w:type="dxa"/>
          </w:tcPr>
          <w:p w:rsidR="007F6E99" w:rsidRPr="0014227E" w:rsidRDefault="007F6E99" w:rsidP="004E444C">
            <w:pPr>
              <w:tabs>
                <w:tab w:val="center" w:pos="4536"/>
                <w:tab w:val="right" w:pos="9072"/>
              </w:tabs>
              <w:spacing w:after="0" w:line="240" w:lineRule="auto"/>
              <w:jc w:val="both"/>
              <w:rPr>
                <w:rFonts w:ascii="Arial" w:eastAsia="Calibri" w:hAnsi="Arial" w:cs="Arial"/>
                <w:sz w:val="24"/>
                <w:szCs w:val="24"/>
              </w:rPr>
            </w:pPr>
            <w:r w:rsidRPr="0014227E">
              <w:rPr>
                <w:rFonts w:ascii="Arial" w:eastAsia="Calibri" w:hAnsi="Arial" w:cs="Arial"/>
                <w:sz w:val="24"/>
                <w:szCs w:val="24"/>
              </w:rPr>
              <w:t>Altele-zone locuibile – zone rezidențiale</w:t>
            </w:r>
          </w:p>
        </w:tc>
        <w:tc>
          <w:tcPr>
            <w:tcW w:w="850"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57,7</w:t>
            </w:r>
          </w:p>
        </w:tc>
        <w:tc>
          <w:tcPr>
            <w:tcW w:w="851"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57,0</w:t>
            </w:r>
          </w:p>
        </w:tc>
        <w:tc>
          <w:tcPr>
            <w:tcW w:w="992"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58,0</w:t>
            </w:r>
          </w:p>
        </w:tc>
        <w:tc>
          <w:tcPr>
            <w:tcW w:w="1134" w:type="dxa"/>
            <w:shd w:val="clear" w:color="auto" w:fill="auto"/>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55,7</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54,21</w:t>
            </w:r>
          </w:p>
        </w:tc>
        <w:tc>
          <w:tcPr>
            <w:tcW w:w="1134" w:type="dxa"/>
            <w:vAlign w:val="center"/>
          </w:tcPr>
          <w:p w:rsidR="007F6E99" w:rsidRPr="0014227E" w:rsidRDefault="007F6E99" w:rsidP="004E444C">
            <w:pPr>
              <w:tabs>
                <w:tab w:val="center" w:pos="4536"/>
                <w:tab w:val="right" w:pos="9072"/>
              </w:tabs>
              <w:spacing w:after="0" w:line="240" w:lineRule="auto"/>
              <w:jc w:val="center"/>
              <w:rPr>
                <w:rFonts w:ascii="Arial" w:eastAsia="Calibri" w:hAnsi="Arial" w:cs="Arial"/>
                <w:sz w:val="24"/>
                <w:szCs w:val="24"/>
              </w:rPr>
            </w:pPr>
            <w:r w:rsidRPr="0014227E">
              <w:rPr>
                <w:rFonts w:ascii="Arial" w:eastAsia="Calibri" w:hAnsi="Arial" w:cs="Arial"/>
                <w:sz w:val="24"/>
                <w:szCs w:val="24"/>
              </w:rPr>
              <w:t>50</w:t>
            </w:r>
          </w:p>
        </w:tc>
      </w:tr>
    </w:tbl>
    <w:p w:rsidR="007F6E99" w:rsidRDefault="007F6E99" w:rsidP="007F6E99">
      <w:pPr>
        <w:spacing w:after="0" w:line="240" w:lineRule="auto"/>
        <w:jc w:val="both"/>
        <w:rPr>
          <w:rFonts w:ascii="Arial" w:eastAsia="Calibri" w:hAnsi="Arial" w:cs="Arial"/>
          <w:sz w:val="24"/>
          <w:szCs w:val="24"/>
        </w:rPr>
      </w:pPr>
    </w:p>
    <w:p w:rsidR="007F6E99" w:rsidRPr="00937069" w:rsidRDefault="007F6E99" w:rsidP="007F6E99">
      <w:pPr>
        <w:spacing w:after="0" w:line="240" w:lineRule="auto"/>
        <w:jc w:val="both"/>
        <w:rPr>
          <w:rFonts w:ascii="Arial" w:eastAsia="Calibri" w:hAnsi="Arial" w:cs="Arial"/>
          <w:sz w:val="24"/>
          <w:szCs w:val="24"/>
        </w:rPr>
      </w:pPr>
      <w:r w:rsidRPr="00937069">
        <w:rPr>
          <w:rFonts w:ascii="Arial" w:eastAsia="Calibri" w:hAnsi="Arial" w:cs="Arial"/>
          <w:sz w:val="24"/>
          <w:szCs w:val="24"/>
        </w:rPr>
        <w:t xml:space="preserve">Analizând datele prezentate în tabelul </w:t>
      </w:r>
      <w:r w:rsidRPr="00937069">
        <w:rPr>
          <w:rFonts w:ascii="Arial" w:eastAsia="Calibri" w:hAnsi="Arial" w:cs="Arial"/>
          <w:bCs/>
          <w:sz w:val="24"/>
          <w:szCs w:val="24"/>
        </w:rPr>
        <w:t>VIII.1.2.1.3.</w:t>
      </w:r>
      <w:r w:rsidRPr="00937069">
        <w:rPr>
          <w:rFonts w:ascii="Arial" w:eastAsia="Calibri" w:hAnsi="Arial" w:cs="Arial"/>
          <w:sz w:val="24"/>
          <w:szCs w:val="24"/>
        </w:rPr>
        <w:t>de mai sus se constată următoarele:</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La limita exterioară a pieţelor, spaţiilor comerciale şi restaurantelor în aer liber se constată o ușoară creștere a nivelului de zgomot în anii 2013-2014, fără a fi depăşită maxima admisă în toată perioada de raportare;</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La limita exterioară a incintelor de şcoli, valoarea medie a anului 2017 este în scădere față de anii anteriori, în 2017 fiind înregistrată cea mai mică valoare medie din perioada 2013-2017;</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Măsurările efectuate la limita exterioară a parcurilor, zonelor de recreere şi tratament medical, arată că nivelul mediu anual al zgomotului se plasează în jurul valorii de 55 dB, limita admisibilă a nivelului de zgomot fiind depăşită în toată perioada 2013 - 2017;</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La exteriorul incintelor industriale, media anuală nu depăşeşte limita admisă, în toată perioada 2013 - 2017;</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lastRenderedPageBreak/>
        <w:t>La parcajele auto, media anuală nu depăşeşte limita admisă, iar media anului 2017 are cea mai mica valoare din perioada 2013 - 2017;</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În cazul străzilor de categorie tehnică I valorile medii anuale se menţin sub limita maximă admisă, iar media anului 2017 este ușor în scădere față de anul 2016;</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La limita străzilor de categorie tehnică II, se înregistrează în anul 2017, o relativă menţinere a nivelului de zgomot la nivelul anului 2016;</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Pe străzile de categorie tehnică III, nivelul de zgomot scade în anul 2017 când se înregistrează cea mai mică valoare medie din perioada 2013 - 2017;</w:t>
      </w:r>
    </w:p>
    <w:p w:rsidR="007F6E99" w:rsidRPr="00937069" w:rsidRDefault="007F6E99" w:rsidP="00EF3940">
      <w:pPr>
        <w:numPr>
          <w:ilvl w:val="0"/>
          <w:numId w:val="34"/>
        </w:numPr>
        <w:spacing w:after="0" w:line="240" w:lineRule="auto"/>
        <w:jc w:val="both"/>
        <w:rPr>
          <w:rFonts w:ascii="Arial" w:eastAsia="Calibri" w:hAnsi="Arial" w:cs="Arial"/>
          <w:sz w:val="24"/>
          <w:szCs w:val="24"/>
        </w:rPr>
      </w:pPr>
      <w:r w:rsidRPr="00937069">
        <w:rPr>
          <w:rFonts w:ascii="Arial" w:eastAsia="Calibri" w:hAnsi="Arial" w:cs="Arial"/>
          <w:sz w:val="24"/>
          <w:szCs w:val="24"/>
        </w:rPr>
        <w:t>Pe străzile de categorie tehnică IV, valorile nivelului de zgomot echivalent prezintă o creștere în anul 2013 și 2014 fără a fi depăşită limita admisă de 60 dB, iar în anul 2017 media valorilor înregistrate prezintă valoarea cea mai scăzută;</w:t>
      </w:r>
    </w:p>
    <w:p w:rsidR="007F6E99" w:rsidRPr="00937069" w:rsidRDefault="007F6E99" w:rsidP="00EF3940">
      <w:pPr>
        <w:numPr>
          <w:ilvl w:val="0"/>
          <w:numId w:val="34"/>
        </w:numPr>
        <w:spacing w:after="0" w:line="240" w:lineRule="auto"/>
        <w:ind w:left="709" w:hanging="283"/>
        <w:jc w:val="both"/>
        <w:rPr>
          <w:rFonts w:ascii="Arial" w:eastAsia="Calibri" w:hAnsi="Arial" w:cs="Arial"/>
          <w:b/>
          <w:bCs/>
          <w:sz w:val="24"/>
          <w:szCs w:val="24"/>
        </w:rPr>
      </w:pPr>
      <w:r w:rsidRPr="00937069">
        <w:rPr>
          <w:rFonts w:ascii="Arial" w:eastAsia="Calibri" w:hAnsi="Arial" w:cs="Arial"/>
          <w:sz w:val="24"/>
          <w:szCs w:val="24"/>
        </w:rPr>
        <w:t>În zonele rezidenţiale expertizate, se constată o scădere a valorilor nivelului de zgomot exterior în anul 2017 față de anii anteriori, cu precizarea că în toată perioada 2013 - 2017 valorile medii anuale depăşesc limita admisibilă de 50 dB.</w:t>
      </w:r>
    </w:p>
    <w:p w:rsidR="007F6E99" w:rsidRPr="00EA20EC" w:rsidRDefault="007F6E99" w:rsidP="007F6E99">
      <w:pPr>
        <w:spacing w:after="0" w:line="240" w:lineRule="auto"/>
        <w:ind w:firstLine="425"/>
        <w:jc w:val="both"/>
        <w:rPr>
          <w:rFonts w:ascii="Arial" w:eastAsia="Calibri" w:hAnsi="Arial" w:cs="Arial"/>
          <w:sz w:val="24"/>
          <w:szCs w:val="24"/>
        </w:rPr>
      </w:pPr>
    </w:p>
    <w:p w:rsidR="007F6E99" w:rsidRDefault="007F6E99" w:rsidP="007F6E99">
      <w:pPr>
        <w:spacing w:after="0" w:line="240" w:lineRule="auto"/>
        <w:ind w:firstLine="425"/>
        <w:jc w:val="both"/>
        <w:rPr>
          <w:rFonts w:ascii="Arial" w:eastAsia="Calibri" w:hAnsi="Arial" w:cs="Arial"/>
          <w:bCs/>
          <w:sz w:val="24"/>
          <w:szCs w:val="24"/>
        </w:rPr>
      </w:pPr>
      <w:r w:rsidRPr="00EA20EC">
        <w:rPr>
          <w:rFonts w:ascii="Arial" w:eastAsia="Calibri" w:hAnsi="Arial" w:cs="Arial"/>
          <w:sz w:val="24"/>
          <w:szCs w:val="24"/>
        </w:rPr>
        <w:t>În figura</w:t>
      </w:r>
      <w:r w:rsidRPr="00EA20EC">
        <w:rPr>
          <w:rFonts w:ascii="Arial" w:eastAsia="Calibri" w:hAnsi="Arial" w:cs="Arial"/>
          <w:bCs/>
          <w:sz w:val="24"/>
          <w:szCs w:val="24"/>
        </w:rPr>
        <w:t>VIII.1.2.1.1 este prezentată la nivelul județului Brăila evoluția nivelului de zgomot echivalent pentru ultimii 5 ani.</w:t>
      </w:r>
    </w:p>
    <w:p w:rsidR="007F6E99" w:rsidRDefault="007F6E99" w:rsidP="007F6E99">
      <w:pPr>
        <w:spacing w:after="0" w:line="240" w:lineRule="auto"/>
        <w:ind w:firstLine="425"/>
        <w:jc w:val="both"/>
        <w:rPr>
          <w:rFonts w:ascii="Arial" w:eastAsia="Calibri" w:hAnsi="Arial" w:cs="Arial"/>
          <w:bCs/>
          <w:sz w:val="24"/>
          <w:szCs w:val="24"/>
        </w:rPr>
      </w:pPr>
    </w:p>
    <w:p w:rsidR="007F6E99" w:rsidRPr="00EA20EC" w:rsidRDefault="007F6E99" w:rsidP="007F6E99">
      <w:pPr>
        <w:tabs>
          <w:tab w:val="left" w:pos="945"/>
        </w:tabs>
        <w:spacing w:after="0" w:line="240" w:lineRule="auto"/>
        <w:jc w:val="center"/>
        <w:rPr>
          <w:rFonts w:ascii="Arial" w:eastAsia="Calibri" w:hAnsi="Arial" w:cs="Arial"/>
          <w:sz w:val="24"/>
          <w:szCs w:val="24"/>
        </w:rPr>
      </w:pPr>
      <w:r w:rsidRPr="00EA20EC">
        <w:rPr>
          <w:rFonts w:ascii="Arial" w:eastAsia="Calibri" w:hAnsi="Arial" w:cs="Arial"/>
          <w:noProof/>
          <w:sz w:val="24"/>
          <w:szCs w:val="24"/>
        </w:rPr>
        <w:drawing>
          <wp:inline distT="0" distB="0" distL="0" distR="0">
            <wp:extent cx="4800600" cy="2133600"/>
            <wp:effectExtent l="19050" t="0" r="19050" b="0"/>
            <wp:docPr id="8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7F6E99" w:rsidRPr="00EA20EC" w:rsidRDefault="007F6E99" w:rsidP="007F6E99">
      <w:pPr>
        <w:spacing w:after="0" w:line="240" w:lineRule="auto"/>
        <w:ind w:left="2832" w:firstLine="708"/>
        <w:jc w:val="both"/>
        <w:rPr>
          <w:rFonts w:ascii="Arial" w:eastAsia="Calibri" w:hAnsi="Arial" w:cs="Arial"/>
          <w:bCs/>
          <w:sz w:val="24"/>
          <w:szCs w:val="24"/>
        </w:rPr>
      </w:pPr>
      <w:r w:rsidRPr="00EA20EC">
        <w:rPr>
          <w:rFonts w:ascii="Arial" w:eastAsia="Calibri" w:hAnsi="Arial" w:cs="Arial"/>
          <w:sz w:val="24"/>
          <w:szCs w:val="24"/>
        </w:rPr>
        <w:t xml:space="preserve">Figura </w:t>
      </w:r>
      <w:r w:rsidRPr="00EA20EC">
        <w:rPr>
          <w:rFonts w:ascii="Arial" w:eastAsia="Calibri" w:hAnsi="Arial" w:cs="Arial"/>
          <w:bCs/>
          <w:sz w:val="24"/>
          <w:szCs w:val="24"/>
        </w:rPr>
        <w:t xml:space="preserve">VIII.1.2.1.1. </w:t>
      </w:r>
    </w:p>
    <w:p w:rsidR="007F6E99" w:rsidRPr="00EA20EC" w:rsidRDefault="007F6E99" w:rsidP="007F6E99">
      <w:pPr>
        <w:ind w:firstLine="708"/>
        <w:jc w:val="both"/>
        <w:rPr>
          <w:rFonts w:ascii="Arial" w:eastAsia="Calibri" w:hAnsi="Arial" w:cs="Arial"/>
          <w:sz w:val="24"/>
          <w:szCs w:val="24"/>
        </w:rPr>
      </w:pPr>
      <w:r w:rsidRPr="00EA20EC">
        <w:rPr>
          <w:rFonts w:ascii="Arial" w:eastAsia="Calibri" w:hAnsi="Arial" w:cs="Arial"/>
          <w:sz w:val="24"/>
          <w:szCs w:val="24"/>
        </w:rPr>
        <w:t>Creşterea nivelului sonor este urmarea dezvoltării în timp a activităţilor caracteristice zonelor şi este amplificat de zgomotul traficului intens ce se desfăşoară pe arterele de circulaţie aflate în apropierea zonelor respective. Această evoluţie este consecinţa faptului că traficul cunoaşte o creştere atât a numărului de maşini care se deplasează, cât și a frecvenţei deplasărilor acestora.</w:t>
      </w:r>
    </w:p>
    <w:p w:rsidR="007F6E99" w:rsidRDefault="007F6E99" w:rsidP="007F6E99">
      <w:pPr>
        <w:spacing w:after="0" w:line="240" w:lineRule="auto"/>
        <w:jc w:val="both"/>
        <w:rPr>
          <w:rFonts w:ascii="Arial" w:eastAsia="Calibri" w:hAnsi="Arial" w:cs="Arial"/>
          <w:bCs/>
          <w:sz w:val="24"/>
          <w:szCs w:val="24"/>
        </w:rPr>
      </w:pPr>
      <w:r w:rsidRPr="00EA20EC">
        <w:rPr>
          <w:rFonts w:ascii="Arial" w:eastAsia="Calibri" w:hAnsi="Arial" w:cs="Arial"/>
          <w:sz w:val="24"/>
          <w:szCs w:val="24"/>
        </w:rPr>
        <w:t>În figura</w:t>
      </w:r>
      <w:r w:rsidRPr="00EA20EC">
        <w:rPr>
          <w:rFonts w:ascii="Arial" w:eastAsia="Calibri" w:hAnsi="Arial" w:cs="Arial"/>
          <w:bCs/>
          <w:sz w:val="24"/>
          <w:szCs w:val="24"/>
        </w:rPr>
        <w:t xml:space="preserve">VIII.1.2.1.2 este prezentată la nivelul județului Brăila evoluția nivelului de zgomot echivalent </w:t>
      </w:r>
      <w:r w:rsidRPr="00EA20EC">
        <w:rPr>
          <w:rFonts w:ascii="Arial" w:eastAsia="Calibri" w:hAnsi="Arial" w:cs="Arial"/>
          <w:sz w:val="24"/>
          <w:szCs w:val="24"/>
        </w:rPr>
        <w:t xml:space="preserve">măsurat pe străzile magistrale, </w:t>
      </w:r>
      <w:r w:rsidRPr="00EA20EC">
        <w:rPr>
          <w:rFonts w:ascii="Arial" w:eastAsia="Calibri" w:hAnsi="Arial" w:cs="Arial"/>
          <w:bCs/>
          <w:sz w:val="24"/>
          <w:szCs w:val="24"/>
        </w:rPr>
        <w:t>pentru ultimii 5 ani.</w:t>
      </w:r>
    </w:p>
    <w:p w:rsidR="007F6E99" w:rsidRPr="00EA20EC" w:rsidRDefault="007F6E99" w:rsidP="007F6E99">
      <w:pPr>
        <w:spacing w:after="0" w:line="240" w:lineRule="auto"/>
        <w:jc w:val="both"/>
        <w:rPr>
          <w:rFonts w:ascii="Arial" w:eastAsia="Calibri" w:hAnsi="Arial" w:cs="Arial"/>
          <w:bCs/>
          <w:sz w:val="24"/>
          <w:szCs w:val="24"/>
        </w:rPr>
      </w:pPr>
    </w:p>
    <w:p w:rsidR="007F6E99" w:rsidRPr="00EA20EC" w:rsidRDefault="007F6E99" w:rsidP="007F6E99">
      <w:pPr>
        <w:spacing w:after="0" w:line="240" w:lineRule="auto"/>
        <w:ind w:firstLine="709"/>
        <w:jc w:val="center"/>
        <w:rPr>
          <w:rFonts w:ascii="Arial" w:eastAsia="Calibri" w:hAnsi="Arial" w:cs="Arial"/>
          <w:sz w:val="24"/>
          <w:szCs w:val="24"/>
        </w:rPr>
      </w:pPr>
      <w:r w:rsidRPr="00EA20EC">
        <w:rPr>
          <w:rFonts w:ascii="Arial" w:eastAsia="Calibri" w:hAnsi="Arial" w:cs="Arial"/>
          <w:noProof/>
          <w:sz w:val="24"/>
          <w:szCs w:val="24"/>
        </w:rPr>
        <w:drawing>
          <wp:inline distT="0" distB="0" distL="0" distR="0">
            <wp:extent cx="4791075" cy="2381250"/>
            <wp:effectExtent l="19050" t="0" r="9525" b="0"/>
            <wp:docPr id="8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F6E99" w:rsidRPr="00EA20EC" w:rsidRDefault="007F6E99" w:rsidP="007F6E99">
      <w:pPr>
        <w:tabs>
          <w:tab w:val="left" w:pos="1185"/>
        </w:tabs>
        <w:spacing w:after="0" w:line="240" w:lineRule="auto"/>
        <w:jc w:val="both"/>
        <w:rPr>
          <w:rFonts w:ascii="Arial" w:eastAsia="Calibri" w:hAnsi="Arial" w:cs="Arial"/>
          <w:bCs/>
          <w:sz w:val="24"/>
          <w:szCs w:val="24"/>
        </w:rPr>
      </w:pPr>
      <w:r w:rsidRPr="00EA20EC">
        <w:rPr>
          <w:rFonts w:ascii="Arial" w:eastAsia="Calibri" w:hAnsi="Arial" w:cs="Arial"/>
          <w:sz w:val="24"/>
          <w:szCs w:val="24"/>
        </w:rPr>
        <w:t xml:space="preserve">                                                     Figura</w:t>
      </w:r>
      <w:r w:rsidRPr="00EA20EC">
        <w:rPr>
          <w:rFonts w:ascii="Arial" w:eastAsia="Calibri" w:hAnsi="Arial" w:cs="Arial"/>
          <w:bCs/>
          <w:sz w:val="24"/>
          <w:szCs w:val="24"/>
        </w:rPr>
        <w:t xml:space="preserve"> VIII.1.2.1.2.</w:t>
      </w:r>
    </w:p>
    <w:p w:rsidR="007F6E99" w:rsidRDefault="007F6E99" w:rsidP="007F6E99">
      <w:pPr>
        <w:spacing w:after="0" w:line="240" w:lineRule="auto"/>
        <w:ind w:firstLine="709"/>
        <w:jc w:val="both"/>
        <w:rPr>
          <w:rFonts w:ascii="Arial" w:eastAsia="Calibri" w:hAnsi="Arial" w:cs="Arial"/>
          <w:sz w:val="24"/>
          <w:szCs w:val="24"/>
        </w:rPr>
      </w:pPr>
    </w:p>
    <w:p w:rsidR="007F6E99" w:rsidRPr="00EA20EC" w:rsidRDefault="007F6E99" w:rsidP="007F6E99">
      <w:pPr>
        <w:spacing w:after="0" w:line="240" w:lineRule="auto"/>
        <w:ind w:firstLine="709"/>
        <w:jc w:val="both"/>
        <w:rPr>
          <w:rFonts w:ascii="Arial" w:eastAsia="Calibri" w:hAnsi="Arial" w:cs="Arial"/>
          <w:b/>
          <w:bCs/>
          <w:sz w:val="24"/>
          <w:szCs w:val="24"/>
        </w:rPr>
      </w:pPr>
      <w:r w:rsidRPr="00EA20EC">
        <w:rPr>
          <w:rFonts w:ascii="Arial" w:eastAsia="Calibri" w:hAnsi="Arial" w:cs="Arial"/>
          <w:sz w:val="24"/>
          <w:szCs w:val="24"/>
        </w:rPr>
        <w:lastRenderedPageBreak/>
        <w:t xml:space="preserve">Din graficul </w:t>
      </w:r>
      <w:r w:rsidRPr="00EA20EC">
        <w:rPr>
          <w:rFonts w:ascii="Arial" w:eastAsia="Calibri" w:hAnsi="Arial" w:cs="Arial"/>
          <w:bCs/>
          <w:sz w:val="24"/>
          <w:szCs w:val="24"/>
        </w:rPr>
        <w:t xml:space="preserve">VIII.1.2.1.2.,referitor la zgomotul echivalent înregistrat pe străzile magistrale, limita admisă nu este depășită. </w:t>
      </w:r>
    </w:p>
    <w:p w:rsidR="007F6E99" w:rsidRDefault="007F6E99" w:rsidP="007F6E99">
      <w:pPr>
        <w:spacing w:after="0" w:line="240" w:lineRule="auto"/>
        <w:ind w:firstLine="709"/>
        <w:jc w:val="both"/>
        <w:rPr>
          <w:rFonts w:ascii="Arial" w:eastAsia="Calibri" w:hAnsi="Arial" w:cs="Arial"/>
          <w:bCs/>
          <w:sz w:val="24"/>
          <w:szCs w:val="24"/>
        </w:rPr>
      </w:pPr>
      <w:r w:rsidRPr="00EA20EC">
        <w:rPr>
          <w:rFonts w:ascii="Arial" w:eastAsia="Calibri" w:hAnsi="Arial" w:cs="Arial"/>
          <w:sz w:val="24"/>
          <w:szCs w:val="24"/>
        </w:rPr>
        <w:t>În figura</w:t>
      </w:r>
      <w:r w:rsidRPr="00EA20EC">
        <w:rPr>
          <w:rFonts w:ascii="Arial" w:eastAsia="Calibri" w:hAnsi="Arial" w:cs="Arial"/>
          <w:bCs/>
          <w:sz w:val="24"/>
          <w:szCs w:val="24"/>
        </w:rPr>
        <w:t xml:space="preserve">VIII.1.2.1.3 este prezentată evoluția nivelului de zgomot echivalent </w:t>
      </w:r>
      <w:r w:rsidRPr="00EA20EC">
        <w:rPr>
          <w:rFonts w:ascii="Arial" w:eastAsia="Calibri" w:hAnsi="Arial" w:cs="Arial"/>
          <w:sz w:val="24"/>
          <w:szCs w:val="24"/>
        </w:rPr>
        <w:t xml:space="preserve">măsurat pentru piețe, spații comerciale, restaurante în aer liber, </w:t>
      </w:r>
      <w:r w:rsidRPr="00EA20EC">
        <w:rPr>
          <w:rFonts w:ascii="Arial" w:eastAsia="Calibri" w:hAnsi="Arial" w:cs="Arial"/>
          <w:bCs/>
          <w:sz w:val="24"/>
          <w:szCs w:val="24"/>
        </w:rPr>
        <w:t>pentru ultimii 5 ani.</w:t>
      </w:r>
    </w:p>
    <w:p w:rsidR="005F3EF8" w:rsidRPr="00EA20EC" w:rsidRDefault="005F3EF8" w:rsidP="007F6E99">
      <w:pPr>
        <w:spacing w:after="0" w:line="240" w:lineRule="auto"/>
        <w:ind w:firstLine="709"/>
        <w:jc w:val="both"/>
        <w:rPr>
          <w:rFonts w:ascii="Arial" w:eastAsia="Calibri" w:hAnsi="Arial" w:cs="Arial"/>
          <w:bCs/>
          <w:sz w:val="24"/>
          <w:szCs w:val="24"/>
        </w:rPr>
      </w:pPr>
    </w:p>
    <w:p w:rsidR="007F6E99" w:rsidRPr="00EA20EC" w:rsidRDefault="007F6E99" w:rsidP="007F6E99">
      <w:pPr>
        <w:spacing w:after="0" w:line="240" w:lineRule="auto"/>
        <w:ind w:firstLine="709"/>
        <w:jc w:val="center"/>
        <w:rPr>
          <w:rFonts w:ascii="Arial" w:eastAsia="Calibri" w:hAnsi="Arial" w:cs="Arial"/>
          <w:b/>
          <w:bCs/>
          <w:sz w:val="24"/>
          <w:szCs w:val="24"/>
        </w:rPr>
      </w:pPr>
      <w:r w:rsidRPr="00EA20EC">
        <w:rPr>
          <w:rFonts w:ascii="Arial" w:eastAsia="Calibri" w:hAnsi="Arial" w:cs="Arial"/>
          <w:b/>
          <w:noProof/>
          <w:sz w:val="24"/>
          <w:szCs w:val="24"/>
        </w:rPr>
        <w:drawing>
          <wp:inline distT="0" distB="0" distL="0" distR="0">
            <wp:extent cx="4848225" cy="2733675"/>
            <wp:effectExtent l="19050" t="0" r="9525" b="0"/>
            <wp:docPr id="82"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7F6E99" w:rsidRPr="00EA20EC" w:rsidRDefault="005F3EF8" w:rsidP="007F6E99">
      <w:pPr>
        <w:tabs>
          <w:tab w:val="left" w:pos="1185"/>
        </w:tabs>
        <w:spacing w:after="0" w:line="240" w:lineRule="auto"/>
        <w:jc w:val="both"/>
        <w:rPr>
          <w:rFonts w:ascii="Arial" w:eastAsia="Calibri" w:hAnsi="Arial" w:cs="Arial"/>
          <w:bCs/>
          <w:sz w:val="24"/>
          <w:szCs w:val="24"/>
        </w:rPr>
      </w:pPr>
      <w:r>
        <w:rPr>
          <w:rFonts w:ascii="Arial" w:eastAsia="Calibri" w:hAnsi="Arial" w:cs="Arial"/>
          <w:b/>
          <w:sz w:val="24"/>
          <w:szCs w:val="24"/>
        </w:rPr>
        <w:t xml:space="preserve">                         </w:t>
      </w:r>
      <w:r w:rsidR="007F6E99" w:rsidRPr="0057532D">
        <w:rPr>
          <w:rFonts w:ascii="Arial" w:eastAsia="Calibri" w:hAnsi="Arial" w:cs="Arial"/>
          <w:b/>
          <w:sz w:val="24"/>
          <w:szCs w:val="24"/>
        </w:rPr>
        <w:t>Figura VII</w:t>
      </w:r>
      <w:r w:rsidR="007F6E99" w:rsidRPr="0057532D">
        <w:rPr>
          <w:rFonts w:ascii="Arial" w:eastAsia="Calibri" w:hAnsi="Arial" w:cs="Arial"/>
          <w:b/>
          <w:bCs/>
          <w:sz w:val="24"/>
          <w:szCs w:val="24"/>
        </w:rPr>
        <w:t>I.1.2.1.3</w:t>
      </w:r>
      <w:r w:rsidR="007F6E99" w:rsidRPr="00EA20EC">
        <w:rPr>
          <w:rFonts w:ascii="Arial" w:eastAsia="Calibri" w:hAnsi="Arial" w:cs="Arial"/>
          <w:bCs/>
          <w:sz w:val="24"/>
          <w:szCs w:val="24"/>
        </w:rPr>
        <w:t>.</w:t>
      </w:r>
    </w:p>
    <w:p w:rsidR="007F6E99" w:rsidRDefault="007F6E99" w:rsidP="007F6E99">
      <w:pPr>
        <w:spacing w:after="0" w:line="240" w:lineRule="auto"/>
        <w:jc w:val="both"/>
        <w:rPr>
          <w:rFonts w:ascii="Arial" w:eastAsia="Calibri" w:hAnsi="Arial" w:cs="Arial"/>
          <w:color w:val="FF0000"/>
          <w:sz w:val="24"/>
          <w:szCs w:val="24"/>
        </w:rPr>
      </w:pPr>
      <w:r w:rsidRPr="00EA20EC">
        <w:rPr>
          <w:rFonts w:ascii="Arial" w:eastAsia="Calibri" w:hAnsi="Arial" w:cs="Arial"/>
          <w:color w:val="FF0000"/>
          <w:sz w:val="24"/>
          <w:szCs w:val="24"/>
        </w:rPr>
        <w:tab/>
      </w:r>
    </w:p>
    <w:p w:rsidR="007F6E99" w:rsidRPr="00EA20EC" w:rsidRDefault="007F6E99" w:rsidP="007F6E99">
      <w:pPr>
        <w:spacing w:after="0" w:line="240" w:lineRule="auto"/>
        <w:ind w:firstLine="720"/>
        <w:jc w:val="both"/>
        <w:rPr>
          <w:rFonts w:ascii="Arial" w:eastAsia="Calibri" w:hAnsi="Arial" w:cs="Arial"/>
          <w:color w:val="FF0000"/>
          <w:sz w:val="24"/>
          <w:szCs w:val="24"/>
        </w:rPr>
      </w:pPr>
      <w:r w:rsidRPr="00EA20EC">
        <w:rPr>
          <w:rFonts w:ascii="Arial" w:eastAsia="Calibri" w:hAnsi="Arial" w:cs="Arial"/>
          <w:sz w:val="24"/>
          <w:szCs w:val="24"/>
        </w:rPr>
        <w:t xml:space="preserve">Din graficul </w:t>
      </w:r>
      <w:r w:rsidRPr="00EA20EC">
        <w:rPr>
          <w:rFonts w:ascii="Arial" w:eastAsia="Calibri" w:hAnsi="Arial" w:cs="Arial"/>
          <w:bCs/>
          <w:sz w:val="24"/>
          <w:szCs w:val="24"/>
        </w:rPr>
        <w:t xml:space="preserve">VIII.1.2.1.3.,referitor la zgomotul echivalent înregistrat </w:t>
      </w:r>
      <w:r w:rsidRPr="00EA20EC">
        <w:rPr>
          <w:rFonts w:ascii="Arial" w:eastAsia="Calibri" w:hAnsi="Arial" w:cs="Arial"/>
          <w:sz w:val="24"/>
          <w:szCs w:val="24"/>
        </w:rPr>
        <w:t>pentru piețe, spații comerciale, restaurante în aer liber</w:t>
      </w:r>
      <w:r w:rsidRPr="00EA20EC">
        <w:rPr>
          <w:rFonts w:ascii="Arial" w:eastAsia="Calibri" w:hAnsi="Arial" w:cs="Arial"/>
          <w:bCs/>
          <w:sz w:val="24"/>
          <w:szCs w:val="24"/>
        </w:rPr>
        <w:t xml:space="preserve">, rezultă faptul că limita admisă nu este depășită. </w:t>
      </w:r>
      <w:r w:rsidRPr="00EA20EC">
        <w:rPr>
          <w:rFonts w:ascii="Arial" w:eastAsia="Calibri" w:hAnsi="Arial" w:cs="Arial"/>
          <w:sz w:val="24"/>
          <w:szCs w:val="24"/>
        </w:rPr>
        <w:t>În fapt se poate concluziona, că în mediul urban acţionează în mod concomitent mai multe categorii de zgomot: domestice, industriale, produse de activităţile de construcţie, de mijloacele de transport, dar cea mai importantă sursă de zgomot o constituie totuşi circulaţia autovehiculelor</w:t>
      </w:r>
      <w:r w:rsidRPr="00EA20EC">
        <w:rPr>
          <w:rFonts w:ascii="Arial" w:eastAsia="Calibri" w:hAnsi="Arial" w:cs="Arial"/>
          <w:color w:val="FF0000"/>
          <w:sz w:val="24"/>
          <w:szCs w:val="24"/>
        </w:rPr>
        <w:t>.</w:t>
      </w:r>
    </w:p>
    <w:p w:rsidR="007F6E99" w:rsidRPr="00EA20EC" w:rsidRDefault="007F6E99" w:rsidP="007F6E99">
      <w:pPr>
        <w:spacing w:after="0" w:line="240" w:lineRule="auto"/>
        <w:jc w:val="both"/>
        <w:rPr>
          <w:rFonts w:ascii="Arial" w:eastAsia="Calibri" w:hAnsi="Arial" w:cs="Arial"/>
          <w:sz w:val="24"/>
          <w:szCs w:val="24"/>
        </w:rPr>
      </w:pPr>
      <w:r w:rsidRPr="00EA20EC">
        <w:rPr>
          <w:rFonts w:ascii="Arial" w:eastAsia="Calibri" w:hAnsi="Arial" w:cs="Arial"/>
          <w:sz w:val="24"/>
          <w:szCs w:val="24"/>
        </w:rPr>
        <w:tab/>
        <w:t xml:space="preserve">Sesizând creşterea poluării fonice şi a efectelor datorate ei, ţările europene s-au aliat pentru a găsi modalităţi de identificare, prevenire şi combatere a zgomotului. Astfel, Uniunea Europeană a emis în acest sens Directiva 2002/49/EC transpusă în legislația românească prin HG nr. 321/2005*** republicată, cu completările ulterioare - privind evaluarea şi gestionarea zgomotului ambiant, pentru care au fost realizate hărți strategice de zgomot și planuri de acțiune, care pot conduce la o planificarea acustică. În acest sens termenul "strategic" este foarte important, deoarece gestionarea zgomotului ambiental trebuie să se facă pe termen lung. </w:t>
      </w:r>
    </w:p>
    <w:p w:rsidR="007F6E99" w:rsidRPr="00D616B4" w:rsidRDefault="007F6E99" w:rsidP="007F6E99">
      <w:pPr>
        <w:spacing w:after="0" w:line="240" w:lineRule="auto"/>
        <w:jc w:val="both"/>
        <w:rPr>
          <w:rFonts w:ascii="Arial" w:eastAsia="Calibri" w:hAnsi="Arial" w:cs="Arial"/>
          <w:sz w:val="24"/>
          <w:szCs w:val="24"/>
        </w:rPr>
      </w:pPr>
      <w:r w:rsidRPr="00D616B4">
        <w:rPr>
          <w:rFonts w:ascii="Arial" w:eastAsia="Calibri" w:hAnsi="Arial" w:cs="Arial"/>
          <w:sz w:val="24"/>
          <w:szCs w:val="24"/>
        </w:rPr>
        <w:tab/>
        <w:t>Harta de zgomot este o reprezentare grafică a distribuirii nivelului sunetului într-o regiune anume, pentru o perioadă de timp bine definită. Realizarea hărților de zgomot este una din metodele moderne de evaluare a poluării acustice urbane. Hărțile de zgomot au ca scop evidențierea zonelor locuite unde nivelul de zgomot se ridică peste anumite limite impuse de legislație și astfel folosește la elaborarea de planuri de acțiune de protecție a locuitorilor împotriva expunerii și reducere a nivelurilor de zgomot.</w:t>
      </w:r>
    </w:p>
    <w:p w:rsidR="007F6E99" w:rsidRPr="00D616B4" w:rsidRDefault="007F6E99" w:rsidP="007F6E99">
      <w:pPr>
        <w:autoSpaceDE w:val="0"/>
        <w:autoSpaceDN w:val="0"/>
        <w:adjustRightInd w:val="0"/>
        <w:spacing w:after="0" w:line="240" w:lineRule="auto"/>
        <w:jc w:val="both"/>
        <w:rPr>
          <w:rFonts w:ascii="Arial" w:eastAsia="Calibri" w:hAnsi="Arial" w:cs="Arial"/>
          <w:sz w:val="24"/>
          <w:szCs w:val="24"/>
        </w:rPr>
      </w:pPr>
      <w:r w:rsidRPr="00D616B4">
        <w:rPr>
          <w:rFonts w:ascii="Arial" w:eastAsia="Calibri" w:hAnsi="Arial" w:cs="Arial"/>
          <w:sz w:val="24"/>
          <w:szCs w:val="24"/>
        </w:rPr>
        <w:tab/>
        <w:t>O hartă de zgomot este :</w:t>
      </w:r>
    </w:p>
    <w:p w:rsidR="007F6E99" w:rsidRPr="00D616B4" w:rsidRDefault="007F6E99" w:rsidP="00EF3940">
      <w:pPr>
        <w:numPr>
          <w:ilvl w:val="0"/>
          <w:numId w:val="73"/>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situație de indicație a zgomotului existentă, trecută sau viitoare în termenii unui indicator de zgomot;</w:t>
      </w:r>
    </w:p>
    <w:p w:rsidR="007F6E99" w:rsidRPr="00D616B4" w:rsidRDefault="007F6E99" w:rsidP="00EF3940">
      <w:pPr>
        <w:numPr>
          <w:ilvl w:val="0"/>
          <w:numId w:val="73"/>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depășirea unei valori limită;</w:t>
      </w:r>
    </w:p>
    <w:p w:rsidR="007F6E99" w:rsidRPr="00D616B4" w:rsidRDefault="007F6E99" w:rsidP="00EF3940">
      <w:pPr>
        <w:numPr>
          <w:ilvl w:val="0"/>
          <w:numId w:val="73"/>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numărul de locuințe dintr-o anumită zonă care sunt expuse la anumite valori ale indicatorului de zgomot;</w:t>
      </w:r>
    </w:p>
    <w:p w:rsidR="007F6E99" w:rsidRPr="00D616B4" w:rsidRDefault="007F6E99" w:rsidP="00EF3940">
      <w:pPr>
        <w:numPr>
          <w:ilvl w:val="0"/>
          <w:numId w:val="73"/>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numărul de persoane ce este afectat (disconfort, deranj somn,etc) într-o anumită zonă.</w:t>
      </w:r>
    </w:p>
    <w:p w:rsidR="007F6E99" w:rsidRPr="00D616B4" w:rsidRDefault="007F6E99" w:rsidP="007F6E99">
      <w:pPr>
        <w:autoSpaceDE w:val="0"/>
        <w:autoSpaceDN w:val="0"/>
        <w:adjustRightInd w:val="0"/>
        <w:spacing w:after="0" w:line="240" w:lineRule="auto"/>
        <w:jc w:val="both"/>
        <w:rPr>
          <w:rFonts w:ascii="Arial" w:eastAsia="Calibri" w:hAnsi="Arial" w:cs="Arial"/>
          <w:sz w:val="24"/>
          <w:szCs w:val="24"/>
        </w:rPr>
      </w:pPr>
    </w:p>
    <w:p w:rsidR="007F6E99" w:rsidRPr="00D616B4" w:rsidRDefault="007F6E99" w:rsidP="007F6E99">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ab/>
      </w:r>
      <w:r w:rsidRPr="00D616B4">
        <w:rPr>
          <w:rFonts w:ascii="Arial" w:eastAsia="Calibri" w:hAnsi="Arial" w:cs="Arial"/>
          <w:b/>
          <w:sz w:val="24"/>
          <w:szCs w:val="24"/>
        </w:rPr>
        <w:t>Hărțile de zgomot</w:t>
      </w:r>
      <w:r w:rsidRPr="00D616B4">
        <w:rPr>
          <w:rFonts w:ascii="Arial" w:eastAsia="Calibri" w:hAnsi="Arial" w:cs="Arial"/>
          <w:sz w:val="24"/>
          <w:szCs w:val="24"/>
        </w:rPr>
        <w:t xml:space="preserve"> trebuie să servească următoarelor cauze: oferă o bază pentru datele ce trebuie trimise Comisiei Europene; reprezintă o sursă de informare pentru cetățeni; oferă o bază pentru planuri de acțiune. Fiecare dintre aceste cauze necesită diferite tipuri de hărți acustice.</w:t>
      </w:r>
    </w:p>
    <w:p w:rsidR="007F6E99" w:rsidRPr="00D616B4" w:rsidRDefault="007F6E99" w:rsidP="007F6E99">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bCs/>
          <w:sz w:val="24"/>
          <w:szCs w:val="24"/>
        </w:rPr>
        <w:tab/>
      </w:r>
      <w:r w:rsidRPr="00D616B4">
        <w:rPr>
          <w:rFonts w:ascii="Arial" w:eastAsia="Calibri" w:hAnsi="Arial" w:cs="Arial"/>
          <w:b/>
          <w:bCs/>
          <w:sz w:val="24"/>
          <w:szCs w:val="24"/>
        </w:rPr>
        <w:t xml:space="preserve">Planurile de acţiune </w:t>
      </w:r>
      <w:r w:rsidRPr="00D616B4">
        <w:rPr>
          <w:rFonts w:ascii="Arial" w:eastAsia="Calibri" w:hAnsi="Arial" w:cs="Arial"/>
          <w:sz w:val="24"/>
          <w:szCs w:val="24"/>
        </w:rPr>
        <w:t>sunt destinate gestionării problemelor şi efectelor cauzate de zgomot, incluzând măsuri de diminuare, dacă este necesar. Planul de acţiune este o continuare naturală a procesului de cartare strategică a zgomotului.</w:t>
      </w:r>
    </w:p>
    <w:p w:rsidR="007F6E99" w:rsidRPr="00D616B4" w:rsidRDefault="007F6E99" w:rsidP="007F6E99">
      <w:pPr>
        <w:autoSpaceDE w:val="0"/>
        <w:autoSpaceDN w:val="0"/>
        <w:adjustRightInd w:val="0"/>
        <w:spacing w:after="0" w:line="240" w:lineRule="auto"/>
        <w:ind w:firstLine="708"/>
        <w:jc w:val="both"/>
        <w:rPr>
          <w:rFonts w:ascii="Arial" w:eastAsia="Calibri" w:hAnsi="Arial" w:cs="Arial"/>
          <w:b/>
          <w:bCs/>
          <w:sz w:val="24"/>
          <w:szCs w:val="24"/>
        </w:rPr>
      </w:pPr>
    </w:p>
    <w:p w:rsidR="007F6E99" w:rsidRPr="00D616B4" w:rsidRDefault="007F6E99" w:rsidP="007F6E99">
      <w:pPr>
        <w:autoSpaceDE w:val="0"/>
        <w:autoSpaceDN w:val="0"/>
        <w:adjustRightInd w:val="0"/>
        <w:spacing w:after="0" w:line="240" w:lineRule="auto"/>
        <w:ind w:firstLine="708"/>
        <w:jc w:val="both"/>
        <w:rPr>
          <w:rFonts w:ascii="Arial" w:eastAsia="Calibri" w:hAnsi="Arial" w:cs="Arial"/>
          <w:sz w:val="24"/>
          <w:szCs w:val="24"/>
        </w:rPr>
      </w:pPr>
      <w:r w:rsidRPr="00D616B4">
        <w:rPr>
          <w:rFonts w:ascii="Arial" w:eastAsia="Calibri" w:hAnsi="Arial" w:cs="Arial"/>
          <w:b/>
          <w:bCs/>
          <w:sz w:val="24"/>
          <w:szCs w:val="24"/>
        </w:rPr>
        <w:lastRenderedPageBreak/>
        <w:t xml:space="preserve">1. Hărţile strategice de zgomot pentru </w:t>
      </w:r>
      <w:r w:rsidRPr="00D616B4">
        <w:rPr>
          <w:rFonts w:ascii="Arial" w:eastAsia="Calibri" w:hAnsi="Arial" w:cs="Arial"/>
          <w:b/>
          <w:sz w:val="24"/>
          <w:szCs w:val="24"/>
        </w:rPr>
        <w:t>Municipiul Brăila</w:t>
      </w:r>
      <w:r w:rsidRPr="00D616B4">
        <w:rPr>
          <w:rFonts w:ascii="Arial" w:eastAsia="Calibri" w:hAnsi="Arial" w:cs="Arial"/>
          <w:sz w:val="24"/>
          <w:szCs w:val="24"/>
        </w:rPr>
        <w:t xml:space="preserve"> au fost realizate și aprobate prin Hotărârea HCLM Brăila nr. 278/27.10.2015.</w:t>
      </w:r>
      <w:r>
        <w:rPr>
          <w:rFonts w:ascii="Arial" w:eastAsia="Calibri" w:hAnsi="Arial" w:cs="Arial"/>
          <w:sz w:val="24"/>
          <w:szCs w:val="24"/>
        </w:rPr>
        <w:t xml:space="preserve"> În anul 2017 nu au fost refăcute  hărțile strategice de zgomot, termenul fiind de 30 iunie 2017. </w:t>
      </w:r>
    </w:p>
    <w:p w:rsidR="007F6E99" w:rsidRDefault="007F6E99" w:rsidP="007F6E99">
      <w:pPr>
        <w:autoSpaceDE w:val="0"/>
        <w:autoSpaceDN w:val="0"/>
        <w:adjustRightInd w:val="0"/>
        <w:spacing w:after="0" w:line="240" w:lineRule="auto"/>
        <w:jc w:val="both"/>
        <w:rPr>
          <w:rFonts w:ascii="Arial" w:eastAsia="Calibri" w:hAnsi="Arial" w:cs="Arial"/>
          <w:bCs/>
          <w:iCs/>
          <w:sz w:val="24"/>
          <w:szCs w:val="24"/>
        </w:rPr>
      </w:pPr>
      <w:r w:rsidRPr="00D616B4">
        <w:rPr>
          <w:rFonts w:ascii="Arial" w:eastAsia="Calibri" w:hAnsi="Arial" w:cs="Arial"/>
          <w:b/>
          <w:bCs/>
          <w:i/>
          <w:iCs/>
          <w:sz w:val="24"/>
          <w:szCs w:val="24"/>
        </w:rPr>
        <w:tab/>
        <w:t xml:space="preserve">2. </w:t>
      </w:r>
      <w:r w:rsidRPr="00D616B4">
        <w:rPr>
          <w:rFonts w:ascii="Arial" w:eastAsia="Calibri" w:hAnsi="Arial" w:cs="Arial"/>
          <w:b/>
          <w:bCs/>
          <w:iCs/>
          <w:sz w:val="24"/>
          <w:szCs w:val="24"/>
        </w:rPr>
        <w:t xml:space="preserve">Planul de acţiune pentru reducerea nivelului de zgomot ambiant în municipiul Brăila </w:t>
      </w:r>
      <w:r>
        <w:rPr>
          <w:rFonts w:ascii="Arial" w:eastAsia="Calibri" w:hAnsi="Arial" w:cs="Arial"/>
          <w:b/>
          <w:bCs/>
          <w:iCs/>
          <w:sz w:val="24"/>
          <w:szCs w:val="24"/>
        </w:rPr>
        <w:t>a fost aprobat în anul 2017 prin HCLM 477/30.10.2017.</w:t>
      </w:r>
    </w:p>
    <w:p w:rsidR="007F6E99" w:rsidRPr="00D616B4" w:rsidRDefault="007F6E99" w:rsidP="007F6E99">
      <w:pPr>
        <w:tabs>
          <w:tab w:val="left" w:pos="567"/>
          <w:tab w:val="left" w:pos="709"/>
          <w:tab w:val="left" w:pos="993"/>
        </w:tabs>
        <w:autoSpaceDE w:val="0"/>
        <w:autoSpaceDN w:val="0"/>
        <w:adjustRightInd w:val="0"/>
        <w:spacing w:after="0" w:line="240" w:lineRule="auto"/>
        <w:jc w:val="both"/>
        <w:rPr>
          <w:rFonts w:ascii="Arial" w:eastAsia="Calibri" w:hAnsi="Arial" w:cs="Arial"/>
          <w:sz w:val="24"/>
          <w:szCs w:val="24"/>
        </w:rPr>
      </w:pPr>
      <w:r w:rsidRPr="00D616B4">
        <w:rPr>
          <w:rFonts w:ascii="Arial" w:eastAsia="Calibri" w:hAnsi="Arial" w:cs="Arial"/>
          <w:b/>
          <w:bCs/>
          <w:sz w:val="24"/>
          <w:szCs w:val="24"/>
        </w:rPr>
        <w:tab/>
        <w:t xml:space="preserve">  3. Compania Naţională Administraţia Porturilor Dunării Maritime SA Galaţi</w:t>
      </w:r>
      <w:r w:rsidRPr="00D616B4">
        <w:rPr>
          <w:rFonts w:ascii="Arial" w:eastAsia="Calibri" w:hAnsi="Arial" w:cs="Arial"/>
          <w:sz w:val="24"/>
          <w:szCs w:val="24"/>
        </w:rPr>
        <w:t xml:space="preserve"> a realizat </w:t>
      </w:r>
      <w:r w:rsidRPr="00D616B4">
        <w:rPr>
          <w:rFonts w:ascii="Arial" w:eastAsia="Calibri" w:hAnsi="Arial" w:cs="Arial"/>
          <w:b/>
          <w:sz w:val="24"/>
          <w:szCs w:val="24"/>
        </w:rPr>
        <w:t xml:space="preserve">Hărțile strategice de zgomot pentru Portul Brăila </w:t>
      </w:r>
      <w:r w:rsidRPr="00D616B4">
        <w:rPr>
          <w:rFonts w:ascii="Arial" w:eastAsia="Calibri" w:hAnsi="Arial" w:cs="Arial"/>
          <w:b/>
          <w:i/>
          <w:sz w:val="24"/>
          <w:szCs w:val="24"/>
        </w:rPr>
        <w:t>(Hârșova, Turcoaia, Măcin, Gura Arman)</w:t>
      </w:r>
      <w:r w:rsidRPr="00D616B4">
        <w:rPr>
          <w:rFonts w:ascii="Arial" w:eastAsia="Calibri" w:hAnsi="Arial" w:cs="Arial"/>
          <w:i/>
          <w:sz w:val="24"/>
          <w:szCs w:val="24"/>
        </w:rPr>
        <w:t xml:space="preserve"> și </w:t>
      </w:r>
      <w:r w:rsidRPr="00D616B4">
        <w:rPr>
          <w:rFonts w:ascii="Arial" w:eastAsia="Calibri" w:hAnsi="Arial" w:cs="Arial"/>
          <w:bCs/>
          <w:sz w:val="24"/>
          <w:szCs w:val="24"/>
        </w:rPr>
        <w:t>au fost aprobate prin Ordinul Ministerului Transporturilor nr. 1</w:t>
      </w:r>
      <w:r>
        <w:rPr>
          <w:rFonts w:ascii="Arial" w:eastAsia="Calibri" w:hAnsi="Arial" w:cs="Arial"/>
          <w:bCs/>
          <w:sz w:val="24"/>
          <w:szCs w:val="24"/>
        </w:rPr>
        <w:t>472</w:t>
      </w:r>
      <w:r w:rsidRPr="00D616B4">
        <w:rPr>
          <w:rFonts w:ascii="Arial" w:eastAsia="Calibri" w:hAnsi="Arial" w:cs="Arial"/>
          <w:bCs/>
          <w:sz w:val="24"/>
          <w:szCs w:val="24"/>
        </w:rPr>
        <w:t xml:space="preserve"> /</w:t>
      </w:r>
      <w:r>
        <w:rPr>
          <w:rFonts w:ascii="Arial" w:eastAsia="Calibri" w:hAnsi="Arial" w:cs="Arial"/>
          <w:bCs/>
          <w:sz w:val="24"/>
          <w:szCs w:val="24"/>
        </w:rPr>
        <w:t>05.10.2017</w:t>
      </w:r>
      <w:r w:rsidRPr="00D616B4">
        <w:rPr>
          <w:rFonts w:ascii="Arial" w:eastAsia="Calibri" w:hAnsi="Arial" w:cs="Arial"/>
          <w:bCs/>
          <w:sz w:val="24"/>
          <w:szCs w:val="24"/>
        </w:rPr>
        <w:t xml:space="preserve">. </w:t>
      </w:r>
    </w:p>
    <w:p w:rsidR="007F6E99" w:rsidRPr="00D616B4" w:rsidRDefault="007F6E99" w:rsidP="007F6E99">
      <w:pPr>
        <w:autoSpaceDE w:val="0"/>
        <w:autoSpaceDN w:val="0"/>
        <w:adjustRightInd w:val="0"/>
        <w:spacing w:after="0" w:line="240" w:lineRule="auto"/>
        <w:ind w:firstLine="708"/>
        <w:jc w:val="both"/>
        <w:rPr>
          <w:rFonts w:ascii="Arial" w:eastAsia="Calibri" w:hAnsi="Arial" w:cs="Arial"/>
          <w:sz w:val="24"/>
          <w:szCs w:val="24"/>
        </w:rPr>
      </w:pPr>
      <w:r w:rsidRPr="00D616B4">
        <w:rPr>
          <w:rFonts w:ascii="Arial" w:eastAsia="Calibri" w:hAnsi="Arial" w:cs="Arial"/>
          <w:b/>
          <w:bCs/>
          <w:sz w:val="24"/>
          <w:szCs w:val="24"/>
        </w:rPr>
        <w:t>4.Compania Naţională Administraţia Porturilor Dunării Maritime SA Galaţi</w:t>
      </w:r>
      <w:r w:rsidRPr="00D616B4">
        <w:rPr>
          <w:rFonts w:ascii="Arial" w:eastAsia="Calibri" w:hAnsi="Arial" w:cs="Arial"/>
          <w:sz w:val="24"/>
          <w:szCs w:val="24"/>
        </w:rPr>
        <w:t xml:space="preserve"> a realizat </w:t>
      </w:r>
      <w:r w:rsidRPr="00D616B4">
        <w:rPr>
          <w:rFonts w:ascii="Arial" w:eastAsia="Calibri" w:hAnsi="Arial" w:cs="Arial"/>
          <w:b/>
          <w:bCs/>
          <w:sz w:val="24"/>
          <w:szCs w:val="24"/>
        </w:rPr>
        <w:t xml:space="preserve">Planurile de acţiune destinate gestionării zgomotului și a efectelor acestuia </w:t>
      </w:r>
      <w:r w:rsidRPr="00D616B4">
        <w:rPr>
          <w:rFonts w:ascii="Arial" w:eastAsia="Calibri" w:hAnsi="Arial" w:cs="Arial"/>
          <w:b/>
          <w:sz w:val="24"/>
          <w:szCs w:val="24"/>
        </w:rPr>
        <w:t xml:space="preserve">pentru Portul Brăila </w:t>
      </w:r>
      <w:r w:rsidRPr="00D616B4">
        <w:rPr>
          <w:rFonts w:ascii="Arial" w:eastAsia="Calibri" w:hAnsi="Arial" w:cs="Arial"/>
          <w:b/>
          <w:i/>
          <w:sz w:val="24"/>
          <w:szCs w:val="24"/>
        </w:rPr>
        <w:t xml:space="preserve">(Hârșova, Turcoaia, Măcin, Gura Arman) </w:t>
      </w:r>
      <w:r w:rsidRPr="00D616B4">
        <w:rPr>
          <w:rFonts w:ascii="Arial" w:eastAsia="Calibri" w:hAnsi="Arial" w:cs="Arial"/>
          <w:sz w:val="24"/>
          <w:szCs w:val="24"/>
        </w:rPr>
        <w:t>au fost aprobate prin  Ordinul Ministerului Transportului nr. 672/25.05.2015.</w:t>
      </w:r>
    </w:p>
    <w:p w:rsidR="007F6E99" w:rsidRPr="00D616B4" w:rsidRDefault="007F6E99" w:rsidP="007F6E99">
      <w:pPr>
        <w:autoSpaceDE w:val="0"/>
        <w:autoSpaceDN w:val="0"/>
        <w:adjustRightInd w:val="0"/>
        <w:spacing w:after="0" w:line="240" w:lineRule="auto"/>
        <w:ind w:firstLine="708"/>
        <w:jc w:val="both"/>
        <w:rPr>
          <w:rFonts w:ascii="Arial" w:eastAsia="Calibri" w:hAnsi="Arial" w:cs="Arial"/>
          <w:sz w:val="24"/>
          <w:szCs w:val="24"/>
        </w:rPr>
      </w:pPr>
      <w:r w:rsidRPr="00D616B4">
        <w:rPr>
          <w:rFonts w:ascii="Arial" w:eastAsia="Calibri" w:hAnsi="Arial" w:cs="Arial"/>
          <w:sz w:val="24"/>
          <w:szCs w:val="24"/>
        </w:rPr>
        <w:t>Rezolvarea problemei poluării sonore impune o abordare pluridisciplinară în care trebuie antrenaţi specialişti din diferite domenii: urbanism şi amenajarea teritoriului, protecţia mediului, sănătate publică, poliţie, informatică, inginerie, mass-media, organizaţii neguvernamentale etc.</w:t>
      </w:r>
    </w:p>
    <w:p w:rsidR="007F6E99" w:rsidRPr="00D616B4" w:rsidRDefault="007F6E99" w:rsidP="007F6E99">
      <w:pPr>
        <w:autoSpaceDE w:val="0"/>
        <w:autoSpaceDN w:val="0"/>
        <w:adjustRightInd w:val="0"/>
        <w:spacing w:after="0" w:line="240" w:lineRule="auto"/>
        <w:jc w:val="both"/>
        <w:rPr>
          <w:rFonts w:ascii="Arial" w:eastAsia="Calibri" w:hAnsi="Arial" w:cs="Arial"/>
          <w:sz w:val="24"/>
          <w:szCs w:val="24"/>
        </w:rPr>
      </w:pPr>
      <w:r w:rsidRPr="00D616B4">
        <w:rPr>
          <w:rFonts w:ascii="Arial" w:eastAsia="Calibri" w:hAnsi="Arial" w:cs="Arial"/>
          <w:sz w:val="24"/>
          <w:szCs w:val="24"/>
        </w:rPr>
        <w:t>Dintre obiectivele şi măsurile avute în vedere a fi aplicabile enumerăm:</w:t>
      </w:r>
    </w:p>
    <w:p w:rsidR="007F6E99" w:rsidRPr="00D616B4" w:rsidRDefault="007F6E99" w:rsidP="00EF3940">
      <w:pPr>
        <w:numPr>
          <w:ilvl w:val="0"/>
          <w:numId w:val="74"/>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punerea în aplicare a planurilor de acţiune având ca scop prevenirea şi reducerea  zgomotului ambiental în zonele pentru care s-au întocmit hărţile de zgomot;</w:t>
      </w:r>
    </w:p>
    <w:p w:rsidR="007F6E99" w:rsidRPr="00D616B4" w:rsidRDefault="007F6E99" w:rsidP="00EF3940">
      <w:pPr>
        <w:numPr>
          <w:ilvl w:val="0"/>
          <w:numId w:val="74"/>
        </w:numPr>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amplasarea noilor obiective industriale şi economice în afara zonelor de locuit;</w:t>
      </w:r>
    </w:p>
    <w:p w:rsidR="007F6E99" w:rsidRPr="00D616B4" w:rsidRDefault="007F6E99" w:rsidP="00EF3940">
      <w:pPr>
        <w:numPr>
          <w:ilvl w:val="0"/>
          <w:numId w:val="74"/>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evitarea construirii de noi locuinţe în zonele identificate cu un nivel ridicat a nivelului de  zgomot;</w:t>
      </w:r>
    </w:p>
    <w:p w:rsidR="007F6E99" w:rsidRPr="00D616B4" w:rsidRDefault="007F6E99" w:rsidP="00EF3940">
      <w:pPr>
        <w:numPr>
          <w:ilvl w:val="0"/>
          <w:numId w:val="74"/>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utilizarea în construcţii a materialelor fonoabsorbante;</w:t>
      </w:r>
    </w:p>
    <w:p w:rsidR="007F6E99" w:rsidRPr="00D616B4" w:rsidRDefault="007F6E99" w:rsidP="00EF3940">
      <w:pPr>
        <w:numPr>
          <w:ilvl w:val="0"/>
          <w:numId w:val="74"/>
        </w:numPr>
        <w:autoSpaceDE w:val="0"/>
        <w:autoSpaceDN w:val="0"/>
        <w:adjustRightInd w:val="0"/>
        <w:spacing w:after="0" w:line="240" w:lineRule="auto"/>
        <w:contextualSpacing/>
        <w:jc w:val="both"/>
        <w:rPr>
          <w:rFonts w:ascii="Arial" w:eastAsia="Times New Roman" w:hAnsi="Arial" w:cs="Arial"/>
          <w:sz w:val="24"/>
          <w:szCs w:val="24"/>
        </w:rPr>
      </w:pPr>
      <w:r w:rsidRPr="00D616B4">
        <w:rPr>
          <w:rFonts w:ascii="Arial" w:eastAsia="Times New Roman" w:hAnsi="Arial" w:cs="Arial"/>
          <w:sz w:val="24"/>
          <w:szCs w:val="24"/>
        </w:rPr>
        <w:t>monitorizarea zgomotului în incintele industriale, prin actele de reglementare emise din punct de vedere al protecţiei mediului.</w:t>
      </w:r>
    </w:p>
    <w:p w:rsidR="007F6E99" w:rsidRPr="009B0B93" w:rsidRDefault="007F6E99" w:rsidP="007F6E99">
      <w:pPr>
        <w:jc w:val="center"/>
        <w:rPr>
          <w:rFonts w:ascii="Arial" w:hAnsi="Arial" w:cs="Arial"/>
          <w:b/>
          <w:sz w:val="24"/>
          <w:szCs w:val="24"/>
        </w:rPr>
      </w:pPr>
    </w:p>
    <w:p w:rsidR="007F6E99" w:rsidRPr="00594535" w:rsidRDefault="007F6E99" w:rsidP="007F6E99">
      <w:pPr>
        <w:jc w:val="both"/>
        <w:rPr>
          <w:rFonts w:ascii="Arial" w:hAnsi="Arial" w:cs="Arial"/>
          <w:b/>
          <w:sz w:val="24"/>
          <w:szCs w:val="24"/>
          <w:highlight w:val="yellow"/>
          <w:lang w:val="en-US"/>
        </w:rPr>
      </w:pPr>
      <w:r w:rsidRPr="00594535">
        <w:rPr>
          <w:rFonts w:ascii="Arial" w:hAnsi="Arial" w:cs="Arial"/>
          <w:b/>
          <w:sz w:val="24"/>
          <w:szCs w:val="24"/>
          <w:lang w:val="en-US"/>
        </w:rPr>
        <w:t xml:space="preserve">VIII.1.3. </w:t>
      </w:r>
      <w:r w:rsidRPr="00E2616E">
        <w:rPr>
          <w:rFonts w:ascii="Arial" w:hAnsi="Arial" w:cs="Arial"/>
          <w:b/>
          <w:i/>
          <w:sz w:val="24"/>
          <w:szCs w:val="24"/>
          <w:lang w:val="en-US"/>
        </w:rPr>
        <w:t xml:space="preserve">Calitatea apei potabile şi efectele asupra sǎnǎtǎţii </w:t>
      </w:r>
    </w:p>
    <w:p w:rsidR="007F6E99" w:rsidRPr="00443724" w:rsidRDefault="007F6E99" w:rsidP="007F6E99">
      <w:pPr>
        <w:jc w:val="both"/>
        <w:rPr>
          <w:rFonts w:ascii="Arial" w:hAnsi="Arial" w:cs="Arial"/>
          <w:color w:val="000000"/>
          <w:sz w:val="24"/>
          <w:szCs w:val="24"/>
        </w:rPr>
      </w:pPr>
      <w:r>
        <w:rPr>
          <w:rFonts w:ascii="Arial" w:hAnsi="Arial" w:cs="Arial"/>
          <w:color w:val="000000"/>
          <w:sz w:val="24"/>
          <w:szCs w:val="24"/>
        </w:rPr>
        <w:t>Î</w:t>
      </w:r>
      <w:r w:rsidRPr="00443724">
        <w:rPr>
          <w:rFonts w:ascii="Arial" w:hAnsi="Arial" w:cs="Arial"/>
          <w:color w:val="000000"/>
          <w:sz w:val="24"/>
          <w:szCs w:val="24"/>
        </w:rPr>
        <w:t>n judetul Br</w:t>
      </w:r>
      <w:r>
        <w:rPr>
          <w:rFonts w:ascii="Arial" w:hAnsi="Arial" w:cs="Arial"/>
          <w:color w:val="000000"/>
          <w:sz w:val="24"/>
          <w:szCs w:val="24"/>
        </w:rPr>
        <w:t>ă</w:t>
      </w:r>
      <w:r w:rsidRPr="00443724">
        <w:rPr>
          <w:rFonts w:ascii="Arial" w:hAnsi="Arial" w:cs="Arial"/>
          <w:color w:val="000000"/>
          <w:sz w:val="24"/>
          <w:szCs w:val="24"/>
        </w:rPr>
        <w:t>ila au func</w:t>
      </w:r>
      <w:r w:rsidR="005F3EF8">
        <w:rPr>
          <w:rFonts w:ascii="Arial" w:hAnsi="Arial" w:cs="Arial"/>
          <w:color w:val="000000"/>
          <w:sz w:val="24"/>
          <w:szCs w:val="24"/>
        </w:rPr>
        <w:t>ț</w:t>
      </w:r>
      <w:r w:rsidRPr="00443724">
        <w:rPr>
          <w:rFonts w:ascii="Arial" w:hAnsi="Arial" w:cs="Arial"/>
          <w:color w:val="000000"/>
          <w:sz w:val="24"/>
          <w:szCs w:val="24"/>
        </w:rPr>
        <w:t xml:space="preserve">ionat </w:t>
      </w:r>
      <w:r w:rsidR="005F3EF8">
        <w:rPr>
          <w:rFonts w:ascii="Arial" w:hAnsi="Arial" w:cs="Arial"/>
          <w:color w:val="000000"/>
          <w:sz w:val="24"/>
          <w:szCs w:val="24"/>
        </w:rPr>
        <w:t>î</w:t>
      </w:r>
      <w:r w:rsidRPr="00443724">
        <w:rPr>
          <w:rFonts w:ascii="Arial" w:hAnsi="Arial" w:cs="Arial"/>
          <w:color w:val="000000"/>
          <w:sz w:val="24"/>
          <w:szCs w:val="24"/>
        </w:rPr>
        <w:t>n anul 2017 ur</w:t>
      </w:r>
      <w:r>
        <w:rPr>
          <w:rFonts w:ascii="Arial" w:hAnsi="Arial" w:cs="Arial"/>
          <w:color w:val="000000"/>
          <w:sz w:val="24"/>
          <w:szCs w:val="24"/>
        </w:rPr>
        <w:t>matoarele staț</w:t>
      </w:r>
      <w:r w:rsidRPr="00443724">
        <w:rPr>
          <w:rFonts w:ascii="Arial" w:hAnsi="Arial" w:cs="Arial"/>
          <w:color w:val="000000"/>
          <w:sz w:val="24"/>
          <w:szCs w:val="24"/>
        </w:rPr>
        <w:t xml:space="preserve">ii de tratare </w:t>
      </w:r>
      <w:r>
        <w:rPr>
          <w:rFonts w:ascii="Arial" w:hAnsi="Arial" w:cs="Arial"/>
          <w:color w:val="000000"/>
          <w:sz w:val="24"/>
          <w:szCs w:val="24"/>
        </w:rPr>
        <w:t>ș</w:t>
      </w:r>
      <w:r w:rsidRPr="00443724">
        <w:rPr>
          <w:rFonts w:ascii="Arial" w:hAnsi="Arial" w:cs="Arial"/>
          <w:color w:val="000000"/>
          <w:sz w:val="24"/>
          <w:szCs w:val="24"/>
        </w:rPr>
        <w:t>i distribu</w:t>
      </w:r>
      <w:r>
        <w:rPr>
          <w:rFonts w:ascii="Arial" w:hAnsi="Arial" w:cs="Arial"/>
          <w:color w:val="000000"/>
          <w:sz w:val="24"/>
          <w:szCs w:val="24"/>
        </w:rPr>
        <w:t>ț</w:t>
      </w:r>
      <w:r w:rsidRPr="00443724">
        <w:rPr>
          <w:rFonts w:ascii="Arial" w:hAnsi="Arial" w:cs="Arial"/>
          <w:color w:val="000000"/>
          <w:sz w:val="24"/>
          <w:szCs w:val="24"/>
        </w:rPr>
        <w:t>ie a apei potabile:</w:t>
      </w:r>
    </w:p>
    <w:p w:rsidR="007F6E99" w:rsidRPr="00443724" w:rsidRDefault="007F6E99" w:rsidP="00EF3940">
      <w:pPr>
        <w:numPr>
          <w:ilvl w:val="0"/>
          <w:numId w:val="84"/>
        </w:numPr>
        <w:spacing w:after="0" w:line="240" w:lineRule="auto"/>
        <w:jc w:val="both"/>
        <w:rPr>
          <w:rFonts w:ascii="Arial" w:hAnsi="Arial" w:cs="Arial"/>
          <w:color w:val="000000"/>
          <w:sz w:val="24"/>
          <w:szCs w:val="24"/>
        </w:rPr>
      </w:pPr>
      <w:r w:rsidRPr="00443724">
        <w:rPr>
          <w:rFonts w:ascii="Arial" w:hAnsi="Arial" w:cs="Arial"/>
          <w:color w:val="000000"/>
          <w:sz w:val="24"/>
          <w:szCs w:val="24"/>
          <w:u w:val="single"/>
        </w:rPr>
        <w:t>Stația de tratare  apă potabilă Chiscani</w:t>
      </w:r>
      <w:r w:rsidRPr="00443724">
        <w:rPr>
          <w:rFonts w:ascii="Arial" w:hAnsi="Arial" w:cs="Arial"/>
          <w:color w:val="000000"/>
          <w:sz w:val="24"/>
          <w:szCs w:val="24"/>
        </w:rPr>
        <w:t>, autorizată sanitar,  cu următoarea zonă de distribuție: municipiul Brăila si localitățile Chiscani, Lacu Sărat, Vărsătura, Albina,  Baldovinești, Pietroiu, Cazasu, Comăneasca, T. Vladimirescu, Scorțaru Vechi, Siliștea, Mărtăcești , Muchea (apa provine din Dunăre).</w:t>
      </w:r>
    </w:p>
    <w:p w:rsidR="007F6E99" w:rsidRPr="00443724" w:rsidRDefault="007F6E99" w:rsidP="00EF3940">
      <w:pPr>
        <w:numPr>
          <w:ilvl w:val="0"/>
          <w:numId w:val="85"/>
        </w:numPr>
        <w:spacing w:after="0" w:line="240" w:lineRule="auto"/>
        <w:jc w:val="both"/>
        <w:rPr>
          <w:rFonts w:ascii="Arial" w:hAnsi="Arial" w:cs="Arial"/>
          <w:color w:val="000000"/>
          <w:sz w:val="24"/>
          <w:szCs w:val="24"/>
        </w:rPr>
      </w:pPr>
      <w:r w:rsidRPr="00443724">
        <w:rPr>
          <w:rFonts w:ascii="Arial" w:hAnsi="Arial" w:cs="Arial"/>
          <w:color w:val="000000"/>
          <w:sz w:val="24"/>
          <w:szCs w:val="24"/>
          <w:u w:val="single"/>
        </w:rPr>
        <w:t>Stația de tratare apă potabilă Gropeni</w:t>
      </w:r>
      <w:r w:rsidRPr="00443724">
        <w:rPr>
          <w:rFonts w:ascii="Arial" w:hAnsi="Arial" w:cs="Arial"/>
          <w:color w:val="000000"/>
          <w:sz w:val="24"/>
          <w:szCs w:val="24"/>
        </w:rPr>
        <w:t xml:space="preserve"> autorizată sanitar, cu zona de distribuție reprezentată de localitățile Gropeni, Tufești, Tichilești, Unirea, Valea Cânepii, Lanurile, Viziru, Ianca, Plopu, Perișoru, Oprișenești, Târlele Filiului, Berlești, Șuțești, Mihail Kogălniceanu, Gradiștea, Ibrianu, Mărăloiu, Bordei Verde, Lișcoteanca,  Constantin  Gabrielescu, Făurei, Mircea Vodă, Dedulești, Surdila Greci, Horia, Făurei Sat, Brateșu Vechi, Surdila Găiseanca, Filipești, Jirlău, Visani, Movila Miresii, Tepeș Vodă, Esna, Traian, Urleasca, Căldărușa, Silistraru, Racovița, Custura, Corbeni, Gemnenele, Găvani, Râmnicelu, Boarca, Constantinești, Scorțaru Nou, Gurguieți, Pitulați, Sihleanu  (apa provine din Dunăre). </w:t>
      </w:r>
    </w:p>
    <w:p w:rsidR="007F6E99" w:rsidRPr="00443724" w:rsidRDefault="007F6E99" w:rsidP="00EF3940">
      <w:pPr>
        <w:numPr>
          <w:ilvl w:val="0"/>
          <w:numId w:val="85"/>
        </w:numPr>
        <w:spacing w:after="0" w:line="240" w:lineRule="auto"/>
        <w:jc w:val="both"/>
        <w:rPr>
          <w:rFonts w:ascii="Arial" w:hAnsi="Arial" w:cs="Arial"/>
          <w:color w:val="000000"/>
          <w:sz w:val="24"/>
          <w:szCs w:val="24"/>
        </w:rPr>
      </w:pPr>
      <w:r w:rsidRPr="00443724">
        <w:rPr>
          <w:rFonts w:ascii="Arial" w:hAnsi="Arial" w:cs="Arial"/>
          <w:color w:val="000000"/>
          <w:sz w:val="24"/>
          <w:szCs w:val="24"/>
          <w:u w:val="single"/>
        </w:rPr>
        <w:t>Stația de tratare apă potabilă Însurăței</w:t>
      </w:r>
      <w:r w:rsidRPr="00443724">
        <w:rPr>
          <w:rFonts w:ascii="Arial" w:hAnsi="Arial" w:cs="Arial"/>
          <w:color w:val="000000"/>
          <w:sz w:val="24"/>
          <w:szCs w:val="24"/>
        </w:rPr>
        <w:t xml:space="preserve"> autorizată sanitar până la data de 29.04.2017, urmare modificarilor calitative ale sursei de apa si ale tehnologiei de tratare ( deferizare, demanganizare), cu zona de distribuție reprezentată de localitățile Însurăței, Lacu Rezi, Măru Roșu (apă de profunzime).</w:t>
      </w:r>
    </w:p>
    <w:p w:rsidR="007F6E99" w:rsidRPr="00443724" w:rsidRDefault="007F6E99" w:rsidP="00EF3940">
      <w:pPr>
        <w:numPr>
          <w:ilvl w:val="0"/>
          <w:numId w:val="85"/>
        </w:numPr>
        <w:spacing w:after="0" w:line="240" w:lineRule="auto"/>
        <w:jc w:val="both"/>
        <w:rPr>
          <w:rFonts w:ascii="Arial" w:hAnsi="Arial" w:cs="Arial"/>
          <w:color w:val="000000"/>
          <w:sz w:val="24"/>
          <w:szCs w:val="24"/>
        </w:rPr>
      </w:pPr>
      <w:r w:rsidRPr="00443724">
        <w:rPr>
          <w:rFonts w:ascii="Arial" w:hAnsi="Arial" w:cs="Arial"/>
          <w:color w:val="000000"/>
          <w:sz w:val="24"/>
          <w:szCs w:val="24"/>
          <w:u w:val="single"/>
        </w:rPr>
        <w:t>Stația de tratare apă potabilă Victoria</w:t>
      </w:r>
      <w:r w:rsidRPr="00443724">
        <w:rPr>
          <w:rFonts w:ascii="Arial" w:hAnsi="Arial" w:cs="Arial"/>
          <w:color w:val="000000"/>
          <w:sz w:val="24"/>
          <w:szCs w:val="24"/>
        </w:rPr>
        <w:t xml:space="preserve"> autorizată sanitar, cu zona de distribuție reprezentată de localitățile Victoria, Mihai Bravu, Bărăganu (apă de profunzime).</w:t>
      </w:r>
    </w:p>
    <w:p w:rsidR="007F6E99" w:rsidRPr="00443724" w:rsidRDefault="007F6E99" w:rsidP="00EF3940">
      <w:pPr>
        <w:numPr>
          <w:ilvl w:val="0"/>
          <w:numId w:val="85"/>
        </w:numPr>
        <w:spacing w:after="0" w:line="240" w:lineRule="auto"/>
        <w:jc w:val="both"/>
        <w:rPr>
          <w:rFonts w:ascii="Arial" w:hAnsi="Arial" w:cs="Arial"/>
          <w:color w:val="000000"/>
          <w:sz w:val="24"/>
          <w:szCs w:val="24"/>
        </w:rPr>
      </w:pPr>
      <w:r w:rsidRPr="00443724">
        <w:rPr>
          <w:rFonts w:ascii="Arial" w:hAnsi="Arial" w:cs="Arial"/>
          <w:color w:val="000000"/>
          <w:sz w:val="24"/>
          <w:szCs w:val="24"/>
          <w:u w:val="single"/>
        </w:rPr>
        <w:t>Stația de tratare apă potabilă Roșiori</w:t>
      </w:r>
      <w:r w:rsidRPr="00443724">
        <w:rPr>
          <w:rFonts w:ascii="Arial" w:hAnsi="Arial" w:cs="Arial"/>
          <w:color w:val="000000"/>
          <w:sz w:val="24"/>
          <w:szCs w:val="24"/>
        </w:rPr>
        <w:t xml:space="preserve"> autorizată sanitar, cu zona de distribuție reprezentată de localitățile Roșiori, Colțea , Florica ( apa fiind de profunzime).</w:t>
      </w:r>
    </w:p>
    <w:p w:rsidR="007F6E99" w:rsidRPr="00443724" w:rsidRDefault="007F6E99" w:rsidP="007F6E99">
      <w:pPr>
        <w:ind w:firstLine="720"/>
        <w:jc w:val="both"/>
        <w:rPr>
          <w:rFonts w:ascii="Arial" w:hAnsi="Arial" w:cs="Arial"/>
          <w:b/>
          <w:sz w:val="24"/>
          <w:szCs w:val="24"/>
          <w:lang w:val="en-US"/>
        </w:rPr>
      </w:pPr>
      <w:r w:rsidRPr="00443724">
        <w:rPr>
          <w:rFonts w:ascii="Arial" w:hAnsi="Arial" w:cs="Arial"/>
          <w:color w:val="000000"/>
          <w:sz w:val="24"/>
          <w:szCs w:val="24"/>
        </w:rPr>
        <w:t xml:space="preserve">În anul 2017 aceste stații au funcționat corespunzător . </w:t>
      </w:r>
    </w:p>
    <w:p w:rsidR="007F6E99" w:rsidRDefault="007F6E99" w:rsidP="007F6E99">
      <w:pPr>
        <w:pStyle w:val="BodyText2"/>
        <w:spacing w:after="0" w:line="240" w:lineRule="auto"/>
        <w:ind w:firstLine="720"/>
        <w:jc w:val="both"/>
        <w:rPr>
          <w:rFonts w:ascii="Arial" w:hAnsi="Arial" w:cs="Arial"/>
          <w:color w:val="000000"/>
        </w:rPr>
      </w:pPr>
      <w:r w:rsidRPr="00443724">
        <w:rPr>
          <w:rFonts w:ascii="Arial" w:hAnsi="Arial" w:cs="Arial"/>
          <w:lang w:val="en-US"/>
        </w:rPr>
        <w:t>S-au  recoltat  probe de ap</w:t>
      </w:r>
      <w:r>
        <w:rPr>
          <w:rFonts w:ascii="Arial" w:hAnsi="Arial" w:cs="Arial"/>
          <w:lang w:val="en-US"/>
        </w:rPr>
        <w:t>ă</w:t>
      </w:r>
      <w:r w:rsidRPr="00443724">
        <w:rPr>
          <w:rFonts w:ascii="Arial" w:hAnsi="Arial" w:cs="Arial"/>
          <w:lang w:val="en-US"/>
        </w:rPr>
        <w:t xml:space="preserve"> din toate zonele de aprovizionare autorizate din jude</w:t>
      </w:r>
      <w:r>
        <w:rPr>
          <w:rFonts w:ascii="Arial" w:hAnsi="Arial" w:cs="Arial"/>
          <w:lang w:val="en-US"/>
        </w:rPr>
        <w:t>ț</w:t>
      </w:r>
      <w:r w:rsidRPr="00443724">
        <w:rPr>
          <w:rFonts w:ascii="Arial" w:hAnsi="Arial" w:cs="Arial"/>
          <w:lang w:val="en-US"/>
        </w:rPr>
        <w:t>, in cadrul monitoriz</w:t>
      </w:r>
      <w:r>
        <w:rPr>
          <w:rFonts w:ascii="Arial" w:hAnsi="Arial" w:cs="Arial"/>
          <w:lang w:val="en-US"/>
        </w:rPr>
        <w:t>ă</w:t>
      </w:r>
      <w:r w:rsidRPr="00443724">
        <w:rPr>
          <w:rFonts w:ascii="Arial" w:hAnsi="Arial" w:cs="Arial"/>
          <w:lang w:val="en-US"/>
        </w:rPr>
        <w:t xml:space="preserve">rilor precum </w:t>
      </w:r>
      <w:r>
        <w:rPr>
          <w:rFonts w:ascii="Arial" w:hAnsi="Arial" w:cs="Arial"/>
          <w:lang w:val="en-US"/>
        </w:rPr>
        <w:t>ș</w:t>
      </w:r>
      <w:r w:rsidRPr="00443724">
        <w:rPr>
          <w:rFonts w:ascii="Arial" w:hAnsi="Arial" w:cs="Arial"/>
          <w:lang w:val="en-US"/>
        </w:rPr>
        <w:t>i de la 3 sta</w:t>
      </w:r>
      <w:r>
        <w:rPr>
          <w:rFonts w:ascii="Arial" w:hAnsi="Arial" w:cs="Arial"/>
          <w:lang w:val="en-US"/>
        </w:rPr>
        <w:t>ț</w:t>
      </w:r>
      <w:r w:rsidRPr="00443724">
        <w:rPr>
          <w:rFonts w:ascii="Arial" w:hAnsi="Arial" w:cs="Arial"/>
          <w:color w:val="000000"/>
        </w:rPr>
        <w:t xml:space="preserve">ii de tratare a apei aflate </w:t>
      </w:r>
      <w:r>
        <w:rPr>
          <w:rFonts w:ascii="Arial" w:hAnsi="Arial" w:cs="Arial"/>
          <w:color w:val="000000"/>
        </w:rPr>
        <w:t>î</w:t>
      </w:r>
      <w:r w:rsidRPr="00443724">
        <w:rPr>
          <w:rFonts w:ascii="Arial" w:hAnsi="Arial" w:cs="Arial"/>
          <w:color w:val="000000"/>
        </w:rPr>
        <w:t>n eviden</w:t>
      </w:r>
      <w:r>
        <w:rPr>
          <w:rFonts w:ascii="Arial" w:hAnsi="Arial" w:cs="Arial"/>
          <w:color w:val="000000"/>
        </w:rPr>
        <w:t>ț</w:t>
      </w:r>
      <w:r w:rsidRPr="00443724">
        <w:rPr>
          <w:rFonts w:ascii="Arial" w:hAnsi="Arial" w:cs="Arial"/>
          <w:color w:val="000000"/>
        </w:rPr>
        <w:t>a D.S.P. Br</w:t>
      </w:r>
      <w:r>
        <w:rPr>
          <w:rFonts w:ascii="Arial" w:hAnsi="Arial" w:cs="Arial"/>
          <w:color w:val="000000"/>
        </w:rPr>
        <w:t>ă</w:t>
      </w:r>
      <w:r w:rsidRPr="00443724">
        <w:rPr>
          <w:rFonts w:ascii="Arial" w:hAnsi="Arial" w:cs="Arial"/>
          <w:color w:val="000000"/>
        </w:rPr>
        <w:t>ila</w:t>
      </w:r>
      <w:r w:rsidR="005F3EF8">
        <w:rPr>
          <w:rFonts w:ascii="Arial" w:hAnsi="Arial" w:cs="Arial"/>
          <w:color w:val="000000"/>
        </w:rPr>
        <w:t>,</w:t>
      </w:r>
      <w:r w:rsidRPr="00443724">
        <w:rPr>
          <w:rFonts w:ascii="Arial" w:hAnsi="Arial" w:cs="Arial"/>
          <w:color w:val="000000"/>
        </w:rPr>
        <w:t xml:space="preserve"> </w:t>
      </w:r>
      <w:r w:rsidRPr="00443724">
        <w:rPr>
          <w:rFonts w:ascii="Arial" w:hAnsi="Arial" w:cs="Arial"/>
          <w:color w:val="000000"/>
        </w:rPr>
        <w:lastRenderedPageBreak/>
        <w:t>care au func</w:t>
      </w:r>
      <w:r>
        <w:rPr>
          <w:rFonts w:ascii="Arial" w:hAnsi="Arial" w:cs="Arial"/>
          <w:color w:val="000000"/>
        </w:rPr>
        <w:t>ț</w:t>
      </w:r>
      <w:r w:rsidRPr="00443724">
        <w:rPr>
          <w:rFonts w:ascii="Arial" w:hAnsi="Arial" w:cs="Arial"/>
          <w:color w:val="000000"/>
        </w:rPr>
        <w:t>ionat corespunz</w:t>
      </w:r>
      <w:r>
        <w:rPr>
          <w:rFonts w:ascii="Arial" w:hAnsi="Arial" w:cs="Arial"/>
          <w:color w:val="000000"/>
        </w:rPr>
        <w:t>ă</w:t>
      </w:r>
      <w:r w:rsidRPr="00443724">
        <w:rPr>
          <w:rFonts w:ascii="Arial" w:hAnsi="Arial" w:cs="Arial"/>
          <w:color w:val="000000"/>
        </w:rPr>
        <w:t xml:space="preserve">tor: </w:t>
      </w:r>
      <w:r w:rsidR="005F3EF8">
        <w:rPr>
          <w:rFonts w:ascii="Arial" w:hAnsi="Arial" w:cs="Arial"/>
          <w:color w:val="000000"/>
        </w:rPr>
        <w:t xml:space="preserve">- </w:t>
      </w:r>
      <w:r w:rsidRPr="00443724">
        <w:rPr>
          <w:rFonts w:ascii="Arial" w:hAnsi="Arial" w:cs="Arial"/>
          <w:color w:val="000000"/>
        </w:rPr>
        <w:t>SC Mimbu SRL cu profil de industrie alimentar</w:t>
      </w:r>
      <w:r>
        <w:rPr>
          <w:rFonts w:ascii="Arial" w:hAnsi="Arial" w:cs="Arial"/>
          <w:color w:val="000000"/>
        </w:rPr>
        <w:t>ă</w:t>
      </w:r>
      <w:r w:rsidRPr="00443724">
        <w:rPr>
          <w:rFonts w:ascii="Arial" w:hAnsi="Arial" w:cs="Arial"/>
          <w:color w:val="000000"/>
        </w:rPr>
        <w:t xml:space="preserve"> ce folose</w:t>
      </w:r>
      <w:r>
        <w:rPr>
          <w:rFonts w:ascii="Arial" w:hAnsi="Arial" w:cs="Arial"/>
          <w:color w:val="000000"/>
        </w:rPr>
        <w:t>ș</w:t>
      </w:r>
      <w:r w:rsidRPr="00443724">
        <w:rPr>
          <w:rFonts w:ascii="Arial" w:hAnsi="Arial" w:cs="Arial"/>
          <w:color w:val="000000"/>
        </w:rPr>
        <w:t>te apa de profunzime, SC TEBU Invest Consult SRL cu profil zootehnic, care  folose</w:t>
      </w:r>
      <w:r>
        <w:rPr>
          <w:rFonts w:ascii="Arial" w:hAnsi="Arial" w:cs="Arial"/>
          <w:color w:val="000000"/>
        </w:rPr>
        <w:t>ș</w:t>
      </w:r>
      <w:r w:rsidRPr="00443724">
        <w:rPr>
          <w:rFonts w:ascii="Arial" w:hAnsi="Arial" w:cs="Arial"/>
          <w:color w:val="000000"/>
        </w:rPr>
        <w:t>te apa provenit</w:t>
      </w:r>
      <w:r>
        <w:rPr>
          <w:rFonts w:ascii="Arial" w:hAnsi="Arial" w:cs="Arial"/>
          <w:color w:val="000000"/>
        </w:rPr>
        <w:t>ă</w:t>
      </w:r>
      <w:r w:rsidRPr="00443724">
        <w:rPr>
          <w:rFonts w:ascii="Arial" w:hAnsi="Arial" w:cs="Arial"/>
          <w:color w:val="000000"/>
        </w:rPr>
        <w:t xml:space="preserve"> din Dun</w:t>
      </w:r>
      <w:r w:rsidR="005F3EF8">
        <w:rPr>
          <w:rFonts w:ascii="Arial" w:hAnsi="Arial" w:cs="Arial"/>
          <w:color w:val="000000"/>
        </w:rPr>
        <w:t>ă</w:t>
      </w:r>
      <w:r w:rsidRPr="00443724">
        <w:rPr>
          <w:rFonts w:ascii="Arial" w:hAnsi="Arial" w:cs="Arial"/>
          <w:color w:val="000000"/>
        </w:rPr>
        <w:t xml:space="preserve">re </w:t>
      </w:r>
      <w:r>
        <w:rPr>
          <w:rFonts w:ascii="Arial" w:hAnsi="Arial" w:cs="Arial"/>
          <w:color w:val="000000"/>
        </w:rPr>
        <w:t>ș</w:t>
      </w:r>
      <w:r w:rsidRPr="00443724">
        <w:rPr>
          <w:rFonts w:ascii="Arial" w:hAnsi="Arial" w:cs="Arial"/>
          <w:color w:val="000000"/>
        </w:rPr>
        <w:t>i Centrul de deten</w:t>
      </w:r>
      <w:r>
        <w:rPr>
          <w:rFonts w:ascii="Arial" w:hAnsi="Arial" w:cs="Arial"/>
          <w:color w:val="000000"/>
        </w:rPr>
        <w:t>ț</w:t>
      </w:r>
      <w:r w:rsidRPr="00443724">
        <w:rPr>
          <w:rFonts w:ascii="Arial" w:hAnsi="Arial" w:cs="Arial"/>
          <w:color w:val="000000"/>
        </w:rPr>
        <w:t>ie Br</w:t>
      </w:r>
      <w:r w:rsidR="005F3EF8">
        <w:rPr>
          <w:rFonts w:ascii="Arial" w:hAnsi="Arial" w:cs="Arial"/>
          <w:color w:val="000000"/>
        </w:rPr>
        <w:t>ă</w:t>
      </w:r>
      <w:r w:rsidRPr="00443724">
        <w:rPr>
          <w:rFonts w:ascii="Arial" w:hAnsi="Arial" w:cs="Arial"/>
          <w:color w:val="000000"/>
        </w:rPr>
        <w:t xml:space="preserve">ila </w:t>
      </w:r>
      <w:r>
        <w:rPr>
          <w:rFonts w:ascii="Arial" w:hAnsi="Arial" w:cs="Arial"/>
          <w:color w:val="000000"/>
        </w:rPr>
        <w:t>–</w:t>
      </w:r>
      <w:r w:rsidRPr="00443724">
        <w:rPr>
          <w:rFonts w:ascii="Arial" w:hAnsi="Arial" w:cs="Arial"/>
          <w:color w:val="000000"/>
        </w:rPr>
        <w:t xml:space="preserve"> Tichile</w:t>
      </w:r>
      <w:r>
        <w:rPr>
          <w:rFonts w:ascii="Arial" w:hAnsi="Arial" w:cs="Arial"/>
          <w:color w:val="000000"/>
        </w:rPr>
        <w:t>ș</w:t>
      </w:r>
      <w:r w:rsidRPr="00443724">
        <w:rPr>
          <w:rFonts w:ascii="Arial" w:hAnsi="Arial" w:cs="Arial"/>
          <w:color w:val="000000"/>
        </w:rPr>
        <w:t>ti  ce foloseste apa de profunzime .</w:t>
      </w:r>
    </w:p>
    <w:p w:rsidR="007F6E99" w:rsidRDefault="007F6E99" w:rsidP="007F6E99">
      <w:pPr>
        <w:pStyle w:val="BodyText2"/>
        <w:spacing w:after="0" w:line="240" w:lineRule="auto"/>
        <w:ind w:firstLine="720"/>
        <w:jc w:val="both"/>
        <w:rPr>
          <w:rFonts w:ascii="Arial" w:hAnsi="Arial" w:cs="Arial"/>
          <w:color w:val="000000"/>
        </w:rPr>
      </w:pPr>
    </w:p>
    <w:p w:rsidR="007F6E99" w:rsidRDefault="007F6E99" w:rsidP="007F6E99">
      <w:pPr>
        <w:spacing w:after="0" w:line="240" w:lineRule="auto"/>
        <w:ind w:firstLine="720"/>
        <w:jc w:val="both"/>
        <w:rPr>
          <w:rFonts w:ascii="Arial" w:hAnsi="Arial" w:cs="Arial"/>
          <w:color w:val="000000"/>
          <w:sz w:val="24"/>
          <w:szCs w:val="24"/>
        </w:rPr>
      </w:pPr>
      <w:r w:rsidRPr="00D61BC4">
        <w:rPr>
          <w:rFonts w:ascii="Arial" w:hAnsi="Arial" w:cs="Arial"/>
          <w:color w:val="000000"/>
          <w:sz w:val="24"/>
          <w:szCs w:val="24"/>
        </w:rPr>
        <w:t>Rezultatele au fost urm</w:t>
      </w:r>
      <w:r>
        <w:rPr>
          <w:rFonts w:ascii="Arial" w:hAnsi="Arial" w:cs="Arial"/>
          <w:color w:val="000000"/>
          <w:sz w:val="24"/>
          <w:szCs w:val="24"/>
        </w:rPr>
        <w:t>ă</w:t>
      </w:r>
      <w:r w:rsidRPr="00D61BC4">
        <w:rPr>
          <w:rFonts w:ascii="Arial" w:hAnsi="Arial" w:cs="Arial"/>
          <w:color w:val="000000"/>
          <w:sz w:val="24"/>
          <w:szCs w:val="24"/>
        </w:rPr>
        <w:t>toarele:</w:t>
      </w:r>
    </w:p>
    <w:p w:rsidR="007F6E99" w:rsidRPr="00BC0BB8" w:rsidRDefault="007F6E99" w:rsidP="007F6E99">
      <w:pPr>
        <w:pStyle w:val="BodyText2"/>
        <w:spacing w:after="0" w:line="240" w:lineRule="auto"/>
        <w:ind w:firstLine="720"/>
        <w:rPr>
          <w:rFonts w:ascii="Arial" w:hAnsi="Arial" w:cs="Arial"/>
          <w:b/>
        </w:rPr>
      </w:pPr>
      <w:r w:rsidRPr="00BC0BB8">
        <w:rPr>
          <w:rFonts w:ascii="Arial" w:hAnsi="Arial" w:cs="Arial"/>
          <w:b/>
          <w:lang w:val="en-US"/>
        </w:rPr>
        <w:t>Tabel VIII.1.3. -1</w:t>
      </w:r>
    </w:p>
    <w:tbl>
      <w:tblPr>
        <w:tblW w:w="96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tblPr>
      <w:tblGrid>
        <w:gridCol w:w="2340"/>
        <w:gridCol w:w="1629"/>
        <w:gridCol w:w="1985"/>
        <w:gridCol w:w="2013"/>
        <w:gridCol w:w="1701"/>
      </w:tblGrid>
      <w:tr w:rsidR="007F6E99" w:rsidRPr="00FF2F81" w:rsidTr="004E444C">
        <w:trPr>
          <w:trHeight w:val="37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ro-RO"/>
              </w:rPr>
            </w:pPr>
            <w:r w:rsidRPr="00FF2F81">
              <w:rPr>
                <w:rFonts w:ascii="Arial" w:hAnsi="Arial" w:cs="Arial"/>
                <w:sz w:val="22"/>
                <w:szCs w:val="22"/>
                <w:lang w:val="ro-RO"/>
              </w:rPr>
              <w:t>Zona de</w:t>
            </w:r>
          </w:p>
          <w:p w:rsidR="007F6E99" w:rsidRPr="00FF2F81" w:rsidRDefault="007F6E99" w:rsidP="004E444C">
            <w:pPr>
              <w:pStyle w:val="BodyText2"/>
              <w:spacing w:after="0" w:line="240" w:lineRule="auto"/>
              <w:jc w:val="both"/>
              <w:rPr>
                <w:rFonts w:ascii="Arial" w:hAnsi="Arial" w:cs="Arial"/>
                <w:sz w:val="22"/>
                <w:szCs w:val="22"/>
                <w:lang w:val="ro-RO"/>
              </w:rPr>
            </w:pPr>
            <w:r w:rsidRPr="00FF2F81">
              <w:rPr>
                <w:rFonts w:ascii="Arial" w:hAnsi="Arial" w:cs="Arial"/>
                <w:sz w:val="22"/>
                <w:szCs w:val="22"/>
                <w:lang w:val="ro-RO"/>
              </w:rPr>
              <w:t>aproviz</w:t>
            </w:r>
            <w:r>
              <w:rPr>
                <w:rFonts w:ascii="Arial" w:hAnsi="Arial" w:cs="Arial"/>
                <w:sz w:val="22"/>
                <w:szCs w:val="22"/>
                <w:lang w:val="ro-RO"/>
              </w:rPr>
              <w:t>ionare</w:t>
            </w:r>
          </w:p>
          <w:p w:rsidR="007F6E99" w:rsidRPr="00FF2F81" w:rsidRDefault="007F6E99" w:rsidP="004E444C">
            <w:pPr>
              <w:pStyle w:val="BodyText2"/>
              <w:spacing w:after="0" w:line="240" w:lineRule="auto"/>
              <w:jc w:val="both"/>
              <w:rPr>
                <w:rFonts w:ascii="Arial" w:hAnsi="Arial" w:cs="Arial"/>
                <w:i/>
                <w:sz w:val="22"/>
                <w:szCs w:val="22"/>
                <w:lang w:val="pt-BR"/>
              </w:rPr>
            </w:pPr>
            <w:r w:rsidRPr="00FF2F81">
              <w:rPr>
                <w:rFonts w:ascii="Arial" w:hAnsi="Arial" w:cs="Arial"/>
                <w:sz w:val="22"/>
                <w:szCs w:val="22"/>
                <w:lang w:val="ro-RO"/>
              </w:rPr>
              <w:t>cu ap</w:t>
            </w:r>
            <w:r>
              <w:rPr>
                <w:rFonts w:ascii="Arial" w:hAnsi="Arial" w:cs="Arial"/>
                <w:sz w:val="22"/>
                <w:szCs w:val="22"/>
                <w:lang w:val="ro-RO"/>
              </w:rPr>
              <w:t>ă</w:t>
            </w:r>
            <w:r w:rsidRPr="00FF2F81">
              <w:rPr>
                <w:rFonts w:ascii="Arial" w:hAnsi="Arial" w:cs="Arial"/>
                <w:sz w:val="22"/>
                <w:szCs w:val="22"/>
                <w:lang w:val="ro-RO"/>
              </w:rPr>
              <w:t xml:space="preserve"> potabil</w:t>
            </w:r>
            <w:r>
              <w:rPr>
                <w:rFonts w:ascii="Arial" w:hAnsi="Arial" w:cs="Arial"/>
                <w:sz w:val="22"/>
                <w:szCs w:val="22"/>
                <w:lang w:val="ro-RO"/>
              </w:rPr>
              <w:t>ă</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ro-RO"/>
              </w:rPr>
            </w:pPr>
            <w:r w:rsidRPr="00FF2F81">
              <w:rPr>
                <w:rFonts w:ascii="Arial" w:hAnsi="Arial" w:cs="Arial"/>
                <w:sz w:val="22"/>
                <w:szCs w:val="22"/>
                <w:lang w:val="ro-RO"/>
              </w:rPr>
              <w:t>Nr. parametri</w:t>
            </w:r>
          </w:p>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Analiza</w:t>
            </w:r>
            <w:r>
              <w:rPr>
                <w:rFonts w:ascii="Arial" w:hAnsi="Arial" w:cs="Arial"/>
                <w:sz w:val="22"/>
                <w:szCs w:val="22"/>
                <w:lang w:val="pt-BR"/>
              </w:rPr>
              <w:t>ț</w:t>
            </w:r>
            <w:r w:rsidRPr="00FF2F81">
              <w:rPr>
                <w:rFonts w:ascii="Arial" w:hAnsi="Arial" w:cs="Arial"/>
                <w:sz w:val="22"/>
                <w:szCs w:val="22"/>
                <w:lang w:val="pt-BR"/>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Nr.total parametri</w:t>
            </w:r>
          </w:p>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necorespunz</w:t>
            </w:r>
            <w:r>
              <w:rPr>
                <w:rFonts w:ascii="Arial" w:hAnsi="Arial" w:cs="Arial"/>
                <w:sz w:val="22"/>
                <w:szCs w:val="22"/>
                <w:lang w:val="pt-BR"/>
              </w:rPr>
              <w:t>ă</w:t>
            </w:r>
            <w:r w:rsidRPr="00FF2F81">
              <w:rPr>
                <w:rFonts w:ascii="Arial" w:hAnsi="Arial" w:cs="Arial"/>
                <w:sz w:val="22"/>
                <w:szCs w:val="22"/>
                <w:lang w:val="pt-BR"/>
              </w:rPr>
              <w:t>tori</w:t>
            </w:r>
          </w:p>
        </w:tc>
        <w:tc>
          <w:tcPr>
            <w:tcW w:w="371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Nr. parametri necorespunz</w:t>
            </w:r>
            <w:r>
              <w:rPr>
                <w:rFonts w:ascii="Arial" w:hAnsi="Arial" w:cs="Arial"/>
                <w:sz w:val="22"/>
                <w:szCs w:val="22"/>
                <w:lang w:val="pt-BR"/>
              </w:rPr>
              <w:t>ă</w:t>
            </w:r>
            <w:r w:rsidRPr="00FF2F81">
              <w:rPr>
                <w:rFonts w:ascii="Arial" w:hAnsi="Arial" w:cs="Arial"/>
                <w:sz w:val="22"/>
                <w:szCs w:val="22"/>
                <w:lang w:val="pt-BR"/>
              </w:rPr>
              <w:t>tori</w:t>
            </w:r>
          </w:p>
        </w:tc>
      </w:tr>
      <w:tr w:rsidR="007F6E99" w:rsidRPr="00FF2F81" w:rsidTr="004E444C">
        <w:trPr>
          <w:trHeight w:val="653"/>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F6E99" w:rsidRPr="00FF2F81" w:rsidRDefault="007F6E99" w:rsidP="004E444C">
            <w:pPr>
              <w:spacing w:after="0" w:line="240" w:lineRule="auto"/>
              <w:jc w:val="both"/>
              <w:rPr>
                <w:rFonts w:ascii="Arial" w:hAnsi="Arial" w:cs="Arial"/>
                <w:i/>
                <w:lang w:val="pt-BR"/>
              </w:rPr>
            </w:pPr>
          </w:p>
        </w:tc>
        <w:tc>
          <w:tcPr>
            <w:tcW w:w="162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F6E99" w:rsidRPr="00FF2F81" w:rsidRDefault="007F6E99" w:rsidP="004E444C">
            <w:pPr>
              <w:spacing w:after="0" w:line="240" w:lineRule="auto"/>
              <w:jc w:val="both"/>
              <w:rPr>
                <w:rFonts w:ascii="Arial" w:hAnsi="Arial" w:cs="Arial"/>
                <w:lang w:val="pt-BR"/>
              </w:rPr>
            </w:pPr>
          </w:p>
        </w:tc>
        <w:tc>
          <w:tcPr>
            <w:tcW w:w="1985"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7F6E99" w:rsidRPr="00FF2F81" w:rsidRDefault="007F6E99" w:rsidP="004E444C">
            <w:pPr>
              <w:spacing w:after="0" w:line="240" w:lineRule="auto"/>
              <w:jc w:val="both"/>
              <w:rPr>
                <w:rFonts w:ascii="Arial" w:hAnsi="Arial" w:cs="Arial"/>
                <w:lang w:val="pt-BR"/>
              </w:rPr>
            </w:pPr>
          </w:p>
        </w:tc>
        <w:tc>
          <w:tcPr>
            <w:tcW w:w="201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Microbiologici</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F6E99" w:rsidRPr="00FF2F81" w:rsidRDefault="007F6E99" w:rsidP="004E444C">
            <w:pPr>
              <w:pStyle w:val="BodyText2"/>
              <w:spacing w:after="0" w:line="240" w:lineRule="auto"/>
              <w:jc w:val="both"/>
              <w:rPr>
                <w:rFonts w:ascii="Arial" w:hAnsi="Arial" w:cs="Arial"/>
                <w:sz w:val="22"/>
                <w:szCs w:val="22"/>
                <w:lang w:val="pt-BR"/>
              </w:rPr>
            </w:pPr>
            <w:r w:rsidRPr="00FF2F81">
              <w:rPr>
                <w:rFonts w:ascii="Arial" w:hAnsi="Arial" w:cs="Arial"/>
                <w:sz w:val="22"/>
                <w:szCs w:val="22"/>
                <w:lang w:val="pt-BR"/>
              </w:rPr>
              <w:t>Fizico-chimici</w:t>
            </w:r>
          </w:p>
        </w:tc>
      </w:tr>
      <w:tr w:rsidR="007F6E99" w:rsidRPr="00FF2F81" w:rsidTr="004E444C">
        <w:trPr>
          <w:trHeight w:val="315"/>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b/>
                <w:i/>
                <w:sz w:val="22"/>
                <w:szCs w:val="22"/>
                <w:lang w:val="pt-BR"/>
              </w:rPr>
            </w:pPr>
            <w:r w:rsidRPr="00FF2F81">
              <w:rPr>
                <w:rFonts w:ascii="Arial" w:hAnsi="Arial" w:cs="Arial"/>
                <w:b/>
                <w:i/>
                <w:sz w:val="22"/>
                <w:szCs w:val="22"/>
                <w:lang w:val="pt-BR"/>
              </w:rPr>
              <w:t>Ape de  suprafa</w:t>
            </w:r>
            <w:r>
              <w:rPr>
                <w:rFonts w:ascii="Arial" w:hAnsi="Arial" w:cs="Arial"/>
                <w:b/>
                <w:i/>
                <w:sz w:val="22"/>
                <w:szCs w:val="22"/>
                <w:lang w:val="pt-BR"/>
              </w:rPr>
              <w:t>ță</w:t>
            </w:r>
            <w:r w:rsidRPr="00FF2F81">
              <w:rPr>
                <w:rFonts w:ascii="Arial" w:hAnsi="Arial" w:cs="Arial"/>
                <w:b/>
                <w:i/>
                <w:sz w:val="22"/>
                <w:szCs w:val="22"/>
                <w:lang w:val="pt-BR"/>
              </w:rPr>
              <w:t xml:space="preserve"> </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pt-BR"/>
              </w:rPr>
            </w:pPr>
            <w:r w:rsidRPr="00FF2F81">
              <w:rPr>
                <w:rFonts w:ascii="Arial" w:hAnsi="Arial" w:cs="Arial"/>
                <w:b/>
                <w:sz w:val="22"/>
                <w:szCs w:val="22"/>
                <w:lang w:val="pt-BR"/>
              </w:rPr>
              <w:t>2066</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pt-BR"/>
              </w:rPr>
            </w:pPr>
            <w:r w:rsidRPr="00FF2F81">
              <w:rPr>
                <w:rFonts w:ascii="Arial" w:hAnsi="Arial" w:cs="Arial"/>
                <w:b/>
                <w:sz w:val="22"/>
                <w:szCs w:val="22"/>
                <w:lang w:val="pt-BR"/>
              </w:rPr>
              <w:t>29</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pt-BR"/>
              </w:rPr>
            </w:pPr>
            <w:r w:rsidRPr="00FF2F81">
              <w:rPr>
                <w:rFonts w:ascii="Arial" w:hAnsi="Arial" w:cs="Arial"/>
                <w:b/>
                <w:sz w:val="22"/>
                <w:szCs w:val="22"/>
                <w:lang w:val="pt-BR"/>
              </w:rPr>
              <w:t>6</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pt-BR"/>
              </w:rPr>
            </w:pPr>
            <w:r w:rsidRPr="00FF2F81">
              <w:rPr>
                <w:rFonts w:ascii="Arial" w:hAnsi="Arial" w:cs="Arial"/>
                <w:b/>
                <w:sz w:val="22"/>
                <w:szCs w:val="22"/>
                <w:lang w:val="pt-BR"/>
              </w:rPr>
              <w:t>23</w:t>
            </w:r>
          </w:p>
        </w:tc>
      </w:tr>
      <w:tr w:rsidR="007F6E99" w:rsidRPr="00FF2F81" w:rsidTr="004E444C">
        <w:trPr>
          <w:trHeight w:val="299"/>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Z.A.P. Br</w:t>
            </w:r>
            <w:r>
              <w:rPr>
                <w:rFonts w:ascii="Arial" w:hAnsi="Arial" w:cs="Arial"/>
                <w:sz w:val="22"/>
                <w:szCs w:val="22"/>
                <w:lang w:val="fr-FR"/>
              </w:rPr>
              <w:t>ă</w:t>
            </w:r>
            <w:r w:rsidRPr="00FF2F81">
              <w:rPr>
                <w:rFonts w:ascii="Arial" w:hAnsi="Arial" w:cs="Arial"/>
                <w:sz w:val="22"/>
                <w:szCs w:val="22"/>
                <w:lang w:val="fr-FR"/>
              </w:rPr>
              <w:t>ila</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1379</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24</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4 (bacterii  coliforme, enterococi)</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20( clor)</w:t>
            </w:r>
          </w:p>
        </w:tc>
      </w:tr>
      <w:tr w:rsidR="007F6E99" w:rsidRPr="00FF2F81" w:rsidTr="004E444C">
        <w:trPr>
          <w:trHeight w:val="299"/>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 xml:space="preserve">Z.A.P. Gropeni </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687</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5</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2(bacterii coliforme)</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3 (clor)</w:t>
            </w:r>
          </w:p>
        </w:tc>
      </w:tr>
      <w:tr w:rsidR="007F6E99" w:rsidRPr="00FF2F81" w:rsidTr="004E444C">
        <w:trPr>
          <w:trHeight w:val="215"/>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b/>
                <w:sz w:val="22"/>
                <w:szCs w:val="22"/>
                <w:lang w:val="fr-FR"/>
              </w:rPr>
            </w:pPr>
            <w:r w:rsidRPr="00FF2F81">
              <w:rPr>
                <w:rFonts w:ascii="Arial" w:hAnsi="Arial" w:cs="Arial"/>
                <w:b/>
                <w:i/>
                <w:sz w:val="22"/>
                <w:szCs w:val="22"/>
                <w:lang w:val="fr-FR"/>
              </w:rPr>
              <w:t>Ape</w:t>
            </w:r>
            <w:r>
              <w:rPr>
                <w:rFonts w:ascii="Arial" w:hAnsi="Arial" w:cs="Arial"/>
                <w:b/>
                <w:i/>
                <w:sz w:val="22"/>
                <w:szCs w:val="22"/>
                <w:lang w:val="fr-FR"/>
              </w:rPr>
              <w:t xml:space="preserve">  </w:t>
            </w:r>
            <w:r w:rsidRPr="00FF2F81">
              <w:rPr>
                <w:rFonts w:ascii="Arial" w:hAnsi="Arial" w:cs="Arial"/>
                <w:b/>
                <w:i/>
                <w:sz w:val="22"/>
                <w:szCs w:val="22"/>
                <w:lang w:val="fr-FR"/>
              </w:rPr>
              <w:t>de profunzime</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fr-FR"/>
              </w:rPr>
            </w:pPr>
            <w:r w:rsidRPr="00FF2F81">
              <w:rPr>
                <w:rFonts w:ascii="Arial" w:hAnsi="Arial" w:cs="Arial"/>
                <w:b/>
                <w:sz w:val="22"/>
                <w:szCs w:val="22"/>
                <w:lang w:val="fr-FR"/>
              </w:rPr>
              <w:t>444</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fr-FR"/>
              </w:rPr>
            </w:pPr>
            <w:r w:rsidRPr="00FF2F81">
              <w:rPr>
                <w:rFonts w:ascii="Arial" w:hAnsi="Arial" w:cs="Arial"/>
                <w:b/>
                <w:sz w:val="22"/>
                <w:szCs w:val="22"/>
                <w:lang w:val="fr-FR"/>
              </w:rPr>
              <w:t>4</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fr-FR"/>
              </w:rPr>
            </w:pPr>
            <w:r w:rsidRPr="00FF2F81">
              <w:rPr>
                <w:rFonts w:ascii="Arial" w:hAnsi="Arial" w:cs="Arial"/>
                <w:b/>
                <w:sz w:val="22"/>
                <w:szCs w:val="22"/>
                <w:lang w:val="fr-FR"/>
              </w:rPr>
              <w:t>0</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fr-FR"/>
              </w:rPr>
            </w:pPr>
            <w:r w:rsidRPr="00FF2F81">
              <w:rPr>
                <w:rFonts w:ascii="Arial" w:hAnsi="Arial" w:cs="Arial"/>
                <w:b/>
                <w:sz w:val="22"/>
                <w:szCs w:val="22"/>
                <w:lang w:val="fr-FR"/>
              </w:rPr>
              <w:t>4</w:t>
            </w:r>
          </w:p>
        </w:tc>
      </w:tr>
      <w:tr w:rsidR="007F6E99" w:rsidRPr="00FF2F81" w:rsidTr="004E444C">
        <w:trPr>
          <w:trHeight w:val="267"/>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ZAP Insur</w:t>
            </w:r>
            <w:r>
              <w:rPr>
                <w:rFonts w:ascii="Arial" w:hAnsi="Arial" w:cs="Arial"/>
                <w:sz w:val="22"/>
                <w:szCs w:val="22"/>
                <w:lang w:val="fr-FR"/>
              </w:rPr>
              <w:t>ăț</w:t>
            </w:r>
            <w:r w:rsidRPr="00FF2F81">
              <w:rPr>
                <w:rFonts w:ascii="Arial" w:hAnsi="Arial" w:cs="Arial"/>
                <w:sz w:val="22"/>
                <w:szCs w:val="22"/>
                <w:lang w:val="fr-FR"/>
              </w:rPr>
              <w:t xml:space="preserve">ei </w:t>
            </w:r>
          </w:p>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 xml:space="preserve"> (până la 29.04.2017)</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189</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0</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 (clor)</w:t>
            </w:r>
          </w:p>
        </w:tc>
      </w:tr>
      <w:tr w:rsidR="007F6E99" w:rsidRPr="00FF2F81" w:rsidTr="004E444C">
        <w:trPr>
          <w:trHeight w:val="231"/>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ZAP Victoria</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129</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0</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2 (clor)</w:t>
            </w:r>
          </w:p>
        </w:tc>
      </w:tr>
      <w:tr w:rsidR="007F6E99" w:rsidRPr="00FF2F81" w:rsidTr="004E444C">
        <w:trPr>
          <w:trHeight w:val="231"/>
          <w:jc w:val="center"/>
        </w:trPr>
        <w:tc>
          <w:tcPr>
            <w:tcW w:w="234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sz w:val="22"/>
                <w:szCs w:val="22"/>
                <w:lang w:val="fr-FR"/>
              </w:rPr>
            </w:pPr>
            <w:r w:rsidRPr="00FF2F81">
              <w:rPr>
                <w:rFonts w:ascii="Arial" w:hAnsi="Arial" w:cs="Arial"/>
                <w:sz w:val="22"/>
                <w:szCs w:val="22"/>
                <w:lang w:val="fr-FR"/>
              </w:rPr>
              <w:t>ZAP Ro</w:t>
            </w:r>
            <w:r>
              <w:rPr>
                <w:rFonts w:ascii="Arial" w:hAnsi="Arial" w:cs="Arial"/>
                <w:sz w:val="22"/>
                <w:szCs w:val="22"/>
                <w:lang w:val="fr-FR"/>
              </w:rPr>
              <w:t>ș</w:t>
            </w:r>
            <w:r w:rsidRPr="00FF2F81">
              <w:rPr>
                <w:rFonts w:ascii="Arial" w:hAnsi="Arial" w:cs="Arial"/>
                <w:sz w:val="22"/>
                <w:szCs w:val="22"/>
                <w:lang w:val="fr-FR"/>
              </w:rPr>
              <w:t>iori</w:t>
            </w:r>
          </w:p>
        </w:tc>
        <w:tc>
          <w:tcPr>
            <w:tcW w:w="16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126</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0</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0</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sz w:val="22"/>
                <w:szCs w:val="22"/>
                <w:lang w:val="fr-FR"/>
              </w:rPr>
            </w:pPr>
            <w:r w:rsidRPr="00FF2F81">
              <w:rPr>
                <w:rFonts w:ascii="Arial" w:hAnsi="Arial" w:cs="Arial"/>
                <w:sz w:val="22"/>
                <w:szCs w:val="22"/>
                <w:lang w:val="fr-FR"/>
              </w:rPr>
              <w:t>0</w:t>
            </w:r>
          </w:p>
        </w:tc>
      </w:tr>
      <w:tr w:rsidR="007F6E99" w:rsidRPr="00FF2F81" w:rsidTr="004E444C">
        <w:trPr>
          <w:jc w:val="center"/>
        </w:trPr>
        <w:tc>
          <w:tcPr>
            <w:tcW w:w="2340"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b/>
                <w:i/>
                <w:sz w:val="22"/>
                <w:szCs w:val="22"/>
                <w:lang w:val="it-IT"/>
              </w:rPr>
            </w:pPr>
            <w:r w:rsidRPr="00FF2F81">
              <w:rPr>
                <w:rFonts w:ascii="Arial" w:hAnsi="Arial" w:cs="Arial"/>
                <w:b/>
                <w:i/>
                <w:sz w:val="22"/>
                <w:szCs w:val="22"/>
                <w:lang w:val="it-IT"/>
              </w:rPr>
              <w:t>Ape soc. com.</w:t>
            </w:r>
          </w:p>
        </w:tc>
        <w:tc>
          <w:tcPr>
            <w:tcW w:w="1629"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195</w:t>
            </w:r>
          </w:p>
        </w:tc>
        <w:tc>
          <w:tcPr>
            <w:tcW w:w="1985"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0</w:t>
            </w:r>
          </w:p>
        </w:tc>
        <w:tc>
          <w:tcPr>
            <w:tcW w:w="2013" w:type="dxa"/>
            <w:tcBorders>
              <w:top w:val="nil"/>
              <w:left w:val="single" w:sz="4" w:space="0" w:color="auto"/>
              <w:bottom w:val="single" w:sz="4" w:space="0" w:color="auto"/>
              <w:right w:val="nil"/>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0</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0</w:t>
            </w:r>
          </w:p>
        </w:tc>
      </w:tr>
      <w:tr w:rsidR="007F6E99" w:rsidRPr="00FF2F81" w:rsidTr="004E444C">
        <w:trPr>
          <w:jc w:val="center"/>
        </w:trPr>
        <w:tc>
          <w:tcPr>
            <w:tcW w:w="2340"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both"/>
              <w:rPr>
                <w:rFonts w:ascii="Arial" w:hAnsi="Arial" w:cs="Arial"/>
                <w:b/>
                <w:sz w:val="22"/>
                <w:szCs w:val="22"/>
                <w:lang w:val="it-IT"/>
              </w:rPr>
            </w:pPr>
            <w:r w:rsidRPr="00FF2F81">
              <w:rPr>
                <w:rFonts w:ascii="Arial" w:hAnsi="Arial" w:cs="Arial"/>
                <w:b/>
                <w:sz w:val="22"/>
                <w:szCs w:val="22"/>
                <w:lang w:val="it-IT"/>
              </w:rPr>
              <w:t>Total general</w:t>
            </w:r>
          </w:p>
        </w:tc>
        <w:tc>
          <w:tcPr>
            <w:tcW w:w="1629"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2705</w:t>
            </w:r>
          </w:p>
        </w:tc>
        <w:tc>
          <w:tcPr>
            <w:tcW w:w="1985" w:type="dxa"/>
            <w:tcBorders>
              <w:top w:val="nil"/>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33</w:t>
            </w:r>
          </w:p>
        </w:tc>
        <w:tc>
          <w:tcPr>
            <w:tcW w:w="2013" w:type="dxa"/>
            <w:tcBorders>
              <w:top w:val="nil"/>
              <w:left w:val="single" w:sz="4" w:space="0" w:color="auto"/>
              <w:bottom w:val="single" w:sz="4" w:space="0" w:color="auto"/>
              <w:right w:val="nil"/>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6</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F6E99" w:rsidRPr="00FF2F81" w:rsidRDefault="007F6E99" w:rsidP="004E444C">
            <w:pPr>
              <w:pStyle w:val="BodyText2"/>
              <w:spacing w:after="0" w:line="240" w:lineRule="auto"/>
              <w:jc w:val="center"/>
              <w:rPr>
                <w:rFonts w:ascii="Arial" w:hAnsi="Arial" w:cs="Arial"/>
                <w:b/>
                <w:sz w:val="22"/>
                <w:szCs w:val="22"/>
                <w:lang w:val="it-IT"/>
              </w:rPr>
            </w:pPr>
            <w:r w:rsidRPr="00FF2F81">
              <w:rPr>
                <w:rFonts w:ascii="Arial" w:hAnsi="Arial" w:cs="Arial"/>
                <w:b/>
                <w:sz w:val="22"/>
                <w:szCs w:val="22"/>
                <w:lang w:val="it-IT"/>
              </w:rPr>
              <w:t>27</w:t>
            </w:r>
          </w:p>
        </w:tc>
      </w:tr>
    </w:tbl>
    <w:p w:rsidR="007F6E99" w:rsidRPr="00185D25" w:rsidRDefault="007F6E99" w:rsidP="007F6E99">
      <w:pPr>
        <w:spacing w:after="0" w:line="240" w:lineRule="auto"/>
        <w:jc w:val="both"/>
        <w:rPr>
          <w:rFonts w:ascii="Arial" w:hAnsi="Arial" w:cs="Arial"/>
          <w:b/>
          <w:i/>
          <w:sz w:val="24"/>
          <w:szCs w:val="24"/>
          <w:lang w:val="en-US"/>
        </w:rPr>
      </w:pPr>
      <w:r w:rsidRPr="00185D25">
        <w:rPr>
          <w:rFonts w:ascii="Arial" w:hAnsi="Arial" w:cs="Arial"/>
          <w:b/>
          <w:i/>
          <w:sz w:val="20"/>
          <w:szCs w:val="20"/>
          <w:lang w:val="en-US"/>
        </w:rPr>
        <w:t>Not</w:t>
      </w:r>
      <w:r w:rsidRPr="00185D25">
        <w:rPr>
          <w:rFonts w:ascii="Arial" w:hAnsi="Arial" w:cs="Arial"/>
          <w:b/>
          <w:i/>
          <w:sz w:val="20"/>
          <w:szCs w:val="20"/>
        </w:rPr>
        <w:t>ă: Informații actualizate la nivelul anului 201</w:t>
      </w:r>
      <w:r>
        <w:rPr>
          <w:rFonts w:ascii="Arial" w:hAnsi="Arial" w:cs="Arial"/>
          <w:b/>
          <w:i/>
          <w:sz w:val="20"/>
          <w:szCs w:val="20"/>
        </w:rPr>
        <w:t>7</w:t>
      </w:r>
      <w:r w:rsidRPr="00185D25">
        <w:rPr>
          <w:rFonts w:ascii="Arial" w:hAnsi="Arial" w:cs="Arial"/>
          <w:b/>
          <w:i/>
          <w:sz w:val="20"/>
          <w:szCs w:val="20"/>
        </w:rPr>
        <w:t xml:space="preserve"> furnizate de către Direcția de Sănătate Publică a județului </w:t>
      </w:r>
      <w:r>
        <w:rPr>
          <w:rFonts w:ascii="Arial" w:hAnsi="Arial" w:cs="Arial"/>
          <w:b/>
          <w:i/>
          <w:sz w:val="20"/>
          <w:szCs w:val="20"/>
        </w:rPr>
        <w:t>Brăila</w:t>
      </w:r>
    </w:p>
    <w:p w:rsidR="005F3EF8" w:rsidRDefault="005F3EF8" w:rsidP="007F6E99">
      <w:pPr>
        <w:jc w:val="both"/>
        <w:rPr>
          <w:rFonts w:ascii="Arial" w:hAnsi="Arial" w:cs="Arial"/>
          <w:b/>
          <w:sz w:val="24"/>
          <w:szCs w:val="24"/>
          <w:lang w:val="en-US"/>
        </w:rPr>
      </w:pPr>
    </w:p>
    <w:p w:rsidR="005F3EF8" w:rsidRDefault="007F6E99" w:rsidP="007F6E99">
      <w:pPr>
        <w:jc w:val="both"/>
        <w:rPr>
          <w:rFonts w:ascii="Arial" w:hAnsi="Arial" w:cs="Arial"/>
          <w:b/>
          <w:sz w:val="24"/>
          <w:szCs w:val="24"/>
          <w:lang w:val="en-US"/>
        </w:rPr>
      </w:pPr>
      <w:r w:rsidRPr="00594535">
        <w:rPr>
          <w:rFonts w:ascii="Arial" w:hAnsi="Arial" w:cs="Arial"/>
          <w:b/>
          <w:sz w:val="24"/>
          <w:szCs w:val="24"/>
          <w:lang w:val="en-US"/>
        </w:rPr>
        <w:t>Influenţa calităţii apei potabile asupra sănătăţii umane</w:t>
      </w:r>
      <w:r>
        <w:rPr>
          <w:rFonts w:ascii="Arial" w:hAnsi="Arial" w:cs="Arial"/>
          <w:b/>
          <w:sz w:val="24"/>
          <w:szCs w:val="24"/>
          <w:lang w:val="en-US"/>
        </w:rPr>
        <w:t xml:space="preserve"> </w:t>
      </w:r>
    </w:p>
    <w:p w:rsidR="007F6E99" w:rsidRPr="00E128B3" w:rsidRDefault="007F6E99" w:rsidP="007F6E99">
      <w:pPr>
        <w:jc w:val="both"/>
        <w:rPr>
          <w:rFonts w:ascii="Arial" w:hAnsi="Arial" w:cs="Arial"/>
          <w:b/>
          <w:bCs/>
          <w:sz w:val="24"/>
          <w:szCs w:val="24"/>
        </w:rPr>
      </w:pPr>
      <w:r w:rsidRPr="00E128B3">
        <w:rPr>
          <w:rFonts w:ascii="Arial" w:hAnsi="Arial" w:cs="Arial"/>
          <w:b/>
          <w:sz w:val="24"/>
          <w:szCs w:val="24"/>
          <w:lang w:val="en-US"/>
        </w:rPr>
        <w:t xml:space="preserve">Tabel VIII.1.3. -2- </w:t>
      </w:r>
      <w:r w:rsidRPr="00E128B3">
        <w:rPr>
          <w:rFonts w:ascii="Arial" w:hAnsi="Arial" w:cs="Arial"/>
          <w:b/>
          <w:sz w:val="24"/>
          <w:szCs w:val="24"/>
        </w:rPr>
        <w:t xml:space="preserve">Evoluţia cazurilor de methemoglobinemie </w:t>
      </w:r>
      <w:r w:rsidRPr="00E128B3">
        <w:rPr>
          <w:rFonts w:ascii="Arial" w:hAnsi="Arial" w:cs="Arial"/>
          <w:b/>
          <w:bCs/>
          <w:sz w:val="24"/>
          <w:szCs w:val="24"/>
        </w:rPr>
        <w:t>în perioada 2013 – 2017</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832"/>
        <w:gridCol w:w="850"/>
        <w:gridCol w:w="851"/>
        <w:gridCol w:w="850"/>
        <w:gridCol w:w="851"/>
      </w:tblGrid>
      <w:tr w:rsidR="007F6E99" w:rsidRPr="0090130C" w:rsidTr="004E444C">
        <w:trPr>
          <w:trHeight w:val="612"/>
          <w:jc w:val="center"/>
        </w:trPr>
        <w:tc>
          <w:tcPr>
            <w:tcW w:w="2102" w:type="dxa"/>
            <w:vMerge w:val="restart"/>
            <w:shd w:val="clear" w:color="auto" w:fill="FABF8F"/>
          </w:tcPr>
          <w:p w:rsidR="007F6E99" w:rsidRPr="0090130C" w:rsidRDefault="007F6E99" w:rsidP="004E444C">
            <w:pPr>
              <w:jc w:val="both"/>
              <w:rPr>
                <w:rFonts w:ascii="Arial" w:hAnsi="Arial" w:cs="Arial"/>
                <w:b/>
                <w:sz w:val="24"/>
                <w:szCs w:val="24"/>
              </w:rPr>
            </w:pPr>
          </w:p>
          <w:p w:rsidR="007F6E99" w:rsidRPr="0090130C" w:rsidRDefault="007F6E99" w:rsidP="004E444C">
            <w:pPr>
              <w:jc w:val="both"/>
              <w:rPr>
                <w:rFonts w:ascii="Arial" w:hAnsi="Arial" w:cs="Arial"/>
                <w:b/>
                <w:sz w:val="24"/>
                <w:szCs w:val="24"/>
              </w:rPr>
            </w:pPr>
            <w:r w:rsidRPr="0090130C">
              <w:rPr>
                <w:rFonts w:ascii="Arial" w:hAnsi="Arial" w:cs="Arial"/>
                <w:b/>
                <w:sz w:val="24"/>
                <w:szCs w:val="24"/>
              </w:rPr>
              <w:t xml:space="preserve">Județul </w:t>
            </w:r>
            <w:r>
              <w:rPr>
                <w:rFonts w:ascii="Arial" w:hAnsi="Arial" w:cs="Arial"/>
                <w:b/>
                <w:sz w:val="24"/>
                <w:szCs w:val="24"/>
              </w:rPr>
              <w:t>Brăila</w:t>
            </w:r>
          </w:p>
        </w:tc>
        <w:tc>
          <w:tcPr>
            <w:tcW w:w="4234" w:type="dxa"/>
            <w:gridSpan w:val="5"/>
            <w:shd w:val="clear" w:color="auto" w:fill="FABF8F"/>
          </w:tcPr>
          <w:p w:rsidR="007F6E99" w:rsidRPr="0090130C" w:rsidRDefault="007F6E99" w:rsidP="004E444C">
            <w:pPr>
              <w:spacing w:after="0" w:line="240" w:lineRule="auto"/>
              <w:rPr>
                <w:rFonts w:ascii="Arial" w:hAnsi="Arial" w:cs="Arial"/>
                <w:b/>
                <w:sz w:val="24"/>
                <w:szCs w:val="24"/>
              </w:rPr>
            </w:pPr>
            <w:r w:rsidRPr="0090130C">
              <w:rPr>
                <w:rFonts w:ascii="Arial" w:hAnsi="Arial" w:cs="Arial"/>
                <w:b/>
                <w:sz w:val="24"/>
                <w:szCs w:val="24"/>
              </w:rPr>
              <w:t>Evoluţia cazurilor de methemoglobinemie (cazuri/an)</w:t>
            </w:r>
          </w:p>
        </w:tc>
      </w:tr>
      <w:tr w:rsidR="007F6E99" w:rsidRPr="0090130C" w:rsidTr="004E444C">
        <w:trPr>
          <w:jc w:val="center"/>
        </w:trPr>
        <w:tc>
          <w:tcPr>
            <w:tcW w:w="2102" w:type="dxa"/>
            <w:vMerge/>
            <w:shd w:val="clear" w:color="auto" w:fill="FABF8F"/>
          </w:tcPr>
          <w:p w:rsidR="007F6E99" w:rsidRPr="0090130C" w:rsidRDefault="007F6E99" w:rsidP="004E444C">
            <w:pPr>
              <w:spacing w:after="0"/>
              <w:jc w:val="both"/>
              <w:rPr>
                <w:rFonts w:ascii="Arial" w:hAnsi="Arial" w:cs="Arial"/>
                <w:b/>
                <w:sz w:val="24"/>
                <w:szCs w:val="24"/>
              </w:rPr>
            </w:pPr>
          </w:p>
        </w:tc>
        <w:tc>
          <w:tcPr>
            <w:tcW w:w="832" w:type="dxa"/>
            <w:shd w:val="clear" w:color="auto" w:fill="FABF8F"/>
          </w:tcPr>
          <w:p w:rsidR="007F6E99" w:rsidRPr="0090130C" w:rsidRDefault="007F6E99" w:rsidP="004E444C">
            <w:pPr>
              <w:spacing w:after="0"/>
              <w:jc w:val="both"/>
              <w:rPr>
                <w:rFonts w:ascii="Arial" w:hAnsi="Arial" w:cs="Arial"/>
                <w:b/>
                <w:sz w:val="24"/>
                <w:szCs w:val="24"/>
              </w:rPr>
            </w:pPr>
            <w:r w:rsidRPr="0090130C">
              <w:rPr>
                <w:rFonts w:ascii="Arial" w:hAnsi="Arial" w:cs="Arial"/>
                <w:b/>
                <w:sz w:val="24"/>
                <w:szCs w:val="24"/>
              </w:rPr>
              <w:t>2013</w:t>
            </w:r>
          </w:p>
        </w:tc>
        <w:tc>
          <w:tcPr>
            <w:tcW w:w="850" w:type="dxa"/>
            <w:shd w:val="clear" w:color="auto" w:fill="FABF8F"/>
          </w:tcPr>
          <w:p w:rsidR="007F6E99" w:rsidRPr="0090130C" w:rsidRDefault="007F6E99" w:rsidP="004E444C">
            <w:pPr>
              <w:spacing w:after="0"/>
              <w:jc w:val="both"/>
              <w:rPr>
                <w:rFonts w:ascii="Arial" w:hAnsi="Arial" w:cs="Arial"/>
                <w:b/>
                <w:sz w:val="24"/>
                <w:szCs w:val="24"/>
              </w:rPr>
            </w:pPr>
            <w:r w:rsidRPr="0090130C">
              <w:rPr>
                <w:rFonts w:ascii="Arial" w:hAnsi="Arial" w:cs="Arial"/>
                <w:b/>
                <w:sz w:val="24"/>
                <w:szCs w:val="24"/>
              </w:rPr>
              <w:t>2014</w:t>
            </w:r>
          </w:p>
        </w:tc>
        <w:tc>
          <w:tcPr>
            <w:tcW w:w="851" w:type="dxa"/>
            <w:shd w:val="clear" w:color="auto" w:fill="FABF8F"/>
          </w:tcPr>
          <w:p w:rsidR="007F6E99" w:rsidRPr="0090130C" w:rsidRDefault="007F6E99" w:rsidP="004E444C">
            <w:pPr>
              <w:spacing w:after="0"/>
              <w:jc w:val="both"/>
              <w:rPr>
                <w:rFonts w:ascii="Arial" w:hAnsi="Arial" w:cs="Arial"/>
                <w:b/>
                <w:sz w:val="24"/>
                <w:szCs w:val="24"/>
              </w:rPr>
            </w:pPr>
            <w:r w:rsidRPr="0090130C">
              <w:rPr>
                <w:rFonts w:ascii="Arial" w:hAnsi="Arial" w:cs="Arial"/>
                <w:b/>
                <w:sz w:val="24"/>
                <w:szCs w:val="24"/>
              </w:rPr>
              <w:t>2015</w:t>
            </w:r>
          </w:p>
        </w:tc>
        <w:tc>
          <w:tcPr>
            <w:tcW w:w="850" w:type="dxa"/>
            <w:shd w:val="clear" w:color="auto" w:fill="FABF8F"/>
          </w:tcPr>
          <w:p w:rsidR="007F6E99" w:rsidRPr="003F77BD" w:rsidRDefault="007F6E99" w:rsidP="004E444C">
            <w:pPr>
              <w:spacing w:after="0"/>
              <w:jc w:val="both"/>
              <w:rPr>
                <w:rFonts w:ascii="Arial" w:hAnsi="Arial" w:cs="Arial"/>
                <w:b/>
                <w:sz w:val="24"/>
                <w:szCs w:val="24"/>
              </w:rPr>
            </w:pPr>
            <w:r w:rsidRPr="003F77BD">
              <w:rPr>
                <w:rFonts w:ascii="Arial" w:hAnsi="Arial" w:cs="Arial"/>
                <w:b/>
                <w:sz w:val="24"/>
                <w:szCs w:val="24"/>
              </w:rPr>
              <w:t>2016</w:t>
            </w:r>
          </w:p>
        </w:tc>
        <w:tc>
          <w:tcPr>
            <w:tcW w:w="851" w:type="dxa"/>
            <w:shd w:val="clear" w:color="auto" w:fill="FABF8F"/>
          </w:tcPr>
          <w:p w:rsidR="007F6E99" w:rsidRPr="003F77BD" w:rsidRDefault="007F6E99" w:rsidP="004E444C">
            <w:pPr>
              <w:spacing w:after="0"/>
              <w:jc w:val="both"/>
              <w:rPr>
                <w:rFonts w:ascii="Arial" w:hAnsi="Arial" w:cs="Arial"/>
                <w:b/>
                <w:sz w:val="24"/>
                <w:szCs w:val="24"/>
              </w:rPr>
            </w:pPr>
            <w:r>
              <w:rPr>
                <w:rFonts w:ascii="Arial" w:hAnsi="Arial" w:cs="Arial"/>
                <w:b/>
                <w:sz w:val="24"/>
                <w:szCs w:val="24"/>
              </w:rPr>
              <w:t>2017</w:t>
            </w:r>
          </w:p>
        </w:tc>
      </w:tr>
      <w:tr w:rsidR="007F6E99" w:rsidRPr="0090130C" w:rsidTr="004E444C">
        <w:trPr>
          <w:jc w:val="center"/>
        </w:trPr>
        <w:tc>
          <w:tcPr>
            <w:tcW w:w="2102" w:type="dxa"/>
            <w:shd w:val="clear" w:color="auto" w:fill="FDE9D9"/>
          </w:tcPr>
          <w:p w:rsidR="007F6E99" w:rsidRPr="0090130C" w:rsidRDefault="007F6E99" w:rsidP="004E444C">
            <w:pPr>
              <w:spacing w:after="0" w:line="240" w:lineRule="auto"/>
              <w:jc w:val="both"/>
              <w:rPr>
                <w:rFonts w:ascii="Arial" w:hAnsi="Arial" w:cs="Arial"/>
                <w:sz w:val="24"/>
                <w:szCs w:val="24"/>
              </w:rPr>
            </w:pPr>
            <w:r w:rsidRPr="0090130C">
              <w:rPr>
                <w:rFonts w:ascii="Arial" w:hAnsi="Arial" w:cs="Arial"/>
                <w:sz w:val="24"/>
                <w:szCs w:val="24"/>
              </w:rPr>
              <w:t>Număr cazuri/an</w:t>
            </w:r>
          </w:p>
        </w:tc>
        <w:tc>
          <w:tcPr>
            <w:tcW w:w="832"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3</w:t>
            </w:r>
          </w:p>
        </w:tc>
        <w:tc>
          <w:tcPr>
            <w:tcW w:w="850"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0</w:t>
            </w:r>
          </w:p>
        </w:tc>
        <w:tc>
          <w:tcPr>
            <w:tcW w:w="851"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0</w:t>
            </w:r>
          </w:p>
        </w:tc>
        <w:tc>
          <w:tcPr>
            <w:tcW w:w="850" w:type="dxa"/>
            <w:shd w:val="clear" w:color="auto" w:fill="FDE9D9"/>
          </w:tcPr>
          <w:p w:rsidR="007F6E99" w:rsidRPr="003F77BD" w:rsidRDefault="007F6E99" w:rsidP="004E444C">
            <w:pPr>
              <w:spacing w:line="240" w:lineRule="auto"/>
              <w:jc w:val="both"/>
              <w:rPr>
                <w:rFonts w:ascii="Arial" w:hAnsi="Arial" w:cs="Arial"/>
                <w:sz w:val="24"/>
                <w:szCs w:val="24"/>
              </w:rPr>
            </w:pPr>
            <w:r w:rsidRPr="003F77BD">
              <w:rPr>
                <w:rFonts w:ascii="Arial" w:hAnsi="Arial" w:cs="Arial"/>
                <w:sz w:val="24"/>
                <w:szCs w:val="24"/>
              </w:rPr>
              <w:t>0</w:t>
            </w:r>
          </w:p>
        </w:tc>
        <w:tc>
          <w:tcPr>
            <w:tcW w:w="851" w:type="dxa"/>
            <w:shd w:val="clear" w:color="auto" w:fill="FDE9D9"/>
          </w:tcPr>
          <w:p w:rsidR="007F6E99" w:rsidRPr="003F77BD" w:rsidRDefault="007F6E99" w:rsidP="004E444C">
            <w:pPr>
              <w:spacing w:line="240" w:lineRule="auto"/>
              <w:jc w:val="both"/>
              <w:rPr>
                <w:rFonts w:ascii="Arial" w:hAnsi="Arial" w:cs="Arial"/>
                <w:sz w:val="24"/>
                <w:szCs w:val="24"/>
              </w:rPr>
            </w:pPr>
            <w:r>
              <w:rPr>
                <w:rFonts w:ascii="Arial" w:hAnsi="Arial" w:cs="Arial"/>
                <w:sz w:val="24"/>
                <w:szCs w:val="24"/>
              </w:rPr>
              <w:t>0</w:t>
            </w:r>
          </w:p>
        </w:tc>
      </w:tr>
      <w:tr w:rsidR="007F6E99" w:rsidRPr="0090130C" w:rsidTr="004E444C">
        <w:trPr>
          <w:jc w:val="center"/>
        </w:trPr>
        <w:tc>
          <w:tcPr>
            <w:tcW w:w="2102"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Număr cazuri de mortalitate infantilă generate de consumul apei de fântână</w:t>
            </w:r>
          </w:p>
        </w:tc>
        <w:tc>
          <w:tcPr>
            <w:tcW w:w="832"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1</w:t>
            </w:r>
          </w:p>
        </w:tc>
        <w:tc>
          <w:tcPr>
            <w:tcW w:w="850"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0</w:t>
            </w:r>
          </w:p>
        </w:tc>
        <w:tc>
          <w:tcPr>
            <w:tcW w:w="851" w:type="dxa"/>
            <w:shd w:val="clear" w:color="auto" w:fill="FDE9D9"/>
          </w:tcPr>
          <w:p w:rsidR="007F6E99" w:rsidRPr="0090130C" w:rsidRDefault="007F6E99" w:rsidP="004E444C">
            <w:pPr>
              <w:spacing w:line="240" w:lineRule="auto"/>
              <w:jc w:val="both"/>
              <w:rPr>
                <w:rFonts w:ascii="Arial" w:hAnsi="Arial" w:cs="Arial"/>
                <w:sz w:val="24"/>
                <w:szCs w:val="24"/>
              </w:rPr>
            </w:pPr>
            <w:r w:rsidRPr="0090130C">
              <w:rPr>
                <w:rFonts w:ascii="Arial" w:hAnsi="Arial" w:cs="Arial"/>
                <w:sz w:val="24"/>
                <w:szCs w:val="24"/>
              </w:rPr>
              <w:t>0</w:t>
            </w:r>
          </w:p>
        </w:tc>
        <w:tc>
          <w:tcPr>
            <w:tcW w:w="850" w:type="dxa"/>
            <w:shd w:val="clear" w:color="auto" w:fill="FDE9D9"/>
          </w:tcPr>
          <w:p w:rsidR="007F6E99" w:rsidRPr="003F77BD" w:rsidRDefault="007F6E99" w:rsidP="004E444C">
            <w:pPr>
              <w:spacing w:line="240" w:lineRule="auto"/>
              <w:jc w:val="both"/>
              <w:rPr>
                <w:rFonts w:ascii="Arial" w:hAnsi="Arial" w:cs="Arial"/>
                <w:sz w:val="24"/>
                <w:szCs w:val="24"/>
              </w:rPr>
            </w:pPr>
            <w:r w:rsidRPr="003F77BD">
              <w:rPr>
                <w:rFonts w:ascii="Arial" w:hAnsi="Arial" w:cs="Arial"/>
                <w:sz w:val="24"/>
                <w:szCs w:val="24"/>
              </w:rPr>
              <w:t>0</w:t>
            </w:r>
          </w:p>
        </w:tc>
        <w:tc>
          <w:tcPr>
            <w:tcW w:w="851" w:type="dxa"/>
            <w:shd w:val="clear" w:color="auto" w:fill="FDE9D9"/>
          </w:tcPr>
          <w:p w:rsidR="007F6E99" w:rsidRPr="003F77BD" w:rsidRDefault="007F6E99" w:rsidP="004E444C">
            <w:pPr>
              <w:spacing w:line="240" w:lineRule="auto"/>
              <w:jc w:val="both"/>
              <w:rPr>
                <w:rFonts w:ascii="Arial" w:hAnsi="Arial" w:cs="Arial"/>
                <w:sz w:val="24"/>
                <w:szCs w:val="24"/>
              </w:rPr>
            </w:pPr>
            <w:r>
              <w:rPr>
                <w:rFonts w:ascii="Arial" w:hAnsi="Arial" w:cs="Arial"/>
                <w:sz w:val="24"/>
                <w:szCs w:val="24"/>
              </w:rPr>
              <w:t>0</w:t>
            </w:r>
          </w:p>
        </w:tc>
      </w:tr>
    </w:tbl>
    <w:p w:rsidR="007F6E99" w:rsidRPr="00E128B3" w:rsidRDefault="007F6E99" w:rsidP="007F6E99">
      <w:pPr>
        <w:pStyle w:val="Default"/>
        <w:rPr>
          <w:rFonts w:ascii="Arial" w:hAnsi="Arial" w:cs="Arial"/>
          <w:b/>
          <w:i/>
          <w:color w:val="auto"/>
          <w:sz w:val="20"/>
          <w:szCs w:val="20"/>
        </w:rPr>
      </w:pPr>
      <w:r w:rsidRPr="00594535">
        <w:rPr>
          <w:rFonts w:ascii="Arial" w:hAnsi="Arial" w:cs="Arial"/>
        </w:rPr>
        <w:t xml:space="preserve">    </w:t>
      </w:r>
      <w:r w:rsidRPr="00E128B3">
        <w:rPr>
          <w:rFonts w:ascii="Arial" w:hAnsi="Arial" w:cs="Arial"/>
          <w:b/>
          <w:i/>
          <w:color w:val="auto"/>
          <w:sz w:val="20"/>
          <w:szCs w:val="20"/>
        </w:rPr>
        <w:t>Notă: Informații furnizate de către Direcția de Sănătate Publică a județului Brăila</w:t>
      </w:r>
    </w:p>
    <w:p w:rsidR="007F6E99" w:rsidRPr="00E128B3" w:rsidRDefault="007F6E99" w:rsidP="007F6E99">
      <w:pPr>
        <w:pStyle w:val="Default"/>
        <w:rPr>
          <w:b/>
          <w:i/>
          <w:color w:val="auto"/>
        </w:rPr>
      </w:pPr>
      <w:r w:rsidRPr="00E128B3">
        <w:rPr>
          <w:rFonts w:ascii="Arial" w:hAnsi="Arial" w:cs="Arial"/>
          <w:b/>
          <w:i/>
          <w:color w:val="auto"/>
          <w:sz w:val="20"/>
          <w:szCs w:val="20"/>
        </w:rPr>
        <w:t>(</w:t>
      </w:r>
      <w:r w:rsidRPr="00E128B3">
        <w:rPr>
          <w:b/>
          <w:i/>
          <w:color w:val="auto"/>
        </w:rPr>
        <w:t xml:space="preserve">Pentru cazurile de methemoglobinemie se vor lua în considerare cazurile de boală cu diagnostic principal la externare de “Intoxicaţie acută cu nitraţi”). </w:t>
      </w:r>
    </w:p>
    <w:p w:rsidR="007F6E99" w:rsidRDefault="007F6E99" w:rsidP="007F6E99">
      <w:pPr>
        <w:spacing w:after="0" w:line="240" w:lineRule="auto"/>
        <w:ind w:firstLine="708"/>
        <w:rPr>
          <w:rFonts w:ascii="Arial" w:hAnsi="Arial" w:cs="Arial"/>
          <w:color w:val="FF0000"/>
          <w:sz w:val="24"/>
          <w:szCs w:val="24"/>
        </w:rPr>
      </w:pPr>
      <w:r w:rsidRPr="005F3EF8">
        <w:rPr>
          <w:rFonts w:ascii="Arial" w:hAnsi="Arial" w:cs="Arial"/>
          <w:b/>
          <w:sz w:val="24"/>
          <w:szCs w:val="24"/>
        </w:rPr>
        <w:t>Tabelul VIII. 1.3. – 3</w:t>
      </w:r>
      <w:r w:rsidRPr="004E720D">
        <w:rPr>
          <w:rFonts w:ascii="Arial" w:hAnsi="Arial" w:cs="Arial"/>
          <w:color w:val="FF0000"/>
          <w:sz w:val="24"/>
          <w:szCs w:val="24"/>
        </w:rPr>
        <w:t xml:space="preserve"> </w:t>
      </w:r>
      <w:r w:rsidRPr="004E720D">
        <w:rPr>
          <w:rFonts w:ascii="Arial" w:hAnsi="Arial" w:cs="Arial"/>
          <w:sz w:val="24"/>
          <w:szCs w:val="24"/>
        </w:rPr>
        <w:t>Îmbolnăviri</w:t>
      </w:r>
      <w:r w:rsidRPr="002854CF">
        <w:rPr>
          <w:rFonts w:ascii="Arial" w:hAnsi="Arial" w:cs="Arial"/>
          <w:sz w:val="24"/>
          <w:szCs w:val="24"/>
        </w:rPr>
        <w:t xml:space="preserve"> asociate factorilor de risc din apa pentru consum la nivelul județului </w:t>
      </w:r>
      <w:r>
        <w:rPr>
          <w:rFonts w:ascii="Arial" w:hAnsi="Arial" w:cs="Arial"/>
          <w:sz w:val="24"/>
          <w:szCs w:val="24"/>
        </w:rPr>
        <w:t>Brăila</w:t>
      </w:r>
      <w:r w:rsidRPr="002854CF">
        <w:rPr>
          <w:rFonts w:ascii="Arial" w:hAnsi="Arial" w:cs="Arial"/>
          <w:sz w:val="24"/>
          <w:szCs w:val="24"/>
        </w:rPr>
        <w:t xml:space="preserve"> pentru anul 201</w:t>
      </w:r>
      <w:r>
        <w:rPr>
          <w:rFonts w:ascii="Arial" w:hAnsi="Arial" w:cs="Arial"/>
          <w:sz w:val="24"/>
          <w:szCs w:val="24"/>
        </w:rPr>
        <w:t>7</w:t>
      </w:r>
    </w:p>
    <w:tbl>
      <w:tblPr>
        <w:tblW w:w="0" w:type="auto"/>
        <w:jc w:val="center"/>
        <w:tblInd w:w="2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4"/>
        <w:gridCol w:w="3597"/>
      </w:tblGrid>
      <w:tr w:rsidR="007F6E99" w:rsidRPr="0090130C" w:rsidTr="004E444C">
        <w:trPr>
          <w:jc w:val="center"/>
        </w:trPr>
        <w:tc>
          <w:tcPr>
            <w:tcW w:w="3044" w:type="dxa"/>
            <w:vMerge w:val="restart"/>
            <w:shd w:val="clear" w:color="auto" w:fill="FDE9D9"/>
          </w:tcPr>
          <w:p w:rsidR="007F6E99" w:rsidRPr="00FC4974" w:rsidRDefault="007F6E99" w:rsidP="004E444C">
            <w:pPr>
              <w:spacing w:after="0" w:line="240" w:lineRule="auto"/>
              <w:rPr>
                <w:rFonts w:ascii="Arial" w:eastAsia="Calibri" w:hAnsi="Arial" w:cs="Arial"/>
                <w:sz w:val="24"/>
                <w:szCs w:val="24"/>
                <w:lang w:val="en-US"/>
              </w:rPr>
            </w:pPr>
          </w:p>
          <w:p w:rsidR="007F6E99" w:rsidRPr="00FC4974" w:rsidRDefault="007F6E99" w:rsidP="004E444C">
            <w:pPr>
              <w:spacing w:after="0" w:line="240" w:lineRule="auto"/>
              <w:jc w:val="center"/>
              <w:rPr>
                <w:rFonts w:ascii="Arial" w:eastAsia="Calibri" w:hAnsi="Arial" w:cs="Arial"/>
                <w:sz w:val="24"/>
                <w:szCs w:val="24"/>
                <w:lang w:val="en-US"/>
              </w:rPr>
            </w:pPr>
            <w:r w:rsidRPr="00FC4974">
              <w:rPr>
                <w:rFonts w:ascii="Arial" w:eastAsia="Calibri" w:hAnsi="Arial" w:cs="Arial"/>
                <w:sz w:val="24"/>
                <w:szCs w:val="24"/>
                <w:lang w:val="en-US"/>
              </w:rPr>
              <w:t xml:space="preserve">Județul </w:t>
            </w:r>
            <w:r>
              <w:rPr>
                <w:rFonts w:ascii="Arial" w:eastAsia="Calibri" w:hAnsi="Arial" w:cs="Arial"/>
                <w:sz w:val="24"/>
                <w:szCs w:val="24"/>
                <w:lang w:val="en-US"/>
              </w:rPr>
              <w:t>Brăila</w:t>
            </w:r>
          </w:p>
        </w:tc>
        <w:tc>
          <w:tcPr>
            <w:tcW w:w="3597" w:type="dxa"/>
            <w:shd w:val="clear" w:color="auto" w:fill="FDE9D9"/>
          </w:tcPr>
          <w:p w:rsidR="007F6E99" w:rsidRPr="00FC4974" w:rsidRDefault="007F6E99" w:rsidP="004E444C">
            <w:pPr>
              <w:spacing w:after="0" w:line="240" w:lineRule="auto"/>
              <w:rPr>
                <w:rFonts w:ascii="Arial" w:eastAsia="Calibri" w:hAnsi="Arial" w:cs="Arial"/>
                <w:sz w:val="24"/>
                <w:szCs w:val="24"/>
                <w:lang w:val="en-US"/>
              </w:rPr>
            </w:pPr>
            <w:r w:rsidRPr="00FC4974">
              <w:rPr>
                <w:rFonts w:ascii="Arial" w:eastAsia="Calibri" w:hAnsi="Arial" w:cs="Arial"/>
                <w:sz w:val="24"/>
                <w:szCs w:val="24"/>
                <w:lang w:val="en-US"/>
              </w:rPr>
              <w:t>Îmbolnăviri asociate factorilor de risc din apa pentru consum</w:t>
            </w:r>
          </w:p>
        </w:tc>
      </w:tr>
      <w:tr w:rsidR="007F6E99" w:rsidRPr="0090130C" w:rsidTr="004E444C">
        <w:trPr>
          <w:jc w:val="center"/>
        </w:trPr>
        <w:tc>
          <w:tcPr>
            <w:tcW w:w="3044" w:type="dxa"/>
            <w:vMerge/>
          </w:tcPr>
          <w:p w:rsidR="007F6E99" w:rsidRPr="00FC4974" w:rsidRDefault="007F6E99" w:rsidP="004E444C">
            <w:pPr>
              <w:spacing w:after="0" w:line="240" w:lineRule="auto"/>
              <w:rPr>
                <w:rFonts w:ascii="Arial" w:eastAsia="Calibri" w:hAnsi="Arial" w:cs="Arial"/>
                <w:sz w:val="24"/>
                <w:szCs w:val="24"/>
                <w:lang w:val="en-US"/>
              </w:rPr>
            </w:pPr>
          </w:p>
        </w:tc>
        <w:tc>
          <w:tcPr>
            <w:tcW w:w="3597" w:type="dxa"/>
            <w:shd w:val="clear" w:color="auto" w:fill="FDE9D9"/>
          </w:tcPr>
          <w:p w:rsidR="007F6E99" w:rsidRPr="00FC4974" w:rsidRDefault="007F6E99" w:rsidP="004E444C">
            <w:pPr>
              <w:spacing w:after="0" w:line="240" w:lineRule="auto"/>
              <w:jc w:val="center"/>
              <w:rPr>
                <w:rFonts w:ascii="Arial" w:eastAsia="Calibri" w:hAnsi="Arial" w:cs="Arial"/>
                <w:sz w:val="24"/>
                <w:szCs w:val="24"/>
                <w:lang w:val="en-US"/>
              </w:rPr>
            </w:pPr>
            <w:r w:rsidRPr="00FC4974">
              <w:rPr>
                <w:rFonts w:ascii="Arial" w:eastAsia="Calibri" w:hAnsi="Arial" w:cs="Arial"/>
                <w:sz w:val="24"/>
                <w:szCs w:val="24"/>
                <w:lang w:val="en-US"/>
              </w:rPr>
              <w:t xml:space="preserve">Anul </w:t>
            </w:r>
            <w:r w:rsidRPr="00814E98">
              <w:rPr>
                <w:rFonts w:ascii="Arial" w:eastAsia="Calibri" w:hAnsi="Arial" w:cs="Arial"/>
                <w:b/>
                <w:sz w:val="24"/>
                <w:szCs w:val="24"/>
                <w:lang w:val="en-US"/>
              </w:rPr>
              <w:t>201</w:t>
            </w:r>
            <w:r>
              <w:rPr>
                <w:rFonts w:ascii="Arial" w:eastAsia="Calibri" w:hAnsi="Arial" w:cs="Arial"/>
                <w:b/>
                <w:sz w:val="24"/>
                <w:szCs w:val="24"/>
                <w:lang w:val="en-US"/>
              </w:rPr>
              <w:t>7</w:t>
            </w:r>
          </w:p>
        </w:tc>
      </w:tr>
      <w:tr w:rsidR="007F6E99" w:rsidRPr="0090130C" w:rsidTr="004E444C">
        <w:trPr>
          <w:jc w:val="center"/>
        </w:trPr>
        <w:tc>
          <w:tcPr>
            <w:tcW w:w="3044" w:type="dxa"/>
            <w:shd w:val="clear" w:color="auto" w:fill="DAEEF3"/>
          </w:tcPr>
          <w:p w:rsidR="007F6E99" w:rsidRPr="00FC4974" w:rsidRDefault="007F6E99" w:rsidP="004E444C">
            <w:pPr>
              <w:spacing w:after="0" w:line="240" w:lineRule="auto"/>
              <w:rPr>
                <w:rFonts w:ascii="Arial" w:eastAsia="Calibri" w:hAnsi="Arial" w:cs="Arial"/>
                <w:sz w:val="24"/>
                <w:szCs w:val="24"/>
                <w:lang w:val="en-US"/>
              </w:rPr>
            </w:pPr>
            <w:r w:rsidRPr="00FC4974">
              <w:rPr>
                <w:rFonts w:ascii="Arial" w:eastAsia="Calibri" w:hAnsi="Arial" w:cs="Arial"/>
                <w:sz w:val="24"/>
                <w:szCs w:val="24"/>
                <w:lang w:val="en-US"/>
              </w:rPr>
              <w:t>Număr cazuri la 1.000 de locuitori</w:t>
            </w:r>
          </w:p>
        </w:tc>
        <w:tc>
          <w:tcPr>
            <w:tcW w:w="3597" w:type="dxa"/>
            <w:shd w:val="clear" w:color="auto" w:fill="DAEEF3"/>
          </w:tcPr>
          <w:p w:rsidR="007F6E99" w:rsidRPr="00814E98" w:rsidRDefault="007F6E99" w:rsidP="004E444C">
            <w:pPr>
              <w:spacing w:after="0" w:line="240" w:lineRule="auto"/>
              <w:jc w:val="center"/>
              <w:rPr>
                <w:rFonts w:ascii="Arial" w:eastAsia="Calibri" w:hAnsi="Arial" w:cs="Arial"/>
                <w:sz w:val="24"/>
                <w:szCs w:val="24"/>
                <w:lang w:val="en-US"/>
              </w:rPr>
            </w:pPr>
            <w:r w:rsidRPr="00814E98">
              <w:rPr>
                <w:rFonts w:ascii="Arial" w:eastAsia="Calibri" w:hAnsi="Arial" w:cs="Arial"/>
                <w:sz w:val="24"/>
                <w:szCs w:val="24"/>
                <w:lang w:val="en-US"/>
              </w:rPr>
              <w:t>0</w:t>
            </w:r>
          </w:p>
        </w:tc>
      </w:tr>
    </w:tbl>
    <w:p w:rsidR="007F6E99" w:rsidRDefault="007F6E99" w:rsidP="007F6E99">
      <w:pPr>
        <w:ind w:firstLine="708"/>
        <w:rPr>
          <w:rFonts w:ascii="Arial" w:hAnsi="Arial" w:cs="Arial"/>
          <w:b/>
          <w:i/>
          <w:sz w:val="20"/>
          <w:szCs w:val="20"/>
        </w:rPr>
      </w:pPr>
      <w:r w:rsidRPr="00814E98">
        <w:rPr>
          <w:rFonts w:ascii="Arial" w:hAnsi="Arial" w:cs="Arial"/>
          <w:sz w:val="24"/>
          <w:szCs w:val="24"/>
          <w:lang w:val="en-US"/>
        </w:rPr>
        <w:t xml:space="preserve">* </w:t>
      </w:r>
      <w:r w:rsidRPr="00B74FBD">
        <w:rPr>
          <w:rFonts w:ascii="Arial" w:hAnsi="Arial" w:cs="Arial"/>
          <w:b/>
          <w:i/>
          <w:sz w:val="20"/>
          <w:szCs w:val="20"/>
        </w:rPr>
        <w:t xml:space="preserve">Datele colectate se referă la cazuri spitalizate prin </w:t>
      </w:r>
      <w:r w:rsidRPr="00B74FBD">
        <w:rPr>
          <w:rFonts w:ascii="Arial" w:hAnsi="Arial" w:cs="Arial"/>
          <w:b/>
          <w:i/>
          <w:iCs/>
          <w:sz w:val="20"/>
          <w:szCs w:val="20"/>
        </w:rPr>
        <w:t>boli hidrice infecţioase şi  neinfecţioase</w:t>
      </w:r>
      <w:r w:rsidRPr="00B74FBD">
        <w:rPr>
          <w:rFonts w:ascii="Arial" w:hAnsi="Arial" w:cs="Arial"/>
          <w:b/>
          <w:i/>
          <w:sz w:val="20"/>
          <w:szCs w:val="20"/>
        </w:rPr>
        <w:t xml:space="preserve"> în toate unit ăţile spitaliceşti din judeţul </w:t>
      </w:r>
      <w:r>
        <w:rPr>
          <w:rFonts w:ascii="Arial" w:hAnsi="Arial" w:cs="Arial"/>
          <w:b/>
          <w:i/>
          <w:sz w:val="20"/>
          <w:szCs w:val="20"/>
        </w:rPr>
        <w:t>Brăila</w:t>
      </w:r>
      <w:r w:rsidRPr="00B74FBD">
        <w:rPr>
          <w:rFonts w:ascii="Times New Roman" w:hAnsi="Times New Roman"/>
          <w:b/>
        </w:rPr>
        <w:t>.</w:t>
      </w:r>
      <w:r w:rsidRPr="00B74FBD">
        <w:rPr>
          <w:rFonts w:ascii="Arial" w:hAnsi="Arial" w:cs="Arial"/>
          <w:b/>
          <w:i/>
          <w:sz w:val="20"/>
          <w:szCs w:val="20"/>
        </w:rPr>
        <w:t xml:space="preserve">Notă: Informații furnizate de către Direcția de Sănătate Publică a județului </w:t>
      </w:r>
      <w:r>
        <w:rPr>
          <w:rFonts w:ascii="Arial" w:hAnsi="Arial" w:cs="Arial"/>
          <w:b/>
          <w:i/>
          <w:sz w:val="20"/>
          <w:szCs w:val="20"/>
        </w:rPr>
        <w:t>Brăila</w:t>
      </w:r>
    </w:p>
    <w:p w:rsidR="005F3EF8" w:rsidRPr="00B74FBD" w:rsidRDefault="005F3EF8" w:rsidP="007F6E99">
      <w:pPr>
        <w:ind w:firstLine="708"/>
        <w:rPr>
          <w:rFonts w:ascii="Arial" w:hAnsi="Arial" w:cs="Arial"/>
          <w:b/>
          <w:i/>
          <w:sz w:val="20"/>
          <w:szCs w:val="20"/>
        </w:rPr>
      </w:pPr>
    </w:p>
    <w:p w:rsidR="007F6E99" w:rsidRDefault="007F6E99" w:rsidP="007F6E99">
      <w:pPr>
        <w:pStyle w:val="Default"/>
        <w:rPr>
          <w:rFonts w:ascii="Arial" w:hAnsi="Arial" w:cs="Arial"/>
          <w:b/>
          <w:color w:val="auto"/>
        </w:rPr>
      </w:pPr>
      <w:r w:rsidRPr="008A7F47">
        <w:rPr>
          <w:rFonts w:ascii="Arial" w:hAnsi="Arial" w:cs="Arial"/>
          <w:b/>
          <w:color w:val="auto"/>
        </w:rPr>
        <w:lastRenderedPageBreak/>
        <w:t xml:space="preserve">VIII.1.4. Spațiile verzi și efectele asupra sănătății și calității vieții </w:t>
      </w:r>
    </w:p>
    <w:p w:rsidR="007F6E99" w:rsidRPr="008A7F47" w:rsidRDefault="007F6E99" w:rsidP="007F6E99">
      <w:pPr>
        <w:pStyle w:val="Default"/>
        <w:rPr>
          <w:color w:val="auto"/>
        </w:rPr>
      </w:pPr>
    </w:p>
    <w:p w:rsidR="007F6E99" w:rsidRPr="00AC5165" w:rsidRDefault="007F6E99" w:rsidP="007F6E99">
      <w:pPr>
        <w:spacing w:after="0" w:line="240" w:lineRule="auto"/>
        <w:jc w:val="both"/>
        <w:rPr>
          <w:rStyle w:val="tli1"/>
          <w:rFonts w:ascii="Arial" w:hAnsi="Arial" w:cs="Arial"/>
          <w:sz w:val="24"/>
          <w:szCs w:val="24"/>
        </w:rPr>
      </w:pPr>
      <w:r>
        <w:rPr>
          <w:rStyle w:val="tli1"/>
          <w:rFonts w:ascii="Arial" w:hAnsi="Arial" w:cs="Arial"/>
          <w:sz w:val="24"/>
          <w:szCs w:val="24"/>
        </w:rPr>
        <w:t xml:space="preserve">      </w:t>
      </w:r>
      <w:r w:rsidRPr="00AC5165">
        <w:rPr>
          <w:rStyle w:val="tli1"/>
          <w:rFonts w:ascii="Arial" w:hAnsi="Arial" w:cs="Arial"/>
          <w:sz w:val="24"/>
          <w:szCs w:val="24"/>
        </w:rPr>
        <w:t>Pe lângă rolul estetic, spaţiile verzi contribuie la îmbunătăţirea calităţii mediului prin reducerea poluării atmosferice şi reglarea climatului zonal (ameliorând temperaturile extreme şi îmbunătăţind regimul precipitaţiilor).</w:t>
      </w:r>
    </w:p>
    <w:p w:rsidR="007F6E99" w:rsidRPr="00AC5165" w:rsidRDefault="005D0BB6" w:rsidP="007F6E99">
      <w:pPr>
        <w:spacing w:after="0" w:line="240" w:lineRule="auto"/>
        <w:jc w:val="both"/>
        <w:rPr>
          <w:rFonts w:ascii="Arial" w:hAnsi="Arial" w:cs="Arial"/>
          <w:sz w:val="24"/>
          <w:szCs w:val="24"/>
        </w:rPr>
      </w:pPr>
      <w:hyperlink w:anchor="#" w:history="1"/>
      <w:r w:rsidR="007F6E99" w:rsidRPr="00AC5165">
        <w:rPr>
          <w:rFonts w:ascii="Arial" w:hAnsi="Arial" w:cs="Arial"/>
          <w:sz w:val="24"/>
          <w:szCs w:val="24"/>
        </w:rPr>
        <w:t>A</w:t>
      </w:r>
      <w:r w:rsidR="007F6E99" w:rsidRPr="00AC5165">
        <w:rPr>
          <w:rStyle w:val="tpa1"/>
          <w:rFonts w:ascii="Arial" w:hAnsi="Arial" w:cs="Arial"/>
          <w:sz w:val="24"/>
          <w:szCs w:val="24"/>
        </w:rPr>
        <w:t>dministrarea spaţiilor verzi urmăreşte:</w:t>
      </w:r>
    </w:p>
    <w:p w:rsidR="007F6E99" w:rsidRPr="00AC5165" w:rsidRDefault="005D0BB6" w:rsidP="00EF3940">
      <w:pPr>
        <w:pStyle w:val="ListParagraph"/>
        <w:numPr>
          <w:ilvl w:val="0"/>
          <w:numId w:val="86"/>
        </w:numPr>
        <w:jc w:val="both"/>
        <w:rPr>
          <w:rFonts w:ascii="Arial" w:hAnsi="Arial" w:cs="Arial"/>
        </w:rPr>
      </w:pPr>
      <w:hyperlink w:anchor="#" w:history="1"/>
      <w:r w:rsidR="007F6E99" w:rsidRPr="00AC5165">
        <w:rPr>
          <w:rStyle w:val="tli1"/>
          <w:rFonts w:ascii="Arial" w:eastAsia="SimSun" w:hAnsi="Arial" w:cs="Arial"/>
        </w:rPr>
        <w:t>protecţia şi conservarea spaţiilor verzi pentru menţinerea biodiversităţii lor;</w:t>
      </w:r>
      <w:hyperlink w:anchor="#" w:history="1"/>
      <w:r w:rsidR="007F6E99" w:rsidRPr="00AC5165">
        <w:rPr>
          <w:rStyle w:val="tli1"/>
          <w:rFonts w:ascii="Arial" w:eastAsia="SimSun" w:hAnsi="Arial" w:cs="Arial"/>
        </w:rPr>
        <w:t>menţinerea şi dezvoltarea funcţiilor de protecţie a spaţiilor verzi privind apele, solul, schimbările climatice, menţinerea peisajelor în scopul ocrotirii sănătăţii populaţiei, protecţiei mediului şi asigurării calităţii vieţii;</w:t>
      </w:r>
    </w:p>
    <w:p w:rsidR="007F6E99" w:rsidRPr="00AC5165" w:rsidRDefault="005D0BB6" w:rsidP="00EF3940">
      <w:pPr>
        <w:pStyle w:val="ListParagraph"/>
        <w:numPr>
          <w:ilvl w:val="0"/>
          <w:numId w:val="86"/>
        </w:numPr>
        <w:jc w:val="both"/>
        <w:rPr>
          <w:rFonts w:ascii="Arial" w:hAnsi="Arial" w:cs="Arial"/>
        </w:rPr>
      </w:pPr>
      <w:hyperlink w:anchor="#" w:history="1"/>
      <w:r w:rsidR="007F6E99" w:rsidRPr="00AC5165">
        <w:rPr>
          <w:rStyle w:val="tli1"/>
          <w:rFonts w:ascii="Arial" w:eastAsia="SimSun" w:hAnsi="Arial" w:cs="Arial"/>
        </w:rPr>
        <w:t>regenerarea, extinderea, ameliorarea compoziţiei şi a calităţii spaţiilor verzi;</w:t>
      </w:r>
    </w:p>
    <w:p w:rsidR="007F6E99" w:rsidRPr="00AC5165" w:rsidRDefault="005D0BB6" w:rsidP="00EF3940">
      <w:pPr>
        <w:pStyle w:val="ListParagraph"/>
        <w:numPr>
          <w:ilvl w:val="0"/>
          <w:numId w:val="86"/>
        </w:numPr>
        <w:jc w:val="both"/>
        <w:rPr>
          <w:rFonts w:ascii="Arial" w:hAnsi="Arial" w:cs="Arial"/>
        </w:rPr>
      </w:pPr>
      <w:hyperlink w:anchor="#" w:history="1"/>
      <w:r w:rsidR="007F6E99" w:rsidRPr="00AC5165">
        <w:rPr>
          <w:rStyle w:val="tli1"/>
          <w:rFonts w:ascii="Arial" w:eastAsia="SimSun" w:hAnsi="Arial" w:cs="Arial"/>
        </w:rPr>
        <w:t>elaborarea şi aplicarea unui complex de măsuri privind aducerea şi menţinerea spaţiilor verzi în starea corespunzătoare funcţiilor lor;</w:t>
      </w:r>
    </w:p>
    <w:p w:rsidR="007F6E99" w:rsidRPr="00AC5165" w:rsidRDefault="005D0BB6" w:rsidP="00EF3940">
      <w:pPr>
        <w:pStyle w:val="ListParagraph"/>
        <w:numPr>
          <w:ilvl w:val="0"/>
          <w:numId w:val="86"/>
        </w:numPr>
        <w:jc w:val="both"/>
        <w:rPr>
          <w:rFonts w:ascii="Arial" w:hAnsi="Arial" w:cs="Arial"/>
        </w:rPr>
      </w:pPr>
      <w:hyperlink w:anchor="#" w:history="1"/>
      <w:r w:rsidR="007F6E99" w:rsidRPr="00AC5165">
        <w:rPr>
          <w:rStyle w:val="tli1"/>
          <w:rFonts w:ascii="Arial" w:eastAsia="SimSun" w:hAnsi="Arial" w:cs="Arial"/>
        </w:rPr>
        <w:t>identificarea zonelor deficitare şi realizarea de lucrări pentru extinderea suprafeţelor acoperite cu vegetaţie;</w:t>
      </w:r>
    </w:p>
    <w:p w:rsidR="007F6E99" w:rsidRPr="00740379" w:rsidRDefault="005D0BB6" w:rsidP="00EF3940">
      <w:pPr>
        <w:pStyle w:val="Default"/>
        <w:widowControl w:val="0"/>
        <w:numPr>
          <w:ilvl w:val="0"/>
          <w:numId w:val="86"/>
        </w:numPr>
        <w:jc w:val="both"/>
        <w:rPr>
          <w:rStyle w:val="tli1"/>
          <w:rFonts w:ascii="Arial" w:hAnsi="Arial" w:cs="Arial"/>
        </w:rPr>
      </w:pPr>
      <w:hyperlink w:anchor="#" w:history="1"/>
      <w:r w:rsidR="007F6E99" w:rsidRPr="00AC5165">
        <w:rPr>
          <w:rStyle w:val="tli1"/>
          <w:rFonts w:ascii="Arial" w:eastAsia="SimSun" w:hAnsi="Arial" w:cs="Arial"/>
        </w:rPr>
        <w:t>extinderea suprafeţelor ocupate de spaţii verzi, prin includerea în categoria spaţiilor verzi publice a terenurilor cu potenţial ecologic</w:t>
      </w:r>
      <w:r w:rsidR="007F6E99">
        <w:rPr>
          <w:rStyle w:val="tli1"/>
          <w:rFonts w:ascii="Arial" w:eastAsia="SimSun" w:hAnsi="Arial" w:cs="Arial"/>
        </w:rPr>
        <w:t>.</w:t>
      </w:r>
    </w:p>
    <w:p w:rsidR="007F6E99" w:rsidRPr="00AC5165" w:rsidRDefault="007F6E99" w:rsidP="007F6E99">
      <w:pPr>
        <w:pStyle w:val="Default"/>
        <w:widowControl w:val="0"/>
        <w:ind w:left="1440"/>
        <w:jc w:val="both"/>
        <w:rPr>
          <w:rFonts w:ascii="Arial" w:hAnsi="Arial" w:cs="Arial"/>
        </w:rPr>
      </w:pPr>
    </w:p>
    <w:p w:rsidR="007F6E99" w:rsidRPr="001C55D5" w:rsidRDefault="007F6E99" w:rsidP="007F6E99">
      <w:pPr>
        <w:pStyle w:val="Heading4"/>
        <w:tabs>
          <w:tab w:val="num" w:pos="709"/>
          <w:tab w:val="left" w:pos="851"/>
        </w:tabs>
        <w:spacing w:before="0" w:after="0" w:line="276" w:lineRule="auto"/>
        <w:jc w:val="both"/>
        <w:rPr>
          <w:rFonts w:ascii="Arial" w:hAnsi="Arial" w:cs="Arial"/>
          <w:bCs w:val="0"/>
          <w:iCs/>
          <w:sz w:val="24"/>
          <w:szCs w:val="24"/>
        </w:rPr>
      </w:pPr>
      <w:r>
        <w:rPr>
          <w:rFonts w:ascii="Arial" w:hAnsi="Arial" w:cs="Arial"/>
          <w:bCs w:val="0"/>
          <w:iCs/>
          <w:sz w:val="24"/>
          <w:szCs w:val="24"/>
        </w:rPr>
        <w:t>VIII.1.4.1.</w:t>
      </w:r>
      <w:r w:rsidRPr="001C55D5">
        <w:rPr>
          <w:rFonts w:ascii="Arial" w:hAnsi="Arial" w:cs="Arial"/>
          <w:bCs w:val="0"/>
          <w:iCs/>
          <w:sz w:val="24"/>
          <w:szCs w:val="24"/>
        </w:rPr>
        <w:t>Suprafaţa ocupată de spaţiile verzi în aglomerările urbane</w:t>
      </w:r>
    </w:p>
    <w:p w:rsidR="007F6E99" w:rsidRDefault="007F6E99" w:rsidP="007F6E99">
      <w:pPr>
        <w:spacing w:after="0" w:line="240" w:lineRule="auto"/>
        <w:ind w:firstLine="737"/>
        <w:jc w:val="both"/>
        <w:rPr>
          <w:rFonts w:ascii="Arial" w:hAnsi="Arial" w:cs="Arial"/>
          <w:sz w:val="24"/>
          <w:szCs w:val="24"/>
          <w:lang w:val="it-IT"/>
        </w:rPr>
      </w:pPr>
      <w:r w:rsidRPr="00740379">
        <w:rPr>
          <w:rFonts w:ascii="Arial" w:hAnsi="Arial" w:cs="Arial"/>
          <w:bCs/>
          <w:iCs/>
          <w:sz w:val="24"/>
          <w:szCs w:val="24"/>
        </w:rPr>
        <w:t xml:space="preserve">Suprafaţa totală ocupată de spaţiile verzi în aglomerările urbane </w:t>
      </w:r>
      <w:r w:rsidRPr="00740379">
        <w:rPr>
          <w:rFonts w:ascii="Arial" w:hAnsi="Arial" w:cs="Arial"/>
          <w:sz w:val="24"/>
          <w:szCs w:val="24"/>
        </w:rPr>
        <w:t xml:space="preserve">ale județului Brăila este de 533,44 ha, reprezentând spațiile verzi </w:t>
      </w:r>
      <w:r w:rsidRPr="00740379">
        <w:rPr>
          <w:rFonts w:ascii="Arial" w:hAnsi="Arial" w:cs="Arial"/>
          <w:sz w:val="24"/>
          <w:szCs w:val="24"/>
          <w:lang w:val="it-IT"/>
        </w:rPr>
        <w:t>aferente orașului reședință de județ Brăila, respectiv cele ale orașelor Ianca, Însurăței și Făurei.</w:t>
      </w:r>
    </w:p>
    <w:p w:rsidR="007F6E99" w:rsidRDefault="007F6E99" w:rsidP="007F6E99">
      <w:pPr>
        <w:spacing w:after="0" w:line="240" w:lineRule="auto"/>
        <w:ind w:firstLine="737"/>
        <w:jc w:val="both"/>
        <w:rPr>
          <w:rFonts w:ascii="Arial" w:hAnsi="Arial" w:cs="Arial"/>
          <w:sz w:val="24"/>
          <w:szCs w:val="24"/>
        </w:rPr>
      </w:pPr>
      <w:r w:rsidRPr="00740379">
        <w:rPr>
          <w:rFonts w:ascii="Arial" w:hAnsi="Arial" w:cs="Arial"/>
          <w:sz w:val="24"/>
          <w:szCs w:val="24"/>
        </w:rPr>
        <w:t>Evoluţia suprafeţei spaţiilor verzi din totalul intravilan, pentru o perioadă de cinci ani (2013-2017) respectiv evoluţia suprafeţei spaţiilor verzi pe cap de locuitor din mediul urban, tendinţă în ultimii cinci ani (2013-2017), sunt sintetizate pentru fiecare oraș în parte, în  următoarele tabele respectiv grafice:</w:t>
      </w:r>
    </w:p>
    <w:p w:rsidR="005F3EF8" w:rsidRDefault="005F3EF8" w:rsidP="007F6E99">
      <w:pPr>
        <w:jc w:val="both"/>
        <w:rPr>
          <w:rFonts w:ascii="Arial" w:hAnsi="Arial" w:cs="Arial"/>
          <w:b/>
          <w:sz w:val="24"/>
          <w:szCs w:val="24"/>
          <w:lang w:val="en-US"/>
        </w:rPr>
      </w:pPr>
    </w:p>
    <w:p w:rsidR="007F6E99" w:rsidRPr="00757560" w:rsidRDefault="007F6E99" w:rsidP="007F6E99">
      <w:pPr>
        <w:jc w:val="both"/>
        <w:rPr>
          <w:rFonts w:ascii="Arial" w:hAnsi="Arial" w:cs="Arial"/>
          <w:lang w:val="it-IT"/>
        </w:rPr>
      </w:pPr>
      <w:r w:rsidRPr="00740379">
        <w:rPr>
          <w:rFonts w:ascii="Arial" w:hAnsi="Arial" w:cs="Arial"/>
          <w:b/>
          <w:sz w:val="24"/>
          <w:szCs w:val="24"/>
          <w:lang w:val="en-US"/>
        </w:rPr>
        <w:t xml:space="preserve">Tabel nr. VIII.1.4.1. </w:t>
      </w:r>
      <w:r>
        <w:rPr>
          <w:rFonts w:ascii="Arial" w:hAnsi="Arial" w:cs="Arial"/>
          <w:b/>
          <w:sz w:val="24"/>
          <w:szCs w:val="24"/>
          <w:lang w:val="en-US"/>
        </w:rPr>
        <w:t>–</w:t>
      </w:r>
      <w:r w:rsidRPr="00740379">
        <w:rPr>
          <w:rFonts w:ascii="Arial" w:hAnsi="Arial" w:cs="Arial"/>
          <w:b/>
          <w:sz w:val="24"/>
          <w:szCs w:val="24"/>
          <w:lang w:val="en-US"/>
        </w:rPr>
        <w:t xml:space="preserve"> 1</w:t>
      </w:r>
      <w:r>
        <w:rPr>
          <w:rFonts w:ascii="Arial" w:hAnsi="Arial" w:cs="Arial"/>
          <w:b/>
          <w:sz w:val="24"/>
          <w:szCs w:val="24"/>
          <w:lang w:val="en-US"/>
        </w:rPr>
        <w:t xml:space="preserve"> </w:t>
      </w:r>
      <w:r w:rsidRPr="00740379">
        <w:rPr>
          <w:rFonts w:ascii="Arial" w:hAnsi="Arial" w:cs="Arial"/>
          <w:sz w:val="24"/>
          <w:szCs w:val="24"/>
        </w:rPr>
        <w:t>Situația spațiilor verzi</w:t>
      </w:r>
      <w:r w:rsidRPr="00740379">
        <w:rPr>
          <w:rFonts w:ascii="Arial" w:hAnsi="Arial" w:cs="Arial"/>
          <w:sz w:val="24"/>
          <w:szCs w:val="24"/>
          <w:lang w:val="it-IT"/>
        </w:rPr>
        <w:t xml:space="preserve"> aferente orașului reședință de județ BRĂILA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7F6E99" w:rsidRPr="00567A95" w:rsidRDefault="007F6E99" w:rsidP="004E444C">
            <w:pPr>
              <w:tabs>
                <w:tab w:val="center" w:pos="4680"/>
                <w:tab w:val="right" w:pos="9360"/>
              </w:tabs>
              <w:rPr>
                <w:rFonts w:ascii="Arial" w:hAnsi="Arial" w:cs="Arial"/>
                <w:b/>
                <w:lang w:val="en-US"/>
              </w:rPr>
            </w:pPr>
            <w:r w:rsidRPr="00567A95">
              <w:rPr>
                <w:rFonts w:ascii="Arial" w:hAnsi="Arial" w:cs="Arial"/>
                <w:b/>
              </w:rPr>
              <w:t xml:space="preserve"> Mun. Brăila</w:t>
            </w:r>
          </w:p>
        </w:tc>
        <w:tc>
          <w:tcPr>
            <w:tcW w:w="12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7F6E99" w:rsidRPr="00567A95" w:rsidRDefault="007F6E99" w:rsidP="004E444C">
            <w:pPr>
              <w:tabs>
                <w:tab w:val="center" w:pos="4680"/>
                <w:tab w:val="right" w:pos="9360"/>
              </w:tabs>
              <w:jc w:val="center"/>
              <w:rPr>
                <w:rFonts w:ascii="Arial" w:hAnsi="Arial" w:cs="Arial"/>
                <w:b/>
                <w:lang w:val="en-US"/>
              </w:rPr>
            </w:pPr>
            <w:r w:rsidRPr="00567A95">
              <w:rPr>
                <w:rFonts w:ascii="Arial" w:hAnsi="Arial" w:cs="Arial"/>
                <w:b/>
                <w:lang w:val="en-US"/>
              </w:rPr>
              <w:t>201</w:t>
            </w:r>
            <w:r>
              <w:rPr>
                <w:rFonts w:ascii="Arial" w:hAnsi="Arial" w:cs="Arial"/>
                <w:b/>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7F6E99" w:rsidRPr="00567A95" w:rsidRDefault="007F6E99" w:rsidP="004E444C">
            <w:pPr>
              <w:tabs>
                <w:tab w:val="center" w:pos="4680"/>
                <w:tab w:val="right" w:pos="9360"/>
              </w:tabs>
              <w:jc w:val="center"/>
              <w:rPr>
                <w:rFonts w:ascii="Arial" w:hAnsi="Arial" w:cs="Arial"/>
                <w:b/>
                <w:lang w:val="en-US"/>
              </w:rPr>
            </w:pPr>
            <w:r w:rsidRPr="00567A95">
              <w:rPr>
                <w:rFonts w:ascii="Arial" w:hAnsi="Arial" w:cs="Arial"/>
                <w:b/>
                <w:lang w:val="en-US"/>
              </w:rPr>
              <w:t>201</w:t>
            </w:r>
            <w:r>
              <w:rPr>
                <w:rFonts w:ascii="Arial" w:hAnsi="Arial" w:cs="Arial"/>
                <w:b/>
                <w:lang w:val="en-US"/>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7F6E99" w:rsidRPr="00567A95" w:rsidRDefault="007F6E99" w:rsidP="004E444C">
            <w:pPr>
              <w:tabs>
                <w:tab w:val="center" w:pos="4680"/>
                <w:tab w:val="right" w:pos="9360"/>
              </w:tabs>
              <w:jc w:val="center"/>
              <w:rPr>
                <w:rFonts w:ascii="Arial" w:hAnsi="Arial" w:cs="Arial"/>
                <w:b/>
                <w:lang w:val="en-US"/>
              </w:rPr>
            </w:pPr>
            <w:r w:rsidRPr="00567A95">
              <w:rPr>
                <w:rFonts w:ascii="Arial" w:hAnsi="Arial" w:cs="Arial"/>
                <w:b/>
                <w:lang w:val="en-US"/>
              </w:rPr>
              <w:t>201</w:t>
            </w:r>
            <w:r>
              <w:rPr>
                <w:rFonts w:ascii="Arial" w:hAnsi="Arial" w:cs="Arial"/>
                <w:b/>
                <w:lang w:val="en-U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7F6E99" w:rsidRPr="00567A95" w:rsidRDefault="007F6E99" w:rsidP="004E444C">
            <w:pPr>
              <w:tabs>
                <w:tab w:val="center" w:pos="4680"/>
                <w:tab w:val="right" w:pos="9360"/>
              </w:tabs>
              <w:jc w:val="center"/>
              <w:rPr>
                <w:rFonts w:ascii="Arial" w:hAnsi="Arial" w:cs="Arial"/>
                <w:b/>
                <w:lang w:val="en-US"/>
              </w:rPr>
            </w:pPr>
            <w:r w:rsidRPr="00567A95">
              <w:rPr>
                <w:rFonts w:ascii="Arial" w:hAnsi="Arial" w:cs="Arial"/>
                <w:b/>
                <w:lang w:val="en-US"/>
              </w:rPr>
              <w:t>201</w:t>
            </w:r>
            <w:r>
              <w:rPr>
                <w:rFonts w:ascii="Arial" w:hAnsi="Arial" w:cs="Arial"/>
                <w:b/>
                <w:lang w:val="en-US"/>
              </w:rPr>
              <w:t>6</w:t>
            </w:r>
          </w:p>
        </w:tc>
        <w:tc>
          <w:tcPr>
            <w:tcW w:w="1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7F6E99" w:rsidRPr="00567A95" w:rsidRDefault="007F6E99" w:rsidP="004E444C">
            <w:pPr>
              <w:tabs>
                <w:tab w:val="center" w:pos="4680"/>
                <w:tab w:val="right" w:pos="9360"/>
              </w:tabs>
              <w:jc w:val="center"/>
              <w:rPr>
                <w:rFonts w:ascii="Arial" w:hAnsi="Arial" w:cs="Arial"/>
                <w:b/>
                <w:lang w:val="en-US"/>
              </w:rPr>
            </w:pPr>
            <w:r w:rsidRPr="00567A95">
              <w:rPr>
                <w:rFonts w:ascii="Arial" w:hAnsi="Arial" w:cs="Arial"/>
                <w:b/>
                <w:lang w:val="en-US"/>
              </w:rPr>
              <w:t>201</w:t>
            </w:r>
            <w:r>
              <w:rPr>
                <w:rFonts w:ascii="Arial" w:hAnsi="Arial" w:cs="Arial"/>
                <w:b/>
                <w:lang w:val="en-US"/>
              </w:rPr>
              <w:t>7</w:t>
            </w:r>
          </w:p>
        </w:tc>
      </w:tr>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F6E99" w:rsidRPr="001C55D5" w:rsidRDefault="007F6E99" w:rsidP="004E444C">
            <w:pPr>
              <w:tabs>
                <w:tab w:val="center" w:pos="4680"/>
                <w:tab w:val="right" w:pos="9360"/>
              </w:tabs>
              <w:rPr>
                <w:rFonts w:ascii="Arial" w:hAnsi="Arial" w:cs="Arial"/>
                <w:lang w:val="en-US"/>
              </w:rPr>
            </w:pPr>
            <w:r w:rsidRPr="001C55D5">
              <w:rPr>
                <w:rFonts w:ascii="Arial" w:hAnsi="Arial" w:cs="Arial"/>
                <w:lang w:val="en-US"/>
              </w:rPr>
              <w:t>Suprafaţa</w:t>
            </w:r>
            <w:r w:rsidRPr="001C55D5">
              <w:rPr>
                <w:rFonts w:ascii="Arial" w:hAnsi="Arial" w:cs="Arial"/>
              </w:rPr>
              <w:t xml:space="preserve"> totală</w:t>
            </w:r>
            <w:r w:rsidRPr="001C55D5">
              <w:rPr>
                <w:rFonts w:ascii="Arial" w:hAnsi="Arial" w:cs="Arial"/>
                <w:lang w:val="en-US"/>
              </w:rPr>
              <w:t xml:space="preserve"> spaţii verzi</w:t>
            </w:r>
            <w:r w:rsidRPr="001C55D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471,46</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471,46</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47</w:t>
            </w:r>
            <w:r>
              <w:rPr>
                <w:rFonts w:ascii="Arial" w:hAnsi="Arial" w:cs="Arial"/>
                <w:lang w:val="en-US"/>
              </w:rPr>
              <w:t>0</w:t>
            </w:r>
            <w:r w:rsidRPr="001C55D5">
              <w:rPr>
                <w:rFonts w:ascii="Arial" w:hAnsi="Arial" w:cs="Arial"/>
                <w:lang w:val="en-US"/>
              </w:rPr>
              <w:t>,</w:t>
            </w:r>
            <w:r>
              <w:rPr>
                <w:rFonts w:ascii="Arial" w:hAnsi="Arial" w:cs="Arial"/>
                <w:lang w:val="en-US"/>
              </w:rPr>
              <w:t>53</w:t>
            </w:r>
          </w:p>
        </w:tc>
      </w:tr>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F6E99" w:rsidRPr="001C55D5" w:rsidRDefault="007F6E99" w:rsidP="004E444C">
            <w:pPr>
              <w:tabs>
                <w:tab w:val="center" w:pos="4680"/>
                <w:tab w:val="right" w:pos="9360"/>
              </w:tabs>
              <w:rPr>
                <w:rFonts w:ascii="Arial" w:hAnsi="Arial" w:cs="Arial"/>
                <w:lang w:val="en-US"/>
              </w:rPr>
            </w:pPr>
            <w:r w:rsidRPr="001C55D5">
              <w:rPr>
                <w:rFonts w:ascii="Arial" w:hAnsi="Arial" w:cs="Arial"/>
                <w:lang w:val="en-US"/>
              </w:rPr>
              <w:t>Suprafață intravilan/</w:t>
            </w:r>
            <w:r w:rsidRPr="001C55D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4201,41</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4201,41</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4201,41</w:t>
            </w:r>
          </w:p>
        </w:tc>
      </w:tr>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F6E99" w:rsidRPr="001C55D5" w:rsidRDefault="007F6E99" w:rsidP="004E444C">
            <w:pPr>
              <w:rPr>
                <w:rFonts w:ascii="Arial" w:hAnsi="Arial" w:cs="Arial"/>
                <w:lang w:val="en-US"/>
              </w:rPr>
            </w:pPr>
            <w:r w:rsidRPr="001C55D5">
              <w:rPr>
                <w:rFonts w:ascii="Arial" w:hAnsi="Arial" w:cs="Arial"/>
              </w:rPr>
              <w:t xml:space="preserve">Procentul </w:t>
            </w:r>
            <w:r w:rsidRPr="001C55D5">
              <w:rPr>
                <w:rFonts w:ascii="Arial" w:hAnsi="Arial" w:cs="Arial"/>
                <w:b/>
              </w:rPr>
              <w:t xml:space="preserve">(%) </w:t>
            </w:r>
            <w:r w:rsidRPr="001C55D5">
              <w:rPr>
                <w:rFonts w:ascii="Arial" w:hAnsi="Arial" w:cs="Arial"/>
              </w:rPr>
              <w:t xml:space="preserve">din suprafaţă intravilan reprezentat de </w:t>
            </w:r>
            <w:r w:rsidRPr="001C55D5">
              <w:rPr>
                <w:rFonts w:ascii="Arial" w:hAnsi="Arial" w:cs="Arial"/>
                <w:b/>
              </w:rPr>
              <w:t xml:space="preserve">suprafaţa totală de spaţii verzi  </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p>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p>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11,22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p>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p>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11,22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p>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11,2</w:t>
            </w:r>
            <w:r>
              <w:rPr>
                <w:rFonts w:ascii="Arial" w:hAnsi="Arial" w:cs="Arial"/>
                <w:lang w:val="en-US"/>
              </w:rPr>
              <w:t>0</w:t>
            </w:r>
          </w:p>
        </w:tc>
      </w:tr>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F6E99" w:rsidRPr="001C55D5" w:rsidRDefault="007F6E99" w:rsidP="004E444C">
            <w:pPr>
              <w:rPr>
                <w:rFonts w:ascii="Arial" w:hAnsi="Arial" w:cs="Arial"/>
                <w:lang w:val="en-US"/>
              </w:rPr>
            </w:pPr>
            <w:r w:rsidRPr="001C55D5">
              <w:rPr>
                <w:rFonts w:ascii="Arial" w:hAnsi="Arial" w:cs="Arial"/>
                <w:b/>
              </w:rPr>
              <w:t xml:space="preserve">Indicatorul </w:t>
            </w:r>
            <w:r w:rsidRPr="001C55D5">
              <w:rPr>
                <w:rFonts w:ascii="Arial" w:hAnsi="Arial" w:cs="Arial"/>
              </w:rPr>
              <w:t xml:space="preserve">– suprafaţă de spaţiu verde </w:t>
            </w:r>
            <w:r w:rsidRPr="001C55D5">
              <w:rPr>
                <w:rFonts w:ascii="Arial" w:hAnsi="Arial" w:cs="Arial"/>
                <w:b/>
              </w:rPr>
              <w:t xml:space="preserve"> m.p./locuitor</w:t>
            </w:r>
            <w:r w:rsidRPr="001C55D5">
              <w:rPr>
                <w:rFonts w:ascii="Arial" w:hAnsi="Arial" w:cs="Arial"/>
              </w:rPr>
              <w:t>;</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2</w:t>
            </w:r>
            <w:r>
              <w:rPr>
                <w:rFonts w:ascii="Arial" w:hAnsi="Arial" w:cs="Arial"/>
                <w:lang w:val="en-US"/>
              </w:rPr>
              <w:t>6</w:t>
            </w:r>
            <w:r w:rsidRPr="001C55D5">
              <w:rPr>
                <w:rFonts w:ascii="Arial" w:hAnsi="Arial" w:cs="Arial"/>
                <w:lang w:val="en-US"/>
              </w:rPr>
              <w:t>,</w:t>
            </w:r>
            <w:r>
              <w:rPr>
                <w:rFonts w:ascii="Arial" w:hAnsi="Arial" w:cs="Arial"/>
                <w:lang w:val="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2</w:t>
            </w:r>
            <w:r>
              <w:rPr>
                <w:rFonts w:ascii="Arial" w:hAnsi="Arial" w:cs="Arial"/>
                <w:lang w:val="en-US"/>
              </w:rPr>
              <w:t>6</w:t>
            </w:r>
            <w:r w:rsidRPr="001C55D5">
              <w:rPr>
                <w:rFonts w:ascii="Arial" w:hAnsi="Arial" w:cs="Arial"/>
                <w:lang w:val="en-US"/>
              </w:rPr>
              <w:t>,</w:t>
            </w:r>
            <w:r>
              <w:rPr>
                <w:rFonts w:ascii="Arial" w:hAnsi="Arial" w:cs="Arial"/>
                <w:lang w:val="en-US"/>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26,14</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26,1</w:t>
            </w:r>
            <w:r>
              <w:rPr>
                <w:rFonts w:ascii="Arial" w:hAnsi="Arial" w:cs="Arial"/>
                <w:lang w:val="en-US"/>
              </w:rPr>
              <w:t>0</w:t>
            </w:r>
          </w:p>
        </w:tc>
      </w:tr>
      <w:tr w:rsidR="007F6E99" w:rsidRPr="001C55D5"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7F6E99" w:rsidRPr="001C55D5" w:rsidRDefault="007F6E99" w:rsidP="004E444C">
            <w:pPr>
              <w:rPr>
                <w:rFonts w:ascii="Arial" w:hAnsi="Arial" w:cs="Arial"/>
              </w:rPr>
            </w:pPr>
            <w:r w:rsidRPr="001C55D5">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180302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180302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C55D5" w:rsidRDefault="007F6E99" w:rsidP="004E444C">
            <w:pPr>
              <w:tabs>
                <w:tab w:val="center" w:pos="4680"/>
                <w:tab w:val="right" w:pos="9360"/>
              </w:tabs>
              <w:jc w:val="center"/>
              <w:rPr>
                <w:rFonts w:ascii="Arial" w:hAnsi="Arial" w:cs="Arial"/>
                <w:lang w:val="en-US"/>
              </w:rPr>
            </w:pPr>
            <w:r w:rsidRPr="001C55D5">
              <w:rPr>
                <w:rFonts w:ascii="Arial" w:hAnsi="Arial" w:cs="Arial"/>
                <w:lang w:val="en-US"/>
              </w:rPr>
              <w:t>180302</w:t>
            </w:r>
          </w:p>
        </w:tc>
      </w:tr>
    </w:tbl>
    <w:p w:rsidR="007F6E99" w:rsidRDefault="007F6E99" w:rsidP="007F6E99">
      <w:pPr>
        <w:jc w:val="center"/>
        <w:rPr>
          <w:rFonts w:ascii="Arial" w:hAnsi="Arial" w:cs="Arial"/>
          <w:b/>
          <w:noProof/>
        </w:rPr>
      </w:pPr>
    </w:p>
    <w:p w:rsidR="007F6E99" w:rsidRPr="00446AEE" w:rsidRDefault="007F6E99" w:rsidP="007F6E99">
      <w:pPr>
        <w:jc w:val="center"/>
        <w:rPr>
          <w:rFonts w:ascii="Arial" w:hAnsi="Arial" w:cs="Arial"/>
          <w:b/>
        </w:rPr>
      </w:pPr>
      <w:r w:rsidRPr="00740379">
        <w:rPr>
          <w:rFonts w:ascii="Arial" w:hAnsi="Arial" w:cs="Arial"/>
          <w:b/>
          <w:noProof/>
        </w:rPr>
        <w:lastRenderedPageBreak/>
        <w:drawing>
          <wp:inline distT="0" distB="0" distL="0" distR="0">
            <wp:extent cx="4714875" cy="2416810"/>
            <wp:effectExtent l="19050" t="0" r="9525" b="2540"/>
            <wp:docPr id="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F6E99" w:rsidRDefault="007F6E99" w:rsidP="007F6E99">
      <w:pPr>
        <w:jc w:val="center"/>
        <w:rPr>
          <w:rFonts w:ascii="Arial" w:hAnsi="Arial" w:cs="Arial"/>
        </w:rPr>
      </w:pPr>
      <w:r w:rsidRPr="006A2198">
        <w:rPr>
          <w:rFonts w:ascii="Arial" w:hAnsi="Arial" w:cs="Arial"/>
          <w:b/>
          <w:lang w:val="en-US"/>
        </w:rPr>
        <w:t>Figura nr.</w:t>
      </w:r>
      <w:r>
        <w:rPr>
          <w:rFonts w:ascii="Arial" w:hAnsi="Arial" w:cs="Arial"/>
          <w:b/>
          <w:lang w:val="en-US"/>
        </w:rPr>
        <w:t>VIII</w:t>
      </w:r>
      <w:r w:rsidRPr="006A2198">
        <w:rPr>
          <w:rFonts w:ascii="Arial" w:hAnsi="Arial" w:cs="Arial"/>
          <w:b/>
          <w:lang w:val="en-US"/>
        </w:rPr>
        <w:t xml:space="preserve">.1.4.1.-1 </w:t>
      </w:r>
      <w:r w:rsidRPr="00740379">
        <w:rPr>
          <w:rFonts w:ascii="Arial" w:hAnsi="Arial" w:cs="Arial"/>
          <w:sz w:val="24"/>
          <w:szCs w:val="24"/>
        </w:rPr>
        <w:t xml:space="preserve">Suprafaţa spaţii verzi din total intravilan (2013-2017) – </w:t>
      </w:r>
      <w:r w:rsidRPr="00740379">
        <w:rPr>
          <w:rFonts w:ascii="Arial" w:hAnsi="Arial" w:cs="Arial"/>
          <w:b/>
          <w:sz w:val="24"/>
          <w:szCs w:val="24"/>
        </w:rPr>
        <w:t>mun. Brăila</w:t>
      </w:r>
    </w:p>
    <w:p w:rsidR="007F6E99" w:rsidRPr="006A2198" w:rsidRDefault="007F6E99" w:rsidP="007F6E99">
      <w:pPr>
        <w:jc w:val="center"/>
        <w:rPr>
          <w:rFonts w:ascii="Arial" w:hAnsi="Arial" w:cs="Arial"/>
          <w:b/>
        </w:rPr>
      </w:pPr>
    </w:p>
    <w:p w:rsidR="007F6E99" w:rsidRDefault="007F6E99" w:rsidP="007F6E99">
      <w:pPr>
        <w:jc w:val="center"/>
        <w:rPr>
          <w:rFonts w:ascii="Arial" w:hAnsi="Arial" w:cs="Arial"/>
          <w:b/>
        </w:rPr>
      </w:pPr>
      <w:r>
        <w:rPr>
          <w:rFonts w:ascii="Arial" w:hAnsi="Arial" w:cs="Arial"/>
          <w:b/>
          <w:noProof/>
        </w:rPr>
        <w:drawing>
          <wp:inline distT="0" distB="0" distL="0" distR="0">
            <wp:extent cx="4953000" cy="2552700"/>
            <wp:effectExtent l="19050" t="0" r="19050" b="0"/>
            <wp:docPr id="12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7F6E99" w:rsidRPr="00DF01CE" w:rsidRDefault="007F6E99" w:rsidP="007F6E99">
      <w:pPr>
        <w:jc w:val="center"/>
        <w:rPr>
          <w:rFonts w:ascii="Arial" w:hAnsi="Arial" w:cs="Arial"/>
          <w:sz w:val="24"/>
          <w:szCs w:val="24"/>
        </w:rPr>
      </w:pPr>
      <w:r w:rsidRPr="006A2198">
        <w:rPr>
          <w:rFonts w:ascii="Arial" w:hAnsi="Arial" w:cs="Arial"/>
          <w:b/>
          <w:lang w:val="en-US"/>
        </w:rPr>
        <w:t>Figura nr.</w:t>
      </w:r>
      <w:r>
        <w:rPr>
          <w:rFonts w:ascii="Arial" w:hAnsi="Arial" w:cs="Arial"/>
          <w:b/>
          <w:lang w:val="en-US"/>
        </w:rPr>
        <w:t>VIII</w:t>
      </w:r>
      <w:r w:rsidRPr="006A2198">
        <w:rPr>
          <w:rFonts w:ascii="Arial" w:hAnsi="Arial" w:cs="Arial"/>
          <w:b/>
          <w:lang w:val="en-US"/>
        </w:rPr>
        <w:t xml:space="preserve">.1.4.1. - </w:t>
      </w:r>
      <w:r w:rsidRPr="00DF01CE">
        <w:rPr>
          <w:rFonts w:ascii="Arial" w:hAnsi="Arial" w:cs="Arial"/>
          <w:b/>
          <w:sz w:val="24"/>
          <w:szCs w:val="24"/>
          <w:lang w:val="en-US"/>
        </w:rPr>
        <w:t xml:space="preserve">2 </w:t>
      </w:r>
      <w:r w:rsidRPr="00DF01CE">
        <w:rPr>
          <w:rFonts w:ascii="Arial" w:hAnsi="Arial" w:cs="Arial"/>
          <w:sz w:val="24"/>
          <w:szCs w:val="24"/>
        </w:rPr>
        <w:t>Suprafața spațiu verde m.p./ cap de locuitor din mediul urban, tendința (2013-2017)– mun. Brăila</w:t>
      </w:r>
    </w:p>
    <w:p w:rsidR="007F6E99" w:rsidRDefault="007F6E99" w:rsidP="007F6E99">
      <w:pPr>
        <w:jc w:val="center"/>
        <w:rPr>
          <w:rFonts w:ascii="Arial" w:hAnsi="Arial" w:cs="Arial"/>
        </w:rPr>
      </w:pPr>
    </w:p>
    <w:p w:rsidR="007F6E99" w:rsidRPr="001C55D5" w:rsidRDefault="007F6E99" w:rsidP="007F6E99">
      <w:pPr>
        <w:jc w:val="both"/>
        <w:rPr>
          <w:rFonts w:ascii="Arial" w:hAnsi="Arial" w:cs="Arial"/>
          <w:lang w:val="it-IT"/>
        </w:rPr>
      </w:pPr>
      <w:r w:rsidRPr="000B6FBF">
        <w:rPr>
          <w:rFonts w:ascii="Arial" w:hAnsi="Arial" w:cs="Arial"/>
          <w:b/>
          <w:lang w:val="en-US"/>
        </w:rPr>
        <w:t xml:space="preserve">Tabel </w:t>
      </w:r>
      <w:r>
        <w:rPr>
          <w:rFonts w:ascii="Arial" w:hAnsi="Arial" w:cs="Arial"/>
          <w:b/>
          <w:lang w:val="en-US"/>
        </w:rPr>
        <w:t>nr. VIII</w:t>
      </w:r>
      <w:r w:rsidRPr="000B6FBF">
        <w:rPr>
          <w:rFonts w:ascii="Arial" w:hAnsi="Arial" w:cs="Arial"/>
          <w:b/>
          <w:lang w:val="en-US"/>
        </w:rPr>
        <w:t>.1.</w:t>
      </w:r>
      <w:r>
        <w:rPr>
          <w:rFonts w:ascii="Arial" w:hAnsi="Arial" w:cs="Arial"/>
          <w:b/>
          <w:lang w:val="en-US"/>
        </w:rPr>
        <w:t>4</w:t>
      </w:r>
      <w:r w:rsidRPr="000B6FBF">
        <w:rPr>
          <w:rFonts w:ascii="Arial" w:hAnsi="Arial" w:cs="Arial"/>
          <w:b/>
          <w:lang w:val="en-US"/>
        </w:rPr>
        <w:t>.</w:t>
      </w:r>
      <w:r>
        <w:rPr>
          <w:rFonts w:ascii="Arial" w:hAnsi="Arial" w:cs="Arial"/>
          <w:b/>
          <w:lang w:val="en-US"/>
        </w:rPr>
        <w:t xml:space="preserve">1. - 2 </w:t>
      </w:r>
      <w:r w:rsidRPr="00DF01CE">
        <w:rPr>
          <w:rFonts w:ascii="Arial" w:hAnsi="Arial" w:cs="Arial"/>
          <w:sz w:val="24"/>
          <w:szCs w:val="24"/>
        </w:rPr>
        <w:t>Situația spațiilor verzi</w:t>
      </w:r>
      <w:r w:rsidRPr="00DF01CE">
        <w:rPr>
          <w:rFonts w:ascii="Arial" w:hAnsi="Arial" w:cs="Arial"/>
          <w:sz w:val="24"/>
          <w:szCs w:val="24"/>
          <w:lang w:val="it-IT"/>
        </w:rPr>
        <w:t xml:space="preserve"> aferente orașului Ianca</w:t>
      </w: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2"/>
        <w:gridCol w:w="1084"/>
        <w:gridCol w:w="1084"/>
        <w:gridCol w:w="1224"/>
        <w:gridCol w:w="1285"/>
        <w:gridCol w:w="1084"/>
      </w:tblGrid>
      <w:tr w:rsidR="007F6E99" w:rsidRPr="001E6183" w:rsidTr="004E444C">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F6E99" w:rsidRPr="001E6183" w:rsidRDefault="007F6E99" w:rsidP="004E444C">
            <w:pPr>
              <w:tabs>
                <w:tab w:val="center" w:pos="4680"/>
                <w:tab w:val="right" w:pos="9360"/>
              </w:tabs>
              <w:jc w:val="center"/>
              <w:rPr>
                <w:rFonts w:ascii="Arial" w:hAnsi="Arial" w:cs="Arial"/>
                <w:lang w:val="en-US"/>
              </w:rPr>
            </w:pP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A39B4" w:rsidRDefault="007F6E99" w:rsidP="004E444C">
            <w:pPr>
              <w:tabs>
                <w:tab w:val="center" w:pos="4680"/>
                <w:tab w:val="right" w:pos="9360"/>
              </w:tabs>
              <w:jc w:val="center"/>
              <w:rPr>
                <w:rFonts w:ascii="Arial" w:hAnsi="Arial" w:cs="Arial"/>
                <w:b/>
                <w:lang w:val="en-US"/>
              </w:rPr>
            </w:pPr>
            <w:r>
              <w:rPr>
                <w:rFonts w:ascii="Arial" w:hAnsi="Arial" w:cs="Arial"/>
                <w:b/>
                <w:lang w:val="en-US"/>
              </w:rPr>
              <w:t>2013</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A39B4" w:rsidRDefault="007F6E99" w:rsidP="004E444C">
            <w:pPr>
              <w:tabs>
                <w:tab w:val="center" w:pos="4680"/>
                <w:tab w:val="right" w:pos="9360"/>
              </w:tabs>
              <w:jc w:val="center"/>
              <w:rPr>
                <w:rFonts w:ascii="Arial" w:hAnsi="Arial" w:cs="Arial"/>
                <w:b/>
                <w:lang w:val="en-US"/>
              </w:rPr>
            </w:pPr>
            <w:r w:rsidRPr="000A39B4">
              <w:rPr>
                <w:rFonts w:ascii="Arial" w:hAnsi="Arial" w:cs="Arial"/>
                <w:b/>
                <w:lang w:val="en-US"/>
              </w:rPr>
              <w:t>201</w:t>
            </w:r>
            <w:r>
              <w:rPr>
                <w:rFonts w:ascii="Arial" w:hAnsi="Arial" w:cs="Arial"/>
                <w:b/>
                <w:lang w:val="en-US"/>
              </w:rPr>
              <w:t>4</w:t>
            </w:r>
          </w:p>
        </w:tc>
        <w:tc>
          <w:tcPr>
            <w:tcW w:w="12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A39B4" w:rsidRDefault="007F6E99" w:rsidP="004E444C">
            <w:pPr>
              <w:tabs>
                <w:tab w:val="center" w:pos="4680"/>
                <w:tab w:val="right" w:pos="9360"/>
              </w:tabs>
              <w:jc w:val="center"/>
              <w:rPr>
                <w:rFonts w:ascii="Arial" w:hAnsi="Arial" w:cs="Arial"/>
                <w:b/>
                <w:lang w:val="en-US"/>
              </w:rPr>
            </w:pPr>
            <w:r w:rsidRPr="000A39B4">
              <w:rPr>
                <w:rFonts w:ascii="Arial" w:hAnsi="Arial" w:cs="Arial"/>
                <w:b/>
                <w:lang w:val="en-US"/>
              </w:rPr>
              <w:t>201</w:t>
            </w:r>
            <w:r>
              <w:rPr>
                <w:rFonts w:ascii="Arial" w:hAnsi="Arial" w:cs="Arial"/>
                <w:b/>
                <w:lang w:val="en-US"/>
              </w:rPr>
              <w:t>5</w:t>
            </w:r>
          </w:p>
        </w:tc>
        <w:tc>
          <w:tcPr>
            <w:tcW w:w="128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A39B4" w:rsidRDefault="007F6E99" w:rsidP="004E444C">
            <w:pPr>
              <w:tabs>
                <w:tab w:val="center" w:pos="4680"/>
                <w:tab w:val="right" w:pos="9360"/>
              </w:tabs>
              <w:jc w:val="center"/>
              <w:rPr>
                <w:rFonts w:ascii="Arial" w:hAnsi="Arial" w:cs="Arial"/>
                <w:b/>
                <w:lang w:val="en-US"/>
              </w:rPr>
            </w:pPr>
            <w:r w:rsidRPr="000A39B4">
              <w:rPr>
                <w:rFonts w:ascii="Arial" w:hAnsi="Arial" w:cs="Arial"/>
                <w:b/>
                <w:lang w:val="en-US"/>
              </w:rPr>
              <w:t>201</w:t>
            </w:r>
            <w:r>
              <w:rPr>
                <w:rFonts w:ascii="Arial" w:hAnsi="Arial" w:cs="Arial"/>
                <w:b/>
                <w:lang w:val="en-US"/>
              </w:rPr>
              <w:t>6</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A39B4" w:rsidRDefault="007F6E99" w:rsidP="004E444C">
            <w:pPr>
              <w:tabs>
                <w:tab w:val="center" w:pos="4680"/>
                <w:tab w:val="right" w:pos="9360"/>
              </w:tabs>
              <w:jc w:val="center"/>
              <w:rPr>
                <w:rFonts w:ascii="Arial" w:hAnsi="Arial" w:cs="Arial"/>
                <w:b/>
                <w:lang w:val="en-US"/>
              </w:rPr>
            </w:pPr>
            <w:r w:rsidRPr="000A39B4">
              <w:rPr>
                <w:rFonts w:ascii="Arial" w:hAnsi="Arial" w:cs="Arial"/>
                <w:b/>
                <w:lang w:val="en-US"/>
              </w:rPr>
              <w:t>201</w:t>
            </w:r>
            <w:r>
              <w:rPr>
                <w:rFonts w:ascii="Arial" w:hAnsi="Arial" w:cs="Arial"/>
                <w:b/>
                <w:lang w:val="en-US"/>
              </w:rPr>
              <w:t>7</w:t>
            </w:r>
          </w:p>
        </w:tc>
      </w:tr>
      <w:tr w:rsidR="007F6E99" w:rsidRPr="001E6183" w:rsidTr="004E444C">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37,15</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38,28</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38,28</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38,28</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38,28</w:t>
            </w:r>
          </w:p>
        </w:tc>
      </w:tr>
      <w:tr w:rsidR="007F6E99" w:rsidRPr="001E6183" w:rsidTr="004E444C">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1092,00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1092,00</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1092,00</w:t>
            </w:r>
          </w:p>
        </w:tc>
      </w:tr>
      <w:tr w:rsidR="007F6E99" w:rsidRPr="001E6183" w:rsidTr="004E444C">
        <w:trPr>
          <w:trHeight w:val="894"/>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lang w:val="en-US"/>
              </w:rPr>
            </w:pPr>
            <w:r w:rsidRPr="001E6183">
              <w:rPr>
                <w:rFonts w:ascii="Arial" w:hAnsi="Arial" w:cs="Arial"/>
              </w:rPr>
              <w:t xml:space="preserve">Procentul </w:t>
            </w:r>
            <w:r w:rsidRPr="001E6183">
              <w:rPr>
                <w:rFonts w:ascii="Arial" w:hAnsi="Arial" w:cs="Arial"/>
                <w:i/>
              </w:rPr>
              <w:t>(%)</w:t>
            </w:r>
            <w:r w:rsidRPr="001E6183">
              <w:rPr>
                <w:rFonts w:ascii="Arial" w:hAnsi="Arial" w:cs="Arial"/>
              </w:rPr>
              <w:t xml:space="preserve"> din suprafaţă intravilan reprezentat de </w:t>
            </w:r>
            <w:r w:rsidRPr="001E6183">
              <w:rPr>
                <w:rFonts w:ascii="Arial" w:hAnsi="Arial" w:cs="Arial"/>
                <w:i/>
              </w:rPr>
              <w:t>suprafaţa totală de spaţii verzi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p>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34,03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Default="007F6E99" w:rsidP="004E444C">
            <w:pPr>
              <w:tabs>
                <w:tab w:val="center" w:pos="4680"/>
                <w:tab w:val="right" w:pos="9360"/>
              </w:tabs>
              <w:jc w:val="center"/>
              <w:rPr>
                <w:rFonts w:ascii="Arial" w:hAnsi="Arial" w:cs="Arial"/>
                <w:lang w:val="en-US"/>
              </w:rPr>
            </w:pPr>
          </w:p>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35,06</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p>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35,06</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p>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35,06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p>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35,06</w:t>
            </w:r>
          </w:p>
        </w:tc>
      </w:tr>
      <w:tr w:rsidR="007F6E99" w:rsidRPr="001E6183" w:rsidTr="004E444C">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lang w:val="en-US"/>
              </w:rPr>
            </w:pPr>
            <w:r w:rsidRPr="001E6183">
              <w:rPr>
                <w:rFonts w:ascii="Arial" w:hAnsi="Arial" w:cs="Arial"/>
                <w:i/>
              </w:rPr>
              <w:t xml:space="preserve">Indicatorul </w:t>
            </w:r>
            <w:r w:rsidRPr="001E6183">
              <w:rPr>
                <w:rFonts w:ascii="Arial" w:hAnsi="Arial" w:cs="Arial"/>
              </w:rPr>
              <w:t xml:space="preserve">– suprafaţă de spaţiu verde  </w:t>
            </w:r>
            <w:r w:rsidRPr="001E6183">
              <w:rPr>
                <w:rFonts w:ascii="Arial" w:hAnsi="Arial" w:cs="Arial"/>
                <w:i/>
              </w:rPr>
              <w:t>m.p./locuitor</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35,92</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37,01</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37,01</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37,01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37,01</w:t>
            </w:r>
          </w:p>
        </w:tc>
      </w:tr>
      <w:tr w:rsidR="007F6E99" w:rsidRPr="001E6183" w:rsidTr="004E444C">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rPr>
            </w:pPr>
            <w:r w:rsidRPr="001E6183">
              <w:rPr>
                <w:rFonts w:ascii="Arial" w:hAnsi="Arial" w:cs="Arial"/>
              </w:rPr>
              <w:t>Număr locuitori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10343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10343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10343</w:t>
            </w:r>
          </w:p>
        </w:tc>
      </w:tr>
    </w:tbl>
    <w:p w:rsidR="007F6E99" w:rsidRDefault="007F6E99" w:rsidP="007F6E99">
      <w:pPr>
        <w:jc w:val="center"/>
        <w:rPr>
          <w:rFonts w:ascii="Arial" w:hAnsi="Arial" w:cs="Arial"/>
          <w:b/>
          <w:noProof/>
        </w:rPr>
      </w:pPr>
    </w:p>
    <w:p w:rsidR="007F6E99" w:rsidRDefault="007F6E99" w:rsidP="007F6E99">
      <w:pPr>
        <w:jc w:val="center"/>
        <w:rPr>
          <w:rFonts w:ascii="Arial" w:hAnsi="Arial" w:cs="Arial"/>
          <w:b/>
        </w:rPr>
      </w:pPr>
      <w:r w:rsidRPr="00DF01CE">
        <w:rPr>
          <w:rFonts w:ascii="Arial" w:hAnsi="Arial" w:cs="Arial"/>
          <w:b/>
          <w:noProof/>
        </w:rPr>
        <w:lastRenderedPageBreak/>
        <w:drawing>
          <wp:inline distT="0" distB="0" distL="0" distR="0">
            <wp:extent cx="5067300" cy="2514600"/>
            <wp:effectExtent l="19050" t="0" r="19050" b="0"/>
            <wp:docPr id="8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7F6E99" w:rsidRPr="00DF01CE" w:rsidRDefault="007F6E99" w:rsidP="007F6E99">
      <w:pPr>
        <w:jc w:val="both"/>
        <w:rPr>
          <w:rFonts w:ascii="Arial" w:hAnsi="Arial" w:cs="Arial"/>
          <w:b/>
          <w:sz w:val="24"/>
          <w:szCs w:val="24"/>
        </w:rPr>
      </w:pPr>
      <w:r w:rsidRPr="00DF01CE">
        <w:rPr>
          <w:rFonts w:ascii="Arial" w:hAnsi="Arial" w:cs="Arial"/>
          <w:b/>
          <w:sz w:val="24"/>
          <w:szCs w:val="24"/>
          <w:lang w:val="en-US"/>
        </w:rPr>
        <w:t xml:space="preserve">Figura nr.VIII.1.4.1. – 3 </w:t>
      </w:r>
      <w:r w:rsidRPr="00DF01CE">
        <w:rPr>
          <w:rFonts w:ascii="Arial" w:hAnsi="Arial" w:cs="Arial"/>
          <w:sz w:val="24"/>
          <w:szCs w:val="24"/>
        </w:rPr>
        <w:t xml:space="preserve">Suprafaţa spaţii verzi din total intravilan, 2013-2017 – </w:t>
      </w:r>
      <w:r w:rsidRPr="00DF01CE">
        <w:rPr>
          <w:rFonts w:ascii="Arial" w:hAnsi="Arial" w:cs="Arial"/>
          <w:b/>
          <w:sz w:val="24"/>
          <w:szCs w:val="24"/>
        </w:rPr>
        <w:t>orașul Ianca</w:t>
      </w:r>
    </w:p>
    <w:p w:rsidR="007F6E99" w:rsidRDefault="007F6E99" w:rsidP="007F6E99">
      <w:pPr>
        <w:jc w:val="both"/>
        <w:rPr>
          <w:rFonts w:ascii="Arial" w:hAnsi="Arial" w:cs="Arial"/>
          <w:b/>
        </w:rPr>
      </w:pPr>
    </w:p>
    <w:p w:rsidR="007F6E99" w:rsidRDefault="007F6E99" w:rsidP="007F6E99">
      <w:pPr>
        <w:jc w:val="center"/>
        <w:rPr>
          <w:rFonts w:ascii="Arial" w:hAnsi="Arial" w:cs="Arial"/>
        </w:rPr>
      </w:pPr>
      <w:r>
        <w:rPr>
          <w:rFonts w:ascii="Arial" w:hAnsi="Arial" w:cs="Arial"/>
          <w:noProof/>
        </w:rPr>
        <w:drawing>
          <wp:inline distT="0" distB="0" distL="0" distR="0">
            <wp:extent cx="5334000" cy="2200275"/>
            <wp:effectExtent l="19050" t="0" r="19050" b="0"/>
            <wp:docPr id="1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7F6E99" w:rsidRDefault="007F6E99" w:rsidP="007F6E99">
      <w:pPr>
        <w:jc w:val="center"/>
        <w:rPr>
          <w:rFonts w:ascii="Arial" w:hAnsi="Arial" w:cs="Arial"/>
        </w:rPr>
      </w:pPr>
      <w:r>
        <w:rPr>
          <w:rFonts w:ascii="Arial" w:hAnsi="Arial" w:cs="Arial"/>
          <w:b/>
          <w:lang w:val="en-US"/>
        </w:rPr>
        <w:t>Figura nr.VIII</w:t>
      </w:r>
      <w:r w:rsidRPr="000B6FBF">
        <w:rPr>
          <w:rFonts w:ascii="Arial" w:hAnsi="Arial" w:cs="Arial"/>
          <w:b/>
          <w:lang w:val="en-US"/>
        </w:rPr>
        <w:t>.1.</w:t>
      </w:r>
      <w:r>
        <w:rPr>
          <w:rFonts w:ascii="Arial" w:hAnsi="Arial" w:cs="Arial"/>
          <w:b/>
          <w:lang w:val="en-US"/>
        </w:rPr>
        <w:t>4</w:t>
      </w:r>
      <w:r w:rsidRPr="000B6FBF">
        <w:rPr>
          <w:rFonts w:ascii="Arial" w:hAnsi="Arial" w:cs="Arial"/>
          <w:b/>
          <w:lang w:val="en-US"/>
        </w:rPr>
        <w:t>.</w:t>
      </w:r>
      <w:r>
        <w:rPr>
          <w:rFonts w:ascii="Arial" w:hAnsi="Arial" w:cs="Arial"/>
          <w:b/>
          <w:lang w:val="en-US"/>
        </w:rPr>
        <w:t xml:space="preserve">1. – 4 </w:t>
      </w:r>
      <w:r w:rsidRPr="001E6183">
        <w:rPr>
          <w:rFonts w:ascii="Arial" w:hAnsi="Arial" w:cs="Arial"/>
        </w:rPr>
        <w:t>Suprafața spațiu verde m.p./pe cap de locuitor din mediul urban, tendința 201</w:t>
      </w:r>
      <w:r>
        <w:rPr>
          <w:rFonts w:ascii="Arial" w:hAnsi="Arial" w:cs="Arial"/>
        </w:rPr>
        <w:t>3</w:t>
      </w:r>
      <w:r w:rsidRPr="001E6183">
        <w:rPr>
          <w:rFonts w:ascii="Arial" w:hAnsi="Arial" w:cs="Arial"/>
        </w:rPr>
        <w:t>-201</w:t>
      </w:r>
      <w:r>
        <w:rPr>
          <w:rFonts w:ascii="Arial" w:hAnsi="Arial" w:cs="Arial"/>
        </w:rPr>
        <w:t>7</w:t>
      </w:r>
      <w:r w:rsidRPr="001E6183">
        <w:rPr>
          <w:rFonts w:ascii="Arial" w:hAnsi="Arial" w:cs="Arial"/>
        </w:rPr>
        <w:t xml:space="preserve"> – </w:t>
      </w:r>
      <w:r w:rsidRPr="00DA3667">
        <w:rPr>
          <w:rFonts w:ascii="Arial" w:hAnsi="Arial" w:cs="Arial"/>
          <w:b/>
        </w:rPr>
        <w:t>orașul Ianca</w:t>
      </w:r>
    </w:p>
    <w:p w:rsidR="007F6E99" w:rsidRDefault="007F6E99" w:rsidP="007F6E99">
      <w:pPr>
        <w:jc w:val="center"/>
        <w:rPr>
          <w:rFonts w:ascii="Arial" w:hAnsi="Arial" w:cs="Arial"/>
        </w:rPr>
      </w:pPr>
    </w:p>
    <w:p w:rsidR="007F6E99" w:rsidRDefault="007F6E99" w:rsidP="007F6E99">
      <w:pPr>
        <w:jc w:val="both"/>
        <w:rPr>
          <w:rFonts w:ascii="Arial" w:hAnsi="Arial" w:cs="Arial"/>
          <w:b/>
          <w:lang w:val="en-US"/>
        </w:rPr>
      </w:pPr>
    </w:p>
    <w:p w:rsidR="007F6E99" w:rsidRPr="000040F9" w:rsidRDefault="007F6E99" w:rsidP="007F6E99">
      <w:pPr>
        <w:jc w:val="both"/>
        <w:rPr>
          <w:rFonts w:ascii="Arial" w:hAnsi="Arial" w:cs="Arial"/>
          <w:b/>
          <w:lang w:val="it-IT"/>
        </w:rPr>
      </w:pPr>
      <w:r w:rsidRPr="000B6FBF">
        <w:rPr>
          <w:rFonts w:ascii="Arial" w:hAnsi="Arial" w:cs="Arial"/>
          <w:b/>
          <w:lang w:val="en-US"/>
        </w:rPr>
        <w:t xml:space="preserve">Tabel </w:t>
      </w:r>
      <w:r>
        <w:rPr>
          <w:rFonts w:ascii="Arial" w:hAnsi="Arial" w:cs="Arial"/>
          <w:b/>
          <w:lang w:val="en-US"/>
        </w:rPr>
        <w:t>nr. VIII</w:t>
      </w:r>
      <w:r w:rsidRPr="000B6FBF">
        <w:rPr>
          <w:rFonts w:ascii="Arial" w:hAnsi="Arial" w:cs="Arial"/>
          <w:b/>
          <w:lang w:val="en-US"/>
        </w:rPr>
        <w:t>.1.</w:t>
      </w:r>
      <w:r>
        <w:rPr>
          <w:rFonts w:ascii="Arial" w:hAnsi="Arial" w:cs="Arial"/>
          <w:b/>
          <w:lang w:val="en-US"/>
        </w:rPr>
        <w:t>4</w:t>
      </w:r>
      <w:r w:rsidRPr="000B6FBF">
        <w:rPr>
          <w:rFonts w:ascii="Arial" w:hAnsi="Arial" w:cs="Arial"/>
          <w:b/>
          <w:lang w:val="en-US"/>
        </w:rPr>
        <w:t>.</w:t>
      </w:r>
      <w:r>
        <w:rPr>
          <w:rFonts w:ascii="Arial" w:hAnsi="Arial" w:cs="Arial"/>
          <w:b/>
          <w:lang w:val="en-US"/>
        </w:rPr>
        <w:t xml:space="preserve">1. - 3 </w:t>
      </w:r>
      <w:r w:rsidRPr="00DF01CE">
        <w:rPr>
          <w:rFonts w:ascii="Arial" w:hAnsi="Arial" w:cs="Arial"/>
          <w:sz w:val="24"/>
          <w:szCs w:val="24"/>
        </w:rPr>
        <w:t>Situația spațiilor verzi</w:t>
      </w:r>
      <w:r w:rsidRPr="00DF01CE">
        <w:rPr>
          <w:rFonts w:ascii="Arial" w:hAnsi="Arial" w:cs="Arial"/>
          <w:sz w:val="24"/>
          <w:szCs w:val="24"/>
          <w:lang w:val="it-IT"/>
        </w:rPr>
        <w:t xml:space="preserve"> aferente </w:t>
      </w:r>
      <w:r w:rsidRPr="00DF01CE">
        <w:rPr>
          <w:rFonts w:ascii="Arial" w:hAnsi="Arial" w:cs="Arial"/>
          <w:b/>
          <w:sz w:val="24"/>
          <w:szCs w:val="24"/>
          <w:lang w:val="it-IT"/>
        </w:rPr>
        <w:t>orașului Însurăței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F6E99" w:rsidRPr="000040F9" w:rsidRDefault="007F6E99" w:rsidP="004E444C">
            <w:pPr>
              <w:tabs>
                <w:tab w:val="center" w:pos="4680"/>
                <w:tab w:val="right" w:pos="9360"/>
              </w:tabs>
              <w:jc w:val="center"/>
              <w:rPr>
                <w:rFonts w:ascii="Arial" w:hAnsi="Arial" w:cs="Arial"/>
                <w:b/>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040F9" w:rsidRDefault="007F6E99" w:rsidP="004E444C">
            <w:pPr>
              <w:tabs>
                <w:tab w:val="center" w:pos="4680"/>
                <w:tab w:val="right" w:pos="9360"/>
              </w:tabs>
              <w:jc w:val="center"/>
              <w:rPr>
                <w:rFonts w:ascii="Arial" w:hAnsi="Arial" w:cs="Arial"/>
                <w:b/>
                <w:lang w:val="en-US"/>
              </w:rPr>
            </w:pPr>
            <w:r w:rsidRPr="000040F9">
              <w:rPr>
                <w:rFonts w:ascii="Arial" w:hAnsi="Arial" w:cs="Arial"/>
                <w:b/>
                <w:lang w:val="en-US"/>
              </w:rPr>
              <w:t>201</w:t>
            </w:r>
            <w:r>
              <w:rPr>
                <w:rFonts w:ascii="Arial" w:hAnsi="Arial" w:cs="Arial"/>
                <w:b/>
                <w:lang w:val="en-US"/>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040F9" w:rsidRDefault="007F6E99" w:rsidP="004E444C">
            <w:pPr>
              <w:tabs>
                <w:tab w:val="center" w:pos="4680"/>
                <w:tab w:val="right" w:pos="9360"/>
              </w:tabs>
              <w:jc w:val="center"/>
              <w:rPr>
                <w:rFonts w:ascii="Arial" w:hAnsi="Arial" w:cs="Arial"/>
                <w:b/>
                <w:lang w:val="en-US"/>
              </w:rPr>
            </w:pPr>
            <w:r w:rsidRPr="000040F9">
              <w:rPr>
                <w:rFonts w:ascii="Arial" w:hAnsi="Arial" w:cs="Arial"/>
                <w:b/>
                <w:lang w:val="en-US"/>
              </w:rPr>
              <w:t>201</w:t>
            </w:r>
            <w:r>
              <w:rPr>
                <w:rFonts w:ascii="Arial" w:hAnsi="Arial" w:cs="Arial"/>
                <w:b/>
                <w:lang w:val="en-US"/>
              </w:rPr>
              <w:t>4</w:t>
            </w:r>
          </w:p>
        </w:tc>
        <w:tc>
          <w:tcPr>
            <w:tcW w:w="12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040F9" w:rsidRDefault="007F6E99" w:rsidP="004E444C">
            <w:pPr>
              <w:tabs>
                <w:tab w:val="center" w:pos="4680"/>
                <w:tab w:val="right" w:pos="9360"/>
              </w:tabs>
              <w:jc w:val="center"/>
              <w:rPr>
                <w:rFonts w:ascii="Arial" w:hAnsi="Arial" w:cs="Arial"/>
                <w:b/>
                <w:lang w:val="en-US"/>
              </w:rPr>
            </w:pPr>
            <w:r w:rsidRPr="000040F9">
              <w:rPr>
                <w:rFonts w:ascii="Arial" w:hAnsi="Arial" w:cs="Arial"/>
                <w:b/>
                <w:lang w:val="en-US"/>
              </w:rPr>
              <w:t>201</w:t>
            </w:r>
            <w:r>
              <w:rPr>
                <w:rFonts w:ascii="Arial" w:hAnsi="Arial" w:cs="Arial"/>
                <w:b/>
                <w:lang w:val="en-US"/>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040F9" w:rsidRDefault="007F6E99" w:rsidP="004E444C">
            <w:pPr>
              <w:tabs>
                <w:tab w:val="center" w:pos="4680"/>
                <w:tab w:val="right" w:pos="9360"/>
              </w:tabs>
              <w:jc w:val="center"/>
              <w:rPr>
                <w:rFonts w:ascii="Arial" w:hAnsi="Arial" w:cs="Arial"/>
                <w:b/>
                <w:lang w:val="en-US"/>
              </w:rPr>
            </w:pPr>
            <w:r w:rsidRPr="000040F9">
              <w:rPr>
                <w:rFonts w:ascii="Arial" w:hAnsi="Arial" w:cs="Arial"/>
                <w:b/>
                <w:lang w:val="en-US"/>
              </w:rPr>
              <w:t>201</w:t>
            </w:r>
            <w:r>
              <w:rPr>
                <w:rFonts w:ascii="Arial" w:hAnsi="Arial" w:cs="Arial"/>
                <w:b/>
                <w:lang w:val="en-US"/>
              </w:rPr>
              <w:t>6</w:t>
            </w:r>
          </w:p>
        </w:tc>
        <w:tc>
          <w:tcPr>
            <w:tcW w:w="11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7F6E99" w:rsidRPr="000040F9" w:rsidRDefault="007F6E99" w:rsidP="004E444C">
            <w:pPr>
              <w:tabs>
                <w:tab w:val="center" w:pos="4680"/>
                <w:tab w:val="right" w:pos="9360"/>
              </w:tabs>
              <w:jc w:val="center"/>
              <w:rPr>
                <w:rFonts w:ascii="Arial" w:hAnsi="Arial" w:cs="Arial"/>
                <w:b/>
                <w:lang w:val="en-US"/>
              </w:rPr>
            </w:pPr>
            <w:r w:rsidRPr="000040F9">
              <w:rPr>
                <w:rFonts w:ascii="Arial" w:hAnsi="Arial" w:cs="Arial"/>
                <w:b/>
                <w:lang w:val="en-US"/>
              </w:rPr>
              <w:t>201</w:t>
            </w:r>
            <w:r>
              <w:rPr>
                <w:rFonts w:ascii="Arial" w:hAnsi="Arial" w:cs="Arial"/>
                <w:b/>
                <w:lang w:val="en-US"/>
              </w:rPr>
              <w:t>7</w:t>
            </w:r>
          </w:p>
        </w:tc>
      </w:tr>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18,07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18,07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18,07</w:t>
            </w:r>
          </w:p>
        </w:tc>
      </w:tr>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860,24</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860,24</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860,24</w:t>
            </w:r>
          </w:p>
        </w:tc>
      </w:tr>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lang w:val="en-US"/>
              </w:rPr>
            </w:pPr>
            <w:r w:rsidRPr="001E6183">
              <w:rPr>
                <w:rFonts w:ascii="Arial" w:hAnsi="Arial" w:cs="Arial"/>
              </w:rPr>
              <w:t xml:space="preserve">Procentul </w:t>
            </w:r>
            <w:r w:rsidRPr="001E6183">
              <w:rPr>
                <w:rFonts w:ascii="Arial" w:hAnsi="Arial" w:cs="Arial"/>
                <w:i/>
              </w:rPr>
              <w:t>(%)</w:t>
            </w:r>
            <w:r w:rsidRPr="001E6183">
              <w:rPr>
                <w:rFonts w:ascii="Arial" w:hAnsi="Arial" w:cs="Arial"/>
              </w:rPr>
              <w:t xml:space="preserve"> din suprafaţă intravilan reprezentat de </w:t>
            </w:r>
            <w:r w:rsidRPr="001E6183">
              <w:rPr>
                <w:rFonts w:ascii="Arial" w:hAnsi="Arial" w:cs="Arial"/>
                <w:i/>
              </w:rPr>
              <w:t>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2,1</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2,1</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2,1</w:t>
            </w:r>
          </w:p>
        </w:tc>
      </w:tr>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lang w:val="en-US"/>
              </w:rPr>
            </w:pPr>
            <w:r w:rsidRPr="001E6183">
              <w:rPr>
                <w:rFonts w:ascii="Arial" w:hAnsi="Arial" w:cs="Arial"/>
                <w:i/>
              </w:rPr>
              <w:t xml:space="preserve">Indicatorul </w:t>
            </w:r>
            <w:r w:rsidRPr="001E6183">
              <w:rPr>
                <w:rFonts w:ascii="Arial" w:hAnsi="Arial" w:cs="Arial"/>
              </w:rPr>
              <w:t xml:space="preserve">– suprafaţă de spaţiu verde  </w:t>
            </w:r>
            <w:r w:rsidRPr="001E6183">
              <w:rPr>
                <w:rFonts w:ascii="Arial" w:hAnsi="Arial" w:cs="Arial"/>
                <w:i/>
              </w:rPr>
              <w:t>m.p./locuitor</w:t>
            </w:r>
            <w:r w:rsidRPr="001E6183">
              <w:rPr>
                <w:rFonts w:ascii="Arial" w:hAnsi="Arial" w:cs="Arial"/>
              </w:rPr>
              <w:t>;</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w:t>
            </w:r>
            <w:r>
              <w:rPr>
                <w:rFonts w:ascii="Arial" w:hAnsi="Arial" w:cs="Arial"/>
                <w:lang w:val="en-US"/>
              </w:rPr>
              <w:t>7</w:t>
            </w:r>
            <w:r w:rsidRPr="001E6183">
              <w:rPr>
                <w:rFonts w:ascii="Arial" w:hAnsi="Arial" w:cs="Arial"/>
                <w:lang w:val="en-US"/>
              </w:rPr>
              <w:t>,</w:t>
            </w:r>
            <w:r>
              <w:rPr>
                <w:rFonts w:ascii="Arial" w:hAnsi="Arial" w:cs="Arial"/>
                <w:lang w:val="en-US"/>
              </w:rPr>
              <w:t>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w:t>
            </w:r>
            <w:r>
              <w:rPr>
                <w:rFonts w:ascii="Arial" w:hAnsi="Arial" w:cs="Arial"/>
                <w:lang w:val="en-US"/>
              </w:rPr>
              <w:t>7</w:t>
            </w:r>
            <w:r w:rsidRPr="001E6183">
              <w:rPr>
                <w:rFonts w:ascii="Arial" w:hAnsi="Arial" w:cs="Arial"/>
                <w:lang w:val="en-US"/>
              </w:rPr>
              <w:t>,</w:t>
            </w:r>
            <w:r>
              <w:rPr>
                <w:rFonts w:ascii="Arial" w:hAnsi="Arial" w:cs="Arial"/>
                <w:lang w:val="en-US"/>
              </w:rPr>
              <w:t>67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27,67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27,67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27,67</w:t>
            </w:r>
          </w:p>
        </w:tc>
      </w:tr>
      <w:tr w:rsidR="007F6E99" w:rsidRPr="001E6183"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F6E99" w:rsidRPr="001E6183" w:rsidRDefault="007F6E99" w:rsidP="004E444C">
            <w:pPr>
              <w:rPr>
                <w:rFonts w:ascii="Arial" w:hAnsi="Arial" w:cs="Arial"/>
              </w:rPr>
            </w:pPr>
            <w:r w:rsidRPr="001E6183">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6258</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6528</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6528</w:t>
            </w:r>
          </w:p>
        </w:tc>
      </w:tr>
    </w:tbl>
    <w:p w:rsidR="007F6E99" w:rsidRPr="00446AEE" w:rsidRDefault="007F6E99" w:rsidP="007F6E99">
      <w:pPr>
        <w:jc w:val="both"/>
        <w:rPr>
          <w:rFonts w:ascii="Arial" w:hAnsi="Arial" w:cs="Arial"/>
        </w:rPr>
      </w:pPr>
    </w:p>
    <w:p w:rsidR="007F6E99" w:rsidRDefault="007F6E99" w:rsidP="007F6E99">
      <w:pPr>
        <w:jc w:val="center"/>
        <w:rPr>
          <w:rFonts w:ascii="Arial" w:hAnsi="Arial" w:cs="Arial"/>
          <w:lang w:val="en-US"/>
        </w:rPr>
      </w:pPr>
      <w:r>
        <w:rPr>
          <w:rFonts w:ascii="Arial" w:hAnsi="Arial" w:cs="Arial"/>
          <w:noProof/>
        </w:rPr>
        <w:lastRenderedPageBreak/>
        <w:drawing>
          <wp:inline distT="0" distB="0" distL="0" distR="0">
            <wp:extent cx="5162550" cy="2152650"/>
            <wp:effectExtent l="19050" t="0" r="19050" b="0"/>
            <wp:docPr id="13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7F6E99" w:rsidRPr="00DF01CE" w:rsidRDefault="007F6E99" w:rsidP="007F6E99">
      <w:pPr>
        <w:jc w:val="center"/>
        <w:rPr>
          <w:rFonts w:ascii="Arial" w:hAnsi="Arial" w:cs="Arial"/>
          <w:b/>
          <w:sz w:val="24"/>
          <w:szCs w:val="24"/>
        </w:rPr>
      </w:pPr>
      <w:r w:rsidRPr="00DF01CE">
        <w:rPr>
          <w:rFonts w:ascii="Arial" w:hAnsi="Arial" w:cs="Arial"/>
          <w:b/>
          <w:sz w:val="24"/>
          <w:szCs w:val="24"/>
          <w:lang w:val="en-US"/>
        </w:rPr>
        <w:t xml:space="preserve">Figura nr.VIII.1.4.1. – 5 </w:t>
      </w:r>
      <w:r w:rsidRPr="00DF01CE">
        <w:rPr>
          <w:rFonts w:ascii="Arial" w:hAnsi="Arial" w:cs="Arial"/>
          <w:sz w:val="24"/>
          <w:szCs w:val="24"/>
        </w:rPr>
        <w:t xml:space="preserve">Suprafaţa spaţii verzi din total intravilan, 2013-2017 – </w:t>
      </w:r>
      <w:r w:rsidRPr="00DF01CE">
        <w:rPr>
          <w:rFonts w:ascii="Arial" w:hAnsi="Arial" w:cs="Arial"/>
          <w:b/>
          <w:sz w:val="24"/>
          <w:szCs w:val="24"/>
        </w:rPr>
        <w:t>orașul Însurăței</w:t>
      </w:r>
    </w:p>
    <w:p w:rsidR="007F6E99" w:rsidRDefault="007F6E99" w:rsidP="007F6E99">
      <w:pPr>
        <w:jc w:val="center"/>
        <w:rPr>
          <w:rFonts w:ascii="Arial" w:hAnsi="Arial" w:cs="Arial"/>
          <w:b/>
        </w:rPr>
      </w:pPr>
    </w:p>
    <w:p w:rsidR="007F6E99" w:rsidRDefault="007F6E99" w:rsidP="007F6E99">
      <w:pPr>
        <w:jc w:val="center"/>
        <w:rPr>
          <w:rFonts w:ascii="Arial" w:hAnsi="Arial" w:cs="Arial"/>
          <w:b/>
          <w:lang w:val="it-IT"/>
        </w:rPr>
      </w:pPr>
      <w:r>
        <w:rPr>
          <w:rFonts w:ascii="Arial" w:hAnsi="Arial" w:cs="Arial"/>
          <w:b/>
          <w:noProof/>
        </w:rPr>
        <w:drawing>
          <wp:inline distT="0" distB="0" distL="0" distR="0">
            <wp:extent cx="5287645" cy="2273935"/>
            <wp:effectExtent l="19050" t="0" r="27305" b="0"/>
            <wp:docPr id="13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7F6E99" w:rsidRPr="00DF01CE" w:rsidRDefault="007F6E99" w:rsidP="007F6E99">
      <w:pPr>
        <w:jc w:val="center"/>
        <w:rPr>
          <w:rFonts w:ascii="Arial" w:hAnsi="Arial" w:cs="Arial"/>
          <w:b/>
          <w:sz w:val="24"/>
          <w:szCs w:val="24"/>
        </w:rPr>
      </w:pPr>
      <w:r w:rsidRPr="00DF01CE">
        <w:rPr>
          <w:rFonts w:ascii="Arial" w:hAnsi="Arial" w:cs="Arial"/>
          <w:b/>
          <w:sz w:val="24"/>
          <w:szCs w:val="24"/>
          <w:lang w:val="en-US"/>
        </w:rPr>
        <w:t xml:space="preserve">Figura nr.VIII.1.4.1. – 6 </w:t>
      </w:r>
      <w:r w:rsidRPr="00DF01CE">
        <w:rPr>
          <w:rFonts w:ascii="Arial" w:hAnsi="Arial" w:cs="Arial"/>
          <w:sz w:val="24"/>
          <w:szCs w:val="24"/>
        </w:rPr>
        <w:t xml:space="preserve">Suprafața spațiu verde m.p./pe cap de locuitor din mediul urban, tendința 2013-2017 – </w:t>
      </w:r>
      <w:r w:rsidRPr="00DF01CE">
        <w:rPr>
          <w:rFonts w:ascii="Arial" w:hAnsi="Arial" w:cs="Arial"/>
          <w:b/>
          <w:sz w:val="24"/>
          <w:szCs w:val="24"/>
        </w:rPr>
        <w:t>orașul Însurăței</w:t>
      </w:r>
    </w:p>
    <w:p w:rsidR="007F6E99" w:rsidRDefault="007F6E99" w:rsidP="007F6E99">
      <w:pPr>
        <w:jc w:val="center"/>
        <w:rPr>
          <w:rFonts w:ascii="Arial" w:hAnsi="Arial" w:cs="Arial"/>
          <w:b/>
          <w:lang w:val="it-IT"/>
        </w:rPr>
      </w:pPr>
    </w:p>
    <w:p w:rsidR="007F6E99" w:rsidRPr="00446AEE" w:rsidRDefault="007F6E99" w:rsidP="007F6E99">
      <w:pPr>
        <w:jc w:val="center"/>
        <w:rPr>
          <w:rFonts w:ascii="Arial" w:hAnsi="Arial" w:cs="Arial"/>
          <w:b/>
          <w:lang w:val="it-IT"/>
        </w:rPr>
      </w:pPr>
    </w:p>
    <w:p w:rsidR="007F6E99" w:rsidRPr="00446AEE" w:rsidRDefault="007F6E99" w:rsidP="007F6E99">
      <w:pPr>
        <w:jc w:val="both"/>
        <w:rPr>
          <w:rFonts w:ascii="Arial" w:hAnsi="Arial" w:cs="Arial"/>
          <w:b/>
          <w:lang w:val="it-IT"/>
        </w:rPr>
      </w:pPr>
      <w:r w:rsidRPr="00DF5A4A">
        <w:rPr>
          <w:rFonts w:ascii="Arial" w:hAnsi="Arial" w:cs="Arial"/>
          <w:b/>
          <w:sz w:val="24"/>
          <w:szCs w:val="24"/>
          <w:lang w:val="en-US"/>
        </w:rPr>
        <w:t xml:space="preserve">Tabel nr.VIII.1.4.1. – 4 </w:t>
      </w:r>
      <w:r w:rsidRPr="00DF5A4A">
        <w:rPr>
          <w:rFonts w:ascii="Arial" w:hAnsi="Arial" w:cs="Arial"/>
          <w:sz w:val="24"/>
          <w:szCs w:val="24"/>
        </w:rPr>
        <w:t>Situația spațiilor verzi</w:t>
      </w:r>
      <w:r w:rsidRPr="00DF5A4A">
        <w:rPr>
          <w:rFonts w:ascii="Arial" w:hAnsi="Arial" w:cs="Arial"/>
          <w:sz w:val="24"/>
          <w:szCs w:val="24"/>
          <w:lang w:val="it-IT"/>
        </w:rPr>
        <w:t xml:space="preserve"> aferente </w:t>
      </w:r>
      <w:r w:rsidRPr="00DF5A4A">
        <w:rPr>
          <w:rFonts w:ascii="Arial" w:hAnsi="Arial" w:cs="Arial"/>
          <w:b/>
          <w:sz w:val="24"/>
          <w:szCs w:val="24"/>
          <w:lang w:val="it-IT"/>
        </w:rPr>
        <w:t>orașului Făurei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7F6E99" w:rsidRPr="007918D2" w:rsidRDefault="007F6E99" w:rsidP="004E444C">
            <w:pPr>
              <w:tabs>
                <w:tab w:val="center" w:pos="4680"/>
                <w:tab w:val="right" w:pos="9360"/>
              </w:tabs>
              <w:jc w:val="center"/>
              <w:rPr>
                <w:rFonts w:ascii="Arial" w:hAnsi="Arial" w:cs="Arial"/>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201</w:t>
            </w:r>
            <w:r>
              <w:rPr>
                <w:rFonts w:ascii="Arial" w:hAnsi="Arial" w:cs="Arial"/>
                <w:lang w:val="en-US"/>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201</w:t>
            </w:r>
            <w:r>
              <w:rPr>
                <w:rFonts w:ascii="Arial" w:hAnsi="Arial" w:cs="Arial"/>
                <w:lang w:val="en-US"/>
              </w:rPr>
              <w:t>4</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201</w:t>
            </w:r>
            <w:r>
              <w:rPr>
                <w:rFonts w:ascii="Arial" w:hAnsi="Arial" w:cs="Arial"/>
                <w:lang w:val="en-US"/>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201</w:t>
            </w:r>
            <w:r>
              <w:rPr>
                <w:rFonts w:ascii="Arial" w:hAnsi="Arial" w:cs="Arial"/>
                <w:lang w:val="en-US"/>
              </w:rPr>
              <w:t>6</w:t>
            </w:r>
          </w:p>
        </w:tc>
        <w:tc>
          <w:tcPr>
            <w:tcW w:w="112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201</w:t>
            </w:r>
            <w:r>
              <w:rPr>
                <w:rFonts w:ascii="Arial" w:hAnsi="Arial" w:cs="Arial"/>
                <w:lang w:val="en-US"/>
              </w:rPr>
              <w:t>7</w:t>
            </w:r>
          </w:p>
        </w:tc>
      </w:tr>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7918D2" w:rsidRDefault="007F6E99" w:rsidP="004E444C">
            <w:pPr>
              <w:tabs>
                <w:tab w:val="center" w:pos="4680"/>
                <w:tab w:val="right" w:pos="9360"/>
              </w:tabs>
              <w:rPr>
                <w:rFonts w:ascii="Arial" w:hAnsi="Arial" w:cs="Arial"/>
                <w:lang w:val="en-US"/>
              </w:rPr>
            </w:pPr>
            <w:r w:rsidRPr="007918D2">
              <w:rPr>
                <w:rFonts w:ascii="Arial" w:hAnsi="Arial" w:cs="Arial"/>
                <w:lang w:val="en-US"/>
              </w:rPr>
              <w:t>Suprafaţa</w:t>
            </w:r>
            <w:r w:rsidRPr="007918D2">
              <w:rPr>
                <w:rFonts w:ascii="Arial" w:hAnsi="Arial" w:cs="Arial"/>
              </w:rPr>
              <w:t xml:space="preserve"> totală</w:t>
            </w:r>
            <w:r w:rsidRPr="007918D2">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5,63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5,63</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5,63</w:t>
            </w:r>
          </w:p>
        </w:tc>
      </w:tr>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7918D2" w:rsidRDefault="007F6E99" w:rsidP="004E444C">
            <w:pPr>
              <w:tabs>
                <w:tab w:val="center" w:pos="4680"/>
                <w:tab w:val="right" w:pos="9360"/>
              </w:tabs>
              <w:rPr>
                <w:rFonts w:ascii="Arial" w:hAnsi="Arial" w:cs="Arial"/>
                <w:lang w:val="en-US"/>
              </w:rPr>
            </w:pPr>
            <w:r w:rsidRPr="007918D2">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296,47</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296,47</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296,47</w:t>
            </w:r>
          </w:p>
        </w:tc>
      </w:tr>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7918D2" w:rsidRDefault="007F6E99" w:rsidP="004E444C">
            <w:pPr>
              <w:rPr>
                <w:rFonts w:ascii="Arial" w:hAnsi="Arial" w:cs="Arial"/>
                <w:lang w:val="en-US"/>
              </w:rPr>
            </w:pPr>
            <w:r w:rsidRPr="007918D2">
              <w:rPr>
                <w:rFonts w:ascii="Arial" w:hAnsi="Arial" w:cs="Arial"/>
              </w:rPr>
              <w:t>Procentul (%) din suprafaţă intravilan reprezentat de 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p>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p>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1,9</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p>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p>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1,9</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p>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1,9</w:t>
            </w:r>
          </w:p>
        </w:tc>
      </w:tr>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7918D2" w:rsidRDefault="007F6E99" w:rsidP="004E444C">
            <w:pPr>
              <w:rPr>
                <w:rFonts w:ascii="Arial" w:hAnsi="Arial" w:cs="Arial"/>
                <w:lang w:val="en-US"/>
              </w:rPr>
            </w:pPr>
            <w:r w:rsidRPr="007918D2">
              <w:rPr>
                <w:rFonts w:ascii="Arial" w:hAnsi="Arial" w:cs="Arial"/>
              </w:rPr>
              <w:t>Indicatorul – suprafaţă de spaţiu verde  m.p./locuitor;</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w:t>
            </w:r>
            <w:r>
              <w:rPr>
                <w:rFonts w:ascii="Arial" w:hAnsi="Arial" w:cs="Arial"/>
                <w:lang w:val="en-US"/>
              </w:rPr>
              <w:t>5</w:t>
            </w:r>
            <w:r w:rsidRPr="007918D2">
              <w:rPr>
                <w:rFonts w:ascii="Arial" w:hAnsi="Arial" w:cs="Arial"/>
                <w:lang w:val="en-US"/>
              </w:rPr>
              <w:t>,</w:t>
            </w:r>
            <w:r>
              <w:rPr>
                <w:rFonts w:ascii="Arial" w:hAnsi="Arial" w:cs="Arial"/>
                <w:lang w:val="en-US"/>
              </w:rPr>
              <w:t>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w:t>
            </w:r>
            <w:r>
              <w:rPr>
                <w:rFonts w:ascii="Arial" w:hAnsi="Arial" w:cs="Arial"/>
                <w:lang w:val="en-US"/>
              </w:rPr>
              <w:t>5</w:t>
            </w:r>
            <w:r w:rsidRPr="007918D2">
              <w:rPr>
                <w:rFonts w:ascii="Arial" w:hAnsi="Arial" w:cs="Arial"/>
                <w:lang w:val="en-US"/>
              </w:rPr>
              <w:t>,</w:t>
            </w:r>
            <w:r>
              <w:rPr>
                <w:rFonts w:ascii="Arial" w:hAnsi="Arial" w:cs="Arial"/>
                <w:lang w:val="en-US"/>
              </w:rPr>
              <w:t>68</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15,68</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15,68</w:t>
            </w:r>
          </w:p>
        </w:tc>
      </w:tr>
      <w:tr w:rsidR="007F6E99" w:rsidRPr="007918D2" w:rsidTr="004E444C">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7918D2" w:rsidRDefault="007F6E99" w:rsidP="004E444C">
            <w:pPr>
              <w:rPr>
                <w:rFonts w:ascii="Arial" w:hAnsi="Arial" w:cs="Arial"/>
              </w:rPr>
            </w:pPr>
            <w:r w:rsidRPr="007918D2">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Pr>
                <w:rFonts w:ascii="Arial" w:hAnsi="Arial" w:cs="Arial"/>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Pr>
                <w:rFonts w:ascii="Arial" w:hAnsi="Arial" w:cs="Arial"/>
                <w:lang w:val="en-US"/>
              </w:rPr>
              <w:t>3592</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3592</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7918D2" w:rsidRDefault="007F6E99" w:rsidP="004E444C">
            <w:pPr>
              <w:tabs>
                <w:tab w:val="center" w:pos="4680"/>
                <w:tab w:val="right" w:pos="9360"/>
              </w:tabs>
              <w:jc w:val="center"/>
              <w:rPr>
                <w:rFonts w:ascii="Arial" w:hAnsi="Arial" w:cs="Arial"/>
                <w:lang w:val="en-US"/>
              </w:rPr>
            </w:pPr>
            <w:r w:rsidRPr="007918D2">
              <w:rPr>
                <w:rFonts w:ascii="Arial" w:hAnsi="Arial" w:cs="Arial"/>
                <w:lang w:val="en-US"/>
              </w:rPr>
              <w:t>3592</w:t>
            </w:r>
          </w:p>
        </w:tc>
      </w:tr>
    </w:tbl>
    <w:p w:rsidR="007F6E99" w:rsidRDefault="007F6E99" w:rsidP="007F6E99">
      <w:pPr>
        <w:jc w:val="center"/>
        <w:rPr>
          <w:rFonts w:ascii="Arial" w:hAnsi="Arial" w:cs="Arial"/>
          <w:noProof/>
          <w:shd w:val="clear" w:color="auto" w:fill="DAEEF3" w:themeFill="accent5" w:themeFillTint="33"/>
        </w:rPr>
      </w:pPr>
    </w:p>
    <w:p w:rsidR="007F6E99" w:rsidRDefault="007F6E99" w:rsidP="007F6E99">
      <w:pPr>
        <w:jc w:val="center"/>
        <w:rPr>
          <w:rFonts w:ascii="Arial" w:hAnsi="Arial" w:cs="Arial"/>
          <w:lang w:val="en-US"/>
        </w:rPr>
      </w:pPr>
      <w:r w:rsidRPr="00DF5A4A">
        <w:rPr>
          <w:rFonts w:ascii="Arial" w:hAnsi="Arial" w:cs="Arial"/>
          <w:noProof/>
          <w:shd w:val="clear" w:color="auto" w:fill="DAEEF3" w:themeFill="accent5" w:themeFillTint="33"/>
        </w:rPr>
        <w:lastRenderedPageBreak/>
        <w:drawing>
          <wp:inline distT="0" distB="0" distL="0" distR="0">
            <wp:extent cx="5497195" cy="2220595"/>
            <wp:effectExtent l="19050" t="0" r="27305" b="8255"/>
            <wp:docPr id="85"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7F6E99" w:rsidRPr="00DF5A4A" w:rsidRDefault="007F6E99" w:rsidP="007F6E99">
      <w:pPr>
        <w:rPr>
          <w:rFonts w:ascii="Arial" w:hAnsi="Arial" w:cs="Arial"/>
          <w:b/>
          <w:sz w:val="24"/>
          <w:szCs w:val="24"/>
        </w:rPr>
      </w:pPr>
      <w:r w:rsidRPr="00DF5A4A">
        <w:rPr>
          <w:rFonts w:ascii="Arial" w:hAnsi="Arial" w:cs="Arial"/>
          <w:b/>
          <w:sz w:val="24"/>
          <w:szCs w:val="24"/>
          <w:lang w:val="en-US"/>
        </w:rPr>
        <w:t xml:space="preserve">Figura nr.VIII.1.4.1.- 7 </w:t>
      </w:r>
      <w:r w:rsidRPr="00DF5A4A">
        <w:rPr>
          <w:rFonts w:ascii="Arial" w:hAnsi="Arial" w:cs="Arial"/>
          <w:sz w:val="24"/>
          <w:szCs w:val="24"/>
        </w:rPr>
        <w:t xml:space="preserve">Suprafaţa spaţii verzi din total intravilan( 2013-2017) – </w:t>
      </w:r>
      <w:r w:rsidRPr="00DF5A4A">
        <w:rPr>
          <w:rFonts w:ascii="Arial" w:hAnsi="Arial" w:cs="Arial"/>
          <w:b/>
          <w:sz w:val="24"/>
          <w:szCs w:val="24"/>
        </w:rPr>
        <w:t>orașul Făurei</w:t>
      </w:r>
    </w:p>
    <w:p w:rsidR="007F6E99" w:rsidRDefault="007F6E99" w:rsidP="007F6E99">
      <w:pPr>
        <w:jc w:val="center"/>
        <w:rPr>
          <w:rFonts w:ascii="Arial" w:hAnsi="Arial" w:cs="Arial"/>
        </w:rPr>
      </w:pPr>
      <w:r>
        <w:rPr>
          <w:rFonts w:ascii="Arial" w:hAnsi="Arial" w:cs="Arial"/>
          <w:noProof/>
        </w:rPr>
        <w:drawing>
          <wp:inline distT="0" distB="0" distL="0" distR="0">
            <wp:extent cx="5507990" cy="2275205"/>
            <wp:effectExtent l="19050" t="0" r="16510" b="0"/>
            <wp:docPr id="13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7F6E99" w:rsidRDefault="007F6E99" w:rsidP="007F6E99">
      <w:pPr>
        <w:rPr>
          <w:rFonts w:ascii="Arial" w:hAnsi="Arial" w:cs="Arial"/>
        </w:rPr>
      </w:pPr>
    </w:p>
    <w:p w:rsidR="007F6E99" w:rsidRPr="001F0672" w:rsidRDefault="007F6E99" w:rsidP="007F6E99">
      <w:pPr>
        <w:rPr>
          <w:rFonts w:ascii="Arial" w:hAnsi="Arial" w:cs="Arial"/>
          <w:b/>
          <w:lang w:val="it-IT"/>
        </w:rPr>
      </w:pPr>
      <w:r w:rsidRPr="00DF5A4A">
        <w:rPr>
          <w:rFonts w:ascii="Arial" w:hAnsi="Arial" w:cs="Arial"/>
          <w:b/>
          <w:sz w:val="24"/>
          <w:szCs w:val="24"/>
          <w:lang w:val="en-US"/>
        </w:rPr>
        <w:t xml:space="preserve">Figura nr.VIII.1.4.1. – 8 </w:t>
      </w:r>
      <w:r w:rsidRPr="00DF5A4A">
        <w:rPr>
          <w:rFonts w:ascii="Arial" w:hAnsi="Arial" w:cs="Arial"/>
          <w:sz w:val="24"/>
          <w:szCs w:val="24"/>
        </w:rPr>
        <w:t xml:space="preserve">Suprafața spațiu verde m.p./pe cap de locuitor din mediul urban, tendința (2013-2017) – </w:t>
      </w:r>
      <w:r w:rsidRPr="00DF5A4A">
        <w:rPr>
          <w:rFonts w:ascii="Arial" w:hAnsi="Arial" w:cs="Arial"/>
          <w:b/>
          <w:sz w:val="24"/>
          <w:szCs w:val="24"/>
        </w:rPr>
        <w:t>orașul Făurei</w:t>
      </w:r>
    </w:p>
    <w:p w:rsidR="007F6E99" w:rsidRPr="00DF5A4A" w:rsidRDefault="007F6E99" w:rsidP="007F6E99">
      <w:pPr>
        <w:jc w:val="both"/>
        <w:rPr>
          <w:rFonts w:ascii="Arial" w:hAnsi="Arial" w:cs="Arial"/>
          <w:sz w:val="24"/>
          <w:szCs w:val="24"/>
        </w:rPr>
      </w:pPr>
      <w:r w:rsidRPr="00DF5A4A">
        <w:rPr>
          <w:rFonts w:ascii="Arial" w:hAnsi="Arial" w:cs="Arial"/>
          <w:b/>
          <w:sz w:val="24"/>
          <w:szCs w:val="24"/>
          <w:lang w:val="en-US"/>
        </w:rPr>
        <w:t xml:space="preserve">Tabel nr. VIII.1.4.1. – 5  </w:t>
      </w:r>
      <w:r w:rsidRPr="00DF5A4A">
        <w:rPr>
          <w:rFonts w:ascii="Arial" w:hAnsi="Arial" w:cs="Arial"/>
          <w:sz w:val="24"/>
          <w:szCs w:val="24"/>
        </w:rPr>
        <w:t xml:space="preserve">Evoluţia suprafeţei totale a spaţiilor verzi din aglomerările urbane, pentru o perioadă de cinci ani (2013-2017) respectiv evoluţia suprafeţei spaţiilor verzi pe cap de locuitor din mediul urban, tendinţă în ultimii cinci ani (2013-2017),la nivelul </w:t>
      </w:r>
      <w:r w:rsidRPr="00DF5A4A">
        <w:rPr>
          <w:rFonts w:ascii="Arial" w:hAnsi="Arial" w:cs="Arial"/>
          <w:b/>
          <w:sz w:val="24"/>
          <w:szCs w:val="24"/>
        </w:rPr>
        <w:t>județului Brăila</w:t>
      </w:r>
      <w:r w:rsidRPr="00DF5A4A">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7F6E99" w:rsidRPr="009407FA" w:rsidRDefault="007F6E99" w:rsidP="004E444C">
            <w:pPr>
              <w:rPr>
                <w:rFonts w:ascii="Arial" w:hAnsi="Arial" w:cs="Arial"/>
                <w:b/>
                <w:lang w:val="it-IT"/>
              </w:rPr>
            </w:pPr>
            <w:r>
              <w:rPr>
                <w:rFonts w:ascii="Arial" w:hAnsi="Arial" w:cs="Arial"/>
                <w:b/>
              </w:rPr>
              <w:t>N</w:t>
            </w:r>
            <w:r w:rsidRPr="00F31BB6">
              <w:rPr>
                <w:rFonts w:ascii="Arial" w:hAnsi="Arial" w:cs="Arial"/>
                <w:b/>
              </w:rPr>
              <w:t>ivel județ Brăila</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F31BB6" w:rsidRDefault="007F6E99" w:rsidP="004E444C">
            <w:pPr>
              <w:tabs>
                <w:tab w:val="center" w:pos="4680"/>
                <w:tab w:val="right" w:pos="9360"/>
              </w:tabs>
              <w:jc w:val="center"/>
              <w:rPr>
                <w:rFonts w:ascii="Arial" w:hAnsi="Arial" w:cs="Arial"/>
                <w:b/>
                <w:lang w:val="en-US"/>
              </w:rPr>
            </w:pPr>
            <w:r w:rsidRPr="00F31BB6">
              <w:rPr>
                <w:rFonts w:ascii="Arial" w:hAnsi="Arial" w:cs="Arial"/>
                <w:b/>
                <w:lang w:val="en-US"/>
              </w:rPr>
              <w:t>201</w:t>
            </w:r>
            <w:r>
              <w:rPr>
                <w:rFonts w:ascii="Arial" w:hAnsi="Arial" w:cs="Arial"/>
                <w:b/>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F31BB6" w:rsidRDefault="007F6E99" w:rsidP="004E444C">
            <w:pPr>
              <w:tabs>
                <w:tab w:val="center" w:pos="4680"/>
                <w:tab w:val="right" w:pos="9360"/>
              </w:tabs>
              <w:jc w:val="center"/>
              <w:rPr>
                <w:rFonts w:ascii="Arial" w:hAnsi="Arial" w:cs="Arial"/>
                <w:b/>
                <w:lang w:val="en-US"/>
              </w:rPr>
            </w:pPr>
            <w:r w:rsidRPr="00F31BB6">
              <w:rPr>
                <w:rFonts w:ascii="Arial" w:hAnsi="Arial" w:cs="Arial"/>
                <w:b/>
                <w:lang w:val="en-US"/>
              </w:rPr>
              <w:t>201</w:t>
            </w:r>
            <w:r>
              <w:rPr>
                <w:rFonts w:ascii="Arial" w:hAnsi="Arial" w:cs="Arial"/>
                <w:b/>
                <w:lang w:val="en-US"/>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F31BB6" w:rsidRDefault="007F6E99" w:rsidP="004E444C">
            <w:pPr>
              <w:tabs>
                <w:tab w:val="center" w:pos="4680"/>
                <w:tab w:val="right" w:pos="9360"/>
              </w:tabs>
              <w:jc w:val="center"/>
              <w:rPr>
                <w:rFonts w:ascii="Arial" w:hAnsi="Arial" w:cs="Arial"/>
                <w:b/>
                <w:lang w:val="en-US"/>
              </w:rPr>
            </w:pPr>
            <w:r w:rsidRPr="00F31BB6">
              <w:rPr>
                <w:rFonts w:ascii="Arial" w:hAnsi="Arial" w:cs="Arial"/>
                <w:b/>
                <w:lang w:val="en-US"/>
              </w:rPr>
              <w:t>201</w:t>
            </w:r>
            <w:r>
              <w:rPr>
                <w:rFonts w:ascii="Arial" w:hAnsi="Arial" w:cs="Arial"/>
                <w:b/>
                <w:lang w:val="en-U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F31BB6" w:rsidRDefault="007F6E99" w:rsidP="004E444C">
            <w:pPr>
              <w:tabs>
                <w:tab w:val="center" w:pos="4680"/>
                <w:tab w:val="right" w:pos="9360"/>
              </w:tabs>
              <w:jc w:val="center"/>
              <w:rPr>
                <w:rFonts w:ascii="Arial" w:hAnsi="Arial" w:cs="Arial"/>
                <w:b/>
                <w:lang w:val="en-US"/>
              </w:rPr>
            </w:pPr>
            <w:r w:rsidRPr="00F31BB6">
              <w:rPr>
                <w:rFonts w:ascii="Arial" w:hAnsi="Arial" w:cs="Arial"/>
                <w:b/>
                <w:lang w:val="en-US"/>
              </w:rPr>
              <w:t>201</w:t>
            </w:r>
            <w:r>
              <w:rPr>
                <w:rFonts w:ascii="Arial" w:hAnsi="Arial" w:cs="Arial"/>
                <w:b/>
                <w:lang w:val="en-US"/>
              </w:rPr>
              <w:t>6</w:t>
            </w:r>
          </w:p>
        </w:tc>
        <w:tc>
          <w:tcPr>
            <w:tcW w:w="1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F6E99" w:rsidRPr="00F31BB6" w:rsidRDefault="007F6E99" w:rsidP="004E444C">
            <w:pPr>
              <w:tabs>
                <w:tab w:val="center" w:pos="4680"/>
                <w:tab w:val="right" w:pos="9360"/>
              </w:tabs>
              <w:jc w:val="center"/>
              <w:rPr>
                <w:rFonts w:ascii="Arial" w:hAnsi="Arial" w:cs="Arial"/>
                <w:b/>
                <w:lang w:val="en-US"/>
              </w:rPr>
            </w:pPr>
            <w:r w:rsidRPr="00F31BB6">
              <w:rPr>
                <w:rFonts w:ascii="Arial" w:hAnsi="Arial" w:cs="Arial"/>
                <w:b/>
                <w:lang w:val="en-US"/>
              </w:rPr>
              <w:t>201</w:t>
            </w:r>
            <w:r>
              <w:rPr>
                <w:rFonts w:ascii="Arial" w:hAnsi="Arial" w:cs="Arial"/>
                <w:b/>
                <w:lang w:val="en-US"/>
              </w:rPr>
              <w:t>7</w:t>
            </w:r>
          </w:p>
        </w:tc>
      </w:tr>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524,31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5</w:t>
            </w:r>
            <w:r>
              <w:rPr>
                <w:rFonts w:ascii="Arial" w:hAnsi="Arial" w:cs="Arial"/>
                <w:lang w:val="en-US"/>
              </w:rPr>
              <w:t>32</w:t>
            </w:r>
            <w:r w:rsidRPr="001E6183">
              <w:rPr>
                <w:rFonts w:ascii="Arial" w:hAnsi="Arial" w:cs="Arial"/>
                <w:lang w:val="en-US"/>
              </w:rPr>
              <w:t>,</w:t>
            </w:r>
            <w:r>
              <w:rPr>
                <w:rFonts w:ascii="Arial" w:hAnsi="Arial" w:cs="Arial"/>
                <w:lang w:val="en-US"/>
              </w:rPr>
              <w:t>44</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532,</w:t>
            </w:r>
            <w:r>
              <w:rPr>
                <w:rFonts w:ascii="Arial" w:hAnsi="Arial" w:cs="Arial"/>
                <w:lang w:val="en-US"/>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532,</w:t>
            </w:r>
            <w:r>
              <w:rPr>
                <w:rFonts w:ascii="Arial" w:hAnsi="Arial" w:cs="Arial"/>
                <w:lang w:val="en-US"/>
              </w:rPr>
              <w:t>44</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53</w:t>
            </w:r>
            <w:r>
              <w:rPr>
                <w:rFonts w:ascii="Arial" w:hAnsi="Arial" w:cs="Arial"/>
                <w:lang w:val="en-US"/>
              </w:rPr>
              <w:t>1</w:t>
            </w:r>
            <w:r w:rsidRPr="001E6183">
              <w:rPr>
                <w:rFonts w:ascii="Arial" w:hAnsi="Arial" w:cs="Arial"/>
                <w:lang w:val="en-US"/>
              </w:rPr>
              <w:t>,</w:t>
            </w:r>
            <w:r>
              <w:rPr>
                <w:rFonts w:ascii="Arial" w:hAnsi="Arial" w:cs="Arial"/>
                <w:lang w:val="en-US"/>
              </w:rPr>
              <w:t>51</w:t>
            </w:r>
          </w:p>
        </w:tc>
      </w:tr>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1E6183" w:rsidRDefault="007F6E99" w:rsidP="004E444C">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6450,12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6450,12</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6450,12</w:t>
            </w:r>
          </w:p>
        </w:tc>
      </w:tr>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1E6183" w:rsidRDefault="007F6E99" w:rsidP="004E444C">
            <w:pPr>
              <w:rPr>
                <w:rFonts w:ascii="Arial" w:hAnsi="Arial" w:cs="Arial"/>
                <w:lang w:val="en-US"/>
              </w:rPr>
            </w:pPr>
            <w:r w:rsidRPr="001E6183">
              <w:rPr>
                <w:rFonts w:ascii="Arial" w:hAnsi="Arial" w:cs="Arial"/>
              </w:rPr>
              <w:t>Procentul (%) din suprafaţă intravilan reprezentat de suprafaţa totală de spaţii verzi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8,12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8,</w:t>
            </w:r>
            <w:r>
              <w:rPr>
                <w:rFonts w:ascii="Arial" w:hAnsi="Arial" w:cs="Arial"/>
                <w:lang w:val="en-US"/>
              </w:rPr>
              <w:t>25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8,25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8,25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8,23</w:t>
            </w:r>
          </w:p>
        </w:tc>
      </w:tr>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1E6183" w:rsidRDefault="007F6E99" w:rsidP="004E444C">
            <w:pPr>
              <w:rPr>
                <w:rFonts w:ascii="Arial" w:hAnsi="Arial" w:cs="Arial"/>
                <w:lang w:val="en-US"/>
              </w:rPr>
            </w:pPr>
            <w:r w:rsidRPr="001E6183">
              <w:rPr>
                <w:rFonts w:ascii="Arial" w:hAnsi="Arial" w:cs="Arial"/>
              </w:rPr>
              <w:t>Indicatorul – suprafaţă de spaţiu verde  m.p./locuitor</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26,12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w:t>
            </w:r>
            <w:r>
              <w:rPr>
                <w:rFonts w:ascii="Arial" w:hAnsi="Arial" w:cs="Arial"/>
                <w:lang w:val="en-US"/>
              </w:rPr>
              <w:t>6</w:t>
            </w:r>
            <w:r w:rsidRPr="001E6183">
              <w:rPr>
                <w:rFonts w:ascii="Arial" w:hAnsi="Arial" w:cs="Arial"/>
                <w:lang w:val="en-US"/>
              </w:rPr>
              <w:t>,5</w:t>
            </w:r>
            <w:r>
              <w:rPr>
                <w:rFonts w:ascii="Arial" w:hAnsi="Arial" w:cs="Arial"/>
                <w:lang w:val="en-US"/>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26,5</w:t>
            </w:r>
            <w:r>
              <w:rPr>
                <w:rFonts w:ascii="Arial" w:hAnsi="Arial" w:cs="Arial"/>
                <w:lang w:val="en-US"/>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26,5</w:t>
            </w:r>
            <w:r>
              <w:rPr>
                <w:rFonts w:ascii="Arial" w:hAnsi="Arial" w:cs="Arial"/>
                <w:lang w:val="en-US"/>
              </w:rPr>
              <w:t>7</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26,</w:t>
            </w:r>
            <w:r>
              <w:rPr>
                <w:rFonts w:ascii="Arial" w:hAnsi="Arial" w:cs="Arial"/>
                <w:lang w:val="en-US"/>
              </w:rPr>
              <w:t>47</w:t>
            </w:r>
          </w:p>
        </w:tc>
      </w:tr>
      <w:tr w:rsidR="007F6E99" w:rsidRPr="001E6183" w:rsidTr="004E444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F6E99" w:rsidRPr="001E6183" w:rsidRDefault="007F6E99" w:rsidP="004E444C">
            <w:pPr>
              <w:rPr>
                <w:rFonts w:ascii="Arial" w:hAnsi="Arial" w:cs="Arial"/>
              </w:rPr>
            </w:pPr>
            <w:r w:rsidRPr="001E6183">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Pr>
                <w:rFonts w:ascii="Arial" w:hAnsi="Arial" w:cs="Arial"/>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w:t>
            </w:r>
            <w:r>
              <w:rPr>
                <w:rFonts w:ascii="Arial" w:hAnsi="Arial" w:cs="Arial"/>
                <w:lang w:val="en-US"/>
              </w:rPr>
              <w:t>00765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200765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F6E99" w:rsidRPr="001E6183" w:rsidRDefault="007F6E99" w:rsidP="004E444C">
            <w:pPr>
              <w:tabs>
                <w:tab w:val="center" w:pos="4680"/>
                <w:tab w:val="right" w:pos="9360"/>
              </w:tabs>
              <w:jc w:val="center"/>
              <w:rPr>
                <w:rFonts w:ascii="Arial" w:hAnsi="Arial" w:cs="Arial"/>
                <w:lang w:val="en-US"/>
              </w:rPr>
            </w:pPr>
            <w:r w:rsidRPr="001E6183">
              <w:rPr>
                <w:rFonts w:ascii="Arial" w:hAnsi="Arial" w:cs="Arial"/>
                <w:lang w:val="en-US"/>
              </w:rPr>
              <w:t>200765</w:t>
            </w:r>
          </w:p>
        </w:tc>
      </w:tr>
    </w:tbl>
    <w:p w:rsidR="007F6E99" w:rsidRPr="00446AEE" w:rsidRDefault="007F6E99" w:rsidP="007F6E99">
      <w:pPr>
        <w:pStyle w:val="Heading4"/>
        <w:tabs>
          <w:tab w:val="num" w:pos="709"/>
          <w:tab w:val="left" w:pos="851"/>
        </w:tabs>
        <w:spacing w:before="0" w:after="0" w:line="276" w:lineRule="auto"/>
        <w:ind w:left="709" w:hanging="709"/>
        <w:jc w:val="both"/>
        <w:rPr>
          <w:rFonts w:ascii="Arial" w:hAnsi="Arial" w:cs="Arial"/>
          <w:color w:val="000000"/>
          <w:sz w:val="24"/>
          <w:szCs w:val="24"/>
          <w:lang w:val="ro-RO"/>
        </w:rPr>
      </w:pPr>
    </w:p>
    <w:p w:rsidR="007F6E99" w:rsidRDefault="007F6E99" w:rsidP="007F6E99">
      <w:pPr>
        <w:ind w:right="-567"/>
        <w:jc w:val="center"/>
        <w:rPr>
          <w:rFonts w:ascii="Arial" w:hAnsi="Arial" w:cs="Arial"/>
        </w:rPr>
      </w:pPr>
      <w:r w:rsidRPr="00F31BB6">
        <w:rPr>
          <w:rFonts w:ascii="Arial" w:hAnsi="Arial" w:cs="Arial"/>
          <w:noProof/>
          <w:shd w:val="clear" w:color="auto" w:fill="F2DBDB" w:themeFill="accent2" w:themeFillTint="33"/>
        </w:rPr>
        <w:drawing>
          <wp:inline distT="0" distB="0" distL="0" distR="0">
            <wp:extent cx="4924425" cy="2571750"/>
            <wp:effectExtent l="19050" t="0" r="9525" b="0"/>
            <wp:docPr id="135"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7F6E99" w:rsidRPr="00DF5A4A" w:rsidRDefault="007F6E99" w:rsidP="007F6E99">
      <w:pPr>
        <w:rPr>
          <w:rFonts w:ascii="Arial" w:hAnsi="Arial" w:cs="Arial"/>
          <w:sz w:val="24"/>
          <w:szCs w:val="24"/>
        </w:rPr>
      </w:pPr>
      <w:r w:rsidRPr="00DF5A4A">
        <w:rPr>
          <w:rFonts w:ascii="Arial" w:hAnsi="Arial" w:cs="Arial"/>
          <w:b/>
          <w:sz w:val="24"/>
          <w:szCs w:val="24"/>
          <w:lang w:val="en-US"/>
        </w:rPr>
        <w:t xml:space="preserve">Figura nr. VIII.1.4.1. </w:t>
      </w:r>
      <w:r>
        <w:rPr>
          <w:rFonts w:ascii="Arial" w:hAnsi="Arial" w:cs="Arial"/>
          <w:b/>
          <w:sz w:val="24"/>
          <w:szCs w:val="24"/>
          <w:lang w:val="en-US"/>
        </w:rPr>
        <w:t>–</w:t>
      </w:r>
      <w:r w:rsidRPr="00DF5A4A">
        <w:rPr>
          <w:rFonts w:ascii="Arial" w:hAnsi="Arial" w:cs="Arial"/>
          <w:b/>
          <w:sz w:val="24"/>
          <w:szCs w:val="24"/>
          <w:lang w:val="en-US"/>
        </w:rPr>
        <w:t xml:space="preserve"> 9</w:t>
      </w:r>
      <w:r>
        <w:rPr>
          <w:rFonts w:ascii="Arial" w:hAnsi="Arial" w:cs="Arial"/>
          <w:b/>
          <w:sz w:val="24"/>
          <w:szCs w:val="24"/>
          <w:lang w:val="en-US"/>
        </w:rPr>
        <w:t xml:space="preserve"> </w:t>
      </w:r>
      <w:r w:rsidRPr="00DF5A4A">
        <w:rPr>
          <w:rFonts w:ascii="Arial" w:hAnsi="Arial" w:cs="Arial"/>
          <w:sz w:val="24"/>
          <w:szCs w:val="24"/>
        </w:rPr>
        <w:t xml:space="preserve">Suprafaţa spaţii verzi din total intravilan ( 2013-2017) - </w:t>
      </w:r>
      <w:r w:rsidRPr="00DF5A4A">
        <w:rPr>
          <w:rFonts w:ascii="Arial" w:hAnsi="Arial" w:cs="Arial"/>
          <w:b/>
          <w:sz w:val="24"/>
          <w:szCs w:val="24"/>
        </w:rPr>
        <w:t>județul Brăila</w:t>
      </w:r>
    </w:p>
    <w:p w:rsidR="007F6E99" w:rsidRPr="00F31BB6" w:rsidRDefault="007F6E99" w:rsidP="007F6E99">
      <w:pPr>
        <w:rPr>
          <w:rFonts w:ascii="Arial" w:hAnsi="Arial" w:cs="Arial"/>
        </w:rPr>
      </w:pPr>
    </w:p>
    <w:p w:rsidR="007F6E99" w:rsidRDefault="007F6E99" w:rsidP="007F6E99">
      <w:pPr>
        <w:jc w:val="center"/>
        <w:rPr>
          <w:rFonts w:ascii="Arial" w:hAnsi="Arial" w:cs="Arial"/>
        </w:rPr>
      </w:pPr>
      <w:r>
        <w:rPr>
          <w:rFonts w:ascii="Arial" w:hAnsi="Arial" w:cs="Arial"/>
          <w:noProof/>
        </w:rPr>
        <w:drawing>
          <wp:inline distT="0" distB="0" distL="0" distR="0">
            <wp:extent cx="4924425" cy="2619375"/>
            <wp:effectExtent l="19050" t="0" r="9525" b="0"/>
            <wp:docPr id="13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7F6E99" w:rsidRPr="00DF5A4A" w:rsidRDefault="007F6E99" w:rsidP="007F6E99">
      <w:pPr>
        <w:jc w:val="center"/>
        <w:rPr>
          <w:rFonts w:ascii="Arial" w:hAnsi="Arial" w:cs="Arial"/>
          <w:sz w:val="24"/>
          <w:szCs w:val="24"/>
        </w:rPr>
      </w:pPr>
    </w:p>
    <w:p w:rsidR="007F6E99" w:rsidRPr="00DF5A4A" w:rsidRDefault="007F6E99" w:rsidP="007F6E99">
      <w:pPr>
        <w:jc w:val="center"/>
        <w:rPr>
          <w:rFonts w:ascii="Arial" w:hAnsi="Arial" w:cs="Arial"/>
          <w:b/>
          <w:sz w:val="24"/>
          <w:szCs w:val="24"/>
        </w:rPr>
      </w:pPr>
      <w:r w:rsidRPr="00DF5A4A">
        <w:rPr>
          <w:rFonts w:ascii="Arial" w:hAnsi="Arial" w:cs="Arial"/>
          <w:b/>
          <w:sz w:val="24"/>
          <w:szCs w:val="24"/>
          <w:lang w:val="en-US"/>
        </w:rPr>
        <w:t xml:space="preserve">Figura nr. VIII.1.4.1. </w:t>
      </w:r>
      <w:r>
        <w:rPr>
          <w:rFonts w:ascii="Arial" w:hAnsi="Arial" w:cs="Arial"/>
          <w:b/>
          <w:sz w:val="24"/>
          <w:szCs w:val="24"/>
          <w:lang w:val="en-US"/>
        </w:rPr>
        <w:t>–</w:t>
      </w:r>
      <w:r w:rsidRPr="00DF5A4A">
        <w:rPr>
          <w:rFonts w:ascii="Arial" w:hAnsi="Arial" w:cs="Arial"/>
          <w:b/>
          <w:sz w:val="24"/>
          <w:szCs w:val="24"/>
          <w:lang w:val="en-US"/>
        </w:rPr>
        <w:t xml:space="preserve"> 10</w:t>
      </w:r>
      <w:r>
        <w:rPr>
          <w:rFonts w:ascii="Arial" w:hAnsi="Arial" w:cs="Arial"/>
          <w:b/>
          <w:sz w:val="24"/>
          <w:szCs w:val="24"/>
          <w:lang w:val="en-US"/>
        </w:rPr>
        <w:t xml:space="preserve"> </w:t>
      </w:r>
      <w:r w:rsidRPr="00DF5A4A">
        <w:rPr>
          <w:rFonts w:ascii="Arial" w:hAnsi="Arial" w:cs="Arial"/>
          <w:sz w:val="24"/>
          <w:szCs w:val="24"/>
        </w:rPr>
        <w:t xml:space="preserve">Suprafața spațiu verde m.p./pe cap de locuitor din mediul urban, tendința (2013-2017) </w:t>
      </w:r>
      <w:r w:rsidRPr="00DF5A4A">
        <w:rPr>
          <w:rFonts w:ascii="Arial" w:hAnsi="Arial" w:cs="Arial"/>
          <w:b/>
          <w:sz w:val="24"/>
          <w:szCs w:val="24"/>
        </w:rPr>
        <w:t>– județul Brăila</w:t>
      </w:r>
    </w:p>
    <w:p w:rsidR="007F6E99" w:rsidRPr="00DF5A4A" w:rsidRDefault="007F6E99" w:rsidP="007F6E99">
      <w:pPr>
        <w:spacing w:after="0" w:line="240" w:lineRule="auto"/>
        <w:jc w:val="both"/>
        <w:rPr>
          <w:rFonts w:ascii="Arial" w:hAnsi="Arial" w:cs="Arial"/>
          <w:sz w:val="24"/>
          <w:szCs w:val="24"/>
        </w:rPr>
      </w:pPr>
    </w:p>
    <w:p w:rsidR="007F6E99" w:rsidRPr="00DF5A4A" w:rsidRDefault="007F6E99" w:rsidP="007F6E99">
      <w:pPr>
        <w:spacing w:after="0" w:line="240" w:lineRule="auto"/>
        <w:ind w:firstLine="708"/>
        <w:jc w:val="both"/>
        <w:rPr>
          <w:rFonts w:ascii="Arial" w:hAnsi="Arial" w:cs="Arial"/>
          <w:sz w:val="24"/>
          <w:szCs w:val="24"/>
        </w:rPr>
      </w:pPr>
      <w:r w:rsidRPr="00DF5A4A">
        <w:rPr>
          <w:rFonts w:ascii="Arial" w:hAnsi="Arial" w:cs="Arial"/>
          <w:sz w:val="24"/>
          <w:szCs w:val="24"/>
        </w:rPr>
        <w:t xml:space="preserve">Suprafaţa totală de spaţii verzi a municipiului Brăila este de </w:t>
      </w:r>
      <w:r w:rsidRPr="00DF5A4A">
        <w:rPr>
          <w:rFonts w:ascii="Arial" w:hAnsi="Arial" w:cs="Arial"/>
          <w:bCs/>
          <w:sz w:val="24"/>
          <w:szCs w:val="24"/>
        </w:rPr>
        <w:t>4.705.284,53 mp (470,53 ha)</w:t>
      </w:r>
      <w:r w:rsidRPr="00DF5A4A">
        <w:rPr>
          <w:rFonts w:ascii="Arial" w:hAnsi="Arial" w:cs="Arial"/>
          <w:sz w:val="24"/>
          <w:szCs w:val="24"/>
        </w:rPr>
        <w:t xml:space="preserve">, reprezentând </w:t>
      </w:r>
      <w:r w:rsidRPr="00DF5A4A">
        <w:rPr>
          <w:rFonts w:ascii="Arial" w:hAnsi="Arial" w:cs="Arial"/>
          <w:b/>
          <w:sz w:val="24"/>
          <w:szCs w:val="24"/>
        </w:rPr>
        <w:t>11,20 %</w:t>
      </w:r>
      <w:r w:rsidRPr="00DF5A4A">
        <w:rPr>
          <w:rFonts w:ascii="Arial" w:hAnsi="Arial" w:cs="Arial"/>
          <w:sz w:val="24"/>
          <w:szCs w:val="24"/>
        </w:rPr>
        <w:t xml:space="preserve"> din suprafaţa terenului intravilan al municipiului, suprafaţa de spaţiu verde pe </w:t>
      </w:r>
      <w:r w:rsidRPr="00DF5A4A">
        <w:rPr>
          <w:rFonts w:ascii="Arial" w:hAnsi="Arial" w:cs="Arial"/>
          <w:bCs/>
          <w:iCs/>
          <w:sz w:val="24"/>
          <w:szCs w:val="24"/>
        </w:rPr>
        <w:t>cap de locuitor</w:t>
      </w:r>
      <w:r w:rsidRPr="00DF5A4A">
        <w:rPr>
          <w:rFonts w:ascii="Arial" w:hAnsi="Arial" w:cs="Arial"/>
          <w:sz w:val="24"/>
          <w:szCs w:val="24"/>
        </w:rPr>
        <w:t xml:space="preserve"> fiind de </w:t>
      </w:r>
      <w:r w:rsidRPr="00DF5A4A">
        <w:rPr>
          <w:rFonts w:ascii="Arial" w:hAnsi="Arial" w:cs="Arial"/>
          <w:b/>
          <w:bCs/>
          <w:iCs/>
          <w:sz w:val="24"/>
          <w:szCs w:val="24"/>
        </w:rPr>
        <w:t>26,10 m.p.</w:t>
      </w:r>
      <w:r w:rsidRPr="00DF5A4A">
        <w:rPr>
          <w:rFonts w:ascii="Arial" w:hAnsi="Arial" w:cs="Arial"/>
          <w:sz w:val="24"/>
          <w:szCs w:val="24"/>
        </w:rPr>
        <w:t xml:space="preserve"> </w:t>
      </w:r>
    </w:p>
    <w:p w:rsidR="007F6E99" w:rsidRPr="00DF5A4A" w:rsidRDefault="007F6E99" w:rsidP="007F6E99">
      <w:pPr>
        <w:spacing w:after="0" w:line="240" w:lineRule="auto"/>
        <w:ind w:firstLine="708"/>
        <w:jc w:val="both"/>
        <w:rPr>
          <w:rFonts w:ascii="Arial" w:hAnsi="Arial" w:cs="Arial"/>
          <w:sz w:val="24"/>
          <w:szCs w:val="24"/>
          <w:lang w:val="it-IT"/>
        </w:rPr>
      </w:pPr>
      <w:r w:rsidRPr="00DF5A4A">
        <w:rPr>
          <w:rFonts w:ascii="Arial" w:hAnsi="Arial" w:cs="Arial"/>
          <w:sz w:val="24"/>
          <w:szCs w:val="24"/>
        </w:rPr>
        <w:t>Spațiile verzi</w:t>
      </w:r>
      <w:r w:rsidRPr="00DF5A4A">
        <w:rPr>
          <w:rFonts w:ascii="Arial" w:hAnsi="Arial" w:cs="Arial"/>
          <w:sz w:val="24"/>
          <w:szCs w:val="24"/>
          <w:lang w:val="it-IT"/>
        </w:rPr>
        <w:t xml:space="preserve"> din mediul urban ordonate pe categorii conform Legii nr.24/2007 modificată și completată:</w:t>
      </w:r>
    </w:p>
    <w:p w:rsidR="007F6E99" w:rsidRPr="00DF5A4A" w:rsidRDefault="007F6E99" w:rsidP="007F6E99">
      <w:pPr>
        <w:spacing w:after="0" w:line="240" w:lineRule="auto"/>
        <w:ind w:left="708"/>
        <w:jc w:val="both"/>
        <w:rPr>
          <w:rFonts w:ascii="Arial" w:hAnsi="Arial" w:cs="Arial"/>
          <w:bCs/>
          <w:sz w:val="24"/>
          <w:szCs w:val="24"/>
        </w:rPr>
      </w:pPr>
      <w:r w:rsidRPr="00DF5A4A">
        <w:rPr>
          <w:rFonts w:ascii="Arial" w:hAnsi="Arial" w:cs="Arial"/>
          <w:bCs/>
          <w:sz w:val="24"/>
          <w:szCs w:val="24"/>
        </w:rPr>
        <w:t>a) Spații verzi publice cu acces nelimitat :  2.712.697,08 mp</w:t>
      </w:r>
    </w:p>
    <w:p w:rsidR="007F6E99" w:rsidRPr="00DF5A4A" w:rsidRDefault="007F6E99" w:rsidP="007F6E99">
      <w:pPr>
        <w:spacing w:after="0" w:line="240" w:lineRule="auto"/>
        <w:ind w:left="708"/>
        <w:jc w:val="both"/>
        <w:rPr>
          <w:rFonts w:ascii="Arial" w:hAnsi="Arial" w:cs="Arial"/>
          <w:sz w:val="24"/>
          <w:szCs w:val="24"/>
        </w:rPr>
      </w:pPr>
      <w:r w:rsidRPr="00DF5A4A">
        <w:rPr>
          <w:rFonts w:ascii="Arial" w:hAnsi="Arial" w:cs="Arial"/>
          <w:sz w:val="24"/>
          <w:szCs w:val="24"/>
        </w:rPr>
        <w:t>b) Spații verzi publice de folosință specializată: 1.271.564,19 mp</w:t>
      </w:r>
    </w:p>
    <w:p w:rsidR="007F6E99" w:rsidRPr="00DF5A4A" w:rsidRDefault="007F6E99" w:rsidP="007F6E99">
      <w:pPr>
        <w:spacing w:after="0" w:line="240" w:lineRule="auto"/>
        <w:ind w:left="708"/>
        <w:jc w:val="both"/>
        <w:rPr>
          <w:rFonts w:ascii="Arial" w:hAnsi="Arial" w:cs="Arial"/>
          <w:sz w:val="24"/>
          <w:szCs w:val="24"/>
        </w:rPr>
      </w:pPr>
      <w:r w:rsidRPr="00DF5A4A">
        <w:rPr>
          <w:rFonts w:ascii="Arial" w:hAnsi="Arial" w:cs="Arial"/>
          <w:sz w:val="24"/>
          <w:szCs w:val="24"/>
        </w:rPr>
        <w:t xml:space="preserve">c) Spații verzi pentru agrement </w:t>
      </w:r>
      <w:r w:rsidRPr="00DF5A4A">
        <w:rPr>
          <w:rFonts w:ascii="Arial" w:hAnsi="Arial" w:cs="Arial"/>
          <w:bCs/>
          <w:sz w:val="24"/>
          <w:szCs w:val="24"/>
        </w:rPr>
        <w:t>:</w:t>
      </w:r>
      <w:r w:rsidRPr="00DF5A4A">
        <w:rPr>
          <w:rFonts w:ascii="Arial" w:hAnsi="Arial" w:cs="Arial"/>
          <w:sz w:val="24"/>
          <w:szCs w:val="24"/>
        </w:rPr>
        <w:t>353.880,00 mp.</w:t>
      </w:r>
    </w:p>
    <w:p w:rsidR="007F6E99" w:rsidRPr="00DF5A4A" w:rsidRDefault="007F6E99" w:rsidP="007F6E99">
      <w:pPr>
        <w:spacing w:after="0" w:line="240" w:lineRule="auto"/>
        <w:ind w:left="708"/>
        <w:jc w:val="both"/>
        <w:rPr>
          <w:rFonts w:ascii="Arial" w:hAnsi="Arial" w:cs="Arial"/>
          <w:sz w:val="24"/>
          <w:szCs w:val="24"/>
        </w:rPr>
      </w:pPr>
      <w:r w:rsidRPr="00DF5A4A">
        <w:rPr>
          <w:rFonts w:ascii="Arial" w:hAnsi="Arial" w:cs="Arial"/>
          <w:sz w:val="24"/>
          <w:szCs w:val="24"/>
        </w:rPr>
        <w:t>d) Spații verzi pentru protecția lacurilor și a cursurilor de apă:249.000,00 mp</w:t>
      </w:r>
    </w:p>
    <w:p w:rsidR="007F6E99" w:rsidRPr="00DF5A4A" w:rsidRDefault="007F6E99" w:rsidP="007F6E99">
      <w:pPr>
        <w:spacing w:after="0" w:line="240" w:lineRule="auto"/>
        <w:ind w:left="708"/>
        <w:jc w:val="both"/>
        <w:rPr>
          <w:rFonts w:ascii="Arial" w:hAnsi="Arial" w:cs="Arial"/>
          <w:sz w:val="24"/>
          <w:szCs w:val="24"/>
        </w:rPr>
      </w:pPr>
      <w:r w:rsidRPr="00DF5A4A">
        <w:rPr>
          <w:rFonts w:ascii="Arial" w:hAnsi="Arial" w:cs="Arial"/>
          <w:sz w:val="24"/>
          <w:szCs w:val="24"/>
        </w:rPr>
        <w:t>e) Pepiniere si sere:118.143,26 mp</w:t>
      </w:r>
    </w:p>
    <w:p w:rsidR="007F6E99" w:rsidRPr="00DF5A4A" w:rsidRDefault="007F6E99" w:rsidP="007F6E99">
      <w:pPr>
        <w:spacing w:after="0" w:line="240" w:lineRule="auto"/>
        <w:jc w:val="both"/>
        <w:rPr>
          <w:rFonts w:ascii="Arial" w:hAnsi="Arial" w:cs="Arial"/>
          <w:sz w:val="24"/>
          <w:szCs w:val="24"/>
          <w:lang w:val="it-IT"/>
        </w:rPr>
      </w:pPr>
      <w:r w:rsidRPr="00DF5A4A">
        <w:rPr>
          <w:rFonts w:ascii="Arial" w:hAnsi="Arial" w:cs="Arial"/>
          <w:sz w:val="24"/>
          <w:szCs w:val="24"/>
          <w:lang w:val="it-IT"/>
        </w:rPr>
        <w:t>Cele mai importante zone verzi din municipiul Brăila sunt:</w:t>
      </w:r>
    </w:p>
    <w:p w:rsidR="007F6E99" w:rsidRPr="00DF5A4A" w:rsidRDefault="007F6E99" w:rsidP="00EF3940">
      <w:pPr>
        <w:pStyle w:val="ListParagraph"/>
        <w:numPr>
          <w:ilvl w:val="0"/>
          <w:numId w:val="87"/>
        </w:numPr>
        <w:jc w:val="both"/>
        <w:rPr>
          <w:rFonts w:ascii="Arial" w:hAnsi="Arial" w:cs="Arial"/>
          <w:lang w:val="it-IT"/>
        </w:rPr>
      </w:pPr>
      <w:r w:rsidRPr="00DF5A4A">
        <w:rPr>
          <w:rFonts w:ascii="Arial" w:hAnsi="Arial" w:cs="Arial"/>
          <w:lang w:val="it-IT"/>
        </w:rPr>
        <w:t>Parcul Monument – 38,81 ha</w:t>
      </w:r>
    </w:p>
    <w:p w:rsidR="007F6E99" w:rsidRPr="00DF5A4A" w:rsidRDefault="007F6E99" w:rsidP="00EF3940">
      <w:pPr>
        <w:pStyle w:val="ListParagraph"/>
        <w:numPr>
          <w:ilvl w:val="0"/>
          <w:numId w:val="87"/>
        </w:numPr>
        <w:jc w:val="both"/>
        <w:rPr>
          <w:rFonts w:ascii="Arial" w:hAnsi="Arial" w:cs="Arial"/>
          <w:lang w:val="it-IT"/>
        </w:rPr>
      </w:pPr>
      <w:r w:rsidRPr="00DF5A4A">
        <w:rPr>
          <w:rFonts w:ascii="Arial" w:hAnsi="Arial" w:cs="Arial"/>
          <w:lang w:val="it-IT"/>
        </w:rPr>
        <w:t>Grădina Publică – 4,17 ha</w:t>
      </w:r>
    </w:p>
    <w:p w:rsidR="007F6E99" w:rsidRPr="00DF5A4A" w:rsidRDefault="007F6E99" w:rsidP="00EF3940">
      <w:pPr>
        <w:pStyle w:val="ListParagraph"/>
        <w:numPr>
          <w:ilvl w:val="0"/>
          <w:numId w:val="87"/>
        </w:numPr>
        <w:jc w:val="both"/>
        <w:rPr>
          <w:rFonts w:ascii="Arial" w:hAnsi="Arial" w:cs="Arial"/>
          <w:lang w:val="it-IT"/>
        </w:rPr>
      </w:pPr>
      <w:r w:rsidRPr="00DF5A4A">
        <w:rPr>
          <w:rFonts w:ascii="Arial" w:hAnsi="Arial" w:cs="Arial"/>
          <w:lang w:val="it-IT"/>
        </w:rPr>
        <w:t>Grădina Zoologică – 4,55 ha</w:t>
      </w:r>
    </w:p>
    <w:p w:rsidR="007F6E99" w:rsidRPr="00DF5A4A" w:rsidRDefault="007F6E99" w:rsidP="00EF3940">
      <w:pPr>
        <w:pStyle w:val="ListParagraph"/>
        <w:numPr>
          <w:ilvl w:val="0"/>
          <w:numId w:val="87"/>
        </w:numPr>
        <w:jc w:val="both"/>
        <w:rPr>
          <w:rFonts w:ascii="Arial" w:hAnsi="Arial" w:cs="Arial"/>
          <w:lang w:val="it-IT"/>
        </w:rPr>
      </w:pPr>
      <w:r w:rsidRPr="00DF5A4A">
        <w:rPr>
          <w:rFonts w:ascii="Arial" w:hAnsi="Arial" w:cs="Arial"/>
          <w:lang w:val="it-IT"/>
        </w:rPr>
        <w:lastRenderedPageBreak/>
        <w:t>Parc în Cartierul Lacu Dulce – 3,56 ha</w:t>
      </w:r>
    </w:p>
    <w:p w:rsidR="007F6E99" w:rsidRPr="00DF5A4A" w:rsidRDefault="007F6E99" w:rsidP="00EF3940">
      <w:pPr>
        <w:pStyle w:val="ListParagraph"/>
        <w:numPr>
          <w:ilvl w:val="0"/>
          <w:numId w:val="87"/>
        </w:numPr>
        <w:jc w:val="both"/>
        <w:rPr>
          <w:rFonts w:ascii="Arial" w:hAnsi="Arial" w:cs="Arial"/>
          <w:lang w:val="es-ES"/>
        </w:rPr>
      </w:pPr>
      <w:r w:rsidRPr="00DF5A4A">
        <w:rPr>
          <w:rFonts w:ascii="Arial" w:hAnsi="Arial" w:cs="Arial"/>
          <w:lang w:val="es-ES"/>
        </w:rPr>
        <w:t>Faleza Dunării  - 7,97 ha</w:t>
      </w:r>
    </w:p>
    <w:p w:rsidR="007F6E99" w:rsidRPr="00DF5A4A" w:rsidRDefault="007F6E99" w:rsidP="00EF3940">
      <w:pPr>
        <w:pStyle w:val="ListParagraph"/>
        <w:numPr>
          <w:ilvl w:val="0"/>
          <w:numId w:val="87"/>
        </w:numPr>
        <w:jc w:val="both"/>
        <w:rPr>
          <w:rFonts w:ascii="Arial" w:hAnsi="Arial" w:cs="Arial"/>
          <w:lang w:val="es-ES"/>
        </w:rPr>
      </w:pPr>
      <w:r w:rsidRPr="00DF5A4A">
        <w:rPr>
          <w:rFonts w:ascii="Arial" w:hAnsi="Arial" w:cs="Arial"/>
          <w:lang w:val="es-ES"/>
        </w:rPr>
        <w:t>Esplanada Dunării – 1,64 ha</w:t>
      </w:r>
    </w:p>
    <w:p w:rsidR="007F6E99" w:rsidRPr="00DF5A4A" w:rsidRDefault="007F6E99" w:rsidP="00EF3940">
      <w:pPr>
        <w:pStyle w:val="ListParagraph"/>
        <w:numPr>
          <w:ilvl w:val="0"/>
          <w:numId w:val="87"/>
        </w:numPr>
        <w:jc w:val="both"/>
        <w:rPr>
          <w:rFonts w:ascii="Arial" w:hAnsi="Arial" w:cs="Arial"/>
        </w:rPr>
      </w:pPr>
      <w:r w:rsidRPr="00DF5A4A">
        <w:rPr>
          <w:rFonts w:ascii="Arial" w:hAnsi="Arial" w:cs="Arial"/>
          <w:lang w:val="es-ES"/>
        </w:rPr>
        <w:t xml:space="preserve">Scuarul din </w:t>
      </w:r>
      <w:r w:rsidRPr="00DF5A4A">
        <w:rPr>
          <w:rFonts w:ascii="Arial" w:hAnsi="Arial" w:cs="Arial"/>
        </w:rPr>
        <w:t>Piaţa Traian – 1,9 ha</w:t>
      </w:r>
    </w:p>
    <w:p w:rsidR="007F6E99" w:rsidRPr="00DF5A4A" w:rsidRDefault="007F6E99" w:rsidP="007F6E99">
      <w:pPr>
        <w:pStyle w:val="BodyText"/>
        <w:spacing w:after="0" w:line="240" w:lineRule="auto"/>
        <w:ind w:firstLine="360"/>
        <w:jc w:val="both"/>
        <w:rPr>
          <w:rFonts w:ascii="Arial" w:hAnsi="Arial" w:cs="Arial"/>
          <w:sz w:val="24"/>
          <w:szCs w:val="24"/>
        </w:rPr>
      </w:pPr>
      <w:r w:rsidRPr="00DF5A4A">
        <w:rPr>
          <w:rFonts w:ascii="Arial" w:hAnsi="Arial" w:cs="Arial"/>
          <w:sz w:val="24"/>
          <w:szCs w:val="24"/>
        </w:rPr>
        <w:t>Speciile de arbori, arbuşti şi plante ornamentale care compun vegetaţia parcurilor şi scuarurilor  sunt atât indigene, cât şi exotice. Dintre speciile rare sau exotice se remarcă magnolia-Magnolya yulan, ginco-Ginkgo biloba, tisa-Taxus baccata, laricele (zada)-Larix decidua var. polonica, platanul-Platanus acerifolia, salcâmul japonez-Sophora japonica. Tocmai pentru raritatea unor specii sau pentru vârsta lor, 116 arbori au fost declaraţi monumente ale naturii</w:t>
      </w:r>
      <w:r>
        <w:rPr>
          <w:rFonts w:ascii="Arial" w:hAnsi="Arial" w:cs="Arial"/>
          <w:sz w:val="24"/>
          <w:szCs w:val="24"/>
        </w:rPr>
        <w:t>.</w:t>
      </w:r>
    </w:p>
    <w:p w:rsidR="007F6E99" w:rsidRPr="00DF5A4A" w:rsidRDefault="007F6E99" w:rsidP="007F6E99">
      <w:pPr>
        <w:spacing w:after="0" w:line="240" w:lineRule="auto"/>
        <w:ind w:firstLine="360"/>
        <w:jc w:val="both"/>
        <w:rPr>
          <w:rFonts w:ascii="Arial" w:hAnsi="Arial" w:cs="Arial"/>
          <w:sz w:val="24"/>
          <w:szCs w:val="24"/>
        </w:rPr>
      </w:pPr>
      <w:r w:rsidRPr="00DF5A4A">
        <w:rPr>
          <w:rFonts w:ascii="Arial" w:hAnsi="Arial" w:cs="Arial"/>
          <w:sz w:val="24"/>
          <w:szCs w:val="24"/>
        </w:rPr>
        <w:t>Parcul Monument, cu o suprafaţă de 38,81 ha, este cel mai mare parc al municipiului Brăila, acesta existând încă din anul 1862, o contribuţie majoră în amenajarea acestuia având generalul Kiseleff,  parcul purtând pentru mult timp numele acestuia.</w:t>
      </w:r>
    </w:p>
    <w:p w:rsidR="007F6E99" w:rsidRPr="00DF5A4A" w:rsidRDefault="007F6E99" w:rsidP="007F6E99">
      <w:pPr>
        <w:spacing w:after="0" w:line="240" w:lineRule="auto"/>
        <w:ind w:firstLine="360"/>
        <w:jc w:val="both"/>
        <w:rPr>
          <w:rFonts w:ascii="Arial" w:hAnsi="Arial" w:cs="Arial"/>
          <w:sz w:val="24"/>
          <w:szCs w:val="24"/>
        </w:rPr>
      </w:pPr>
      <w:r w:rsidRPr="00DF5A4A">
        <w:rPr>
          <w:rFonts w:ascii="Arial" w:hAnsi="Arial" w:cs="Arial"/>
          <w:sz w:val="24"/>
          <w:szCs w:val="24"/>
        </w:rPr>
        <w:t xml:space="preserve">În perimetrul acestuia există Muzeul de Ştiinţe ale Naturii în vecinătatea căruia există un parc dendrologic cu specii exotice. Pe amplasamentul acestui parc ar fi oportună înfiinţarea unui complex muzeal care să integreze vechiul muzeu precum şi o mică grădină botanică. De asemenea, în perimetrul Parcului Monument există o sală de sport polivalentă, terenuri de sport, un stadion, alei pietonale, un parc de distracţii pentru copii şi un restaurant fapt ce fac din acesta principala zona de agrement a oraşului, atrăgând atât populaţia tânără cât şi vârstnicii. </w:t>
      </w:r>
      <w:r>
        <w:rPr>
          <w:rFonts w:ascii="Arial" w:hAnsi="Arial" w:cs="Arial"/>
          <w:sz w:val="24"/>
          <w:szCs w:val="24"/>
        </w:rPr>
        <w:t xml:space="preserve">  </w:t>
      </w:r>
      <w:r w:rsidRPr="00DF5A4A">
        <w:rPr>
          <w:rFonts w:ascii="Arial" w:hAnsi="Arial" w:cs="Arial"/>
          <w:sz w:val="24"/>
          <w:szCs w:val="24"/>
        </w:rPr>
        <w:t xml:space="preserve">În parc este dominantă vegetaţia arboricolă, existând deopotrivă specii indigene şi exotice. Administraţia publică locală a făcut eforturi pentru conservarea vegetaţiei şi prevenirea deteriorării prin închiderea cu gard de beton, asigurarea pazei şi extinderea perimetrului prin plantări de arbori pe cca </w:t>
      </w:r>
      <w:smartTag w:uri="urn:schemas-microsoft-com:office:smarttags" w:element="metricconverter">
        <w:smartTagPr>
          <w:attr w:name="ProductID" w:val="1,2 ha"/>
        </w:smartTagPr>
        <w:r w:rsidRPr="00DF5A4A">
          <w:rPr>
            <w:rFonts w:ascii="Arial" w:hAnsi="Arial" w:cs="Arial"/>
            <w:sz w:val="24"/>
            <w:szCs w:val="24"/>
          </w:rPr>
          <w:t>1,2 ha</w:t>
        </w:r>
      </w:smartTag>
      <w:r w:rsidRPr="00DF5A4A">
        <w:rPr>
          <w:rFonts w:ascii="Arial" w:hAnsi="Arial" w:cs="Arial"/>
          <w:sz w:val="24"/>
          <w:szCs w:val="24"/>
        </w:rPr>
        <w:t>. Aceste măsuri au avut menirea de a stopa tăierile abuzive şi deteriorarea vegetaţiei ierboase şi forestiere prin păşunatul ovinelor de către locuitorii cartierelor din vecinătate.</w:t>
      </w:r>
    </w:p>
    <w:p w:rsidR="007F6E99" w:rsidRPr="00DF5A4A" w:rsidRDefault="007F6E99" w:rsidP="007F6E99">
      <w:pPr>
        <w:spacing w:after="0" w:line="240" w:lineRule="auto"/>
        <w:ind w:firstLine="360"/>
        <w:jc w:val="both"/>
        <w:rPr>
          <w:rFonts w:ascii="Arial" w:hAnsi="Arial" w:cs="Arial"/>
          <w:sz w:val="24"/>
          <w:szCs w:val="24"/>
        </w:rPr>
      </w:pPr>
      <w:r w:rsidRPr="00DF5A4A">
        <w:rPr>
          <w:rFonts w:ascii="Arial" w:hAnsi="Arial" w:cs="Arial"/>
          <w:sz w:val="24"/>
          <w:szCs w:val="24"/>
        </w:rPr>
        <w:t>De asemenea s-au făcut amenajări de eliminare a excesului de umiditate care afecta o importantă suprafaţă a parcului determinând băltiri şi instalarea vegetaţiei specifice de baltă (stuf în special), iar pe de altă parte punea în pericol stabilitatea liniei de tramvai ce traversează parcul.</w:t>
      </w:r>
    </w:p>
    <w:p w:rsidR="007F6E99" w:rsidRPr="00DF5A4A" w:rsidRDefault="007F6E99" w:rsidP="007F6E99">
      <w:pPr>
        <w:spacing w:after="0" w:line="240" w:lineRule="auto"/>
        <w:ind w:firstLine="360"/>
        <w:jc w:val="both"/>
        <w:rPr>
          <w:rFonts w:ascii="Arial" w:hAnsi="Arial" w:cs="Arial"/>
          <w:sz w:val="24"/>
          <w:szCs w:val="24"/>
        </w:rPr>
      </w:pPr>
      <w:r w:rsidRPr="00DF5A4A">
        <w:rPr>
          <w:rFonts w:ascii="Arial" w:hAnsi="Arial" w:cs="Arial"/>
          <w:sz w:val="24"/>
          <w:szCs w:val="24"/>
        </w:rPr>
        <w:t xml:space="preserve">Prin suprafaţa şi diversitatea arhitecturii peisagere, Grădina Publică (4,17 ha), Grădina zoologică (4,55 ha) şi zona verde de pe Faleza Dunării (7,97ha)  şi Esplanada </w:t>
      </w:r>
      <w:r w:rsidRPr="00DF5A4A">
        <w:rPr>
          <w:rFonts w:ascii="Arial" w:hAnsi="Arial" w:cs="Arial"/>
          <w:sz w:val="24"/>
          <w:szCs w:val="24"/>
          <w:lang w:val="es-ES"/>
        </w:rPr>
        <w:t>Dunării</w:t>
      </w:r>
      <w:r w:rsidRPr="00DF5A4A">
        <w:rPr>
          <w:rFonts w:ascii="Arial" w:hAnsi="Arial" w:cs="Arial"/>
          <w:sz w:val="24"/>
          <w:szCs w:val="24"/>
        </w:rPr>
        <w:t xml:space="preserve"> (1,64ha) pot fi de asemenea incluse în categoria parcurilor. </w:t>
      </w:r>
    </w:p>
    <w:p w:rsidR="007F6E99" w:rsidRPr="00DF5A4A" w:rsidRDefault="007F6E99" w:rsidP="007F6E99">
      <w:pPr>
        <w:pStyle w:val="BodyText"/>
        <w:spacing w:after="0" w:line="240" w:lineRule="auto"/>
        <w:ind w:firstLine="360"/>
        <w:jc w:val="both"/>
        <w:rPr>
          <w:rFonts w:ascii="Arial" w:hAnsi="Arial" w:cs="Arial"/>
          <w:sz w:val="24"/>
          <w:szCs w:val="24"/>
        </w:rPr>
      </w:pPr>
      <w:r w:rsidRPr="00DF5A4A">
        <w:rPr>
          <w:rFonts w:ascii="Arial" w:hAnsi="Arial" w:cs="Arial"/>
          <w:sz w:val="24"/>
          <w:szCs w:val="24"/>
        </w:rPr>
        <w:t xml:space="preserve">Staţiunea Lacu Sărat, amplasată la cca. </w:t>
      </w:r>
      <w:smartTag w:uri="urn:schemas-microsoft-com:office:smarttags" w:element="metricconverter">
        <w:smartTagPr>
          <w:attr w:name="ProductID" w:val="7 km"/>
        </w:smartTagPr>
        <w:r w:rsidRPr="00DF5A4A">
          <w:rPr>
            <w:rFonts w:ascii="Arial" w:hAnsi="Arial" w:cs="Arial"/>
            <w:sz w:val="24"/>
            <w:szCs w:val="24"/>
          </w:rPr>
          <w:t>7 km</w:t>
        </w:r>
      </w:smartTag>
      <w:r w:rsidRPr="00DF5A4A">
        <w:rPr>
          <w:rFonts w:ascii="Arial" w:hAnsi="Arial" w:cs="Arial"/>
          <w:sz w:val="24"/>
          <w:szCs w:val="24"/>
        </w:rPr>
        <w:t xml:space="preserve"> de municipiul Brăila, cu o suprafaţă de </w:t>
      </w:r>
      <w:smartTag w:uri="urn:schemas-microsoft-com:office:smarttags" w:element="metricconverter">
        <w:smartTagPr>
          <w:attr w:name="ProductID" w:val="33,85 ha"/>
        </w:smartTagPr>
        <w:r w:rsidRPr="00DF5A4A">
          <w:rPr>
            <w:rFonts w:ascii="Arial" w:hAnsi="Arial" w:cs="Arial"/>
            <w:sz w:val="24"/>
            <w:szCs w:val="24"/>
          </w:rPr>
          <w:t>33,85 ha</w:t>
        </w:r>
      </w:smartTag>
      <w:r w:rsidRPr="00DF5A4A">
        <w:rPr>
          <w:rFonts w:ascii="Arial" w:hAnsi="Arial" w:cs="Arial"/>
          <w:sz w:val="24"/>
          <w:szCs w:val="24"/>
        </w:rPr>
        <w:t xml:space="preserve"> este foarte frecventată de către populaţia brăileană mai ales pe parcursul sezonului de vară.Municipiul beneficiază şi de plantaţiile din apropierea limitei teritorial administrativ: Pădurea Stejarul şi lizierele din zona dig mal. </w:t>
      </w:r>
    </w:p>
    <w:p w:rsidR="007F6E99" w:rsidRPr="00DF5A4A" w:rsidRDefault="007F6E99" w:rsidP="007F6E99">
      <w:pPr>
        <w:pStyle w:val="BodyText"/>
        <w:spacing w:after="0" w:line="240" w:lineRule="auto"/>
        <w:ind w:firstLine="360"/>
        <w:jc w:val="both"/>
        <w:rPr>
          <w:rFonts w:ascii="Arial" w:hAnsi="Arial" w:cs="Arial"/>
          <w:bCs/>
          <w:sz w:val="24"/>
          <w:szCs w:val="24"/>
        </w:rPr>
      </w:pPr>
      <w:r w:rsidRPr="00DF5A4A">
        <w:rPr>
          <w:rFonts w:ascii="Arial" w:hAnsi="Arial" w:cs="Arial"/>
          <w:bCs/>
          <w:sz w:val="24"/>
          <w:szCs w:val="24"/>
        </w:rPr>
        <w:t>În oraşele Ianca şi Însurăţei au fost amenajate parcuri, dar acestea au suprafaţă mică (</w:t>
      </w:r>
      <w:smartTag w:uri="urn:schemas-microsoft-com:office:smarttags" w:element="metricconverter">
        <w:smartTagPr>
          <w:attr w:name="ProductID" w:val="2,56 ha"/>
        </w:smartTagPr>
        <w:r w:rsidRPr="00DF5A4A">
          <w:rPr>
            <w:rFonts w:ascii="Arial" w:hAnsi="Arial" w:cs="Arial"/>
            <w:bCs/>
            <w:sz w:val="24"/>
            <w:szCs w:val="24"/>
          </w:rPr>
          <w:t>2,56 ha</w:t>
        </w:r>
      </w:smartTag>
      <w:r w:rsidRPr="00DF5A4A">
        <w:rPr>
          <w:rFonts w:ascii="Arial" w:hAnsi="Arial" w:cs="Arial"/>
          <w:bCs/>
          <w:sz w:val="24"/>
          <w:szCs w:val="24"/>
        </w:rPr>
        <w:t xml:space="preserve"> parcul din Ianca) şi varietate mică de specii forestiere ornamentale. </w:t>
      </w:r>
    </w:p>
    <w:p w:rsidR="007F6E99" w:rsidRPr="00DF5A4A" w:rsidRDefault="007F6E99" w:rsidP="007F6E99">
      <w:pPr>
        <w:spacing w:after="0" w:line="240" w:lineRule="auto"/>
        <w:ind w:firstLine="360"/>
        <w:jc w:val="both"/>
        <w:rPr>
          <w:rFonts w:ascii="Arial" w:hAnsi="Arial" w:cs="Arial"/>
          <w:sz w:val="24"/>
          <w:szCs w:val="24"/>
        </w:rPr>
      </w:pPr>
      <w:r w:rsidRPr="00DF5A4A">
        <w:rPr>
          <w:rFonts w:ascii="Arial" w:hAnsi="Arial" w:cs="Arial"/>
          <w:sz w:val="24"/>
          <w:szCs w:val="24"/>
        </w:rPr>
        <w:t xml:space="preserve">Pentru extinderea suprafeţei spaţiilor verzi, astfel încât să se acopere deficitul existent, în municipiul Brăila au fost propuse realizarea de perdele de protecţie (pe zonele improprii construcţiilor) şi realizarea de noi aliniamente stradale. </w:t>
      </w:r>
    </w:p>
    <w:p w:rsidR="007F6E99" w:rsidRPr="002E5B6D" w:rsidRDefault="007F6E99" w:rsidP="007F6E99">
      <w:pPr>
        <w:pStyle w:val="BlockText"/>
        <w:ind w:left="0" w:right="0" w:firstLine="737"/>
        <w:rPr>
          <w:rFonts w:ascii="Arial" w:hAnsi="Arial" w:cs="Arial"/>
          <w:sz w:val="24"/>
          <w:szCs w:val="24"/>
          <w:lang w:val="ro-RO"/>
        </w:rPr>
      </w:pPr>
      <w:r w:rsidRPr="002E5B6D">
        <w:rPr>
          <w:rFonts w:ascii="Arial" w:hAnsi="Arial" w:cs="Arial"/>
          <w:sz w:val="24"/>
          <w:szCs w:val="24"/>
          <w:lang w:val="ro-RO"/>
        </w:rPr>
        <w:t>Şi în extravilan s-ar putea extinde spaţiile verzi şi de agrement prin amenajarea Pădurii Stejarul, realizarea unor dotări pentru sporturi nautice în zona “Cărămidăriei” sau amenajarea zonei dig mal aferentă DJ 221A cu spaţii de cazare, de alimentaţie publică şi amenajări pentru pescuit, soluţii care au fost propuse cu ani în urmă, dar care nu au fost implementate.</w:t>
      </w:r>
    </w:p>
    <w:p w:rsidR="007F6E99" w:rsidRPr="00DF5A4A" w:rsidRDefault="007F6E99" w:rsidP="007F6E99">
      <w:pPr>
        <w:spacing w:after="0" w:line="240" w:lineRule="auto"/>
        <w:ind w:firstLine="737"/>
        <w:jc w:val="both"/>
        <w:rPr>
          <w:rFonts w:ascii="Arial" w:hAnsi="Arial" w:cs="Arial"/>
          <w:sz w:val="24"/>
          <w:szCs w:val="24"/>
        </w:rPr>
      </w:pPr>
      <w:r w:rsidRPr="00DF5A4A">
        <w:rPr>
          <w:rFonts w:ascii="Arial" w:hAnsi="Arial" w:cs="Arial"/>
          <w:sz w:val="24"/>
          <w:szCs w:val="24"/>
        </w:rPr>
        <w:t>Pentru prevenirea unor efecte ale schimbărilor climatice cu care  ne confruntăm, pe lângă împăduririle care se fac în fond forestier sau pe terenuri degradate prin reconstrucţie ecologică, trebuie realizate perdele de protecţie precum şi extinderea spaţiilor verzi în mediul urban şi în intravilanul tuturor localităţilor î</w:t>
      </w:r>
      <w:r w:rsidRPr="00DF5A4A">
        <w:rPr>
          <w:rFonts w:ascii="Arial" w:hAnsi="Arial" w:cs="Arial"/>
          <w:sz w:val="24"/>
          <w:szCs w:val="24"/>
          <w:lang w:val="es-ES"/>
        </w:rPr>
        <w:t>n vederea  îndeplinirii  programului privind asigurarea necesarului de suprafeţe de spaţiu verde, conform prevederilor O.U.G. nr. 114/2007</w:t>
      </w:r>
      <w:r w:rsidRPr="00DF5A4A">
        <w:rPr>
          <w:rFonts w:ascii="Arial" w:hAnsi="Arial" w:cs="Arial"/>
          <w:i/>
          <w:sz w:val="24"/>
          <w:szCs w:val="24"/>
        </w:rPr>
        <w:t xml:space="preserve"> pentru modificarea şi completarea OUG.nr.195/2005 privind protecţia mediului</w:t>
      </w:r>
      <w:r w:rsidRPr="00DF5A4A">
        <w:rPr>
          <w:rFonts w:ascii="Arial" w:hAnsi="Arial" w:cs="Arial"/>
          <w:sz w:val="24"/>
          <w:szCs w:val="24"/>
        </w:rPr>
        <w:t>, respectiv atingerea țintei de minimum  26 m</w:t>
      </w:r>
      <w:r w:rsidRPr="00DF5A4A">
        <w:rPr>
          <w:rFonts w:ascii="Arial" w:hAnsi="Arial" w:cs="Arial"/>
          <w:sz w:val="24"/>
          <w:szCs w:val="24"/>
          <w:vertAlign w:val="superscript"/>
        </w:rPr>
        <w:t>2</w:t>
      </w:r>
      <w:r w:rsidRPr="00DF5A4A">
        <w:rPr>
          <w:rFonts w:ascii="Arial" w:hAnsi="Arial" w:cs="Arial"/>
          <w:sz w:val="24"/>
          <w:szCs w:val="24"/>
        </w:rPr>
        <w:t>/locuitor.</w:t>
      </w:r>
    </w:p>
    <w:p w:rsidR="007F6E99" w:rsidRPr="00DF5A4A" w:rsidRDefault="007F6E99" w:rsidP="007F6E99">
      <w:pPr>
        <w:spacing w:after="0" w:line="240" w:lineRule="auto"/>
        <w:jc w:val="both"/>
        <w:rPr>
          <w:rFonts w:ascii="Arial" w:hAnsi="Arial" w:cs="Arial"/>
          <w:sz w:val="24"/>
          <w:szCs w:val="24"/>
        </w:rPr>
      </w:pPr>
      <w:r w:rsidRPr="00DF5A4A">
        <w:rPr>
          <w:rFonts w:ascii="Arial" w:hAnsi="Arial" w:cs="Arial"/>
          <w:sz w:val="24"/>
          <w:szCs w:val="24"/>
        </w:rPr>
        <w:t xml:space="preserve"> </w:t>
      </w:r>
      <w:r w:rsidRPr="00DF5A4A">
        <w:rPr>
          <w:rFonts w:ascii="Arial" w:hAnsi="Arial" w:cs="Arial"/>
          <w:sz w:val="24"/>
          <w:szCs w:val="24"/>
        </w:rPr>
        <w:tab/>
        <w:t xml:space="preserve">De asemenea, la extinderea extravilanului localităţilor autorităţile administraţiei publice locale au obligaţia să asigure 5% pentru amenajarea spaţiilor verzi publice, aşa cum este prevăzut în </w:t>
      </w:r>
      <w:r w:rsidRPr="00DF5A4A">
        <w:rPr>
          <w:rFonts w:ascii="Arial" w:hAnsi="Arial" w:cs="Arial"/>
          <w:i/>
          <w:sz w:val="24"/>
          <w:szCs w:val="24"/>
        </w:rPr>
        <w:t>legea nr.24/2007 privind reglementarea şi administrarea spaţiilor verzi din intravilanul localităţilor</w:t>
      </w:r>
      <w:r w:rsidRPr="00DF5A4A">
        <w:rPr>
          <w:rFonts w:ascii="Arial" w:hAnsi="Arial" w:cs="Arial"/>
          <w:sz w:val="24"/>
          <w:szCs w:val="24"/>
        </w:rPr>
        <w:t>, modificată şi completată cu legea nr. 313/2009.</w:t>
      </w:r>
    </w:p>
    <w:p w:rsidR="007F6E99" w:rsidRPr="008A7F47" w:rsidRDefault="007F6E99" w:rsidP="007F6E99">
      <w:pPr>
        <w:pStyle w:val="Heading4"/>
        <w:tabs>
          <w:tab w:val="num" w:pos="709"/>
          <w:tab w:val="left" w:pos="851"/>
        </w:tabs>
        <w:spacing w:before="0" w:after="0" w:line="276" w:lineRule="auto"/>
        <w:jc w:val="both"/>
        <w:rPr>
          <w:rFonts w:ascii="Arial" w:hAnsi="Arial" w:cs="Arial"/>
          <w:sz w:val="24"/>
          <w:szCs w:val="24"/>
        </w:rPr>
      </w:pPr>
    </w:p>
    <w:p w:rsidR="007F6E99" w:rsidRPr="00594535" w:rsidRDefault="007F6E99" w:rsidP="007F6E99">
      <w:pPr>
        <w:tabs>
          <w:tab w:val="left" w:pos="954"/>
          <w:tab w:val="left" w:pos="2188"/>
        </w:tabs>
        <w:autoSpaceDE w:val="0"/>
        <w:autoSpaceDN w:val="0"/>
        <w:adjustRightInd w:val="0"/>
        <w:jc w:val="both"/>
        <w:rPr>
          <w:rFonts w:ascii="Arial" w:hAnsi="Arial" w:cs="Arial"/>
          <w:b/>
          <w:i/>
          <w:sz w:val="24"/>
          <w:szCs w:val="24"/>
        </w:rPr>
      </w:pPr>
      <w:r w:rsidRPr="00594535">
        <w:rPr>
          <w:rFonts w:ascii="Arial" w:hAnsi="Arial" w:cs="Arial"/>
          <w:b/>
          <w:sz w:val="24"/>
          <w:szCs w:val="24"/>
        </w:rPr>
        <w:t>VIII.1.5.</w:t>
      </w:r>
      <w:r w:rsidRPr="00594535">
        <w:rPr>
          <w:rFonts w:ascii="Arial" w:hAnsi="Arial" w:cs="Arial"/>
          <w:b/>
          <w:i/>
          <w:sz w:val="24"/>
          <w:szCs w:val="24"/>
        </w:rPr>
        <w:t xml:space="preserve"> Schimbările climatice și efectele asupra mediului urban, sănătății și calității vieții</w:t>
      </w:r>
    </w:p>
    <w:p w:rsidR="007F6E99" w:rsidRPr="00594535" w:rsidRDefault="007F6E99" w:rsidP="007F6E99">
      <w:pPr>
        <w:jc w:val="both"/>
        <w:rPr>
          <w:rFonts w:ascii="Arial" w:hAnsi="Arial" w:cs="Arial"/>
          <w:sz w:val="24"/>
          <w:szCs w:val="24"/>
          <w:lang w:val="en-US"/>
        </w:rPr>
      </w:pPr>
      <w:r w:rsidRPr="00594535">
        <w:rPr>
          <w:rFonts w:ascii="Arial" w:hAnsi="Arial" w:cs="Arial"/>
          <w:b/>
          <w:sz w:val="24"/>
          <w:szCs w:val="24"/>
          <w:lang w:val="en-US"/>
        </w:rPr>
        <w:t>Schimbarea vremii – Impact direct şi indirect asupra sănătăţii umane</w:t>
      </w:r>
    </w:p>
    <w:p w:rsidR="007F6E99" w:rsidRPr="00CD1FDC" w:rsidRDefault="007F6E99" w:rsidP="007F6E99">
      <w:pPr>
        <w:jc w:val="both"/>
        <w:rPr>
          <w:rFonts w:ascii="Arial" w:hAnsi="Arial" w:cs="Arial"/>
          <w:sz w:val="24"/>
          <w:szCs w:val="24"/>
          <w:lang w:val="en-US"/>
        </w:rPr>
      </w:pPr>
      <w:r w:rsidRPr="002F161E">
        <w:rPr>
          <w:rFonts w:ascii="Arial" w:hAnsi="Arial" w:cs="Arial"/>
          <w:b/>
          <w:sz w:val="24"/>
          <w:szCs w:val="24"/>
          <w:lang w:val="en-US"/>
        </w:rPr>
        <w:t xml:space="preserve">Tabelul nr.VIII. </w:t>
      </w:r>
      <w:r w:rsidRPr="002F161E">
        <w:rPr>
          <w:rFonts w:ascii="Arial" w:hAnsi="Arial" w:cs="Arial"/>
          <w:b/>
          <w:sz w:val="24"/>
          <w:szCs w:val="24"/>
        </w:rPr>
        <w:t>1.5.-</w:t>
      </w:r>
      <w:r>
        <w:rPr>
          <w:rFonts w:ascii="Arial" w:hAnsi="Arial" w:cs="Arial"/>
          <w:b/>
          <w:sz w:val="24"/>
          <w:szCs w:val="24"/>
        </w:rPr>
        <w:t xml:space="preserve"> </w:t>
      </w:r>
      <w:r w:rsidRPr="002F161E">
        <w:rPr>
          <w:rFonts w:ascii="Arial" w:hAnsi="Arial" w:cs="Arial"/>
          <w:b/>
          <w:sz w:val="24"/>
          <w:szCs w:val="24"/>
        </w:rPr>
        <w:t>1</w:t>
      </w:r>
      <w:r w:rsidRPr="002F161E">
        <w:rPr>
          <w:rFonts w:ascii="Arial" w:hAnsi="Arial" w:cs="Arial"/>
          <w:b/>
          <w:sz w:val="24"/>
          <w:szCs w:val="24"/>
          <w:lang w:val="en-US"/>
        </w:rPr>
        <w:t xml:space="preserve"> </w:t>
      </w:r>
      <w:r w:rsidRPr="00CD1FDC">
        <w:rPr>
          <w:rFonts w:ascii="Arial" w:hAnsi="Arial" w:cs="Arial"/>
          <w:sz w:val="24"/>
          <w:szCs w:val="24"/>
          <w:lang w:val="en-US"/>
        </w:rPr>
        <w:t>C</w:t>
      </w:r>
      <w:r w:rsidRPr="00CD1FDC">
        <w:rPr>
          <w:rFonts w:ascii="Arial" w:hAnsi="Arial" w:cs="Arial"/>
          <w:sz w:val="24"/>
          <w:szCs w:val="24"/>
        </w:rPr>
        <w:t>antități anuale și lunare de</w:t>
      </w:r>
      <w:r w:rsidRPr="00CD1FDC">
        <w:rPr>
          <w:rFonts w:ascii="Arial" w:hAnsi="Arial" w:cs="Arial"/>
          <w:sz w:val="24"/>
          <w:szCs w:val="24"/>
          <w:lang w:val="en-US"/>
        </w:rPr>
        <w:t xml:space="preserve"> precipitaţii (mm) înregistrate la staţia meteorologică  Brăila în perioada 2013 – 2017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54"/>
        <w:gridCol w:w="643"/>
        <w:gridCol w:w="644"/>
        <w:gridCol w:w="644"/>
        <w:gridCol w:w="644"/>
        <w:gridCol w:w="765"/>
        <w:gridCol w:w="644"/>
        <w:gridCol w:w="644"/>
        <w:gridCol w:w="644"/>
        <w:gridCol w:w="644"/>
        <w:gridCol w:w="644"/>
        <w:gridCol w:w="644"/>
        <w:gridCol w:w="765"/>
      </w:tblGrid>
      <w:tr w:rsidR="007F6E99" w:rsidRPr="009A7486" w:rsidTr="004E444C">
        <w:tc>
          <w:tcPr>
            <w:tcW w:w="675" w:type="dxa"/>
            <w:vMerge w:val="restart"/>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An</w:t>
            </w:r>
          </w:p>
        </w:tc>
        <w:tc>
          <w:tcPr>
            <w:tcW w:w="1354" w:type="dxa"/>
            <w:vMerge w:val="restart"/>
            <w:shd w:val="clear" w:color="auto" w:fill="FBD4B4"/>
            <w:vAlign w:val="center"/>
          </w:tcPr>
          <w:p w:rsidR="007F6E99" w:rsidRPr="006A799D" w:rsidRDefault="007F6E99" w:rsidP="004E444C">
            <w:pPr>
              <w:rPr>
                <w:rFonts w:ascii="Arial" w:hAnsi="Arial" w:cs="Arial"/>
                <w:lang w:val="en-US"/>
              </w:rPr>
            </w:pPr>
            <w:r w:rsidRPr="006A799D">
              <w:rPr>
                <w:rFonts w:ascii="Arial" w:hAnsi="Arial" w:cs="Arial"/>
                <w:lang w:val="en-US"/>
              </w:rPr>
              <w:t>Cantitatea medie anuală de precipitaţii (mm)</w:t>
            </w:r>
          </w:p>
        </w:tc>
        <w:tc>
          <w:tcPr>
            <w:tcW w:w="7969" w:type="dxa"/>
            <w:gridSpan w:val="12"/>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Cantitaţi lunare de precipitaţii (mm)</w:t>
            </w:r>
          </w:p>
        </w:tc>
      </w:tr>
      <w:tr w:rsidR="007F6E99" w:rsidRPr="009A7486" w:rsidTr="004E444C">
        <w:trPr>
          <w:trHeight w:val="79"/>
        </w:trPr>
        <w:tc>
          <w:tcPr>
            <w:tcW w:w="675" w:type="dxa"/>
            <w:vMerge/>
            <w:shd w:val="clear" w:color="auto" w:fill="FBD4B4"/>
            <w:vAlign w:val="center"/>
          </w:tcPr>
          <w:p w:rsidR="007F6E99" w:rsidRPr="006A799D" w:rsidRDefault="007F6E99" w:rsidP="004E444C">
            <w:pPr>
              <w:jc w:val="both"/>
              <w:rPr>
                <w:rFonts w:ascii="Arial" w:hAnsi="Arial" w:cs="Arial"/>
                <w:lang w:val="en-US"/>
              </w:rPr>
            </w:pPr>
          </w:p>
        </w:tc>
        <w:tc>
          <w:tcPr>
            <w:tcW w:w="1354" w:type="dxa"/>
            <w:vMerge/>
            <w:shd w:val="clear" w:color="auto" w:fill="FBD4B4"/>
            <w:vAlign w:val="center"/>
          </w:tcPr>
          <w:p w:rsidR="007F6E99" w:rsidRPr="006A799D" w:rsidRDefault="007F6E99" w:rsidP="004E444C">
            <w:pPr>
              <w:jc w:val="both"/>
              <w:rPr>
                <w:rFonts w:ascii="Arial" w:hAnsi="Arial" w:cs="Arial"/>
                <w:lang w:val="en-US"/>
              </w:rPr>
            </w:pPr>
          </w:p>
        </w:tc>
        <w:tc>
          <w:tcPr>
            <w:tcW w:w="643"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ian</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feb</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mar</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apr</w:t>
            </w:r>
          </w:p>
        </w:tc>
        <w:tc>
          <w:tcPr>
            <w:tcW w:w="765"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mai</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iun</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iul</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aug</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sep</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oct</w:t>
            </w:r>
          </w:p>
        </w:tc>
        <w:tc>
          <w:tcPr>
            <w:tcW w:w="644"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noe</w:t>
            </w:r>
          </w:p>
        </w:tc>
        <w:tc>
          <w:tcPr>
            <w:tcW w:w="765" w:type="dxa"/>
            <w:shd w:val="clear" w:color="auto" w:fill="FBD4B4"/>
            <w:vAlign w:val="center"/>
          </w:tcPr>
          <w:p w:rsidR="007F6E99" w:rsidRPr="006A799D" w:rsidRDefault="007F6E99" w:rsidP="004E444C">
            <w:pPr>
              <w:jc w:val="both"/>
              <w:rPr>
                <w:rFonts w:ascii="Arial" w:hAnsi="Arial" w:cs="Arial"/>
                <w:lang w:val="en-US"/>
              </w:rPr>
            </w:pPr>
            <w:r w:rsidRPr="006A799D">
              <w:rPr>
                <w:rFonts w:ascii="Arial" w:hAnsi="Arial" w:cs="Arial"/>
                <w:lang w:val="en-US"/>
              </w:rPr>
              <w:t>dec</w:t>
            </w:r>
          </w:p>
        </w:tc>
      </w:tr>
      <w:tr w:rsidR="007F6E99" w:rsidRPr="009A7486" w:rsidTr="004E444C">
        <w:tc>
          <w:tcPr>
            <w:tcW w:w="67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2013</w:t>
            </w:r>
          </w:p>
        </w:tc>
        <w:tc>
          <w:tcPr>
            <w:tcW w:w="135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491,8</w:t>
            </w:r>
          </w:p>
        </w:tc>
        <w:tc>
          <w:tcPr>
            <w:tcW w:w="643"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66,2</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46,1</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31,3</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16,4</w:t>
            </w:r>
          </w:p>
        </w:tc>
        <w:tc>
          <w:tcPr>
            <w:tcW w:w="76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55,9</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43,7</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48,6</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26,6</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60,4</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74,4</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20,1</w:t>
            </w:r>
          </w:p>
        </w:tc>
        <w:tc>
          <w:tcPr>
            <w:tcW w:w="76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2,1</w:t>
            </w:r>
          </w:p>
        </w:tc>
      </w:tr>
      <w:tr w:rsidR="007F6E99" w:rsidRPr="009A7486" w:rsidTr="004E444C">
        <w:tc>
          <w:tcPr>
            <w:tcW w:w="67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2014</w:t>
            </w:r>
          </w:p>
        </w:tc>
        <w:tc>
          <w:tcPr>
            <w:tcW w:w="135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479,3</w:t>
            </w:r>
          </w:p>
        </w:tc>
        <w:tc>
          <w:tcPr>
            <w:tcW w:w="643"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62,5</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6,1</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40</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43,2</w:t>
            </w:r>
          </w:p>
        </w:tc>
        <w:tc>
          <w:tcPr>
            <w:tcW w:w="76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52,5</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47,8</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27</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16,6</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13</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53,6</w:t>
            </w:r>
          </w:p>
        </w:tc>
        <w:tc>
          <w:tcPr>
            <w:tcW w:w="644"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56,2</w:t>
            </w:r>
          </w:p>
        </w:tc>
        <w:tc>
          <w:tcPr>
            <w:tcW w:w="765" w:type="dxa"/>
            <w:shd w:val="clear" w:color="auto" w:fill="FDE9D9"/>
            <w:vAlign w:val="center"/>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60,8</w:t>
            </w:r>
          </w:p>
        </w:tc>
      </w:tr>
      <w:tr w:rsidR="007F6E99" w:rsidRPr="009A7486" w:rsidTr="004E444C">
        <w:tc>
          <w:tcPr>
            <w:tcW w:w="675" w:type="dxa"/>
            <w:shd w:val="clear" w:color="auto" w:fill="FDE9D9"/>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2015</w:t>
            </w:r>
          </w:p>
        </w:tc>
        <w:tc>
          <w:tcPr>
            <w:tcW w:w="135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525.6</w:t>
            </w:r>
          </w:p>
        </w:tc>
        <w:tc>
          <w:tcPr>
            <w:tcW w:w="643"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27.1</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39.9</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83.0</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27.6</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11.2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63.8</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20.6</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39.2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35.2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87.0</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89.2</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1.8</w:t>
            </w:r>
          </w:p>
        </w:tc>
      </w:tr>
      <w:tr w:rsidR="007F6E99" w:rsidRPr="009A7486" w:rsidTr="004E444C">
        <w:tc>
          <w:tcPr>
            <w:tcW w:w="675" w:type="dxa"/>
            <w:shd w:val="clear" w:color="auto" w:fill="FDE9D9"/>
          </w:tcPr>
          <w:p w:rsidR="007F6E99" w:rsidRPr="006A799D" w:rsidRDefault="007F6E99" w:rsidP="004E444C">
            <w:pPr>
              <w:jc w:val="both"/>
              <w:rPr>
                <w:rFonts w:ascii="Arial" w:hAnsi="Arial" w:cs="Arial"/>
                <w:sz w:val="20"/>
                <w:szCs w:val="20"/>
                <w:lang w:val="en-US"/>
              </w:rPr>
            </w:pPr>
            <w:r w:rsidRPr="006A799D">
              <w:rPr>
                <w:rFonts w:ascii="Arial" w:hAnsi="Arial" w:cs="Arial"/>
                <w:sz w:val="20"/>
                <w:szCs w:val="20"/>
                <w:lang w:val="en-US"/>
              </w:rPr>
              <w:t>2016</w:t>
            </w:r>
          </w:p>
        </w:tc>
        <w:tc>
          <w:tcPr>
            <w:tcW w:w="135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553,7</w:t>
            </w:r>
          </w:p>
        </w:tc>
        <w:tc>
          <w:tcPr>
            <w:tcW w:w="643"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44,2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6,4</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58</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48,4</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46</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85,4</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1,2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48,2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29,2</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127</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56,6</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sidRPr="006A799D">
              <w:rPr>
                <w:rFonts w:ascii="Arial" w:hAnsi="Arial" w:cs="Arial"/>
                <w:sz w:val="20"/>
                <w:szCs w:val="20"/>
              </w:rPr>
              <w:t>3,1</w:t>
            </w:r>
          </w:p>
        </w:tc>
      </w:tr>
      <w:tr w:rsidR="007F6E99" w:rsidRPr="009A7486" w:rsidTr="004E444C">
        <w:tc>
          <w:tcPr>
            <w:tcW w:w="675" w:type="dxa"/>
            <w:shd w:val="clear" w:color="auto" w:fill="FDE9D9"/>
          </w:tcPr>
          <w:p w:rsidR="007F6E99" w:rsidRPr="006A799D" w:rsidRDefault="007F6E99" w:rsidP="004E444C">
            <w:pPr>
              <w:jc w:val="both"/>
              <w:rPr>
                <w:rFonts w:ascii="Arial" w:hAnsi="Arial" w:cs="Arial"/>
                <w:sz w:val="20"/>
                <w:szCs w:val="20"/>
                <w:lang w:val="en-US"/>
              </w:rPr>
            </w:pPr>
            <w:r>
              <w:rPr>
                <w:rFonts w:ascii="Arial" w:hAnsi="Arial" w:cs="Arial"/>
                <w:sz w:val="20"/>
                <w:szCs w:val="20"/>
                <w:lang w:val="en-US"/>
              </w:rPr>
              <w:t>2017</w:t>
            </w:r>
          </w:p>
        </w:tc>
        <w:tc>
          <w:tcPr>
            <w:tcW w:w="135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472,3</w:t>
            </w:r>
          </w:p>
        </w:tc>
        <w:tc>
          <w:tcPr>
            <w:tcW w:w="643"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22,0</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40</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15,6</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73,1</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22,8</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8,9</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125</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1,4</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6,4</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78,8</w:t>
            </w:r>
          </w:p>
        </w:tc>
        <w:tc>
          <w:tcPr>
            <w:tcW w:w="644"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40</w:t>
            </w:r>
          </w:p>
        </w:tc>
        <w:tc>
          <w:tcPr>
            <w:tcW w:w="765" w:type="dxa"/>
            <w:shd w:val="clear" w:color="auto" w:fill="FDE9D9"/>
            <w:vAlign w:val="bottom"/>
          </w:tcPr>
          <w:p w:rsidR="007F6E99" w:rsidRPr="006A799D" w:rsidRDefault="007F6E99" w:rsidP="004E444C">
            <w:pPr>
              <w:jc w:val="both"/>
              <w:rPr>
                <w:rFonts w:ascii="Arial" w:hAnsi="Arial" w:cs="Arial"/>
                <w:sz w:val="20"/>
                <w:szCs w:val="20"/>
              </w:rPr>
            </w:pPr>
            <w:r>
              <w:rPr>
                <w:rFonts w:ascii="Arial" w:hAnsi="Arial" w:cs="Arial"/>
                <w:sz w:val="20"/>
                <w:szCs w:val="20"/>
              </w:rPr>
              <w:t>38,3</w:t>
            </w:r>
          </w:p>
        </w:tc>
      </w:tr>
    </w:tbl>
    <w:p w:rsidR="007F6E99" w:rsidRPr="006A799D" w:rsidRDefault="007F6E99" w:rsidP="007F6E99">
      <w:pPr>
        <w:jc w:val="both"/>
        <w:rPr>
          <w:rFonts w:ascii="Arial" w:hAnsi="Arial" w:cs="Arial"/>
          <w:b/>
          <w:sz w:val="20"/>
          <w:szCs w:val="20"/>
          <w:lang w:val="en-US"/>
        </w:rPr>
      </w:pPr>
      <w:r w:rsidRPr="006A799D">
        <w:rPr>
          <w:rFonts w:ascii="Arial" w:hAnsi="Arial" w:cs="Arial"/>
          <w:b/>
          <w:sz w:val="20"/>
          <w:szCs w:val="20"/>
          <w:lang w:val="en-US"/>
        </w:rPr>
        <w:t>Notă : Date furnizate de către administrația națională de meteorologie</w:t>
      </w:r>
    </w:p>
    <w:p w:rsidR="007F6E99" w:rsidRPr="00594535" w:rsidRDefault="007F6E99" w:rsidP="007F6E99">
      <w:pPr>
        <w:spacing w:after="0" w:line="240" w:lineRule="auto"/>
        <w:jc w:val="both"/>
        <w:rPr>
          <w:rFonts w:ascii="Arial" w:hAnsi="Arial" w:cs="Arial"/>
          <w:sz w:val="24"/>
          <w:szCs w:val="24"/>
        </w:rPr>
      </w:pPr>
      <w:r w:rsidRPr="00CD1FDC">
        <w:rPr>
          <w:rFonts w:ascii="Arial" w:hAnsi="Arial" w:cs="Arial"/>
          <w:b/>
          <w:sz w:val="24"/>
          <w:szCs w:val="24"/>
          <w:lang w:val="en-US"/>
        </w:rPr>
        <w:t xml:space="preserve">Tabelul nr. VIII. </w:t>
      </w:r>
      <w:r w:rsidRPr="00CD1FDC">
        <w:rPr>
          <w:rFonts w:ascii="Arial" w:hAnsi="Arial" w:cs="Arial"/>
          <w:b/>
          <w:sz w:val="24"/>
          <w:szCs w:val="24"/>
        </w:rPr>
        <w:t>1.5.- 2</w:t>
      </w:r>
      <w:r w:rsidRPr="004E720D">
        <w:rPr>
          <w:rFonts w:ascii="Arial" w:hAnsi="Arial" w:cs="Arial"/>
          <w:sz w:val="24"/>
          <w:szCs w:val="24"/>
          <w:lang w:val="en-US"/>
        </w:rPr>
        <w:t xml:space="preserve"> </w:t>
      </w:r>
      <w:r w:rsidRPr="004E720D">
        <w:rPr>
          <w:rFonts w:ascii="Arial" w:hAnsi="Arial" w:cs="Arial"/>
          <w:sz w:val="24"/>
          <w:szCs w:val="24"/>
        </w:rPr>
        <w:t>Temperatura</w:t>
      </w:r>
      <w:r w:rsidRPr="00594535">
        <w:rPr>
          <w:rFonts w:ascii="Arial" w:hAnsi="Arial" w:cs="Arial"/>
          <w:sz w:val="24"/>
          <w:szCs w:val="24"/>
        </w:rPr>
        <w:t xml:space="preserve"> medie multianuală (1975 – 2000) şi temperatura medie anuală a aerului (ºC) din perioada 201</w:t>
      </w:r>
      <w:r>
        <w:rPr>
          <w:rFonts w:ascii="Arial" w:hAnsi="Arial" w:cs="Arial"/>
          <w:sz w:val="24"/>
          <w:szCs w:val="24"/>
        </w:rPr>
        <w:t>3</w:t>
      </w:r>
      <w:r w:rsidRPr="00594535">
        <w:rPr>
          <w:rFonts w:ascii="Arial" w:hAnsi="Arial" w:cs="Arial"/>
          <w:sz w:val="24"/>
          <w:szCs w:val="24"/>
        </w:rPr>
        <w:t xml:space="preserve"> – 201</w:t>
      </w:r>
      <w:r>
        <w:rPr>
          <w:rFonts w:ascii="Arial" w:hAnsi="Arial" w:cs="Arial"/>
          <w:sz w:val="24"/>
          <w:szCs w:val="24"/>
        </w:rPr>
        <w:t>7</w:t>
      </w:r>
      <w:r w:rsidRPr="00594535">
        <w:rPr>
          <w:rFonts w:ascii="Arial" w:hAnsi="Arial" w:cs="Arial"/>
          <w:sz w:val="24"/>
          <w:szCs w:val="24"/>
        </w:rPr>
        <w:t xml:space="preserve">, de la staţia meteorologică  </w:t>
      </w:r>
      <w:r>
        <w:rPr>
          <w:rFonts w:ascii="Arial" w:hAnsi="Arial" w:cs="Arial"/>
          <w:sz w:val="24"/>
          <w:szCs w:val="24"/>
        </w:rPr>
        <w:t>Brăila</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0"/>
        <w:gridCol w:w="850"/>
        <w:gridCol w:w="850"/>
        <w:gridCol w:w="850"/>
      </w:tblGrid>
      <w:tr w:rsidR="007F6E99" w:rsidRPr="0090130C" w:rsidTr="004E444C">
        <w:trPr>
          <w:jc w:val="center"/>
        </w:trPr>
        <w:tc>
          <w:tcPr>
            <w:tcW w:w="1079" w:type="dxa"/>
            <w:shd w:val="clear" w:color="auto" w:fill="FDE9D9"/>
            <w:vAlign w:val="center"/>
          </w:tcPr>
          <w:p w:rsidR="007F6E99" w:rsidRPr="0090130C" w:rsidRDefault="007F6E99" w:rsidP="004E444C">
            <w:pPr>
              <w:spacing w:after="0"/>
              <w:jc w:val="both"/>
              <w:rPr>
                <w:rFonts w:ascii="Arial" w:hAnsi="Arial" w:cs="Arial"/>
                <w:b/>
                <w:sz w:val="24"/>
                <w:szCs w:val="24"/>
              </w:rPr>
            </w:pPr>
          </w:p>
        </w:tc>
        <w:tc>
          <w:tcPr>
            <w:tcW w:w="1361" w:type="dxa"/>
            <w:shd w:val="clear" w:color="auto" w:fill="FDE9D9"/>
            <w:vAlign w:val="center"/>
          </w:tcPr>
          <w:p w:rsidR="007F6E99" w:rsidRPr="0090130C" w:rsidRDefault="007F6E99" w:rsidP="004E444C">
            <w:pPr>
              <w:spacing w:after="0" w:line="240" w:lineRule="auto"/>
              <w:jc w:val="both"/>
              <w:rPr>
                <w:rFonts w:ascii="Arial" w:hAnsi="Arial" w:cs="Arial"/>
                <w:b/>
                <w:sz w:val="24"/>
                <w:szCs w:val="24"/>
              </w:rPr>
            </w:pPr>
            <w:r w:rsidRPr="0090130C">
              <w:rPr>
                <w:rFonts w:ascii="Arial" w:hAnsi="Arial" w:cs="Arial"/>
                <w:b/>
                <w:sz w:val="24"/>
                <w:szCs w:val="24"/>
              </w:rPr>
              <w:t xml:space="preserve">Media </w:t>
            </w:r>
          </w:p>
          <w:p w:rsidR="007F6E99" w:rsidRPr="0090130C" w:rsidRDefault="007F6E99" w:rsidP="004E444C">
            <w:pPr>
              <w:spacing w:after="0" w:line="240" w:lineRule="auto"/>
              <w:jc w:val="both"/>
              <w:rPr>
                <w:rFonts w:ascii="Arial" w:hAnsi="Arial" w:cs="Arial"/>
                <w:b/>
                <w:sz w:val="24"/>
                <w:szCs w:val="24"/>
              </w:rPr>
            </w:pPr>
            <w:r w:rsidRPr="0090130C">
              <w:rPr>
                <w:rFonts w:ascii="Arial" w:hAnsi="Arial" w:cs="Arial"/>
                <w:b/>
                <w:sz w:val="24"/>
                <w:szCs w:val="24"/>
              </w:rPr>
              <w:t>1975-2000</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2013</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2014</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2015</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2016</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2017</w:t>
            </w:r>
          </w:p>
        </w:tc>
      </w:tr>
      <w:tr w:rsidR="007F6E99" w:rsidRPr="0090130C" w:rsidTr="004E444C">
        <w:trPr>
          <w:trHeight w:hRule="exact" w:val="397"/>
          <w:jc w:val="center"/>
        </w:trPr>
        <w:tc>
          <w:tcPr>
            <w:tcW w:w="1079" w:type="dxa"/>
            <w:shd w:val="clear" w:color="auto" w:fill="FDE9D9"/>
            <w:vAlign w:val="center"/>
          </w:tcPr>
          <w:p w:rsidR="007F6E99" w:rsidRPr="0090130C" w:rsidRDefault="007F6E99" w:rsidP="004E444C">
            <w:pPr>
              <w:spacing w:after="0"/>
              <w:jc w:val="both"/>
              <w:rPr>
                <w:rFonts w:ascii="Arial" w:hAnsi="Arial" w:cs="Arial"/>
                <w:sz w:val="24"/>
                <w:szCs w:val="24"/>
              </w:rPr>
            </w:pPr>
            <w:r>
              <w:rPr>
                <w:rFonts w:ascii="Arial" w:hAnsi="Arial" w:cs="Arial"/>
                <w:sz w:val="24"/>
                <w:szCs w:val="24"/>
              </w:rPr>
              <w:t>Brăila</w:t>
            </w:r>
          </w:p>
        </w:tc>
        <w:tc>
          <w:tcPr>
            <w:tcW w:w="1361" w:type="dxa"/>
            <w:shd w:val="clear" w:color="auto" w:fill="FDE9D9"/>
            <w:vAlign w:val="center"/>
          </w:tcPr>
          <w:p w:rsidR="007F6E99" w:rsidRPr="0090130C" w:rsidRDefault="007F6E99" w:rsidP="004E444C">
            <w:pPr>
              <w:jc w:val="both"/>
              <w:rPr>
                <w:rFonts w:ascii="Arial" w:hAnsi="Arial" w:cs="Arial"/>
                <w:sz w:val="24"/>
                <w:szCs w:val="24"/>
              </w:rPr>
            </w:pPr>
            <w:r w:rsidRPr="0090130C">
              <w:rPr>
                <w:rFonts w:ascii="Arial" w:hAnsi="Arial" w:cs="Arial"/>
                <w:sz w:val="24"/>
                <w:szCs w:val="24"/>
              </w:rPr>
              <w:t>10.7</w:t>
            </w:r>
          </w:p>
        </w:tc>
        <w:tc>
          <w:tcPr>
            <w:tcW w:w="850" w:type="dxa"/>
            <w:shd w:val="clear" w:color="auto" w:fill="FDE9D9"/>
            <w:vAlign w:val="center"/>
          </w:tcPr>
          <w:p w:rsidR="007F6E99" w:rsidRPr="0090130C" w:rsidRDefault="007F6E99" w:rsidP="004E444C">
            <w:pPr>
              <w:jc w:val="both"/>
              <w:rPr>
                <w:rFonts w:ascii="Arial" w:hAnsi="Arial" w:cs="Arial"/>
                <w:sz w:val="24"/>
                <w:szCs w:val="24"/>
              </w:rPr>
            </w:pPr>
            <w:r w:rsidRPr="0090130C">
              <w:rPr>
                <w:rFonts w:ascii="Arial" w:hAnsi="Arial" w:cs="Arial"/>
                <w:sz w:val="24"/>
                <w:szCs w:val="24"/>
              </w:rPr>
              <w:t>-</w:t>
            </w:r>
          </w:p>
        </w:tc>
        <w:tc>
          <w:tcPr>
            <w:tcW w:w="850" w:type="dxa"/>
            <w:shd w:val="clear" w:color="auto" w:fill="FDE9D9"/>
          </w:tcPr>
          <w:p w:rsidR="007F6E99" w:rsidRPr="0090130C" w:rsidRDefault="007F6E99" w:rsidP="004E444C">
            <w:pPr>
              <w:jc w:val="both"/>
              <w:rPr>
                <w:rFonts w:ascii="Arial" w:hAnsi="Arial" w:cs="Arial"/>
                <w:sz w:val="24"/>
                <w:szCs w:val="24"/>
              </w:rPr>
            </w:pPr>
            <w:r w:rsidRPr="0090130C">
              <w:rPr>
                <w:rFonts w:ascii="Arial" w:hAnsi="Arial" w:cs="Arial"/>
                <w:sz w:val="24"/>
                <w:szCs w:val="24"/>
              </w:rPr>
              <w:t>-</w:t>
            </w:r>
          </w:p>
        </w:tc>
        <w:tc>
          <w:tcPr>
            <w:tcW w:w="850" w:type="dxa"/>
            <w:shd w:val="clear" w:color="auto" w:fill="FDE9D9"/>
          </w:tcPr>
          <w:p w:rsidR="007F6E99" w:rsidRPr="0090130C" w:rsidRDefault="007F6E99" w:rsidP="004E444C">
            <w:pPr>
              <w:jc w:val="both"/>
              <w:rPr>
                <w:rFonts w:ascii="Arial" w:hAnsi="Arial" w:cs="Arial"/>
                <w:sz w:val="24"/>
                <w:szCs w:val="24"/>
              </w:rPr>
            </w:pPr>
            <w:r w:rsidRPr="0090130C">
              <w:rPr>
                <w:rFonts w:ascii="Arial" w:hAnsi="Arial" w:cs="Arial"/>
                <w:sz w:val="24"/>
                <w:szCs w:val="24"/>
              </w:rPr>
              <w:t>12.3</w:t>
            </w:r>
          </w:p>
        </w:tc>
        <w:tc>
          <w:tcPr>
            <w:tcW w:w="850" w:type="dxa"/>
            <w:shd w:val="clear" w:color="auto" w:fill="FDE9D9"/>
          </w:tcPr>
          <w:p w:rsidR="007F6E99" w:rsidRPr="0090130C" w:rsidRDefault="007F6E99" w:rsidP="004E444C">
            <w:pPr>
              <w:jc w:val="both"/>
              <w:rPr>
                <w:rFonts w:ascii="Arial" w:hAnsi="Arial" w:cs="Arial"/>
                <w:sz w:val="24"/>
                <w:szCs w:val="24"/>
              </w:rPr>
            </w:pPr>
            <w:r>
              <w:rPr>
                <w:rFonts w:ascii="Arial" w:hAnsi="Arial" w:cs="Arial"/>
                <w:sz w:val="24"/>
                <w:szCs w:val="24"/>
              </w:rPr>
              <w:t>12,0</w:t>
            </w:r>
          </w:p>
        </w:tc>
        <w:tc>
          <w:tcPr>
            <w:tcW w:w="850" w:type="dxa"/>
            <w:shd w:val="clear" w:color="auto" w:fill="FDE9D9"/>
            <w:vAlign w:val="center"/>
          </w:tcPr>
          <w:p w:rsidR="007F6E99" w:rsidRPr="0090130C" w:rsidRDefault="007F6E99" w:rsidP="004E444C">
            <w:pPr>
              <w:jc w:val="both"/>
              <w:rPr>
                <w:rFonts w:ascii="Arial" w:hAnsi="Arial" w:cs="Arial"/>
                <w:sz w:val="24"/>
                <w:szCs w:val="24"/>
              </w:rPr>
            </w:pPr>
            <w:r>
              <w:rPr>
                <w:rFonts w:ascii="Arial" w:hAnsi="Arial" w:cs="Arial"/>
                <w:sz w:val="24"/>
                <w:szCs w:val="24"/>
              </w:rPr>
              <w:t>11,4</w:t>
            </w:r>
          </w:p>
        </w:tc>
      </w:tr>
    </w:tbl>
    <w:p w:rsidR="007F6E99" w:rsidRPr="00285A6D" w:rsidRDefault="007F6E99" w:rsidP="007F6E99">
      <w:pPr>
        <w:jc w:val="both"/>
        <w:rPr>
          <w:rFonts w:ascii="Arial" w:hAnsi="Arial" w:cs="Arial"/>
          <w:i/>
          <w:sz w:val="20"/>
          <w:szCs w:val="20"/>
        </w:rPr>
      </w:pPr>
      <w:r w:rsidRPr="00285A6D">
        <w:rPr>
          <w:rFonts w:ascii="Arial" w:hAnsi="Arial" w:cs="Arial"/>
          <w:b/>
          <w:i/>
          <w:sz w:val="20"/>
          <w:szCs w:val="20"/>
        </w:rPr>
        <w:t xml:space="preserve">Notă </w:t>
      </w:r>
      <w:r>
        <w:rPr>
          <w:rFonts w:ascii="Arial" w:hAnsi="Arial" w:cs="Arial"/>
          <w:b/>
          <w:i/>
          <w:sz w:val="20"/>
          <w:szCs w:val="20"/>
        </w:rPr>
        <w:t>ANM</w:t>
      </w:r>
      <w:r w:rsidRPr="00285A6D">
        <w:rPr>
          <w:rFonts w:ascii="Arial" w:hAnsi="Arial" w:cs="Arial"/>
          <w:b/>
          <w:i/>
          <w:sz w:val="20"/>
          <w:szCs w:val="20"/>
        </w:rPr>
        <w:t xml:space="preserve"> </w:t>
      </w:r>
      <w:r w:rsidRPr="00285A6D">
        <w:rPr>
          <w:rFonts w:ascii="Arial" w:hAnsi="Arial" w:cs="Arial"/>
          <w:i/>
          <w:sz w:val="20"/>
          <w:szCs w:val="20"/>
        </w:rPr>
        <w:t>: pentru anul 201</w:t>
      </w:r>
      <w:r>
        <w:rPr>
          <w:rFonts w:ascii="Arial" w:hAnsi="Arial" w:cs="Arial"/>
          <w:i/>
          <w:sz w:val="20"/>
          <w:szCs w:val="20"/>
        </w:rPr>
        <w:t>3</w:t>
      </w:r>
      <w:r w:rsidRPr="00CD1FDC">
        <w:rPr>
          <w:rFonts w:ascii="Arial" w:hAnsi="Arial" w:cs="Arial"/>
          <w:i/>
          <w:sz w:val="20"/>
          <w:szCs w:val="20"/>
        </w:rPr>
        <w:t xml:space="preserve"> </w:t>
      </w:r>
      <w:r w:rsidRPr="00285A6D">
        <w:rPr>
          <w:rFonts w:ascii="Arial" w:hAnsi="Arial" w:cs="Arial"/>
          <w:i/>
          <w:sz w:val="20"/>
          <w:szCs w:val="20"/>
        </w:rPr>
        <w:t>respectiv pentru anul 201</w:t>
      </w:r>
      <w:r>
        <w:rPr>
          <w:rFonts w:ascii="Arial" w:hAnsi="Arial" w:cs="Arial"/>
          <w:i/>
          <w:sz w:val="20"/>
          <w:szCs w:val="20"/>
        </w:rPr>
        <w:t>4</w:t>
      </w:r>
      <w:r w:rsidRPr="00285A6D">
        <w:rPr>
          <w:rFonts w:ascii="Arial" w:hAnsi="Arial" w:cs="Arial"/>
          <w:i/>
          <w:sz w:val="20"/>
          <w:szCs w:val="20"/>
        </w:rPr>
        <w:t xml:space="preserve">  nu se poate calcula temperatura medie anuală a aerului deoarece lipsesc înregistrări</w:t>
      </w:r>
      <w:r>
        <w:rPr>
          <w:rFonts w:ascii="Arial" w:hAnsi="Arial" w:cs="Arial"/>
          <w:i/>
          <w:sz w:val="20"/>
          <w:szCs w:val="20"/>
        </w:rPr>
        <w:t xml:space="preserve"> în anumite luni</w:t>
      </w:r>
      <w:r w:rsidRPr="00285A6D">
        <w:rPr>
          <w:rFonts w:ascii="Arial" w:hAnsi="Arial" w:cs="Arial"/>
          <w:i/>
          <w:sz w:val="20"/>
          <w:szCs w:val="20"/>
        </w:rPr>
        <w:t xml:space="preserve"> </w:t>
      </w:r>
      <w:r>
        <w:rPr>
          <w:rFonts w:ascii="Arial" w:hAnsi="Arial" w:cs="Arial"/>
          <w:i/>
          <w:sz w:val="20"/>
          <w:szCs w:val="20"/>
        </w:rPr>
        <w:t>.</w:t>
      </w:r>
    </w:p>
    <w:p w:rsidR="007F6E99" w:rsidRPr="00594535" w:rsidRDefault="007F6E99" w:rsidP="007F6E99">
      <w:pPr>
        <w:spacing w:after="0" w:line="240" w:lineRule="auto"/>
        <w:jc w:val="both"/>
        <w:rPr>
          <w:rFonts w:ascii="Arial" w:hAnsi="Arial" w:cs="Arial"/>
          <w:sz w:val="24"/>
          <w:szCs w:val="24"/>
        </w:rPr>
      </w:pPr>
      <w:r w:rsidRPr="00D77603">
        <w:rPr>
          <w:rFonts w:ascii="Arial" w:hAnsi="Arial" w:cs="Arial"/>
          <w:b/>
          <w:sz w:val="24"/>
          <w:szCs w:val="24"/>
          <w:lang w:val="en-US"/>
        </w:rPr>
        <w:t xml:space="preserve">Tabelul  nr. VIII. </w:t>
      </w:r>
      <w:r w:rsidRPr="00D77603">
        <w:rPr>
          <w:rFonts w:ascii="Arial" w:hAnsi="Arial" w:cs="Arial"/>
          <w:b/>
          <w:sz w:val="24"/>
          <w:szCs w:val="24"/>
        </w:rPr>
        <w:t>1.5.-</w:t>
      </w:r>
      <w:r w:rsidRPr="00D77603">
        <w:rPr>
          <w:rFonts w:ascii="Arial" w:hAnsi="Arial" w:cs="Arial"/>
          <w:b/>
          <w:sz w:val="24"/>
          <w:szCs w:val="24"/>
          <w:lang w:val="en-US"/>
        </w:rPr>
        <w:t xml:space="preserve"> </w:t>
      </w:r>
      <w:r w:rsidRPr="00D77603">
        <w:rPr>
          <w:rFonts w:ascii="Arial" w:hAnsi="Arial" w:cs="Arial"/>
          <w:b/>
          <w:sz w:val="24"/>
          <w:szCs w:val="24"/>
        </w:rPr>
        <w:t>3</w:t>
      </w:r>
      <w:r w:rsidRPr="00594535">
        <w:rPr>
          <w:rFonts w:ascii="Arial" w:hAnsi="Arial" w:cs="Arial"/>
          <w:sz w:val="24"/>
          <w:szCs w:val="24"/>
        </w:rPr>
        <w:t xml:space="preserve"> Temperatura maximă anuală din perioada 201</w:t>
      </w:r>
      <w:r>
        <w:rPr>
          <w:rFonts w:ascii="Arial" w:hAnsi="Arial" w:cs="Arial"/>
          <w:sz w:val="24"/>
          <w:szCs w:val="24"/>
        </w:rPr>
        <w:t>3</w:t>
      </w:r>
      <w:r w:rsidRPr="00594535">
        <w:rPr>
          <w:rFonts w:ascii="Arial" w:hAnsi="Arial" w:cs="Arial"/>
          <w:sz w:val="24"/>
          <w:szCs w:val="24"/>
        </w:rPr>
        <w:t xml:space="preserve"> – 201</w:t>
      </w:r>
      <w:r>
        <w:rPr>
          <w:rFonts w:ascii="Arial" w:hAnsi="Arial" w:cs="Arial"/>
          <w:sz w:val="24"/>
          <w:szCs w:val="24"/>
        </w:rPr>
        <w:t>7</w:t>
      </w:r>
      <w:r w:rsidRPr="00594535">
        <w:rPr>
          <w:rFonts w:ascii="Arial" w:hAnsi="Arial" w:cs="Arial"/>
          <w:sz w:val="24"/>
          <w:szCs w:val="24"/>
        </w:rPr>
        <w:t xml:space="preserve">, temperatura maximă absolută a aerului (ºC), respectiv data de producere a acestora, de la staţia meteorologică </w:t>
      </w:r>
      <w:r>
        <w:rPr>
          <w:rFonts w:ascii="Arial" w:hAnsi="Arial" w:cs="Arial"/>
          <w:sz w:val="24"/>
          <w:szCs w:val="24"/>
        </w:rPr>
        <w:t>Brăila</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0"/>
        <w:gridCol w:w="850"/>
        <w:gridCol w:w="850"/>
        <w:gridCol w:w="850"/>
      </w:tblGrid>
      <w:tr w:rsidR="007F6E99" w:rsidRPr="0090130C" w:rsidTr="004E444C">
        <w:trPr>
          <w:jc w:val="center"/>
        </w:trPr>
        <w:tc>
          <w:tcPr>
            <w:tcW w:w="1079" w:type="dxa"/>
            <w:shd w:val="clear" w:color="auto" w:fill="FDE9D9"/>
            <w:vAlign w:val="center"/>
          </w:tcPr>
          <w:p w:rsidR="007F6E99" w:rsidRPr="0090130C" w:rsidRDefault="007F6E99" w:rsidP="004E444C">
            <w:pPr>
              <w:spacing w:after="0"/>
              <w:jc w:val="both"/>
              <w:rPr>
                <w:rFonts w:ascii="Arial" w:hAnsi="Arial" w:cs="Arial"/>
                <w:sz w:val="24"/>
                <w:szCs w:val="24"/>
              </w:rPr>
            </w:pPr>
          </w:p>
        </w:tc>
        <w:tc>
          <w:tcPr>
            <w:tcW w:w="1361" w:type="dxa"/>
            <w:shd w:val="clear" w:color="auto" w:fill="FDE9D9"/>
            <w:vAlign w:val="center"/>
          </w:tcPr>
          <w:p w:rsidR="007F6E99" w:rsidRPr="0090130C" w:rsidRDefault="007F6E99" w:rsidP="004E444C">
            <w:pPr>
              <w:spacing w:after="0" w:line="240" w:lineRule="auto"/>
              <w:jc w:val="both"/>
              <w:rPr>
                <w:rFonts w:ascii="Arial" w:hAnsi="Arial" w:cs="Arial"/>
                <w:b/>
                <w:sz w:val="24"/>
                <w:szCs w:val="24"/>
              </w:rPr>
            </w:pPr>
            <w:r w:rsidRPr="0090130C">
              <w:rPr>
                <w:rFonts w:ascii="Arial" w:hAnsi="Arial" w:cs="Arial"/>
                <w:b/>
                <w:sz w:val="24"/>
                <w:szCs w:val="24"/>
              </w:rPr>
              <w:t>Maxima absolută</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2013</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2014</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2015</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2016</w:t>
            </w:r>
          </w:p>
        </w:tc>
        <w:tc>
          <w:tcPr>
            <w:tcW w:w="850"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2017</w:t>
            </w:r>
          </w:p>
        </w:tc>
      </w:tr>
      <w:tr w:rsidR="007F6E99" w:rsidRPr="0090130C" w:rsidTr="004E444C">
        <w:trPr>
          <w:trHeight w:hRule="exact" w:val="849"/>
          <w:jc w:val="center"/>
        </w:trPr>
        <w:tc>
          <w:tcPr>
            <w:tcW w:w="1079" w:type="dxa"/>
            <w:shd w:val="clear" w:color="auto" w:fill="FDE9D9"/>
            <w:vAlign w:val="center"/>
          </w:tcPr>
          <w:p w:rsidR="007F6E99" w:rsidRPr="0090130C" w:rsidRDefault="007F6E99" w:rsidP="004E444C">
            <w:pPr>
              <w:jc w:val="both"/>
              <w:rPr>
                <w:rFonts w:ascii="Arial" w:hAnsi="Arial" w:cs="Arial"/>
                <w:sz w:val="24"/>
                <w:szCs w:val="24"/>
              </w:rPr>
            </w:pPr>
            <w:r>
              <w:rPr>
                <w:rFonts w:ascii="Arial" w:hAnsi="Arial" w:cs="Arial"/>
                <w:sz w:val="24"/>
                <w:szCs w:val="24"/>
              </w:rPr>
              <w:t>Brăila</w:t>
            </w:r>
          </w:p>
        </w:tc>
        <w:tc>
          <w:tcPr>
            <w:tcW w:w="1361" w:type="dxa"/>
            <w:shd w:val="clear" w:color="auto" w:fill="FDE9D9"/>
            <w:vAlign w:val="center"/>
          </w:tcPr>
          <w:p w:rsidR="007F6E99" w:rsidRPr="00E73A27" w:rsidRDefault="007F6E99" w:rsidP="004E444C">
            <w:pPr>
              <w:jc w:val="both"/>
              <w:rPr>
                <w:rFonts w:ascii="Arial" w:hAnsi="Arial" w:cs="Arial"/>
                <w:sz w:val="20"/>
                <w:szCs w:val="20"/>
              </w:rPr>
            </w:pPr>
            <w:r w:rsidRPr="00E73A27">
              <w:rPr>
                <w:rFonts w:ascii="Arial" w:hAnsi="Arial" w:cs="Arial"/>
                <w:sz w:val="20"/>
                <w:szCs w:val="20"/>
              </w:rPr>
              <w:t>41.1</w:t>
            </w:r>
          </w:p>
          <w:p w:rsidR="007F6E99" w:rsidRPr="00E73A27" w:rsidRDefault="007F6E99" w:rsidP="004E444C">
            <w:pPr>
              <w:jc w:val="both"/>
              <w:rPr>
                <w:rFonts w:ascii="Arial" w:hAnsi="Arial" w:cs="Arial"/>
                <w:sz w:val="20"/>
                <w:szCs w:val="20"/>
              </w:rPr>
            </w:pPr>
            <w:r w:rsidRPr="00E73A27">
              <w:rPr>
                <w:rFonts w:ascii="Arial" w:hAnsi="Arial" w:cs="Arial"/>
                <w:sz w:val="20"/>
                <w:szCs w:val="20"/>
              </w:rPr>
              <w:t>(23.07.2007)</w:t>
            </w:r>
          </w:p>
        </w:tc>
        <w:tc>
          <w:tcPr>
            <w:tcW w:w="850" w:type="dxa"/>
            <w:shd w:val="clear" w:color="auto" w:fill="FDE9D9"/>
            <w:vAlign w:val="center"/>
          </w:tcPr>
          <w:p w:rsidR="007F6E99" w:rsidRPr="00E73A27" w:rsidRDefault="007F6E99" w:rsidP="004E444C">
            <w:pPr>
              <w:jc w:val="both"/>
              <w:rPr>
                <w:rFonts w:ascii="Arial" w:hAnsi="Arial" w:cs="Arial"/>
                <w:sz w:val="20"/>
                <w:szCs w:val="20"/>
              </w:rPr>
            </w:pPr>
            <w:r w:rsidRPr="00E73A27">
              <w:rPr>
                <w:rFonts w:ascii="Arial" w:hAnsi="Arial" w:cs="Arial"/>
                <w:sz w:val="20"/>
                <w:szCs w:val="20"/>
              </w:rPr>
              <w:t>36.2/</w:t>
            </w:r>
          </w:p>
          <w:p w:rsidR="007F6E99" w:rsidRPr="00E73A27" w:rsidRDefault="007F6E99" w:rsidP="004E444C">
            <w:pPr>
              <w:jc w:val="both"/>
              <w:rPr>
                <w:rFonts w:ascii="Arial" w:hAnsi="Arial" w:cs="Arial"/>
                <w:sz w:val="20"/>
                <w:szCs w:val="20"/>
              </w:rPr>
            </w:pPr>
            <w:r w:rsidRPr="00E73A27">
              <w:rPr>
                <w:rFonts w:ascii="Arial" w:hAnsi="Arial" w:cs="Arial"/>
                <w:sz w:val="20"/>
                <w:szCs w:val="20"/>
              </w:rPr>
              <w:t>30.07</w:t>
            </w:r>
          </w:p>
        </w:tc>
        <w:tc>
          <w:tcPr>
            <w:tcW w:w="850" w:type="dxa"/>
            <w:shd w:val="clear" w:color="auto" w:fill="FDE9D9"/>
            <w:vAlign w:val="center"/>
          </w:tcPr>
          <w:p w:rsidR="007F6E99" w:rsidRPr="00E73A27" w:rsidRDefault="007F6E99" w:rsidP="004E444C">
            <w:pPr>
              <w:jc w:val="both"/>
              <w:rPr>
                <w:rFonts w:ascii="Arial" w:hAnsi="Arial" w:cs="Arial"/>
                <w:sz w:val="20"/>
                <w:szCs w:val="20"/>
              </w:rPr>
            </w:pPr>
            <w:r w:rsidRPr="00E73A27">
              <w:rPr>
                <w:rFonts w:ascii="Arial" w:hAnsi="Arial" w:cs="Arial"/>
                <w:sz w:val="20"/>
                <w:szCs w:val="20"/>
              </w:rPr>
              <w:t>36.6</w:t>
            </w:r>
            <w:r>
              <w:rPr>
                <w:rFonts w:ascii="Arial" w:hAnsi="Arial" w:cs="Arial"/>
                <w:sz w:val="20"/>
                <w:szCs w:val="20"/>
              </w:rPr>
              <w:t>/</w:t>
            </w:r>
          </w:p>
          <w:p w:rsidR="007F6E99" w:rsidRPr="00E73A27" w:rsidRDefault="007F6E99" w:rsidP="004E444C">
            <w:pPr>
              <w:jc w:val="both"/>
              <w:rPr>
                <w:rFonts w:ascii="Arial" w:hAnsi="Arial" w:cs="Arial"/>
                <w:sz w:val="20"/>
                <w:szCs w:val="20"/>
              </w:rPr>
            </w:pPr>
            <w:r w:rsidRPr="00E73A27">
              <w:rPr>
                <w:rFonts w:ascii="Arial" w:hAnsi="Arial" w:cs="Arial"/>
                <w:sz w:val="20"/>
                <w:szCs w:val="20"/>
              </w:rPr>
              <w:t>13.08</w:t>
            </w:r>
          </w:p>
        </w:tc>
        <w:tc>
          <w:tcPr>
            <w:tcW w:w="850" w:type="dxa"/>
            <w:shd w:val="clear" w:color="auto" w:fill="FDE9D9"/>
            <w:vAlign w:val="center"/>
          </w:tcPr>
          <w:p w:rsidR="007F6E99" w:rsidRPr="00E73A27" w:rsidRDefault="007F6E99" w:rsidP="004E444C">
            <w:pPr>
              <w:jc w:val="both"/>
              <w:rPr>
                <w:rFonts w:ascii="Arial" w:hAnsi="Arial" w:cs="Arial"/>
                <w:sz w:val="20"/>
                <w:szCs w:val="20"/>
              </w:rPr>
            </w:pPr>
            <w:r w:rsidRPr="00E73A27">
              <w:rPr>
                <w:rFonts w:ascii="Arial" w:hAnsi="Arial" w:cs="Arial"/>
                <w:sz w:val="20"/>
                <w:szCs w:val="20"/>
              </w:rPr>
              <w:t>37.9</w:t>
            </w:r>
            <w:r>
              <w:rPr>
                <w:rFonts w:ascii="Arial" w:hAnsi="Arial" w:cs="Arial"/>
                <w:sz w:val="20"/>
                <w:szCs w:val="20"/>
              </w:rPr>
              <w:t>/</w:t>
            </w:r>
          </w:p>
          <w:p w:rsidR="007F6E99" w:rsidRPr="00E73A27" w:rsidRDefault="007F6E99" w:rsidP="004E444C">
            <w:pPr>
              <w:jc w:val="both"/>
              <w:rPr>
                <w:rFonts w:ascii="Arial" w:hAnsi="Arial" w:cs="Arial"/>
                <w:sz w:val="20"/>
                <w:szCs w:val="20"/>
              </w:rPr>
            </w:pPr>
            <w:r w:rsidRPr="00E73A27">
              <w:rPr>
                <w:rFonts w:ascii="Arial" w:hAnsi="Arial" w:cs="Arial"/>
                <w:sz w:val="20"/>
                <w:szCs w:val="20"/>
              </w:rPr>
              <w:t>11.08</w:t>
            </w:r>
          </w:p>
        </w:tc>
        <w:tc>
          <w:tcPr>
            <w:tcW w:w="850" w:type="dxa"/>
            <w:shd w:val="clear" w:color="auto" w:fill="FDE9D9"/>
          </w:tcPr>
          <w:p w:rsidR="007F6E99" w:rsidRDefault="007F6E99" w:rsidP="004E444C">
            <w:pPr>
              <w:jc w:val="both"/>
              <w:rPr>
                <w:rFonts w:ascii="Arial" w:hAnsi="Arial" w:cs="Arial"/>
                <w:sz w:val="20"/>
                <w:szCs w:val="20"/>
              </w:rPr>
            </w:pPr>
            <w:r>
              <w:rPr>
                <w:rFonts w:ascii="Arial" w:hAnsi="Arial" w:cs="Arial"/>
                <w:sz w:val="20"/>
                <w:szCs w:val="20"/>
              </w:rPr>
              <w:t>36,9/</w:t>
            </w:r>
          </w:p>
          <w:p w:rsidR="007F6E99" w:rsidRPr="00E73A27" w:rsidRDefault="007F6E99" w:rsidP="004E444C">
            <w:pPr>
              <w:jc w:val="both"/>
              <w:rPr>
                <w:rFonts w:ascii="Arial" w:hAnsi="Arial" w:cs="Arial"/>
                <w:sz w:val="20"/>
                <w:szCs w:val="20"/>
              </w:rPr>
            </w:pPr>
            <w:r>
              <w:rPr>
                <w:rFonts w:ascii="Arial" w:hAnsi="Arial" w:cs="Arial"/>
                <w:sz w:val="20"/>
                <w:szCs w:val="20"/>
              </w:rPr>
              <w:t>21.06.</w:t>
            </w:r>
          </w:p>
        </w:tc>
        <w:tc>
          <w:tcPr>
            <w:tcW w:w="850" w:type="dxa"/>
            <w:shd w:val="clear" w:color="auto" w:fill="FDE9D9"/>
            <w:vAlign w:val="center"/>
          </w:tcPr>
          <w:p w:rsidR="007F6E99" w:rsidRDefault="007F6E99" w:rsidP="004E444C">
            <w:pPr>
              <w:jc w:val="both"/>
              <w:rPr>
                <w:rFonts w:ascii="Arial" w:hAnsi="Arial" w:cs="Arial"/>
                <w:sz w:val="20"/>
                <w:szCs w:val="20"/>
              </w:rPr>
            </w:pPr>
            <w:r>
              <w:rPr>
                <w:rFonts w:ascii="Arial" w:hAnsi="Arial" w:cs="Arial"/>
                <w:sz w:val="20"/>
                <w:szCs w:val="20"/>
              </w:rPr>
              <w:t>38/</w:t>
            </w:r>
          </w:p>
          <w:p w:rsidR="007F6E99" w:rsidRPr="00E73A27" w:rsidRDefault="007F6E99" w:rsidP="004E444C">
            <w:pPr>
              <w:jc w:val="both"/>
              <w:rPr>
                <w:rFonts w:ascii="Arial" w:hAnsi="Arial" w:cs="Arial"/>
                <w:sz w:val="20"/>
                <w:szCs w:val="20"/>
              </w:rPr>
            </w:pPr>
            <w:r>
              <w:rPr>
                <w:rFonts w:ascii="Arial" w:hAnsi="Arial" w:cs="Arial"/>
                <w:sz w:val="20"/>
                <w:szCs w:val="20"/>
              </w:rPr>
              <w:t>01.07.</w:t>
            </w:r>
          </w:p>
        </w:tc>
      </w:tr>
    </w:tbl>
    <w:p w:rsidR="007F6E99" w:rsidRDefault="007F6E99" w:rsidP="007F6E99">
      <w:pPr>
        <w:jc w:val="both"/>
        <w:rPr>
          <w:rFonts w:ascii="Arial" w:hAnsi="Arial" w:cs="Arial"/>
          <w:sz w:val="24"/>
          <w:szCs w:val="24"/>
          <w:lang w:val="en-US"/>
        </w:rPr>
      </w:pPr>
    </w:p>
    <w:p w:rsidR="007F6E99" w:rsidRPr="008E1870" w:rsidRDefault="007F6E99" w:rsidP="007F6E99">
      <w:pPr>
        <w:rPr>
          <w:rFonts w:ascii="Arial" w:hAnsi="Arial" w:cs="Arial"/>
          <w:b/>
          <w:sz w:val="24"/>
          <w:szCs w:val="24"/>
        </w:rPr>
      </w:pPr>
      <w:r w:rsidRPr="00FA38DE">
        <w:rPr>
          <w:rFonts w:ascii="Arial" w:hAnsi="Arial" w:cs="Arial"/>
          <w:b/>
          <w:sz w:val="24"/>
          <w:szCs w:val="24"/>
          <w:lang w:val="en-US"/>
        </w:rPr>
        <w:t xml:space="preserve">Tabelul  nr.VIII. </w:t>
      </w:r>
      <w:r w:rsidRPr="00FA38DE">
        <w:rPr>
          <w:rFonts w:ascii="Arial" w:hAnsi="Arial" w:cs="Arial"/>
          <w:b/>
          <w:sz w:val="24"/>
          <w:szCs w:val="24"/>
        </w:rPr>
        <w:t>1.5. -</w:t>
      </w:r>
      <w:r w:rsidRPr="00FA38DE">
        <w:rPr>
          <w:rFonts w:ascii="Arial" w:hAnsi="Arial" w:cs="Arial"/>
          <w:b/>
          <w:sz w:val="24"/>
          <w:szCs w:val="24"/>
          <w:lang w:val="en-US"/>
        </w:rPr>
        <w:t xml:space="preserve"> </w:t>
      </w:r>
      <w:r w:rsidRPr="00FA38DE">
        <w:rPr>
          <w:rFonts w:ascii="Arial" w:hAnsi="Arial" w:cs="Arial"/>
          <w:b/>
          <w:sz w:val="24"/>
          <w:szCs w:val="24"/>
        </w:rPr>
        <w:t>4</w:t>
      </w:r>
      <w:r w:rsidRPr="00594535">
        <w:rPr>
          <w:rFonts w:ascii="Arial" w:hAnsi="Arial" w:cs="Arial"/>
          <w:sz w:val="24"/>
          <w:szCs w:val="24"/>
        </w:rPr>
        <w:t xml:space="preserve"> Cantitatea medie multianuală (1975 – 2000) şi cantitatea anuală de precipitaţii (mm) din perioada 201</w:t>
      </w:r>
      <w:r>
        <w:rPr>
          <w:rFonts w:ascii="Arial" w:hAnsi="Arial" w:cs="Arial"/>
          <w:sz w:val="24"/>
          <w:szCs w:val="24"/>
        </w:rPr>
        <w:t>3</w:t>
      </w:r>
      <w:r w:rsidRPr="00594535">
        <w:rPr>
          <w:rFonts w:ascii="Arial" w:hAnsi="Arial" w:cs="Arial"/>
          <w:sz w:val="24"/>
          <w:szCs w:val="24"/>
        </w:rPr>
        <w:t xml:space="preserve"> – 201</w:t>
      </w:r>
      <w:r>
        <w:rPr>
          <w:rFonts w:ascii="Arial" w:hAnsi="Arial" w:cs="Arial"/>
          <w:sz w:val="24"/>
          <w:szCs w:val="24"/>
        </w:rPr>
        <w:t>7</w:t>
      </w:r>
      <w:r w:rsidRPr="00594535">
        <w:rPr>
          <w:rFonts w:ascii="Arial" w:hAnsi="Arial" w:cs="Arial"/>
          <w:sz w:val="24"/>
          <w:szCs w:val="24"/>
        </w:rPr>
        <w:t xml:space="preserve">, de la staţia meteorologică </w:t>
      </w:r>
      <w:r>
        <w:rPr>
          <w:rFonts w:ascii="Arial" w:hAnsi="Arial" w:cs="Arial"/>
          <w:sz w:val="24"/>
          <w:szCs w:val="24"/>
        </w:rPr>
        <w:t xml:space="preserve">Brăila   </w:t>
      </w:r>
      <w:r w:rsidRPr="008E1870">
        <w:rPr>
          <w:rFonts w:ascii="Arial" w:hAnsi="Arial" w:cs="Arial"/>
          <w:b/>
          <w:sz w:val="24"/>
          <w:szCs w:val="24"/>
        </w:rPr>
        <w:t>(mm)</w:t>
      </w:r>
      <w:r>
        <w:rPr>
          <w:rFonts w:ascii="Arial" w:hAnsi="Arial" w:cs="Arial"/>
          <w:sz w:val="24"/>
          <w:szCs w:val="24"/>
        </w:rPr>
        <w:t xml:space="preserve">                                                                                                 </w:t>
      </w:r>
    </w:p>
    <w:tbl>
      <w:tblPr>
        <w:tblW w:w="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526"/>
        <w:gridCol w:w="851"/>
        <w:gridCol w:w="851"/>
        <w:gridCol w:w="851"/>
        <w:gridCol w:w="851"/>
        <w:gridCol w:w="851"/>
      </w:tblGrid>
      <w:tr w:rsidR="007F6E99" w:rsidRPr="0090130C" w:rsidTr="004E444C">
        <w:trPr>
          <w:jc w:val="center"/>
        </w:trPr>
        <w:tc>
          <w:tcPr>
            <w:tcW w:w="1526" w:type="dxa"/>
            <w:shd w:val="clear" w:color="auto" w:fill="FDE9D9"/>
            <w:vAlign w:val="center"/>
          </w:tcPr>
          <w:p w:rsidR="007F6E99" w:rsidRPr="0090130C" w:rsidRDefault="007F6E99" w:rsidP="004E444C">
            <w:pPr>
              <w:spacing w:after="0" w:line="240" w:lineRule="auto"/>
              <w:jc w:val="both"/>
              <w:rPr>
                <w:rFonts w:ascii="Arial" w:hAnsi="Arial" w:cs="Arial"/>
                <w:b/>
                <w:sz w:val="24"/>
                <w:szCs w:val="24"/>
              </w:rPr>
            </w:pPr>
            <w:r w:rsidRPr="0090130C">
              <w:rPr>
                <w:rFonts w:ascii="Arial" w:hAnsi="Arial" w:cs="Arial"/>
                <w:b/>
                <w:sz w:val="24"/>
                <w:szCs w:val="24"/>
              </w:rPr>
              <w:t xml:space="preserve">Media </w:t>
            </w:r>
          </w:p>
          <w:p w:rsidR="007F6E99" w:rsidRDefault="007F6E99" w:rsidP="004E444C">
            <w:pPr>
              <w:spacing w:after="0" w:line="240" w:lineRule="auto"/>
              <w:jc w:val="both"/>
              <w:rPr>
                <w:rFonts w:ascii="Arial" w:hAnsi="Arial" w:cs="Arial"/>
                <w:b/>
                <w:sz w:val="24"/>
                <w:szCs w:val="24"/>
              </w:rPr>
            </w:pPr>
            <w:r w:rsidRPr="0090130C">
              <w:rPr>
                <w:rFonts w:ascii="Arial" w:hAnsi="Arial" w:cs="Arial"/>
                <w:b/>
                <w:sz w:val="24"/>
                <w:szCs w:val="24"/>
              </w:rPr>
              <w:t>1975-2000</w:t>
            </w:r>
          </w:p>
          <w:p w:rsidR="007F6E99" w:rsidRPr="008E1870" w:rsidRDefault="007F6E99" w:rsidP="004E444C">
            <w:pPr>
              <w:spacing w:after="0" w:line="240" w:lineRule="auto"/>
              <w:jc w:val="both"/>
              <w:rPr>
                <w:rFonts w:ascii="Arial" w:hAnsi="Arial" w:cs="Arial"/>
                <w:b/>
                <w:sz w:val="24"/>
                <w:szCs w:val="24"/>
              </w:rPr>
            </w:pPr>
            <w:r w:rsidRPr="008E1870">
              <w:rPr>
                <w:rFonts w:ascii="Arial" w:hAnsi="Arial" w:cs="Arial"/>
                <w:b/>
                <w:sz w:val="24"/>
                <w:szCs w:val="24"/>
              </w:rPr>
              <w:t>(mm)</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2013</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2014</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sidRPr="0090130C">
              <w:rPr>
                <w:rFonts w:ascii="Arial" w:hAnsi="Arial" w:cs="Arial"/>
                <w:b/>
                <w:sz w:val="24"/>
                <w:szCs w:val="24"/>
              </w:rPr>
              <w:t>2015</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2016</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b/>
                <w:sz w:val="24"/>
                <w:szCs w:val="24"/>
              </w:rPr>
            </w:pPr>
            <w:r>
              <w:rPr>
                <w:rFonts w:ascii="Arial" w:hAnsi="Arial" w:cs="Arial"/>
                <w:b/>
                <w:sz w:val="24"/>
                <w:szCs w:val="24"/>
              </w:rPr>
              <w:t>2017</w:t>
            </w:r>
          </w:p>
        </w:tc>
      </w:tr>
      <w:tr w:rsidR="007F6E99" w:rsidRPr="0090130C" w:rsidTr="004E444C">
        <w:trPr>
          <w:trHeight w:hRule="exact" w:val="578"/>
          <w:jc w:val="center"/>
        </w:trPr>
        <w:tc>
          <w:tcPr>
            <w:tcW w:w="1526" w:type="dxa"/>
            <w:shd w:val="clear" w:color="auto" w:fill="FDE9D9"/>
            <w:vAlign w:val="center"/>
          </w:tcPr>
          <w:p w:rsidR="007F6E99" w:rsidRPr="0090130C" w:rsidRDefault="007F6E99" w:rsidP="004E444C">
            <w:pPr>
              <w:spacing w:after="0" w:line="240" w:lineRule="auto"/>
              <w:jc w:val="both"/>
              <w:rPr>
                <w:rFonts w:ascii="Arial" w:hAnsi="Arial" w:cs="Arial"/>
                <w:sz w:val="24"/>
                <w:szCs w:val="24"/>
              </w:rPr>
            </w:pPr>
            <w:r>
              <w:rPr>
                <w:rFonts w:ascii="Arial" w:hAnsi="Arial" w:cs="Arial"/>
                <w:sz w:val="24"/>
                <w:szCs w:val="24"/>
              </w:rPr>
              <w:t xml:space="preserve">Brăila </w:t>
            </w:r>
            <w:r w:rsidRPr="0090130C">
              <w:rPr>
                <w:rFonts w:ascii="Arial" w:hAnsi="Arial" w:cs="Arial"/>
                <w:sz w:val="24"/>
                <w:szCs w:val="24"/>
              </w:rPr>
              <w:t xml:space="preserve"> 425.9</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491.8</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479.3</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sidRPr="0090130C">
              <w:rPr>
                <w:rFonts w:ascii="Arial" w:hAnsi="Arial" w:cs="Arial"/>
                <w:sz w:val="24"/>
                <w:szCs w:val="24"/>
              </w:rPr>
              <w:t>525.6</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Pr>
                <w:rFonts w:ascii="Arial" w:hAnsi="Arial" w:cs="Arial"/>
                <w:sz w:val="24"/>
                <w:szCs w:val="24"/>
              </w:rPr>
              <w:t>553,7</w:t>
            </w:r>
          </w:p>
        </w:tc>
        <w:tc>
          <w:tcPr>
            <w:tcW w:w="851" w:type="dxa"/>
            <w:shd w:val="clear" w:color="auto" w:fill="FDE9D9"/>
            <w:vAlign w:val="center"/>
          </w:tcPr>
          <w:p w:rsidR="007F6E99" w:rsidRPr="0090130C" w:rsidRDefault="007F6E99" w:rsidP="004E444C">
            <w:pPr>
              <w:spacing w:after="0" w:line="240" w:lineRule="auto"/>
              <w:jc w:val="center"/>
              <w:rPr>
                <w:rFonts w:ascii="Arial" w:hAnsi="Arial" w:cs="Arial"/>
                <w:sz w:val="24"/>
                <w:szCs w:val="24"/>
              </w:rPr>
            </w:pPr>
            <w:r>
              <w:rPr>
                <w:rFonts w:ascii="Arial" w:hAnsi="Arial" w:cs="Arial"/>
                <w:sz w:val="24"/>
                <w:szCs w:val="24"/>
              </w:rPr>
              <w:t>472,3</w:t>
            </w:r>
          </w:p>
        </w:tc>
      </w:tr>
    </w:tbl>
    <w:p w:rsidR="007F6E99" w:rsidRPr="00594535" w:rsidRDefault="007F6E99" w:rsidP="007F6E99">
      <w:pPr>
        <w:spacing w:after="0"/>
        <w:jc w:val="both"/>
        <w:rPr>
          <w:rFonts w:ascii="Arial" w:hAnsi="Arial" w:cs="Arial"/>
          <w:sz w:val="24"/>
          <w:szCs w:val="24"/>
          <w:lang w:val="en-US"/>
        </w:rPr>
      </w:pPr>
    </w:p>
    <w:p w:rsidR="007F6E99" w:rsidRPr="00594535" w:rsidRDefault="007F6E99" w:rsidP="007F6E99">
      <w:pPr>
        <w:jc w:val="both"/>
        <w:rPr>
          <w:rFonts w:ascii="Arial" w:hAnsi="Arial" w:cs="Arial"/>
          <w:b/>
          <w:sz w:val="24"/>
          <w:szCs w:val="24"/>
        </w:rPr>
      </w:pPr>
      <w:r w:rsidRPr="00594535">
        <w:rPr>
          <w:rFonts w:ascii="Arial" w:hAnsi="Arial" w:cs="Arial"/>
          <w:b/>
          <w:sz w:val="24"/>
          <w:szCs w:val="24"/>
          <w:lang w:val="en-US"/>
        </w:rPr>
        <w:t xml:space="preserve">Indicatori de sănătate relevanţi dependenţi de variaţiile climei </w:t>
      </w:r>
    </w:p>
    <w:p w:rsidR="0002527B" w:rsidRDefault="0002527B" w:rsidP="007F6E99">
      <w:pPr>
        <w:autoSpaceDE w:val="0"/>
        <w:autoSpaceDN w:val="0"/>
        <w:adjustRightInd w:val="0"/>
        <w:jc w:val="both"/>
        <w:rPr>
          <w:rFonts w:ascii="Arial" w:hAnsi="Arial" w:cs="Arial"/>
          <w:b/>
          <w:sz w:val="24"/>
          <w:szCs w:val="24"/>
        </w:rPr>
      </w:pPr>
    </w:p>
    <w:p w:rsidR="0002527B" w:rsidRDefault="007F6E99" w:rsidP="0002527B">
      <w:pPr>
        <w:autoSpaceDE w:val="0"/>
        <w:autoSpaceDN w:val="0"/>
        <w:adjustRightInd w:val="0"/>
        <w:spacing w:after="0" w:line="240" w:lineRule="auto"/>
        <w:jc w:val="both"/>
        <w:rPr>
          <w:rFonts w:ascii="Arial" w:hAnsi="Arial" w:cs="Arial"/>
          <w:b/>
          <w:sz w:val="24"/>
          <w:szCs w:val="24"/>
        </w:rPr>
      </w:pPr>
      <w:r w:rsidRPr="00594535">
        <w:rPr>
          <w:rFonts w:ascii="Arial" w:hAnsi="Arial" w:cs="Arial"/>
          <w:b/>
          <w:sz w:val="24"/>
          <w:szCs w:val="24"/>
        </w:rPr>
        <w:lastRenderedPageBreak/>
        <w:t xml:space="preserve">VIII.1.5.1. </w:t>
      </w:r>
      <w:r w:rsidRPr="00467694">
        <w:rPr>
          <w:rFonts w:ascii="Arial" w:hAnsi="Arial" w:cs="Arial"/>
          <w:b/>
          <w:sz w:val="24"/>
          <w:szCs w:val="24"/>
        </w:rPr>
        <w:t>Rata de mortalitate în aglomerările urbane ca urmare a temperaturilor extreme în perioada de vară</w:t>
      </w:r>
    </w:p>
    <w:p w:rsidR="007F6E99" w:rsidRDefault="007F6E99" w:rsidP="0002527B">
      <w:pPr>
        <w:autoSpaceDE w:val="0"/>
        <w:autoSpaceDN w:val="0"/>
        <w:adjustRightInd w:val="0"/>
        <w:spacing w:after="0" w:line="240" w:lineRule="auto"/>
        <w:jc w:val="both"/>
        <w:rPr>
          <w:rFonts w:ascii="Arial" w:hAnsi="Arial" w:cs="Arial"/>
          <w:sz w:val="24"/>
          <w:szCs w:val="24"/>
        </w:rPr>
      </w:pPr>
      <w:r w:rsidRPr="00987ECA">
        <w:rPr>
          <w:rFonts w:ascii="Arial" w:hAnsi="Arial" w:cs="Arial"/>
          <w:sz w:val="24"/>
          <w:szCs w:val="24"/>
        </w:rPr>
        <w:t>- În perioada 2012 – 201</w:t>
      </w:r>
      <w:r>
        <w:rPr>
          <w:rFonts w:ascii="Arial" w:hAnsi="Arial" w:cs="Arial"/>
          <w:sz w:val="24"/>
          <w:szCs w:val="24"/>
        </w:rPr>
        <w:t>7</w:t>
      </w:r>
      <w:r w:rsidRPr="00987ECA">
        <w:rPr>
          <w:rFonts w:ascii="Arial" w:hAnsi="Arial" w:cs="Arial"/>
          <w:sz w:val="24"/>
          <w:szCs w:val="24"/>
        </w:rPr>
        <w:t xml:space="preserve"> în mediul urban (și rural) din județul </w:t>
      </w:r>
      <w:r>
        <w:rPr>
          <w:rFonts w:ascii="Arial" w:hAnsi="Arial" w:cs="Arial"/>
          <w:sz w:val="24"/>
          <w:szCs w:val="24"/>
        </w:rPr>
        <w:t>Brăila</w:t>
      </w:r>
      <w:r w:rsidRPr="00987ECA">
        <w:rPr>
          <w:rFonts w:ascii="Arial" w:hAnsi="Arial" w:cs="Arial"/>
          <w:sz w:val="24"/>
          <w:szCs w:val="24"/>
        </w:rPr>
        <w:t xml:space="preserve"> nu s-au înregistrat cazuri de</w:t>
      </w:r>
      <w:r w:rsidRPr="00987ECA">
        <w:rPr>
          <w:rFonts w:ascii="Arial" w:hAnsi="Arial" w:cs="Arial"/>
          <w:b/>
          <w:sz w:val="24"/>
          <w:szCs w:val="24"/>
        </w:rPr>
        <w:t xml:space="preserve"> </w:t>
      </w:r>
      <w:r w:rsidRPr="00987ECA">
        <w:rPr>
          <w:rFonts w:ascii="Arial" w:hAnsi="Arial" w:cs="Arial"/>
          <w:sz w:val="24"/>
          <w:szCs w:val="24"/>
        </w:rPr>
        <w:t>mortalitate ca urmare a temperaturilor extreme în perioada de vară.</w:t>
      </w:r>
    </w:p>
    <w:p w:rsidR="007F6E99" w:rsidRPr="006329D1" w:rsidRDefault="007F6E99" w:rsidP="0002527B">
      <w:pPr>
        <w:autoSpaceDE w:val="0"/>
        <w:autoSpaceDN w:val="0"/>
        <w:adjustRightInd w:val="0"/>
        <w:spacing w:after="0" w:line="240" w:lineRule="auto"/>
        <w:jc w:val="both"/>
        <w:rPr>
          <w:rFonts w:ascii="Arial" w:hAnsi="Arial" w:cs="Arial"/>
          <w:b/>
          <w:sz w:val="24"/>
          <w:szCs w:val="24"/>
        </w:rPr>
      </w:pPr>
      <w:r w:rsidRPr="00987ECA">
        <w:rPr>
          <w:rFonts w:ascii="Arial" w:hAnsi="Arial" w:cs="Arial"/>
          <w:i/>
          <w:sz w:val="20"/>
          <w:szCs w:val="20"/>
          <w:lang w:val="en-US"/>
        </w:rPr>
        <w:t xml:space="preserve"> </w:t>
      </w:r>
      <w:r w:rsidRPr="006329D1">
        <w:rPr>
          <w:rFonts w:ascii="Arial" w:hAnsi="Arial" w:cs="Arial"/>
          <w:b/>
          <w:i/>
          <w:sz w:val="20"/>
          <w:szCs w:val="20"/>
          <w:lang w:val="en-US"/>
        </w:rPr>
        <w:t>(Not</w:t>
      </w:r>
      <w:r w:rsidRPr="006329D1">
        <w:rPr>
          <w:rFonts w:ascii="Arial" w:hAnsi="Arial" w:cs="Arial"/>
          <w:b/>
          <w:i/>
          <w:sz w:val="20"/>
          <w:szCs w:val="20"/>
        </w:rPr>
        <w:t>ă: Informații furnizate de către Direcția de Sănătate Publică a județului Brăila)</w:t>
      </w:r>
    </w:p>
    <w:p w:rsidR="007F6E99" w:rsidRDefault="007F6E99" w:rsidP="007F6E99">
      <w:pPr>
        <w:autoSpaceDE w:val="0"/>
        <w:autoSpaceDN w:val="0"/>
        <w:adjustRightInd w:val="0"/>
        <w:spacing w:after="0" w:line="240" w:lineRule="auto"/>
        <w:jc w:val="both"/>
        <w:rPr>
          <w:rFonts w:ascii="Arial" w:hAnsi="Arial" w:cs="Arial"/>
          <w:sz w:val="24"/>
          <w:szCs w:val="24"/>
        </w:rPr>
      </w:pPr>
    </w:p>
    <w:p w:rsidR="007F6E99" w:rsidRPr="00987ECA" w:rsidRDefault="007F6E99" w:rsidP="007F6E99">
      <w:pPr>
        <w:autoSpaceDE w:val="0"/>
        <w:autoSpaceDN w:val="0"/>
        <w:adjustRightInd w:val="0"/>
        <w:spacing w:after="0" w:line="240" w:lineRule="auto"/>
        <w:jc w:val="both"/>
        <w:rPr>
          <w:rFonts w:ascii="Arial" w:hAnsi="Arial" w:cs="Arial"/>
          <w:sz w:val="24"/>
          <w:szCs w:val="24"/>
        </w:rPr>
      </w:pPr>
      <w:r w:rsidRPr="006329D1">
        <w:rPr>
          <w:rFonts w:ascii="Arial" w:hAnsi="Arial" w:cs="Arial"/>
          <w:b/>
          <w:sz w:val="24"/>
          <w:szCs w:val="24"/>
        </w:rPr>
        <w:t xml:space="preserve">Tabelul VIII. 1.5.1 - </w:t>
      </w:r>
      <w:r>
        <w:rPr>
          <w:rFonts w:ascii="Arial" w:hAnsi="Arial" w:cs="Arial"/>
          <w:b/>
          <w:sz w:val="24"/>
          <w:szCs w:val="24"/>
        </w:rPr>
        <w:t>1</w:t>
      </w:r>
      <w:r w:rsidRPr="00594535">
        <w:rPr>
          <w:rFonts w:ascii="Arial" w:hAnsi="Arial" w:cs="Arial"/>
          <w:b/>
          <w:sz w:val="24"/>
          <w:szCs w:val="24"/>
        </w:rPr>
        <w:t xml:space="preserve"> </w:t>
      </w:r>
      <w:r w:rsidRPr="00403B90">
        <w:rPr>
          <w:rFonts w:ascii="Arial" w:hAnsi="Arial" w:cs="Arial"/>
          <w:sz w:val="24"/>
          <w:szCs w:val="24"/>
        </w:rPr>
        <w:t xml:space="preserve">Analiza epidemiologică descriptivă a cazurilor de Boala Lyme înregistrate la nivelul județului </w:t>
      </w:r>
      <w:r>
        <w:rPr>
          <w:rFonts w:ascii="Arial" w:hAnsi="Arial" w:cs="Arial"/>
          <w:sz w:val="24"/>
          <w:szCs w:val="24"/>
        </w:rPr>
        <w:t>Brăila</w:t>
      </w:r>
      <w:r w:rsidRPr="00403B90">
        <w:rPr>
          <w:rFonts w:ascii="Arial" w:hAnsi="Arial" w:cs="Arial"/>
          <w:sz w:val="24"/>
          <w:szCs w:val="24"/>
        </w:rPr>
        <w:t xml:space="preserve"> în anul </w:t>
      </w:r>
      <w:r w:rsidRPr="00987ECA">
        <w:rPr>
          <w:rFonts w:ascii="Arial" w:hAnsi="Arial" w:cs="Arial"/>
          <w:sz w:val="24"/>
          <w:szCs w:val="24"/>
        </w:rPr>
        <w:t>201</w:t>
      </w:r>
      <w:r>
        <w:rPr>
          <w:rFonts w:ascii="Arial" w:hAnsi="Arial" w:cs="Arial"/>
          <w:sz w:val="24"/>
          <w:szCs w:val="24"/>
        </w:rPr>
        <w:t>7</w:t>
      </w:r>
    </w:p>
    <w:tbl>
      <w:tblPr>
        <w:tblW w:w="0" w:type="auto"/>
        <w:jc w:val="center"/>
        <w:tblInd w:w="-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8"/>
        <w:gridCol w:w="1146"/>
      </w:tblGrid>
      <w:tr w:rsidR="007F6E99" w:rsidRPr="0090130C" w:rsidTr="004E444C">
        <w:trPr>
          <w:jc w:val="center"/>
        </w:trPr>
        <w:tc>
          <w:tcPr>
            <w:tcW w:w="4798" w:type="dxa"/>
            <w:shd w:val="clear" w:color="auto" w:fill="FDE9D9"/>
          </w:tcPr>
          <w:p w:rsidR="007F6E99" w:rsidRPr="00594535" w:rsidRDefault="007F6E99" w:rsidP="004E444C">
            <w:pPr>
              <w:pStyle w:val="Default"/>
              <w:jc w:val="both"/>
              <w:rPr>
                <w:rFonts w:ascii="Arial" w:hAnsi="Arial" w:cs="Arial"/>
                <w:b/>
                <w:color w:val="auto"/>
              </w:rPr>
            </w:pPr>
            <w:r w:rsidRPr="00594535">
              <w:rPr>
                <w:rFonts w:ascii="Arial" w:hAnsi="Arial" w:cs="Arial"/>
                <w:b/>
                <w:color w:val="auto"/>
              </w:rPr>
              <w:t>Analiza epidemiologică descriptivă a cazurilor de Boala Lyme</w:t>
            </w:r>
          </w:p>
        </w:tc>
        <w:tc>
          <w:tcPr>
            <w:tcW w:w="1146" w:type="dxa"/>
            <w:shd w:val="clear" w:color="auto" w:fill="FDE9D9"/>
          </w:tcPr>
          <w:p w:rsidR="007F6E99" w:rsidRPr="00987ECA" w:rsidRDefault="007F6E99" w:rsidP="004E444C">
            <w:pPr>
              <w:pStyle w:val="Default"/>
              <w:jc w:val="both"/>
              <w:rPr>
                <w:rFonts w:ascii="Arial" w:hAnsi="Arial" w:cs="Arial"/>
                <w:b/>
                <w:color w:val="auto"/>
              </w:rPr>
            </w:pPr>
            <w:r w:rsidRPr="00987ECA">
              <w:rPr>
                <w:rFonts w:ascii="Arial" w:hAnsi="Arial" w:cs="Arial"/>
                <w:b/>
                <w:color w:val="auto"/>
              </w:rPr>
              <w:t>Anul 201</w:t>
            </w:r>
            <w:r>
              <w:rPr>
                <w:rFonts w:ascii="Arial" w:hAnsi="Arial" w:cs="Arial"/>
                <w:b/>
                <w:color w:val="auto"/>
              </w:rPr>
              <w:t>7</w:t>
            </w:r>
          </w:p>
        </w:tc>
      </w:tr>
      <w:tr w:rsidR="007F6E99" w:rsidRPr="0090130C" w:rsidTr="004E444C">
        <w:trPr>
          <w:jc w:val="center"/>
        </w:trPr>
        <w:tc>
          <w:tcPr>
            <w:tcW w:w="4798" w:type="dxa"/>
          </w:tcPr>
          <w:p w:rsidR="007F6E99" w:rsidRPr="00594535" w:rsidRDefault="007F6E99" w:rsidP="004E444C">
            <w:pPr>
              <w:pStyle w:val="Default"/>
              <w:jc w:val="both"/>
              <w:rPr>
                <w:rFonts w:ascii="Arial" w:hAnsi="Arial" w:cs="Arial"/>
                <w:color w:val="auto"/>
              </w:rPr>
            </w:pPr>
            <w:r w:rsidRPr="00594535">
              <w:rPr>
                <w:rFonts w:ascii="Arial" w:hAnsi="Arial" w:cs="Arial"/>
                <w:color w:val="auto"/>
              </w:rPr>
              <w:t>cazuri probabile</w:t>
            </w:r>
          </w:p>
        </w:tc>
        <w:tc>
          <w:tcPr>
            <w:tcW w:w="1146" w:type="dxa"/>
          </w:tcPr>
          <w:p w:rsidR="007F6E99" w:rsidRPr="00987ECA" w:rsidRDefault="007F6E99" w:rsidP="004E444C">
            <w:pPr>
              <w:pStyle w:val="Default"/>
              <w:jc w:val="center"/>
              <w:rPr>
                <w:rFonts w:ascii="Arial" w:hAnsi="Arial" w:cs="Arial"/>
                <w:color w:val="auto"/>
              </w:rPr>
            </w:pPr>
            <w:r>
              <w:rPr>
                <w:rFonts w:ascii="Arial" w:hAnsi="Arial" w:cs="Arial"/>
                <w:color w:val="auto"/>
              </w:rPr>
              <w:t>4</w:t>
            </w:r>
          </w:p>
        </w:tc>
      </w:tr>
      <w:tr w:rsidR="007F6E99" w:rsidRPr="0090130C" w:rsidTr="004E444C">
        <w:trPr>
          <w:jc w:val="center"/>
        </w:trPr>
        <w:tc>
          <w:tcPr>
            <w:tcW w:w="4798" w:type="dxa"/>
          </w:tcPr>
          <w:p w:rsidR="007F6E99" w:rsidRPr="00594535" w:rsidRDefault="007F6E99" w:rsidP="004E444C">
            <w:pPr>
              <w:pStyle w:val="Default"/>
              <w:jc w:val="both"/>
              <w:rPr>
                <w:rFonts w:ascii="Arial" w:hAnsi="Arial" w:cs="Arial"/>
                <w:color w:val="auto"/>
              </w:rPr>
            </w:pPr>
            <w:r w:rsidRPr="00594535">
              <w:rPr>
                <w:rFonts w:ascii="Arial" w:hAnsi="Arial" w:cs="Arial"/>
                <w:color w:val="auto"/>
              </w:rPr>
              <w:t>cazuri confirmate</w:t>
            </w:r>
          </w:p>
        </w:tc>
        <w:tc>
          <w:tcPr>
            <w:tcW w:w="1146" w:type="dxa"/>
          </w:tcPr>
          <w:p w:rsidR="007F6E99" w:rsidRPr="00987ECA" w:rsidRDefault="007F6E99" w:rsidP="004E444C">
            <w:pPr>
              <w:pStyle w:val="Default"/>
              <w:jc w:val="center"/>
              <w:rPr>
                <w:rFonts w:ascii="Arial" w:hAnsi="Arial" w:cs="Arial"/>
                <w:color w:val="auto"/>
              </w:rPr>
            </w:pPr>
            <w:r>
              <w:rPr>
                <w:rFonts w:ascii="Arial" w:hAnsi="Arial" w:cs="Arial"/>
                <w:color w:val="auto"/>
              </w:rPr>
              <w:t>1</w:t>
            </w:r>
          </w:p>
        </w:tc>
      </w:tr>
      <w:tr w:rsidR="007F6E99" w:rsidRPr="0090130C" w:rsidTr="004E444C">
        <w:trPr>
          <w:jc w:val="center"/>
        </w:trPr>
        <w:tc>
          <w:tcPr>
            <w:tcW w:w="4798" w:type="dxa"/>
          </w:tcPr>
          <w:p w:rsidR="007F6E99" w:rsidRPr="00594535" w:rsidRDefault="007F6E99" w:rsidP="004E444C">
            <w:pPr>
              <w:pStyle w:val="Default"/>
              <w:jc w:val="both"/>
              <w:rPr>
                <w:rFonts w:ascii="Arial" w:hAnsi="Arial" w:cs="Arial"/>
                <w:color w:val="auto"/>
              </w:rPr>
            </w:pPr>
            <w:r w:rsidRPr="00594535">
              <w:rPr>
                <w:rFonts w:ascii="Arial" w:hAnsi="Arial" w:cs="Arial"/>
                <w:color w:val="auto"/>
              </w:rPr>
              <w:t>cazuri infirmate</w:t>
            </w:r>
          </w:p>
        </w:tc>
        <w:tc>
          <w:tcPr>
            <w:tcW w:w="1146" w:type="dxa"/>
          </w:tcPr>
          <w:p w:rsidR="007F6E99" w:rsidRPr="00987ECA" w:rsidRDefault="007F6E99" w:rsidP="004E444C">
            <w:pPr>
              <w:pStyle w:val="Default"/>
              <w:jc w:val="center"/>
              <w:rPr>
                <w:rFonts w:ascii="Arial" w:hAnsi="Arial" w:cs="Arial"/>
                <w:color w:val="auto"/>
              </w:rPr>
            </w:pPr>
            <w:r>
              <w:rPr>
                <w:rFonts w:ascii="Arial" w:hAnsi="Arial" w:cs="Arial"/>
                <w:color w:val="auto"/>
              </w:rPr>
              <w:t>3</w:t>
            </w:r>
          </w:p>
        </w:tc>
      </w:tr>
    </w:tbl>
    <w:p w:rsidR="007F6E99" w:rsidRPr="00987ECA" w:rsidRDefault="007F6E99" w:rsidP="007F6E99">
      <w:pPr>
        <w:jc w:val="both"/>
        <w:rPr>
          <w:rFonts w:ascii="Arial" w:hAnsi="Arial" w:cs="Arial"/>
          <w:b/>
          <w:sz w:val="24"/>
          <w:szCs w:val="24"/>
        </w:rPr>
      </w:pPr>
      <w:r>
        <w:rPr>
          <w:rFonts w:ascii="Arial" w:hAnsi="Arial" w:cs="Arial"/>
          <w:i/>
          <w:sz w:val="20"/>
          <w:szCs w:val="20"/>
          <w:lang w:val="en-US"/>
        </w:rPr>
        <w:t xml:space="preserve">                         </w:t>
      </w:r>
      <w:r w:rsidRPr="00987ECA">
        <w:rPr>
          <w:rFonts w:ascii="Arial" w:hAnsi="Arial" w:cs="Arial"/>
          <w:i/>
          <w:sz w:val="20"/>
          <w:szCs w:val="20"/>
          <w:lang w:val="en-US"/>
        </w:rPr>
        <w:t>Not</w:t>
      </w:r>
      <w:r w:rsidRPr="00987ECA">
        <w:rPr>
          <w:rFonts w:ascii="Arial" w:hAnsi="Arial" w:cs="Arial"/>
          <w:i/>
          <w:sz w:val="20"/>
          <w:szCs w:val="20"/>
        </w:rPr>
        <w:t xml:space="preserve">ă: Informații furnizate de către Direcția de Sănătate Publică a județului </w:t>
      </w:r>
      <w:r>
        <w:rPr>
          <w:rFonts w:ascii="Arial" w:hAnsi="Arial" w:cs="Arial"/>
          <w:i/>
          <w:sz w:val="20"/>
          <w:szCs w:val="20"/>
        </w:rPr>
        <w:t>Brăila</w:t>
      </w:r>
    </w:p>
    <w:p w:rsidR="007F6E99" w:rsidRPr="00594535" w:rsidRDefault="007F6E99" w:rsidP="007F6E99">
      <w:pPr>
        <w:jc w:val="both"/>
        <w:rPr>
          <w:rFonts w:ascii="Arial" w:hAnsi="Arial" w:cs="Arial"/>
          <w:sz w:val="24"/>
          <w:szCs w:val="24"/>
        </w:rPr>
      </w:pPr>
      <w:r w:rsidRPr="00594535">
        <w:rPr>
          <w:rFonts w:ascii="Arial" w:hAnsi="Arial" w:cs="Arial"/>
          <w:b/>
          <w:sz w:val="24"/>
          <w:szCs w:val="24"/>
        </w:rPr>
        <w:t>VIII.1.5.2 Expunerea populației din aglomerările urbane  la riscul de inundații</w:t>
      </w:r>
    </w:p>
    <w:p w:rsidR="007F6E99" w:rsidRPr="00594535" w:rsidRDefault="007F6E99" w:rsidP="007F6E99">
      <w:pPr>
        <w:autoSpaceDE w:val="0"/>
        <w:autoSpaceDN w:val="0"/>
        <w:adjustRightInd w:val="0"/>
        <w:jc w:val="both"/>
        <w:rPr>
          <w:rFonts w:ascii="Arial" w:hAnsi="Arial" w:cs="Arial"/>
          <w:sz w:val="24"/>
          <w:szCs w:val="24"/>
        </w:rPr>
      </w:pPr>
      <w:r w:rsidRPr="00C108A9">
        <w:rPr>
          <w:rFonts w:ascii="Arial" w:hAnsi="Arial" w:cs="Arial"/>
          <w:b/>
          <w:sz w:val="24"/>
          <w:szCs w:val="24"/>
        </w:rPr>
        <w:t>Tabel nr. VIII.1.5.2. – 1</w:t>
      </w:r>
      <w:r w:rsidRPr="00594535">
        <w:rPr>
          <w:rFonts w:ascii="Arial" w:hAnsi="Arial" w:cs="Arial"/>
          <w:b/>
          <w:sz w:val="24"/>
          <w:szCs w:val="24"/>
        </w:rPr>
        <w:t xml:space="preserve"> </w:t>
      </w:r>
      <w:r w:rsidRPr="00594535">
        <w:rPr>
          <w:rFonts w:ascii="Arial" w:hAnsi="Arial" w:cs="Arial"/>
          <w:sz w:val="24"/>
          <w:szCs w:val="24"/>
        </w:rPr>
        <w:t xml:space="preserve">Expunerea populaţiei la riscul de inundaţii la nivelul judeţului </w:t>
      </w:r>
      <w:r>
        <w:rPr>
          <w:rFonts w:ascii="Arial" w:hAnsi="Arial" w:cs="Arial"/>
          <w:sz w:val="24"/>
          <w:szCs w:val="24"/>
        </w:rPr>
        <w:t>Brăila</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992"/>
        <w:gridCol w:w="992"/>
        <w:gridCol w:w="992"/>
        <w:gridCol w:w="992"/>
        <w:gridCol w:w="992"/>
      </w:tblGrid>
      <w:tr w:rsidR="007F6E99" w:rsidRPr="0090130C" w:rsidTr="004E444C">
        <w:trPr>
          <w:jc w:val="center"/>
        </w:trPr>
        <w:tc>
          <w:tcPr>
            <w:tcW w:w="3258" w:type="dxa"/>
            <w:shd w:val="clear" w:color="auto" w:fill="B6DDE8"/>
          </w:tcPr>
          <w:p w:rsidR="007F6E99" w:rsidRPr="00594535" w:rsidRDefault="007F6E99" w:rsidP="004E444C">
            <w:pPr>
              <w:pStyle w:val="BodyTextIndent"/>
              <w:spacing w:after="0"/>
              <w:ind w:left="0"/>
              <w:jc w:val="both"/>
              <w:rPr>
                <w:rFonts w:ascii="Arial" w:hAnsi="Arial" w:cs="Arial"/>
                <w:sz w:val="24"/>
                <w:szCs w:val="24"/>
              </w:rPr>
            </w:pPr>
          </w:p>
        </w:tc>
        <w:tc>
          <w:tcPr>
            <w:tcW w:w="992" w:type="dxa"/>
            <w:shd w:val="clear" w:color="auto" w:fill="B6DDE8"/>
            <w:vAlign w:val="center"/>
          </w:tcPr>
          <w:p w:rsidR="007F6E99" w:rsidRPr="00594535" w:rsidRDefault="007F6E99" w:rsidP="004E444C">
            <w:pPr>
              <w:pStyle w:val="BodyTextIndent"/>
              <w:spacing w:after="0"/>
              <w:ind w:left="0"/>
              <w:jc w:val="both"/>
              <w:rPr>
                <w:rFonts w:ascii="Arial" w:hAnsi="Arial" w:cs="Arial"/>
                <w:b/>
                <w:sz w:val="24"/>
                <w:szCs w:val="24"/>
              </w:rPr>
            </w:pPr>
            <w:r w:rsidRPr="00594535">
              <w:rPr>
                <w:rFonts w:ascii="Arial" w:hAnsi="Arial" w:cs="Arial"/>
                <w:b/>
                <w:sz w:val="24"/>
                <w:szCs w:val="24"/>
              </w:rPr>
              <w:t>2013</w:t>
            </w:r>
          </w:p>
        </w:tc>
        <w:tc>
          <w:tcPr>
            <w:tcW w:w="992" w:type="dxa"/>
            <w:shd w:val="clear" w:color="auto" w:fill="B6DDE8"/>
            <w:vAlign w:val="center"/>
          </w:tcPr>
          <w:p w:rsidR="007F6E99" w:rsidRPr="00594535" w:rsidRDefault="007F6E99" w:rsidP="004E444C">
            <w:pPr>
              <w:pStyle w:val="BodyTextIndent"/>
              <w:spacing w:after="0"/>
              <w:ind w:left="0"/>
              <w:jc w:val="both"/>
              <w:rPr>
                <w:rFonts w:ascii="Arial" w:hAnsi="Arial" w:cs="Arial"/>
                <w:b/>
                <w:sz w:val="24"/>
                <w:szCs w:val="24"/>
              </w:rPr>
            </w:pPr>
            <w:r w:rsidRPr="00594535">
              <w:rPr>
                <w:rFonts w:ascii="Arial" w:hAnsi="Arial" w:cs="Arial"/>
                <w:b/>
                <w:sz w:val="24"/>
                <w:szCs w:val="24"/>
              </w:rPr>
              <w:t>2014</w:t>
            </w:r>
          </w:p>
        </w:tc>
        <w:tc>
          <w:tcPr>
            <w:tcW w:w="992" w:type="dxa"/>
            <w:shd w:val="clear" w:color="auto" w:fill="B6DDE8"/>
          </w:tcPr>
          <w:p w:rsidR="007F6E99" w:rsidRPr="00594535" w:rsidRDefault="007F6E99" w:rsidP="004E444C">
            <w:pPr>
              <w:pStyle w:val="BodyTextIndent"/>
              <w:spacing w:after="0"/>
              <w:ind w:left="0"/>
              <w:jc w:val="both"/>
              <w:rPr>
                <w:rFonts w:ascii="Arial" w:hAnsi="Arial" w:cs="Arial"/>
                <w:b/>
                <w:sz w:val="24"/>
                <w:szCs w:val="24"/>
              </w:rPr>
            </w:pPr>
            <w:r w:rsidRPr="00594535">
              <w:rPr>
                <w:rFonts w:ascii="Arial" w:hAnsi="Arial" w:cs="Arial"/>
                <w:b/>
                <w:sz w:val="24"/>
                <w:szCs w:val="24"/>
              </w:rPr>
              <w:t>2015</w:t>
            </w:r>
          </w:p>
        </w:tc>
        <w:tc>
          <w:tcPr>
            <w:tcW w:w="992" w:type="dxa"/>
            <w:shd w:val="clear" w:color="auto" w:fill="B6DDE8"/>
          </w:tcPr>
          <w:p w:rsidR="007F6E99" w:rsidRPr="00594535" w:rsidRDefault="007F6E99" w:rsidP="004E444C">
            <w:pPr>
              <w:pStyle w:val="BodyTextIndent"/>
              <w:spacing w:after="0"/>
              <w:ind w:left="0"/>
              <w:jc w:val="both"/>
              <w:rPr>
                <w:rFonts w:ascii="Arial" w:hAnsi="Arial" w:cs="Arial"/>
                <w:b/>
                <w:sz w:val="24"/>
                <w:szCs w:val="24"/>
              </w:rPr>
            </w:pPr>
            <w:r>
              <w:rPr>
                <w:rFonts w:ascii="Arial" w:hAnsi="Arial" w:cs="Arial"/>
                <w:b/>
                <w:sz w:val="24"/>
                <w:szCs w:val="24"/>
              </w:rPr>
              <w:t>2016</w:t>
            </w:r>
          </w:p>
        </w:tc>
        <w:tc>
          <w:tcPr>
            <w:tcW w:w="992" w:type="dxa"/>
            <w:shd w:val="clear" w:color="auto" w:fill="B6DDE8"/>
            <w:vAlign w:val="center"/>
          </w:tcPr>
          <w:p w:rsidR="007F6E99" w:rsidRPr="00594535" w:rsidRDefault="007F6E99" w:rsidP="004E444C">
            <w:pPr>
              <w:pStyle w:val="BodyTextIndent"/>
              <w:spacing w:after="0"/>
              <w:ind w:left="0"/>
              <w:jc w:val="both"/>
              <w:rPr>
                <w:rFonts w:ascii="Arial" w:hAnsi="Arial" w:cs="Arial"/>
                <w:b/>
                <w:sz w:val="24"/>
                <w:szCs w:val="24"/>
              </w:rPr>
            </w:pPr>
            <w:r>
              <w:rPr>
                <w:rFonts w:ascii="Arial" w:hAnsi="Arial" w:cs="Arial"/>
                <w:b/>
                <w:sz w:val="24"/>
                <w:szCs w:val="24"/>
              </w:rPr>
              <w:t>2017</w:t>
            </w: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 xml:space="preserve">Număr de evenimente identificate la nivelul judeţului </w:t>
            </w:r>
            <w:r>
              <w:rPr>
                <w:rFonts w:ascii="Arial" w:hAnsi="Arial" w:cs="Arial"/>
                <w:sz w:val="24"/>
                <w:szCs w:val="24"/>
              </w:rPr>
              <w:t>Brăila</w:t>
            </w:r>
          </w:p>
        </w:tc>
        <w:tc>
          <w:tcPr>
            <w:tcW w:w="992" w:type="dxa"/>
            <w:shd w:val="clear" w:color="auto" w:fill="DAEEF3"/>
            <w:vAlign w:val="center"/>
          </w:tcPr>
          <w:p w:rsidR="007F6E99" w:rsidRPr="00594535" w:rsidRDefault="007F6E99" w:rsidP="004E444C">
            <w:pPr>
              <w:pStyle w:val="BodyTextIndent"/>
              <w:spacing w:after="0" w:line="240" w:lineRule="auto"/>
              <w:ind w:left="0"/>
              <w:jc w:val="center"/>
              <w:rPr>
                <w:rFonts w:ascii="Arial" w:hAnsi="Arial" w:cs="Arial"/>
                <w:sz w:val="24"/>
                <w:szCs w:val="24"/>
              </w:rPr>
            </w:pPr>
            <w:r w:rsidRPr="00594535">
              <w:rPr>
                <w:rFonts w:ascii="Arial" w:hAnsi="Arial" w:cs="Arial"/>
                <w:sz w:val="24"/>
                <w:szCs w:val="24"/>
              </w:rPr>
              <w:t>18</w:t>
            </w:r>
          </w:p>
        </w:tc>
        <w:tc>
          <w:tcPr>
            <w:tcW w:w="992" w:type="dxa"/>
            <w:shd w:val="clear" w:color="auto" w:fill="DAEEF3"/>
            <w:vAlign w:val="center"/>
          </w:tcPr>
          <w:p w:rsidR="007F6E99" w:rsidRPr="00594535" w:rsidRDefault="007F6E99" w:rsidP="004E444C">
            <w:pPr>
              <w:pStyle w:val="BodyTextIndent"/>
              <w:spacing w:after="0" w:line="240" w:lineRule="auto"/>
              <w:ind w:left="0"/>
              <w:jc w:val="center"/>
              <w:rPr>
                <w:rFonts w:ascii="Arial" w:hAnsi="Arial" w:cs="Arial"/>
                <w:sz w:val="24"/>
                <w:szCs w:val="24"/>
              </w:rPr>
            </w:pPr>
            <w:r w:rsidRPr="00594535">
              <w:rPr>
                <w:rFonts w:ascii="Arial" w:hAnsi="Arial" w:cs="Arial"/>
                <w:sz w:val="24"/>
                <w:szCs w:val="24"/>
              </w:rPr>
              <w:t>21</w:t>
            </w:r>
          </w:p>
        </w:tc>
        <w:tc>
          <w:tcPr>
            <w:tcW w:w="992" w:type="dxa"/>
            <w:shd w:val="clear" w:color="auto" w:fill="DAEEF3"/>
            <w:vAlign w:val="center"/>
          </w:tcPr>
          <w:p w:rsidR="007F6E99" w:rsidRPr="00594535" w:rsidRDefault="007F6E99" w:rsidP="004E444C">
            <w:pPr>
              <w:pStyle w:val="BodyTextIndent"/>
              <w:spacing w:after="0" w:line="240" w:lineRule="auto"/>
              <w:ind w:left="0"/>
              <w:jc w:val="center"/>
              <w:rPr>
                <w:rFonts w:ascii="Arial" w:hAnsi="Arial" w:cs="Arial"/>
                <w:sz w:val="24"/>
                <w:szCs w:val="24"/>
              </w:rPr>
            </w:pPr>
            <w:r w:rsidRPr="00594535">
              <w:rPr>
                <w:rFonts w:ascii="Arial" w:hAnsi="Arial" w:cs="Arial"/>
                <w:sz w:val="24"/>
                <w:szCs w:val="24"/>
              </w:rPr>
              <w:t>36</w:t>
            </w:r>
          </w:p>
        </w:tc>
        <w:tc>
          <w:tcPr>
            <w:tcW w:w="992" w:type="dxa"/>
            <w:shd w:val="clear" w:color="auto" w:fill="DAEEF3"/>
            <w:vAlign w:val="center"/>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26</w:t>
            </w:r>
          </w:p>
        </w:tc>
        <w:tc>
          <w:tcPr>
            <w:tcW w:w="992" w:type="dxa"/>
            <w:shd w:val="clear" w:color="auto" w:fill="DAEEF3"/>
            <w:vAlign w:val="center"/>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21</w:t>
            </w: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de victime</w:t>
            </w:r>
          </w:p>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Total din care:</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persoane decedate</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persoane rănite</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persoane evacuate</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persoane cu locuinţe distruse</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r w:rsidR="007F6E99" w:rsidRPr="0090130C" w:rsidTr="004E444C">
        <w:trPr>
          <w:jc w:val="center"/>
        </w:trPr>
        <w:tc>
          <w:tcPr>
            <w:tcW w:w="3258" w:type="dxa"/>
            <w:shd w:val="clear" w:color="auto" w:fill="DAEEF3"/>
          </w:tcPr>
          <w:p w:rsidR="007F6E99" w:rsidRPr="00594535" w:rsidRDefault="007F6E99" w:rsidP="004E444C">
            <w:pPr>
              <w:pStyle w:val="BodyTextIndent"/>
              <w:spacing w:after="0" w:line="240" w:lineRule="auto"/>
              <w:ind w:left="0"/>
              <w:rPr>
                <w:rFonts w:ascii="Arial" w:hAnsi="Arial" w:cs="Arial"/>
                <w:sz w:val="24"/>
                <w:szCs w:val="24"/>
              </w:rPr>
            </w:pPr>
            <w:r w:rsidRPr="00594535">
              <w:rPr>
                <w:rFonts w:ascii="Arial" w:hAnsi="Arial" w:cs="Arial"/>
                <w:sz w:val="24"/>
                <w:szCs w:val="24"/>
              </w:rPr>
              <w:t>Număr cazuri îmbolnăviri datorită consumului de apă contaminată</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F6E99" w:rsidRPr="00594535" w:rsidRDefault="007F6E99" w:rsidP="004E444C">
            <w:pPr>
              <w:pStyle w:val="BodyTextIndent"/>
              <w:spacing w:after="0" w:line="240" w:lineRule="auto"/>
              <w:ind w:left="0"/>
              <w:jc w:val="center"/>
              <w:rPr>
                <w:rFonts w:ascii="Arial" w:hAnsi="Arial" w:cs="Arial"/>
                <w:sz w:val="24"/>
                <w:szCs w:val="24"/>
              </w:rPr>
            </w:pPr>
            <w:r>
              <w:rPr>
                <w:rFonts w:ascii="Arial" w:hAnsi="Arial" w:cs="Arial"/>
                <w:sz w:val="24"/>
                <w:szCs w:val="24"/>
              </w:rPr>
              <w:t>-</w:t>
            </w:r>
          </w:p>
        </w:tc>
        <w:tc>
          <w:tcPr>
            <w:tcW w:w="992" w:type="dxa"/>
            <w:shd w:val="clear" w:color="auto" w:fill="DAEEF3"/>
            <w:vAlign w:val="center"/>
          </w:tcPr>
          <w:p w:rsidR="007F6E99" w:rsidRPr="00594535" w:rsidRDefault="007F6E99" w:rsidP="004E444C">
            <w:pPr>
              <w:pStyle w:val="BodyTextIndent"/>
              <w:spacing w:after="0" w:line="240" w:lineRule="auto"/>
              <w:ind w:left="0"/>
              <w:jc w:val="both"/>
              <w:rPr>
                <w:rFonts w:ascii="Arial" w:hAnsi="Arial" w:cs="Arial"/>
                <w:sz w:val="24"/>
                <w:szCs w:val="24"/>
              </w:rPr>
            </w:pPr>
          </w:p>
        </w:tc>
      </w:tr>
    </w:tbl>
    <w:p w:rsidR="007F6E99" w:rsidRDefault="007F6E99" w:rsidP="007F6E99">
      <w:pPr>
        <w:pStyle w:val="BodyTextIndent"/>
        <w:spacing w:after="0"/>
        <w:ind w:left="0"/>
        <w:jc w:val="both"/>
        <w:rPr>
          <w:rFonts w:ascii="Arial" w:hAnsi="Arial" w:cs="Arial"/>
          <w:i/>
          <w:sz w:val="20"/>
          <w:szCs w:val="20"/>
        </w:rPr>
      </w:pPr>
      <w:r>
        <w:rPr>
          <w:rFonts w:ascii="Arial" w:hAnsi="Arial" w:cs="Arial"/>
          <w:i/>
          <w:sz w:val="20"/>
          <w:szCs w:val="20"/>
        </w:rPr>
        <w:t xml:space="preserve">                 </w:t>
      </w:r>
      <w:r w:rsidRPr="00987ECA">
        <w:rPr>
          <w:rFonts w:ascii="Arial" w:hAnsi="Arial" w:cs="Arial"/>
          <w:i/>
          <w:sz w:val="20"/>
          <w:szCs w:val="20"/>
        </w:rPr>
        <w:t>Notă: Informații furnizate de către</w:t>
      </w:r>
      <w:r>
        <w:rPr>
          <w:rFonts w:ascii="Arial" w:hAnsi="Arial" w:cs="Arial"/>
          <w:i/>
          <w:sz w:val="20"/>
          <w:szCs w:val="20"/>
        </w:rPr>
        <w:t xml:space="preserve"> ISU ,,Dunărea,, al </w:t>
      </w:r>
      <w:r w:rsidRPr="00987ECA">
        <w:rPr>
          <w:rFonts w:ascii="Arial" w:hAnsi="Arial" w:cs="Arial"/>
          <w:i/>
          <w:sz w:val="20"/>
          <w:szCs w:val="20"/>
        </w:rPr>
        <w:t xml:space="preserve">județului </w:t>
      </w:r>
      <w:r>
        <w:rPr>
          <w:rFonts w:ascii="Arial" w:hAnsi="Arial" w:cs="Arial"/>
          <w:i/>
          <w:sz w:val="20"/>
          <w:szCs w:val="20"/>
        </w:rPr>
        <w:t>Brăila</w:t>
      </w:r>
    </w:p>
    <w:p w:rsidR="007F6E99" w:rsidRPr="00594535" w:rsidRDefault="007F6E99" w:rsidP="007F6E99">
      <w:pPr>
        <w:pStyle w:val="BodyTextIndent"/>
        <w:spacing w:after="0"/>
        <w:ind w:left="0"/>
        <w:jc w:val="both"/>
        <w:rPr>
          <w:rFonts w:ascii="Arial" w:hAnsi="Arial" w:cs="Arial"/>
          <w:sz w:val="24"/>
          <w:szCs w:val="24"/>
        </w:rPr>
      </w:pPr>
    </w:p>
    <w:p w:rsidR="007F6E99" w:rsidRPr="00594535" w:rsidRDefault="007F6E99" w:rsidP="007F6E99">
      <w:pPr>
        <w:autoSpaceDE w:val="0"/>
        <w:autoSpaceDN w:val="0"/>
        <w:adjustRightInd w:val="0"/>
        <w:jc w:val="both"/>
        <w:rPr>
          <w:rStyle w:val="FontStyle22"/>
          <w:rFonts w:ascii="Arial" w:hAnsi="Arial" w:cs="Arial"/>
          <w:spacing w:val="-4"/>
        </w:rPr>
      </w:pPr>
      <w:r w:rsidRPr="00C108A9">
        <w:rPr>
          <w:rFonts w:ascii="Arial" w:hAnsi="Arial" w:cs="Arial"/>
          <w:b/>
          <w:sz w:val="24"/>
          <w:szCs w:val="24"/>
        </w:rPr>
        <w:t>Tabel nr. VIII.1.5.2. – 2</w:t>
      </w:r>
      <w:r w:rsidRPr="004E720D">
        <w:rPr>
          <w:rFonts w:ascii="Arial" w:hAnsi="Arial" w:cs="Arial"/>
          <w:sz w:val="24"/>
          <w:szCs w:val="24"/>
        </w:rPr>
        <w:t xml:space="preserve"> </w:t>
      </w:r>
      <w:r w:rsidRPr="004E720D">
        <w:rPr>
          <w:rStyle w:val="FontStyle22"/>
          <w:rFonts w:ascii="Arial" w:hAnsi="Arial" w:cs="Arial"/>
          <w:spacing w:val="-4"/>
        </w:rPr>
        <w:t>Localităţi</w:t>
      </w:r>
      <w:r w:rsidRPr="00594535">
        <w:rPr>
          <w:rStyle w:val="FontStyle22"/>
          <w:rFonts w:ascii="Arial" w:hAnsi="Arial" w:cs="Arial"/>
          <w:spacing w:val="-4"/>
        </w:rPr>
        <w:t xml:space="preserve"> afectate de inundaţii </w:t>
      </w:r>
      <w:r w:rsidRPr="00594535">
        <w:rPr>
          <w:rFonts w:ascii="Arial" w:hAnsi="Arial" w:cs="Arial"/>
          <w:sz w:val="24"/>
          <w:szCs w:val="24"/>
        </w:rPr>
        <w:t xml:space="preserve">la nivelul judeţului </w:t>
      </w:r>
      <w:r>
        <w:rPr>
          <w:rFonts w:ascii="Arial" w:hAnsi="Arial" w:cs="Arial"/>
          <w:sz w:val="24"/>
          <w:szCs w:val="24"/>
        </w:rPr>
        <w:t>Brăila</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094"/>
        <w:gridCol w:w="890"/>
        <w:gridCol w:w="890"/>
        <w:gridCol w:w="890"/>
        <w:gridCol w:w="890"/>
        <w:gridCol w:w="890"/>
      </w:tblGrid>
      <w:tr w:rsidR="007F6E99" w:rsidRPr="0090130C" w:rsidTr="004E444C">
        <w:trPr>
          <w:jc w:val="center"/>
        </w:trPr>
        <w:tc>
          <w:tcPr>
            <w:tcW w:w="1094" w:type="dxa"/>
            <w:shd w:val="clear" w:color="auto" w:fill="DAEEF3"/>
          </w:tcPr>
          <w:p w:rsidR="007F6E99" w:rsidRPr="00594535" w:rsidRDefault="007F6E99" w:rsidP="004E444C">
            <w:pPr>
              <w:pStyle w:val="BodyTextIndent"/>
              <w:spacing w:after="0"/>
              <w:ind w:left="0"/>
              <w:jc w:val="both"/>
              <w:rPr>
                <w:rFonts w:ascii="Arial" w:hAnsi="Arial" w:cs="Arial"/>
                <w:sz w:val="24"/>
                <w:szCs w:val="24"/>
              </w:rPr>
            </w:pPr>
          </w:p>
        </w:tc>
        <w:tc>
          <w:tcPr>
            <w:tcW w:w="890" w:type="dxa"/>
            <w:shd w:val="clear" w:color="auto" w:fill="DAEEF3"/>
            <w:vAlign w:val="center"/>
          </w:tcPr>
          <w:p w:rsidR="007F6E99" w:rsidRPr="00594535" w:rsidRDefault="007F6E99" w:rsidP="004E444C">
            <w:pPr>
              <w:pStyle w:val="BodyTextIndent"/>
              <w:spacing w:after="0"/>
              <w:ind w:left="0"/>
              <w:jc w:val="center"/>
              <w:rPr>
                <w:rFonts w:ascii="Arial" w:hAnsi="Arial" w:cs="Arial"/>
                <w:b/>
                <w:sz w:val="24"/>
                <w:szCs w:val="24"/>
              </w:rPr>
            </w:pPr>
            <w:r w:rsidRPr="00594535">
              <w:rPr>
                <w:rFonts w:ascii="Arial" w:hAnsi="Arial" w:cs="Arial"/>
                <w:b/>
                <w:sz w:val="24"/>
                <w:szCs w:val="24"/>
              </w:rPr>
              <w:t>2013</w:t>
            </w:r>
          </w:p>
        </w:tc>
        <w:tc>
          <w:tcPr>
            <w:tcW w:w="890" w:type="dxa"/>
            <w:shd w:val="clear" w:color="auto" w:fill="DAEEF3"/>
            <w:vAlign w:val="center"/>
          </w:tcPr>
          <w:p w:rsidR="007F6E99" w:rsidRPr="00594535" w:rsidRDefault="007F6E99" w:rsidP="004E444C">
            <w:pPr>
              <w:pStyle w:val="BodyTextIndent"/>
              <w:spacing w:after="0"/>
              <w:ind w:left="0"/>
              <w:jc w:val="center"/>
              <w:rPr>
                <w:rFonts w:ascii="Arial" w:hAnsi="Arial" w:cs="Arial"/>
                <w:b/>
                <w:sz w:val="24"/>
                <w:szCs w:val="24"/>
              </w:rPr>
            </w:pPr>
            <w:r w:rsidRPr="00594535">
              <w:rPr>
                <w:rFonts w:ascii="Arial" w:hAnsi="Arial" w:cs="Arial"/>
                <w:b/>
                <w:sz w:val="24"/>
                <w:szCs w:val="24"/>
              </w:rPr>
              <w:t>2014</w:t>
            </w:r>
          </w:p>
        </w:tc>
        <w:tc>
          <w:tcPr>
            <w:tcW w:w="890" w:type="dxa"/>
            <w:shd w:val="clear" w:color="auto" w:fill="DAEEF3"/>
          </w:tcPr>
          <w:p w:rsidR="007F6E99" w:rsidRPr="00594535" w:rsidRDefault="007F6E99" w:rsidP="004E444C">
            <w:pPr>
              <w:pStyle w:val="BodyTextIndent"/>
              <w:spacing w:after="0"/>
              <w:ind w:left="0"/>
              <w:jc w:val="center"/>
              <w:rPr>
                <w:rFonts w:ascii="Arial" w:hAnsi="Arial" w:cs="Arial"/>
                <w:b/>
                <w:sz w:val="24"/>
                <w:szCs w:val="24"/>
              </w:rPr>
            </w:pPr>
            <w:r w:rsidRPr="00594535">
              <w:rPr>
                <w:rFonts w:ascii="Arial" w:hAnsi="Arial" w:cs="Arial"/>
                <w:b/>
                <w:sz w:val="24"/>
                <w:szCs w:val="24"/>
              </w:rPr>
              <w:t>2015</w:t>
            </w:r>
          </w:p>
        </w:tc>
        <w:tc>
          <w:tcPr>
            <w:tcW w:w="890" w:type="dxa"/>
            <w:shd w:val="clear" w:color="auto" w:fill="DAEEF3"/>
          </w:tcPr>
          <w:p w:rsidR="007F6E99" w:rsidRPr="00594535" w:rsidRDefault="007F6E99" w:rsidP="004E444C">
            <w:pPr>
              <w:pStyle w:val="BodyTextIndent"/>
              <w:spacing w:after="0"/>
              <w:ind w:left="0"/>
              <w:jc w:val="center"/>
              <w:rPr>
                <w:rFonts w:ascii="Arial" w:hAnsi="Arial" w:cs="Arial"/>
                <w:b/>
                <w:sz w:val="24"/>
                <w:szCs w:val="24"/>
              </w:rPr>
            </w:pPr>
            <w:r>
              <w:rPr>
                <w:rFonts w:ascii="Arial" w:hAnsi="Arial" w:cs="Arial"/>
                <w:b/>
                <w:sz w:val="24"/>
                <w:szCs w:val="24"/>
              </w:rPr>
              <w:t>2016</w:t>
            </w:r>
          </w:p>
        </w:tc>
        <w:tc>
          <w:tcPr>
            <w:tcW w:w="890" w:type="dxa"/>
            <w:shd w:val="clear" w:color="auto" w:fill="DAEEF3"/>
            <w:vAlign w:val="center"/>
          </w:tcPr>
          <w:p w:rsidR="007F6E99" w:rsidRPr="00594535" w:rsidRDefault="007F6E99" w:rsidP="004E444C">
            <w:pPr>
              <w:pStyle w:val="BodyTextIndent"/>
              <w:spacing w:after="0"/>
              <w:ind w:left="0"/>
              <w:jc w:val="center"/>
              <w:rPr>
                <w:rFonts w:ascii="Arial" w:hAnsi="Arial" w:cs="Arial"/>
                <w:b/>
                <w:sz w:val="24"/>
                <w:szCs w:val="24"/>
              </w:rPr>
            </w:pPr>
            <w:r>
              <w:rPr>
                <w:rFonts w:ascii="Arial" w:hAnsi="Arial" w:cs="Arial"/>
                <w:b/>
                <w:sz w:val="24"/>
                <w:szCs w:val="24"/>
              </w:rPr>
              <w:t>2017</w:t>
            </w:r>
          </w:p>
        </w:tc>
      </w:tr>
      <w:tr w:rsidR="007F6E99" w:rsidRPr="0090130C" w:rsidTr="004E444C">
        <w:trPr>
          <w:jc w:val="center"/>
        </w:trPr>
        <w:tc>
          <w:tcPr>
            <w:tcW w:w="1094" w:type="dxa"/>
            <w:shd w:val="clear" w:color="auto" w:fill="DAEEF3"/>
          </w:tcPr>
          <w:p w:rsidR="007F6E99" w:rsidRPr="00594535" w:rsidRDefault="007F6E99" w:rsidP="004E444C">
            <w:pPr>
              <w:pStyle w:val="Style8"/>
              <w:widowControl/>
              <w:spacing w:line="240" w:lineRule="auto"/>
              <w:ind w:firstLine="0"/>
              <w:rPr>
                <w:rStyle w:val="FontStyle22"/>
                <w:rFonts w:ascii="Arial" w:eastAsia="Calibri" w:hAnsi="Arial" w:cs="Arial"/>
                <w:spacing w:val="-4"/>
              </w:rPr>
            </w:pPr>
            <w:r w:rsidRPr="00594535">
              <w:rPr>
                <w:rStyle w:val="FontStyle22"/>
                <w:rFonts w:ascii="Arial" w:eastAsia="Calibri" w:hAnsi="Arial" w:cs="Arial"/>
                <w:spacing w:val="-4"/>
              </w:rPr>
              <w:t>Număr</w:t>
            </w:r>
          </w:p>
        </w:tc>
        <w:tc>
          <w:tcPr>
            <w:tcW w:w="890" w:type="dxa"/>
            <w:shd w:val="clear" w:color="auto" w:fill="DAEEF3"/>
          </w:tcPr>
          <w:p w:rsidR="007F6E99" w:rsidRPr="00594535" w:rsidRDefault="007F6E99" w:rsidP="004E444C">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14</w:t>
            </w:r>
          </w:p>
        </w:tc>
        <w:tc>
          <w:tcPr>
            <w:tcW w:w="890" w:type="dxa"/>
            <w:shd w:val="clear" w:color="auto" w:fill="DAEEF3"/>
          </w:tcPr>
          <w:p w:rsidR="007F6E99" w:rsidRPr="00594535" w:rsidRDefault="007F6E99" w:rsidP="004E444C">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890" w:type="dxa"/>
            <w:shd w:val="clear" w:color="auto" w:fill="DAEEF3"/>
          </w:tcPr>
          <w:p w:rsidR="007F6E99" w:rsidRPr="00594535" w:rsidRDefault="007F6E99" w:rsidP="004E444C">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890" w:type="dxa"/>
            <w:shd w:val="clear" w:color="auto" w:fill="DAEEF3"/>
          </w:tcPr>
          <w:p w:rsidR="007F6E99" w:rsidRPr="00594535" w:rsidRDefault="007F6E99" w:rsidP="004E444C">
            <w:pPr>
              <w:pStyle w:val="Style8"/>
              <w:widowControl/>
              <w:spacing w:line="240" w:lineRule="auto"/>
              <w:ind w:firstLine="0"/>
              <w:jc w:val="center"/>
              <w:rPr>
                <w:rStyle w:val="FontStyle22"/>
                <w:rFonts w:ascii="Arial" w:eastAsia="Calibri" w:hAnsi="Arial" w:cs="Arial"/>
                <w:spacing w:val="-4"/>
              </w:rPr>
            </w:pPr>
            <w:r>
              <w:rPr>
                <w:rStyle w:val="FontStyle22"/>
                <w:rFonts w:ascii="Arial" w:eastAsia="Calibri" w:hAnsi="Arial" w:cs="Arial"/>
                <w:spacing w:val="-4"/>
              </w:rPr>
              <w:t>10</w:t>
            </w:r>
          </w:p>
        </w:tc>
        <w:tc>
          <w:tcPr>
            <w:tcW w:w="890" w:type="dxa"/>
            <w:shd w:val="clear" w:color="auto" w:fill="DAEEF3"/>
          </w:tcPr>
          <w:p w:rsidR="007F6E99" w:rsidRPr="00594535" w:rsidRDefault="007F6E99" w:rsidP="004E444C">
            <w:pPr>
              <w:pStyle w:val="Style8"/>
              <w:widowControl/>
              <w:spacing w:line="240" w:lineRule="auto"/>
              <w:ind w:firstLine="0"/>
              <w:jc w:val="center"/>
              <w:rPr>
                <w:rStyle w:val="FontStyle22"/>
                <w:rFonts w:ascii="Arial" w:eastAsia="Calibri" w:hAnsi="Arial" w:cs="Arial"/>
                <w:spacing w:val="-4"/>
              </w:rPr>
            </w:pPr>
            <w:r>
              <w:rPr>
                <w:rStyle w:val="FontStyle22"/>
                <w:rFonts w:ascii="Arial" w:eastAsia="Calibri" w:hAnsi="Arial" w:cs="Arial"/>
                <w:spacing w:val="-4"/>
              </w:rPr>
              <w:t>13</w:t>
            </w:r>
          </w:p>
        </w:tc>
      </w:tr>
    </w:tbl>
    <w:p w:rsidR="007F6E99" w:rsidRDefault="007F6E99" w:rsidP="007F6E99">
      <w:pPr>
        <w:pStyle w:val="BodyTextIndent"/>
        <w:spacing w:after="0"/>
        <w:ind w:left="0"/>
        <w:jc w:val="both"/>
        <w:rPr>
          <w:rFonts w:ascii="Arial" w:hAnsi="Arial" w:cs="Arial"/>
          <w:i/>
          <w:sz w:val="20"/>
          <w:szCs w:val="20"/>
        </w:rPr>
      </w:pPr>
      <w:r>
        <w:rPr>
          <w:rFonts w:ascii="Arial" w:hAnsi="Arial" w:cs="Arial"/>
          <w:i/>
          <w:sz w:val="20"/>
          <w:szCs w:val="20"/>
        </w:rPr>
        <w:t xml:space="preserve">                                  </w:t>
      </w:r>
      <w:r w:rsidRPr="00987ECA">
        <w:rPr>
          <w:rFonts w:ascii="Arial" w:hAnsi="Arial" w:cs="Arial"/>
          <w:i/>
          <w:sz w:val="20"/>
          <w:szCs w:val="20"/>
        </w:rPr>
        <w:t>Notă: Informații furnizate de către</w:t>
      </w:r>
      <w:r>
        <w:rPr>
          <w:rFonts w:ascii="Arial" w:hAnsi="Arial" w:cs="Arial"/>
          <w:i/>
          <w:sz w:val="20"/>
          <w:szCs w:val="20"/>
        </w:rPr>
        <w:t xml:space="preserve"> ISU ,,Dunărea,, al </w:t>
      </w:r>
      <w:r w:rsidRPr="00987ECA">
        <w:rPr>
          <w:rFonts w:ascii="Arial" w:hAnsi="Arial" w:cs="Arial"/>
          <w:i/>
          <w:sz w:val="20"/>
          <w:szCs w:val="20"/>
        </w:rPr>
        <w:t xml:space="preserve">județului </w:t>
      </w:r>
      <w:r>
        <w:rPr>
          <w:rFonts w:ascii="Arial" w:hAnsi="Arial" w:cs="Arial"/>
          <w:i/>
          <w:sz w:val="20"/>
          <w:szCs w:val="20"/>
        </w:rPr>
        <w:t>Brăila</w:t>
      </w:r>
    </w:p>
    <w:p w:rsidR="007F6E99" w:rsidRPr="00594535" w:rsidRDefault="007F6E99" w:rsidP="007F6E99">
      <w:pPr>
        <w:tabs>
          <w:tab w:val="left" w:leader="dot" w:pos="8640"/>
        </w:tabs>
        <w:ind w:right="360"/>
        <w:jc w:val="both"/>
        <w:rPr>
          <w:rFonts w:ascii="Arial" w:hAnsi="Arial" w:cs="Arial"/>
          <w:b/>
          <w:sz w:val="24"/>
          <w:szCs w:val="24"/>
        </w:rPr>
      </w:pPr>
    </w:p>
    <w:p w:rsidR="007F6E99" w:rsidRDefault="007F6E99" w:rsidP="007F6E99">
      <w:pPr>
        <w:pStyle w:val="Default"/>
        <w:rPr>
          <w:rFonts w:ascii="Arial" w:hAnsi="Arial" w:cs="Arial"/>
          <w:b/>
          <w:sz w:val="28"/>
          <w:szCs w:val="28"/>
        </w:rPr>
      </w:pPr>
      <w:r w:rsidRPr="00C625DB">
        <w:rPr>
          <w:rFonts w:ascii="Arial" w:hAnsi="Arial" w:cs="Arial"/>
        </w:rPr>
        <w:t xml:space="preserve"> </w:t>
      </w:r>
      <w:r w:rsidRPr="004E720D">
        <w:rPr>
          <w:rFonts w:ascii="Arial" w:hAnsi="Arial" w:cs="Arial"/>
          <w:sz w:val="28"/>
          <w:szCs w:val="28"/>
        </w:rPr>
        <w:t xml:space="preserve"> </w:t>
      </w:r>
      <w:r w:rsidRPr="004E720D">
        <w:rPr>
          <w:rFonts w:ascii="Arial" w:hAnsi="Arial" w:cs="Arial"/>
          <w:b/>
          <w:sz w:val="28"/>
          <w:szCs w:val="28"/>
        </w:rPr>
        <w:t>IX.  RADIOACTIVITATEA MEDIULUI</w:t>
      </w:r>
    </w:p>
    <w:p w:rsidR="007F6E99" w:rsidRPr="004E720D" w:rsidRDefault="007F6E99" w:rsidP="007F6E99">
      <w:pPr>
        <w:pStyle w:val="Default"/>
        <w:rPr>
          <w:rFonts w:ascii="Arial" w:hAnsi="Arial" w:cs="Arial"/>
          <w:b/>
          <w:sz w:val="28"/>
          <w:szCs w:val="28"/>
        </w:rPr>
      </w:pPr>
    </w:p>
    <w:p w:rsidR="007F6E99" w:rsidRPr="00E863B4" w:rsidRDefault="007F6E99" w:rsidP="007F6E99">
      <w:pPr>
        <w:tabs>
          <w:tab w:val="left" w:pos="8505"/>
        </w:tabs>
        <w:spacing w:after="0" w:line="240" w:lineRule="auto"/>
        <w:jc w:val="both"/>
        <w:rPr>
          <w:rFonts w:ascii="Arial" w:eastAsia="Calibri" w:hAnsi="Arial" w:cs="Arial"/>
          <w:b/>
          <w:sz w:val="24"/>
          <w:szCs w:val="24"/>
        </w:rPr>
      </w:pPr>
      <w:r>
        <w:rPr>
          <w:rFonts w:ascii="Arial" w:eastAsia="Calibri" w:hAnsi="Arial" w:cs="Arial"/>
          <w:b/>
          <w:sz w:val="24"/>
          <w:szCs w:val="24"/>
        </w:rPr>
        <w:t xml:space="preserve">          </w:t>
      </w:r>
      <w:r w:rsidRPr="00E863B4">
        <w:rPr>
          <w:rFonts w:ascii="Arial" w:eastAsia="Calibri" w:hAnsi="Arial" w:cs="Arial"/>
          <w:b/>
          <w:sz w:val="24"/>
          <w:szCs w:val="24"/>
        </w:rPr>
        <w:t>IX.1. Monitorizarea radioactivității factorilor de mediu</w:t>
      </w:r>
    </w:p>
    <w:p w:rsidR="007F6E99" w:rsidRPr="00D6461C" w:rsidRDefault="007F6E99" w:rsidP="007F6E99">
      <w:pPr>
        <w:spacing w:after="0" w:line="240" w:lineRule="auto"/>
        <w:ind w:firstLine="720"/>
        <w:jc w:val="both"/>
        <w:rPr>
          <w:rFonts w:ascii="Arial" w:eastAsia="Calibri" w:hAnsi="Arial" w:cs="Arial"/>
          <w:sz w:val="24"/>
          <w:szCs w:val="24"/>
        </w:rPr>
      </w:pPr>
      <w:r w:rsidRPr="00D6461C">
        <w:rPr>
          <w:rFonts w:ascii="Arial" w:eastAsia="Calibri" w:hAnsi="Arial" w:cs="Arial"/>
          <w:sz w:val="24"/>
          <w:szCs w:val="24"/>
        </w:rPr>
        <w:t>Radioactivitatea este proprietatea unor elemente chimice de a emite prin dezintegrare spontană radiaţii corpusculare şi/sau electromagnetice, fiind un fenomen natural ce se manifestă în mediu.</w:t>
      </w:r>
    </w:p>
    <w:p w:rsidR="007F6E99" w:rsidRPr="00D6461C" w:rsidRDefault="007F6E99" w:rsidP="007F6E99">
      <w:pPr>
        <w:spacing w:after="0" w:line="240" w:lineRule="auto"/>
        <w:ind w:firstLine="720"/>
        <w:jc w:val="both"/>
        <w:rPr>
          <w:rFonts w:ascii="Arial" w:eastAsia="Calibri" w:hAnsi="Arial" w:cs="Arial"/>
          <w:sz w:val="24"/>
          <w:szCs w:val="24"/>
        </w:rPr>
      </w:pPr>
      <w:r w:rsidRPr="00D6461C">
        <w:rPr>
          <w:rFonts w:ascii="Arial" w:eastAsia="Calibri" w:hAnsi="Arial" w:cs="Arial"/>
          <w:sz w:val="24"/>
          <w:szCs w:val="24"/>
        </w:rPr>
        <w:t xml:space="preserve">Radioactivitatea naturală este determinată de substanţele radioactive (radionuclizi) de origine terestră (precum U-238, U-235, Th-232, Ac-228 etc.), la care se adaugă substanţele radioactive de origine cosmogenă (H-3, Be-7, C-14 etc) şi radiaţia cosmică. Substanţele radioactive de origine terestră există în natură din cele mai vechi timpuri, iar abundenţa lor este dependentă de conformaţia geologică a diferitelor zone, variind de la un loc la altul. Substanţele radioactive de origine cosmogenă se formează în straturile înalte ale atmosferei, prin interacţia radiaţiei cosmice cu elemente stabile. </w:t>
      </w:r>
    </w:p>
    <w:p w:rsidR="007F6E99" w:rsidRPr="00D6461C" w:rsidRDefault="007F6E99" w:rsidP="007F6E99">
      <w:pPr>
        <w:spacing w:after="0" w:line="240" w:lineRule="auto"/>
        <w:ind w:firstLine="720"/>
        <w:jc w:val="both"/>
        <w:rPr>
          <w:rFonts w:ascii="Arial" w:eastAsia="Calibri" w:hAnsi="Arial" w:cs="Arial"/>
          <w:sz w:val="24"/>
          <w:szCs w:val="24"/>
        </w:rPr>
      </w:pPr>
      <w:r w:rsidRPr="00D6461C">
        <w:rPr>
          <w:rFonts w:ascii="Arial" w:eastAsia="Calibri" w:hAnsi="Arial" w:cs="Arial"/>
          <w:sz w:val="24"/>
          <w:szCs w:val="24"/>
        </w:rPr>
        <w:lastRenderedPageBreak/>
        <w:t>Toate radiaţiile ionizante de origine terestră sau cosmică, constituie fondul natural de radiaţii care acţionează asupra organismelor vii. Alături de radionuclizii naturali se găsesc radionuclizii artificiali care au pătruns în mediu pe diferite căi.</w:t>
      </w:r>
    </w:p>
    <w:p w:rsidR="007F6E99" w:rsidRPr="00E863B4" w:rsidRDefault="007F6E99" w:rsidP="007F6E99">
      <w:pPr>
        <w:tabs>
          <w:tab w:val="left" w:pos="8505"/>
        </w:tabs>
        <w:spacing w:after="0" w:line="240" w:lineRule="auto"/>
        <w:jc w:val="both"/>
        <w:rPr>
          <w:rFonts w:ascii="Arial" w:eastAsia="Calibri" w:hAnsi="Arial" w:cs="Arial"/>
          <w:b/>
          <w:sz w:val="24"/>
          <w:szCs w:val="24"/>
        </w:rPr>
      </w:pPr>
    </w:p>
    <w:p w:rsidR="007F6E99" w:rsidRDefault="007F6E99" w:rsidP="007F6E99">
      <w:pPr>
        <w:tabs>
          <w:tab w:val="left" w:pos="8505"/>
        </w:tabs>
        <w:spacing w:after="0" w:line="240" w:lineRule="auto"/>
        <w:ind w:firstLine="567"/>
        <w:jc w:val="both"/>
        <w:rPr>
          <w:rFonts w:ascii="Arial" w:eastAsia="Calibri" w:hAnsi="Arial" w:cs="Arial"/>
          <w:b/>
          <w:i/>
          <w:sz w:val="24"/>
          <w:szCs w:val="24"/>
        </w:rPr>
      </w:pPr>
      <w:r w:rsidRPr="00E863B4">
        <w:rPr>
          <w:rFonts w:ascii="Arial" w:eastAsia="Calibri" w:hAnsi="Arial" w:cs="Arial"/>
          <w:b/>
          <w:sz w:val="24"/>
          <w:szCs w:val="24"/>
        </w:rPr>
        <w:t xml:space="preserve">IX.1.1. </w:t>
      </w:r>
      <w:r w:rsidRPr="00E863B4">
        <w:rPr>
          <w:rFonts w:ascii="Arial" w:eastAsia="Calibri" w:hAnsi="Arial" w:cs="Arial"/>
          <w:b/>
          <w:i/>
          <w:sz w:val="24"/>
          <w:szCs w:val="24"/>
        </w:rPr>
        <w:t>Radioactivitatea aerului</w:t>
      </w:r>
    </w:p>
    <w:p w:rsidR="005F3EF8" w:rsidRPr="00E863B4" w:rsidRDefault="005F3EF8" w:rsidP="007F6E99">
      <w:pPr>
        <w:tabs>
          <w:tab w:val="left" w:pos="8505"/>
        </w:tabs>
        <w:spacing w:after="0" w:line="240" w:lineRule="auto"/>
        <w:ind w:firstLine="567"/>
        <w:jc w:val="both"/>
        <w:rPr>
          <w:rFonts w:ascii="Arial" w:eastAsia="Calibri" w:hAnsi="Arial" w:cs="Arial"/>
          <w:b/>
          <w:i/>
          <w:sz w:val="24"/>
          <w:szCs w:val="24"/>
        </w:rPr>
      </w:pPr>
    </w:p>
    <w:p w:rsidR="007F6E99" w:rsidRPr="00E863B4" w:rsidRDefault="007F6E99" w:rsidP="007F6E99">
      <w:pPr>
        <w:tabs>
          <w:tab w:val="left" w:pos="8505"/>
        </w:tabs>
        <w:spacing w:after="0" w:line="240" w:lineRule="auto"/>
        <w:jc w:val="both"/>
        <w:rPr>
          <w:rFonts w:ascii="Arial" w:eastAsia="Calibri" w:hAnsi="Arial" w:cs="Arial"/>
          <w:b/>
          <w:sz w:val="24"/>
          <w:szCs w:val="24"/>
        </w:rPr>
      </w:pPr>
      <w:r w:rsidRPr="00E863B4">
        <w:rPr>
          <w:rFonts w:ascii="Arial" w:eastAsia="Calibri" w:hAnsi="Arial" w:cs="Arial"/>
          <w:b/>
          <w:sz w:val="24"/>
          <w:szCs w:val="24"/>
        </w:rPr>
        <w:t xml:space="preserve">    Debitul dozei gamma absorbită în aer</w:t>
      </w:r>
    </w:p>
    <w:p w:rsidR="007F6E99" w:rsidRDefault="007F6E99" w:rsidP="007F6E99">
      <w:pPr>
        <w:spacing w:after="0" w:line="240" w:lineRule="auto"/>
        <w:jc w:val="both"/>
        <w:rPr>
          <w:rFonts w:ascii="Arial" w:eastAsia="SimSun" w:hAnsi="Arial" w:cs="Arial"/>
          <w:sz w:val="24"/>
          <w:szCs w:val="24"/>
          <w:lang w:val="en-GB"/>
        </w:rPr>
      </w:pPr>
      <w:r>
        <w:rPr>
          <w:rFonts w:ascii="Arial" w:eastAsia="SimSun" w:hAnsi="Arial" w:cs="Arial"/>
          <w:sz w:val="24"/>
          <w:szCs w:val="24"/>
          <w:lang w:val="en-GB"/>
        </w:rPr>
        <w:t xml:space="preserve">     </w:t>
      </w:r>
      <w:r w:rsidRPr="00E863B4">
        <w:rPr>
          <w:rFonts w:ascii="Arial" w:eastAsia="SimSun" w:hAnsi="Arial" w:cs="Arial"/>
          <w:sz w:val="24"/>
          <w:szCs w:val="24"/>
          <w:lang w:val="en-GB"/>
        </w:rPr>
        <w:t>Reţeaua</w:t>
      </w:r>
      <w:r>
        <w:rPr>
          <w:rFonts w:ascii="Arial" w:eastAsia="SimSun" w:hAnsi="Arial" w:cs="Arial"/>
          <w:sz w:val="24"/>
          <w:szCs w:val="24"/>
          <w:lang w:val="en-GB"/>
        </w:rPr>
        <w:t xml:space="preserve"> </w:t>
      </w:r>
      <w:r w:rsidRPr="00E863B4">
        <w:rPr>
          <w:rFonts w:ascii="Arial" w:eastAsia="SimSun" w:hAnsi="Arial" w:cs="Arial"/>
          <w:sz w:val="24"/>
          <w:szCs w:val="24"/>
          <w:lang w:val="en-GB"/>
        </w:rPr>
        <w:t>Naţională de Supraveghere a Radioactivităţii</w:t>
      </w:r>
      <w:r>
        <w:rPr>
          <w:rFonts w:ascii="Arial" w:eastAsia="SimSun" w:hAnsi="Arial" w:cs="Arial"/>
          <w:sz w:val="24"/>
          <w:szCs w:val="24"/>
          <w:lang w:val="en-GB"/>
        </w:rPr>
        <w:t xml:space="preserve"> </w:t>
      </w:r>
      <w:r w:rsidRPr="00E863B4">
        <w:rPr>
          <w:rFonts w:ascii="Arial" w:eastAsia="SimSun" w:hAnsi="Arial" w:cs="Arial"/>
          <w:sz w:val="24"/>
          <w:szCs w:val="24"/>
          <w:lang w:val="en-GB"/>
        </w:rPr>
        <w:t>Mediului (RNSRM) face parte din Sistemul</w:t>
      </w:r>
      <w:r>
        <w:rPr>
          <w:rFonts w:ascii="Arial" w:eastAsia="SimSun" w:hAnsi="Arial" w:cs="Arial"/>
          <w:sz w:val="24"/>
          <w:szCs w:val="24"/>
          <w:lang w:val="en-GB"/>
        </w:rPr>
        <w:t xml:space="preserve"> </w:t>
      </w:r>
      <w:r w:rsidRPr="00E863B4">
        <w:rPr>
          <w:rFonts w:ascii="Arial" w:eastAsia="SimSun" w:hAnsi="Arial" w:cs="Arial"/>
          <w:sz w:val="24"/>
          <w:szCs w:val="24"/>
          <w:lang w:val="en-GB"/>
        </w:rPr>
        <w:t>Integrat de Supraveghere a Poluării</w:t>
      </w:r>
      <w:r>
        <w:rPr>
          <w:rFonts w:ascii="Arial" w:eastAsia="SimSun" w:hAnsi="Arial" w:cs="Arial"/>
          <w:sz w:val="24"/>
          <w:szCs w:val="24"/>
          <w:lang w:val="en-GB"/>
        </w:rPr>
        <w:t xml:space="preserve"> </w:t>
      </w:r>
      <w:r w:rsidRPr="00E863B4">
        <w:rPr>
          <w:rFonts w:ascii="Arial" w:eastAsia="SimSun" w:hAnsi="Arial" w:cs="Arial"/>
          <w:sz w:val="24"/>
          <w:szCs w:val="24"/>
          <w:lang w:val="en-GB"/>
        </w:rPr>
        <w:t>Mediului</w:t>
      </w:r>
      <w:r>
        <w:rPr>
          <w:rFonts w:ascii="Arial" w:eastAsia="SimSun" w:hAnsi="Arial" w:cs="Arial"/>
          <w:sz w:val="24"/>
          <w:szCs w:val="24"/>
          <w:lang w:val="en-GB"/>
        </w:rPr>
        <w:t xml:space="preserve"> </w:t>
      </w:r>
      <w:r w:rsidRPr="00E863B4">
        <w:rPr>
          <w:rFonts w:ascii="Arial" w:eastAsia="SimSun" w:hAnsi="Arial" w:cs="Arial"/>
          <w:sz w:val="24"/>
          <w:szCs w:val="24"/>
          <w:lang w:val="en-GB"/>
        </w:rPr>
        <w:t>pe</w:t>
      </w:r>
      <w:r>
        <w:rPr>
          <w:rFonts w:ascii="Arial" w:eastAsia="SimSun" w:hAnsi="Arial" w:cs="Arial"/>
          <w:sz w:val="24"/>
          <w:szCs w:val="24"/>
          <w:lang w:val="en-GB"/>
        </w:rPr>
        <w:t xml:space="preserve"> </w:t>
      </w:r>
      <w:r w:rsidRPr="00E863B4">
        <w:rPr>
          <w:rFonts w:ascii="Arial" w:eastAsia="SimSun" w:hAnsi="Arial" w:cs="Arial"/>
          <w:sz w:val="24"/>
          <w:szCs w:val="24"/>
          <w:lang w:val="en-GB"/>
        </w:rPr>
        <w:t>teritoriul</w:t>
      </w:r>
      <w:r>
        <w:rPr>
          <w:rFonts w:ascii="Arial" w:eastAsia="SimSun" w:hAnsi="Arial" w:cs="Arial"/>
          <w:sz w:val="24"/>
          <w:szCs w:val="24"/>
          <w:lang w:val="en-GB"/>
        </w:rPr>
        <w:t xml:space="preserve"> </w:t>
      </w:r>
      <w:r w:rsidRPr="00E863B4">
        <w:rPr>
          <w:rFonts w:ascii="Arial" w:eastAsia="SimSun" w:hAnsi="Arial" w:cs="Arial"/>
          <w:sz w:val="24"/>
          <w:szCs w:val="24"/>
          <w:lang w:val="en-GB"/>
        </w:rPr>
        <w:t>României, din cadrul</w:t>
      </w:r>
      <w:r>
        <w:rPr>
          <w:rFonts w:ascii="Arial" w:eastAsia="SimSun" w:hAnsi="Arial" w:cs="Arial"/>
          <w:sz w:val="24"/>
          <w:szCs w:val="24"/>
          <w:lang w:val="en-GB"/>
        </w:rPr>
        <w:t xml:space="preserve"> </w:t>
      </w:r>
      <w:r w:rsidRPr="00E863B4">
        <w:rPr>
          <w:rFonts w:ascii="Arial" w:eastAsia="SimSun" w:hAnsi="Arial" w:cs="Arial"/>
          <w:sz w:val="24"/>
          <w:szCs w:val="24"/>
          <w:lang w:val="en-GB"/>
        </w:rPr>
        <w:t>Ministerului</w:t>
      </w:r>
      <w:r>
        <w:rPr>
          <w:rFonts w:ascii="Arial" w:eastAsia="SimSun" w:hAnsi="Arial" w:cs="Arial"/>
          <w:sz w:val="24"/>
          <w:szCs w:val="24"/>
          <w:lang w:val="en-GB"/>
        </w:rPr>
        <w:t xml:space="preserve"> </w:t>
      </w:r>
      <w:r w:rsidRPr="00E863B4">
        <w:rPr>
          <w:rFonts w:ascii="Arial" w:eastAsia="SimSun" w:hAnsi="Arial" w:cs="Arial"/>
          <w:sz w:val="24"/>
          <w:szCs w:val="24"/>
          <w:lang w:val="en-GB"/>
        </w:rPr>
        <w:t>Mediului, Apelor</w:t>
      </w:r>
      <w:r>
        <w:rPr>
          <w:rFonts w:ascii="Arial" w:eastAsia="SimSun" w:hAnsi="Arial" w:cs="Arial"/>
          <w:sz w:val="24"/>
          <w:szCs w:val="24"/>
          <w:lang w:val="en-GB"/>
        </w:rPr>
        <w:t xml:space="preserve"> </w:t>
      </w:r>
      <w:r w:rsidRPr="00E863B4">
        <w:rPr>
          <w:rFonts w:ascii="Arial" w:eastAsia="SimSun" w:hAnsi="Arial" w:cs="Arial"/>
          <w:sz w:val="24"/>
          <w:szCs w:val="24"/>
          <w:lang w:val="en-GB"/>
        </w:rPr>
        <w:t>și</w:t>
      </w:r>
      <w:r>
        <w:rPr>
          <w:rFonts w:ascii="Arial" w:eastAsia="SimSun" w:hAnsi="Arial" w:cs="Arial"/>
          <w:sz w:val="24"/>
          <w:szCs w:val="24"/>
          <w:lang w:val="en-GB"/>
        </w:rPr>
        <w:t xml:space="preserve"> </w:t>
      </w:r>
      <w:r w:rsidRPr="00E863B4">
        <w:rPr>
          <w:rFonts w:ascii="Arial" w:eastAsia="SimSun" w:hAnsi="Arial" w:cs="Arial"/>
          <w:sz w:val="24"/>
          <w:szCs w:val="24"/>
          <w:lang w:val="en-GB"/>
        </w:rPr>
        <w:t>Pădurilor</w:t>
      </w:r>
      <w:r>
        <w:rPr>
          <w:rFonts w:ascii="Arial" w:eastAsia="SimSun" w:hAnsi="Arial" w:cs="Arial"/>
          <w:sz w:val="24"/>
          <w:szCs w:val="24"/>
          <w:lang w:val="en-GB"/>
        </w:rPr>
        <w:t>.</w:t>
      </w:r>
    </w:p>
    <w:p w:rsidR="007F6E99" w:rsidRPr="00E863B4" w:rsidRDefault="007F6E99" w:rsidP="007F6E99">
      <w:pPr>
        <w:spacing w:after="0" w:line="240" w:lineRule="auto"/>
        <w:jc w:val="both"/>
        <w:rPr>
          <w:rFonts w:ascii="Arial" w:eastAsia="SimSun" w:hAnsi="Arial" w:cs="Arial"/>
          <w:sz w:val="24"/>
          <w:szCs w:val="24"/>
          <w:lang w:val="en-GB"/>
        </w:rPr>
      </w:pPr>
      <w:r w:rsidRPr="00E863B4">
        <w:rPr>
          <w:rFonts w:ascii="Arial" w:eastAsia="SimSun" w:hAnsi="Arial" w:cs="Arial"/>
          <w:color w:val="00B050"/>
          <w:sz w:val="24"/>
          <w:szCs w:val="24"/>
          <w:lang w:val="en-GB"/>
        </w:rPr>
        <w:t xml:space="preserve"> </w:t>
      </w:r>
      <w:r>
        <w:rPr>
          <w:rFonts w:ascii="Arial" w:eastAsia="SimSun" w:hAnsi="Arial" w:cs="Arial"/>
          <w:color w:val="00B050"/>
          <w:sz w:val="24"/>
          <w:szCs w:val="24"/>
          <w:lang w:val="en-GB"/>
        </w:rPr>
        <w:t xml:space="preserve">  </w:t>
      </w:r>
      <w:r w:rsidRPr="00D6461C">
        <w:rPr>
          <w:rFonts w:ascii="Arial" w:eastAsia="SimSun" w:hAnsi="Arial" w:cs="Arial"/>
          <w:sz w:val="24"/>
          <w:szCs w:val="24"/>
          <w:lang w:val="en-GB"/>
        </w:rPr>
        <w:t>Înfiinţată</w:t>
      </w:r>
      <w:r>
        <w:rPr>
          <w:rFonts w:ascii="Arial" w:eastAsia="SimSun" w:hAnsi="Arial" w:cs="Arial"/>
          <w:sz w:val="24"/>
          <w:szCs w:val="24"/>
          <w:lang w:val="en-GB"/>
        </w:rPr>
        <w:t xml:space="preserve"> </w:t>
      </w:r>
      <w:r w:rsidRPr="00D6461C">
        <w:rPr>
          <w:rFonts w:ascii="Arial" w:eastAsia="SimSun" w:hAnsi="Arial" w:cs="Arial"/>
          <w:sz w:val="24"/>
          <w:szCs w:val="24"/>
          <w:lang w:val="en-GB"/>
        </w:rPr>
        <w:t xml:space="preserve">înanul 1962, RNSRM constituie o </w:t>
      </w:r>
      <w:r>
        <w:rPr>
          <w:rFonts w:ascii="Arial" w:eastAsia="SimSun" w:hAnsi="Arial" w:cs="Arial"/>
          <w:sz w:val="24"/>
          <w:szCs w:val="24"/>
          <w:lang w:val="en-GB"/>
        </w:rPr>
        <w:t xml:space="preserve">componentă </w:t>
      </w:r>
      <w:r w:rsidRPr="00D6461C">
        <w:rPr>
          <w:rFonts w:ascii="Arial" w:eastAsia="SimSun" w:hAnsi="Arial" w:cs="Arial"/>
          <w:sz w:val="24"/>
          <w:szCs w:val="24"/>
          <w:lang w:val="en-GB"/>
        </w:rPr>
        <w:t>specializată a sistemului</w:t>
      </w:r>
      <w:r>
        <w:rPr>
          <w:rFonts w:ascii="Arial" w:eastAsia="SimSun" w:hAnsi="Arial" w:cs="Arial"/>
          <w:sz w:val="24"/>
          <w:szCs w:val="24"/>
          <w:lang w:val="en-GB"/>
        </w:rPr>
        <w:t xml:space="preserve"> </w:t>
      </w:r>
      <w:r w:rsidRPr="00D6461C">
        <w:rPr>
          <w:rFonts w:ascii="Arial" w:eastAsia="SimSun" w:hAnsi="Arial" w:cs="Arial"/>
          <w:sz w:val="24"/>
          <w:szCs w:val="24"/>
          <w:lang w:val="en-GB"/>
        </w:rPr>
        <w:t>naţional de radioprotecţie,care</w:t>
      </w:r>
      <w:r>
        <w:rPr>
          <w:rFonts w:ascii="Arial" w:eastAsia="SimSun" w:hAnsi="Arial" w:cs="Arial"/>
          <w:sz w:val="24"/>
          <w:szCs w:val="24"/>
          <w:lang w:val="en-GB"/>
        </w:rPr>
        <w:t xml:space="preserve"> </w:t>
      </w:r>
      <w:r w:rsidRPr="00D6461C">
        <w:rPr>
          <w:rFonts w:ascii="Arial" w:eastAsia="SimSun" w:hAnsi="Arial" w:cs="Arial"/>
          <w:sz w:val="24"/>
          <w:szCs w:val="24"/>
          <w:lang w:val="en-GB"/>
        </w:rPr>
        <w:t>realizează</w:t>
      </w:r>
      <w:r>
        <w:rPr>
          <w:rFonts w:ascii="Arial" w:eastAsia="SimSun" w:hAnsi="Arial" w:cs="Arial"/>
          <w:sz w:val="24"/>
          <w:szCs w:val="24"/>
          <w:lang w:val="en-GB"/>
        </w:rPr>
        <w:t xml:space="preserve"> </w:t>
      </w:r>
      <w:r w:rsidRPr="00D6461C">
        <w:rPr>
          <w:rFonts w:ascii="Arial" w:eastAsia="SimSun" w:hAnsi="Arial" w:cs="Arial"/>
          <w:sz w:val="24"/>
          <w:szCs w:val="24"/>
          <w:lang w:val="en-GB"/>
        </w:rPr>
        <w:t>supravegherea</w:t>
      </w:r>
      <w:r>
        <w:rPr>
          <w:rFonts w:ascii="Arial" w:eastAsia="SimSun" w:hAnsi="Arial" w:cs="Arial"/>
          <w:sz w:val="24"/>
          <w:szCs w:val="24"/>
          <w:lang w:val="en-GB"/>
        </w:rPr>
        <w:t xml:space="preserve"> </w:t>
      </w:r>
      <w:r w:rsidRPr="00D6461C">
        <w:rPr>
          <w:rFonts w:ascii="Arial" w:eastAsia="SimSun" w:hAnsi="Arial" w:cs="Arial"/>
          <w:sz w:val="24"/>
          <w:szCs w:val="24"/>
          <w:lang w:val="en-GB"/>
        </w:rPr>
        <w:t>şi</w:t>
      </w:r>
      <w:r>
        <w:rPr>
          <w:rFonts w:ascii="Arial" w:eastAsia="SimSun" w:hAnsi="Arial" w:cs="Arial"/>
          <w:sz w:val="24"/>
          <w:szCs w:val="24"/>
          <w:lang w:val="en-GB"/>
        </w:rPr>
        <w:t xml:space="preserve"> </w:t>
      </w:r>
      <w:r w:rsidRPr="00D6461C">
        <w:rPr>
          <w:rFonts w:ascii="Arial" w:eastAsia="SimSun" w:hAnsi="Arial" w:cs="Arial"/>
          <w:sz w:val="24"/>
          <w:szCs w:val="24"/>
          <w:lang w:val="en-GB"/>
        </w:rPr>
        <w:t>controlul</w:t>
      </w:r>
      <w:r>
        <w:rPr>
          <w:rFonts w:ascii="Arial" w:eastAsia="SimSun" w:hAnsi="Arial" w:cs="Arial"/>
          <w:sz w:val="24"/>
          <w:szCs w:val="24"/>
          <w:lang w:val="en-GB"/>
        </w:rPr>
        <w:t xml:space="preserve"> </w:t>
      </w:r>
      <w:r w:rsidRPr="00D6461C">
        <w:rPr>
          <w:rFonts w:ascii="Arial" w:eastAsia="SimSun" w:hAnsi="Arial" w:cs="Arial"/>
          <w:sz w:val="24"/>
          <w:szCs w:val="24"/>
          <w:lang w:val="en-GB"/>
        </w:rPr>
        <w:t>respectării</w:t>
      </w:r>
      <w:r>
        <w:rPr>
          <w:rFonts w:ascii="Arial" w:eastAsia="SimSun" w:hAnsi="Arial" w:cs="Arial"/>
          <w:sz w:val="24"/>
          <w:szCs w:val="24"/>
          <w:lang w:val="en-GB"/>
        </w:rPr>
        <w:t xml:space="preserve"> </w:t>
      </w:r>
      <w:r w:rsidRPr="00D6461C">
        <w:rPr>
          <w:rFonts w:ascii="Arial" w:eastAsia="SimSun" w:hAnsi="Arial" w:cs="Arial"/>
          <w:sz w:val="24"/>
          <w:szCs w:val="24"/>
          <w:lang w:val="en-GB"/>
        </w:rPr>
        <w:t>prevederilor</w:t>
      </w:r>
      <w:r>
        <w:rPr>
          <w:rFonts w:ascii="Arial" w:eastAsia="SimSun" w:hAnsi="Arial" w:cs="Arial"/>
          <w:sz w:val="24"/>
          <w:szCs w:val="24"/>
          <w:lang w:val="en-GB"/>
        </w:rPr>
        <w:t xml:space="preserve"> </w:t>
      </w:r>
      <w:r w:rsidRPr="00D6461C">
        <w:rPr>
          <w:rFonts w:ascii="Arial" w:eastAsia="SimSun" w:hAnsi="Arial" w:cs="Arial"/>
          <w:sz w:val="24"/>
          <w:szCs w:val="24"/>
          <w:lang w:val="en-GB"/>
        </w:rPr>
        <w:t>legale</w:t>
      </w:r>
      <w:r>
        <w:rPr>
          <w:rFonts w:ascii="Arial" w:eastAsia="SimSun" w:hAnsi="Arial" w:cs="Arial"/>
          <w:sz w:val="24"/>
          <w:szCs w:val="24"/>
          <w:lang w:val="en-GB"/>
        </w:rPr>
        <w:t xml:space="preserve"> </w:t>
      </w:r>
      <w:r w:rsidRPr="00D6461C">
        <w:rPr>
          <w:rFonts w:ascii="Arial" w:eastAsia="SimSun" w:hAnsi="Arial" w:cs="Arial"/>
          <w:sz w:val="24"/>
          <w:szCs w:val="24"/>
          <w:lang w:val="en-GB"/>
        </w:rPr>
        <w:t>privind</w:t>
      </w:r>
      <w:r>
        <w:rPr>
          <w:rFonts w:ascii="Arial" w:eastAsia="SimSun" w:hAnsi="Arial" w:cs="Arial"/>
          <w:sz w:val="24"/>
          <w:szCs w:val="24"/>
          <w:lang w:val="en-GB"/>
        </w:rPr>
        <w:t xml:space="preserve"> </w:t>
      </w:r>
      <w:r w:rsidRPr="00D6461C">
        <w:rPr>
          <w:rFonts w:ascii="Arial" w:eastAsia="SimSun" w:hAnsi="Arial" w:cs="Arial"/>
          <w:sz w:val="24"/>
          <w:szCs w:val="24"/>
          <w:lang w:val="en-GB"/>
        </w:rPr>
        <w:t>radioprotecţia</w:t>
      </w:r>
      <w:r>
        <w:rPr>
          <w:rFonts w:ascii="Arial" w:eastAsia="SimSun" w:hAnsi="Arial" w:cs="Arial"/>
          <w:sz w:val="24"/>
          <w:szCs w:val="24"/>
          <w:lang w:val="en-GB"/>
        </w:rPr>
        <w:t xml:space="preserve"> </w:t>
      </w:r>
      <w:r w:rsidRPr="00D6461C">
        <w:rPr>
          <w:rFonts w:ascii="Arial" w:eastAsia="SimSun" w:hAnsi="Arial" w:cs="Arial"/>
          <w:sz w:val="24"/>
          <w:szCs w:val="24"/>
          <w:lang w:val="en-GB"/>
        </w:rPr>
        <w:t>mediului</w:t>
      </w:r>
      <w:r>
        <w:rPr>
          <w:rFonts w:ascii="Arial" w:eastAsia="SimSun" w:hAnsi="Arial" w:cs="Arial"/>
          <w:sz w:val="24"/>
          <w:szCs w:val="24"/>
          <w:lang w:val="en-GB"/>
        </w:rPr>
        <w:t xml:space="preserve"> </w:t>
      </w:r>
      <w:r w:rsidRPr="00D6461C">
        <w:rPr>
          <w:rFonts w:ascii="Arial" w:eastAsia="SimSun" w:hAnsi="Arial" w:cs="Arial"/>
          <w:sz w:val="24"/>
          <w:szCs w:val="24"/>
          <w:lang w:val="en-GB"/>
        </w:rPr>
        <w:t>şi</w:t>
      </w:r>
      <w:r>
        <w:rPr>
          <w:rFonts w:ascii="Arial" w:eastAsia="SimSun" w:hAnsi="Arial" w:cs="Arial"/>
          <w:sz w:val="24"/>
          <w:szCs w:val="24"/>
          <w:lang w:val="en-GB"/>
        </w:rPr>
        <w:t xml:space="preserve"> </w:t>
      </w:r>
      <w:r w:rsidRPr="00D6461C">
        <w:rPr>
          <w:rFonts w:ascii="Arial" w:eastAsia="SimSun" w:hAnsi="Arial" w:cs="Arial"/>
          <w:sz w:val="24"/>
          <w:szCs w:val="24"/>
          <w:lang w:val="en-GB"/>
        </w:rPr>
        <w:t>asigură</w:t>
      </w:r>
      <w:r>
        <w:rPr>
          <w:rFonts w:ascii="Arial" w:eastAsia="SimSun" w:hAnsi="Arial" w:cs="Arial"/>
          <w:sz w:val="24"/>
          <w:szCs w:val="24"/>
          <w:lang w:val="en-GB"/>
        </w:rPr>
        <w:t xml:space="preserve"> </w:t>
      </w:r>
      <w:r w:rsidRPr="00D6461C">
        <w:rPr>
          <w:rFonts w:ascii="Arial" w:eastAsia="SimSun" w:hAnsi="Arial" w:cs="Arial"/>
          <w:sz w:val="24"/>
          <w:szCs w:val="24"/>
          <w:lang w:val="en-GB"/>
        </w:rPr>
        <w:t>îndeplinirea</w:t>
      </w:r>
      <w:r>
        <w:rPr>
          <w:rFonts w:ascii="Arial" w:eastAsia="SimSun" w:hAnsi="Arial" w:cs="Arial"/>
          <w:sz w:val="24"/>
          <w:szCs w:val="24"/>
          <w:lang w:val="en-GB"/>
        </w:rPr>
        <w:t xml:space="preserve"> </w:t>
      </w:r>
      <w:r w:rsidRPr="00D6461C">
        <w:rPr>
          <w:rFonts w:ascii="Arial" w:eastAsia="SimSun" w:hAnsi="Arial" w:cs="Arial"/>
          <w:sz w:val="24"/>
          <w:szCs w:val="24"/>
          <w:lang w:val="en-GB"/>
        </w:rPr>
        <w:t>responsabilităţilor MM privind</w:t>
      </w:r>
      <w:r>
        <w:rPr>
          <w:rFonts w:ascii="Arial" w:eastAsia="SimSun" w:hAnsi="Arial" w:cs="Arial"/>
          <w:sz w:val="24"/>
          <w:szCs w:val="24"/>
          <w:lang w:val="en-GB"/>
        </w:rPr>
        <w:t xml:space="preserve"> </w:t>
      </w:r>
      <w:r w:rsidRPr="00D6461C">
        <w:rPr>
          <w:rFonts w:ascii="Arial" w:eastAsia="SimSun" w:hAnsi="Arial" w:cs="Arial"/>
          <w:sz w:val="24"/>
          <w:szCs w:val="24"/>
          <w:lang w:val="en-GB"/>
        </w:rPr>
        <w:t>detectarea, avertizarea</w:t>
      </w:r>
      <w:r>
        <w:rPr>
          <w:rFonts w:ascii="Arial" w:eastAsia="SimSun" w:hAnsi="Arial" w:cs="Arial"/>
          <w:sz w:val="24"/>
          <w:szCs w:val="24"/>
          <w:lang w:val="en-GB"/>
        </w:rPr>
        <w:t xml:space="preserve"> </w:t>
      </w:r>
      <w:r w:rsidRPr="00D6461C">
        <w:rPr>
          <w:rFonts w:ascii="Arial" w:eastAsia="SimSun" w:hAnsi="Arial" w:cs="Arial"/>
          <w:sz w:val="24"/>
          <w:szCs w:val="24"/>
          <w:lang w:val="en-GB"/>
        </w:rPr>
        <w:t>şi</w:t>
      </w:r>
      <w:r>
        <w:rPr>
          <w:rFonts w:ascii="Arial" w:eastAsia="SimSun" w:hAnsi="Arial" w:cs="Arial"/>
          <w:sz w:val="24"/>
          <w:szCs w:val="24"/>
          <w:lang w:val="en-GB"/>
        </w:rPr>
        <w:t xml:space="preserve"> </w:t>
      </w:r>
      <w:r w:rsidRPr="00D6461C">
        <w:rPr>
          <w:rFonts w:ascii="Arial" w:eastAsia="SimSun" w:hAnsi="Arial" w:cs="Arial"/>
          <w:sz w:val="24"/>
          <w:szCs w:val="24"/>
          <w:lang w:val="en-GB"/>
        </w:rPr>
        <w:t>alarmarea</w:t>
      </w:r>
      <w:r>
        <w:rPr>
          <w:rFonts w:ascii="Arial" w:eastAsia="SimSun" w:hAnsi="Arial" w:cs="Arial"/>
          <w:sz w:val="24"/>
          <w:szCs w:val="24"/>
          <w:lang w:val="en-GB"/>
        </w:rPr>
        <w:t xml:space="preserve"> </w:t>
      </w:r>
      <w:r w:rsidRPr="00D6461C">
        <w:rPr>
          <w:rFonts w:ascii="Arial" w:eastAsia="SimSun" w:hAnsi="Arial" w:cs="Arial"/>
          <w:sz w:val="24"/>
          <w:szCs w:val="24"/>
          <w:lang w:val="en-GB"/>
        </w:rPr>
        <w:t>factorilor de decizie</w:t>
      </w:r>
      <w:r>
        <w:rPr>
          <w:rFonts w:ascii="Arial" w:eastAsia="SimSun" w:hAnsi="Arial" w:cs="Arial"/>
          <w:sz w:val="24"/>
          <w:szCs w:val="24"/>
          <w:lang w:val="en-GB"/>
        </w:rPr>
        <w:t xml:space="preserve"> </w:t>
      </w:r>
      <w:r w:rsidRPr="00D6461C">
        <w:rPr>
          <w:rFonts w:ascii="Arial" w:eastAsia="SimSun" w:hAnsi="Arial" w:cs="Arial"/>
          <w:sz w:val="24"/>
          <w:szCs w:val="24"/>
          <w:lang w:val="en-GB"/>
        </w:rPr>
        <w:t>în</w:t>
      </w:r>
      <w:r>
        <w:rPr>
          <w:rFonts w:ascii="Arial" w:eastAsia="SimSun" w:hAnsi="Arial" w:cs="Arial"/>
          <w:sz w:val="24"/>
          <w:szCs w:val="24"/>
          <w:lang w:val="en-GB"/>
        </w:rPr>
        <w:t xml:space="preserve"> </w:t>
      </w:r>
      <w:r w:rsidRPr="00D6461C">
        <w:rPr>
          <w:rFonts w:ascii="Arial" w:eastAsia="SimSun" w:hAnsi="Arial" w:cs="Arial"/>
          <w:sz w:val="24"/>
          <w:szCs w:val="24"/>
          <w:lang w:val="en-GB"/>
        </w:rPr>
        <w:t>cazul</w:t>
      </w:r>
      <w:r>
        <w:rPr>
          <w:rFonts w:ascii="Arial" w:eastAsia="SimSun" w:hAnsi="Arial" w:cs="Arial"/>
          <w:sz w:val="24"/>
          <w:szCs w:val="24"/>
          <w:lang w:val="en-GB"/>
        </w:rPr>
        <w:t xml:space="preserve"> </w:t>
      </w:r>
      <w:r w:rsidRPr="00D6461C">
        <w:rPr>
          <w:rFonts w:ascii="Arial" w:eastAsia="SimSun" w:hAnsi="Arial" w:cs="Arial"/>
          <w:sz w:val="24"/>
          <w:szCs w:val="24"/>
          <w:lang w:val="en-GB"/>
        </w:rPr>
        <w:t>uno</w:t>
      </w:r>
      <w:r>
        <w:rPr>
          <w:rFonts w:ascii="Arial" w:eastAsia="SimSun" w:hAnsi="Arial" w:cs="Arial"/>
          <w:sz w:val="24"/>
          <w:szCs w:val="24"/>
          <w:lang w:val="en-GB"/>
        </w:rPr>
        <w:t xml:space="preserve"> </w:t>
      </w:r>
      <w:r w:rsidRPr="00D6461C">
        <w:rPr>
          <w:rFonts w:ascii="Arial" w:eastAsia="SimSun" w:hAnsi="Arial" w:cs="Arial"/>
          <w:sz w:val="24"/>
          <w:szCs w:val="24"/>
          <w:lang w:val="en-GB"/>
        </w:rPr>
        <w:t>revenimente cu impact radiologic asupra</w:t>
      </w:r>
      <w:r>
        <w:rPr>
          <w:rFonts w:ascii="Arial" w:eastAsia="SimSun" w:hAnsi="Arial" w:cs="Arial"/>
          <w:sz w:val="24"/>
          <w:szCs w:val="24"/>
          <w:lang w:val="en-GB"/>
        </w:rPr>
        <w:t xml:space="preserve"> </w:t>
      </w:r>
      <w:r w:rsidRPr="00D6461C">
        <w:rPr>
          <w:rFonts w:ascii="Arial" w:eastAsia="SimSun" w:hAnsi="Arial" w:cs="Arial"/>
          <w:sz w:val="24"/>
          <w:szCs w:val="24"/>
          <w:lang w:val="en-GB"/>
        </w:rPr>
        <w:t>mediului</w:t>
      </w:r>
      <w:r>
        <w:rPr>
          <w:rFonts w:ascii="Arial" w:eastAsia="SimSun" w:hAnsi="Arial" w:cs="Arial"/>
          <w:sz w:val="24"/>
          <w:szCs w:val="24"/>
          <w:lang w:val="en-GB"/>
        </w:rPr>
        <w:t xml:space="preserve"> </w:t>
      </w:r>
      <w:r w:rsidRPr="00D6461C">
        <w:rPr>
          <w:rFonts w:ascii="Arial" w:eastAsia="SimSun" w:hAnsi="Arial" w:cs="Arial"/>
          <w:sz w:val="24"/>
          <w:szCs w:val="24"/>
          <w:lang w:val="en-GB"/>
        </w:rPr>
        <w:t>şi</w:t>
      </w:r>
      <w:r>
        <w:rPr>
          <w:rFonts w:ascii="Arial" w:eastAsia="SimSun" w:hAnsi="Arial" w:cs="Arial"/>
          <w:sz w:val="24"/>
          <w:szCs w:val="24"/>
          <w:lang w:val="en-GB"/>
        </w:rPr>
        <w:t xml:space="preserve"> </w:t>
      </w:r>
      <w:r w:rsidRPr="00D6461C">
        <w:rPr>
          <w:rFonts w:ascii="Arial" w:eastAsia="SimSun" w:hAnsi="Arial" w:cs="Arial"/>
          <w:sz w:val="24"/>
          <w:szCs w:val="24"/>
          <w:lang w:val="en-GB"/>
        </w:rPr>
        <w:t>sănătăţii</w:t>
      </w:r>
      <w:r>
        <w:rPr>
          <w:rFonts w:ascii="Arial" w:eastAsia="SimSun" w:hAnsi="Arial" w:cs="Arial"/>
          <w:sz w:val="24"/>
          <w:szCs w:val="24"/>
          <w:lang w:val="en-GB"/>
        </w:rPr>
        <w:t xml:space="preserve"> </w:t>
      </w:r>
      <w:r w:rsidRPr="00D6461C">
        <w:rPr>
          <w:rFonts w:ascii="Arial" w:eastAsia="SimSun" w:hAnsi="Arial" w:cs="Arial"/>
          <w:sz w:val="24"/>
          <w:szCs w:val="24"/>
          <w:lang w:val="en-GB"/>
        </w:rPr>
        <w:t>populaţiei. Coordonarea</w:t>
      </w:r>
      <w:r>
        <w:rPr>
          <w:rFonts w:ascii="Arial" w:eastAsia="SimSun" w:hAnsi="Arial" w:cs="Arial"/>
          <w:sz w:val="24"/>
          <w:szCs w:val="24"/>
          <w:lang w:val="en-GB"/>
        </w:rPr>
        <w:t xml:space="preserve"> </w:t>
      </w:r>
      <w:r w:rsidRPr="00E863B4">
        <w:rPr>
          <w:rFonts w:ascii="Arial" w:eastAsia="SimSun" w:hAnsi="Arial" w:cs="Arial"/>
          <w:sz w:val="24"/>
          <w:szCs w:val="24"/>
          <w:lang w:val="en-GB"/>
        </w:rPr>
        <w:t>ştiinţifică, tehnică</w:t>
      </w:r>
      <w:r>
        <w:rPr>
          <w:rFonts w:ascii="Arial" w:eastAsia="SimSun" w:hAnsi="Arial" w:cs="Arial"/>
          <w:sz w:val="24"/>
          <w:szCs w:val="24"/>
          <w:lang w:val="en-GB"/>
        </w:rPr>
        <w:t xml:space="preserve"> </w:t>
      </w:r>
      <w:r w:rsidRPr="00E863B4">
        <w:rPr>
          <w:rFonts w:ascii="Arial" w:eastAsia="SimSun" w:hAnsi="Arial" w:cs="Arial"/>
          <w:sz w:val="24"/>
          <w:szCs w:val="24"/>
          <w:lang w:val="en-GB"/>
        </w:rPr>
        <w:t>şi</w:t>
      </w:r>
      <w:r>
        <w:rPr>
          <w:rFonts w:ascii="Arial" w:eastAsia="SimSun" w:hAnsi="Arial" w:cs="Arial"/>
          <w:sz w:val="24"/>
          <w:szCs w:val="24"/>
          <w:lang w:val="en-GB"/>
        </w:rPr>
        <w:t xml:space="preserve"> </w:t>
      </w:r>
      <w:r w:rsidRPr="00E863B4">
        <w:rPr>
          <w:rFonts w:ascii="Arial" w:eastAsia="SimSun" w:hAnsi="Arial" w:cs="Arial"/>
          <w:sz w:val="24"/>
          <w:szCs w:val="24"/>
          <w:lang w:val="en-GB"/>
        </w:rPr>
        <w:t>metodologică a RNSRM este</w:t>
      </w:r>
      <w:r>
        <w:rPr>
          <w:rFonts w:ascii="Arial" w:eastAsia="SimSun" w:hAnsi="Arial" w:cs="Arial"/>
          <w:sz w:val="24"/>
          <w:szCs w:val="24"/>
          <w:lang w:val="en-GB"/>
        </w:rPr>
        <w:t xml:space="preserve"> </w:t>
      </w:r>
      <w:r w:rsidRPr="00E863B4">
        <w:rPr>
          <w:rFonts w:ascii="Arial" w:eastAsia="SimSun" w:hAnsi="Arial" w:cs="Arial"/>
          <w:sz w:val="24"/>
          <w:szCs w:val="24"/>
          <w:lang w:val="en-GB"/>
        </w:rPr>
        <w:t>asigurată de Laboratorul</w:t>
      </w:r>
      <w:r>
        <w:rPr>
          <w:rFonts w:ascii="Arial" w:eastAsia="SimSun" w:hAnsi="Arial" w:cs="Arial"/>
          <w:sz w:val="24"/>
          <w:szCs w:val="24"/>
          <w:lang w:val="en-GB"/>
        </w:rPr>
        <w:t xml:space="preserve"> </w:t>
      </w:r>
      <w:r w:rsidRPr="00E863B4">
        <w:rPr>
          <w:rFonts w:ascii="Arial" w:eastAsia="SimSun" w:hAnsi="Arial" w:cs="Arial"/>
          <w:sz w:val="24"/>
          <w:szCs w:val="24"/>
          <w:lang w:val="en-GB"/>
        </w:rPr>
        <w:t>Naţional de Referinţă</w:t>
      </w:r>
      <w:r>
        <w:rPr>
          <w:rFonts w:ascii="Arial" w:eastAsia="SimSun" w:hAnsi="Arial" w:cs="Arial"/>
          <w:sz w:val="24"/>
          <w:szCs w:val="24"/>
          <w:lang w:val="en-GB"/>
        </w:rPr>
        <w:t xml:space="preserve"> </w:t>
      </w:r>
      <w:r w:rsidRPr="00E863B4">
        <w:rPr>
          <w:rFonts w:ascii="Arial" w:eastAsia="SimSun" w:hAnsi="Arial" w:cs="Arial"/>
          <w:sz w:val="24"/>
          <w:szCs w:val="24"/>
          <w:lang w:val="en-GB"/>
        </w:rPr>
        <w:t>pentru</w:t>
      </w:r>
      <w:r>
        <w:rPr>
          <w:rFonts w:ascii="Arial" w:eastAsia="SimSun" w:hAnsi="Arial" w:cs="Arial"/>
          <w:sz w:val="24"/>
          <w:szCs w:val="24"/>
          <w:lang w:val="en-GB"/>
        </w:rPr>
        <w:t xml:space="preserve"> </w:t>
      </w:r>
      <w:r w:rsidRPr="00E863B4">
        <w:rPr>
          <w:rFonts w:ascii="Arial" w:eastAsia="SimSun" w:hAnsi="Arial" w:cs="Arial"/>
          <w:sz w:val="24"/>
          <w:szCs w:val="24"/>
          <w:lang w:val="en-GB"/>
        </w:rPr>
        <w:t>Radioactivitate din cadru</w:t>
      </w:r>
      <w:r>
        <w:rPr>
          <w:rFonts w:ascii="Arial" w:eastAsia="SimSun" w:hAnsi="Arial" w:cs="Arial"/>
          <w:sz w:val="24"/>
          <w:szCs w:val="24"/>
          <w:lang w:val="en-GB"/>
        </w:rPr>
        <w:t xml:space="preserve"> </w:t>
      </w:r>
      <w:r w:rsidRPr="00E863B4">
        <w:rPr>
          <w:rFonts w:ascii="Arial" w:eastAsia="SimSun" w:hAnsi="Arial" w:cs="Arial"/>
          <w:sz w:val="24"/>
          <w:szCs w:val="24"/>
          <w:lang w:val="en-GB"/>
        </w:rPr>
        <w:t>lAgenţiei</w:t>
      </w:r>
      <w:r>
        <w:rPr>
          <w:rFonts w:ascii="Arial" w:eastAsia="SimSun" w:hAnsi="Arial" w:cs="Arial"/>
          <w:sz w:val="24"/>
          <w:szCs w:val="24"/>
          <w:lang w:val="en-GB"/>
        </w:rPr>
        <w:t xml:space="preserve"> </w:t>
      </w:r>
      <w:r w:rsidRPr="00E863B4">
        <w:rPr>
          <w:rFonts w:ascii="Arial" w:eastAsia="SimSun" w:hAnsi="Arial" w:cs="Arial"/>
          <w:sz w:val="24"/>
          <w:szCs w:val="24"/>
          <w:lang w:val="en-GB"/>
        </w:rPr>
        <w:t>Naţionale</w:t>
      </w:r>
      <w:r>
        <w:rPr>
          <w:rFonts w:ascii="Arial" w:eastAsia="SimSun" w:hAnsi="Arial" w:cs="Arial"/>
          <w:sz w:val="24"/>
          <w:szCs w:val="24"/>
          <w:lang w:val="en-GB"/>
        </w:rPr>
        <w:t xml:space="preserve"> </w:t>
      </w:r>
      <w:r w:rsidRPr="00E863B4">
        <w:rPr>
          <w:rFonts w:ascii="Arial" w:eastAsia="SimSun" w:hAnsi="Arial" w:cs="Arial"/>
          <w:sz w:val="24"/>
          <w:szCs w:val="24"/>
          <w:lang w:val="en-GB"/>
        </w:rPr>
        <w:t>pentru</w:t>
      </w:r>
      <w:r>
        <w:rPr>
          <w:rFonts w:ascii="Arial" w:eastAsia="SimSun" w:hAnsi="Arial" w:cs="Arial"/>
          <w:sz w:val="24"/>
          <w:szCs w:val="24"/>
          <w:lang w:val="en-GB"/>
        </w:rPr>
        <w:t xml:space="preserve"> </w:t>
      </w:r>
      <w:r w:rsidRPr="00E863B4">
        <w:rPr>
          <w:rFonts w:ascii="Arial" w:eastAsia="SimSun" w:hAnsi="Arial" w:cs="Arial"/>
          <w:sz w:val="24"/>
          <w:szCs w:val="24"/>
          <w:lang w:val="en-GB"/>
        </w:rPr>
        <w:t>Protecţia</w:t>
      </w:r>
      <w:r>
        <w:rPr>
          <w:rFonts w:ascii="Arial" w:eastAsia="SimSun" w:hAnsi="Arial" w:cs="Arial"/>
          <w:sz w:val="24"/>
          <w:szCs w:val="24"/>
          <w:lang w:val="en-GB"/>
        </w:rPr>
        <w:t xml:space="preserve"> </w:t>
      </w:r>
      <w:r w:rsidRPr="00E863B4">
        <w:rPr>
          <w:rFonts w:ascii="Arial" w:eastAsia="SimSun" w:hAnsi="Arial" w:cs="Arial"/>
          <w:sz w:val="24"/>
          <w:szCs w:val="24"/>
          <w:lang w:val="en-GB"/>
        </w:rPr>
        <w:t>Mediului</w:t>
      </w:r>
      <w:r>
        <w:rPr>
          <w:rFonts w:ascii="Arial" w:eastAsia="SimSun" w:hAnsi="Arial" w:cs="Arial"/>
          <w:sz w:val="24"/>
          <w:szCs w:val="24"/>
          <w:lang w:val="en-GB"/>
        </w:rPr>
        <w:t xml:space="preserve"> </w:t>
      </w:r>
      <w:r w:rsidRPr="00E863B4">
        <w:rPr>
          <w:rFonts w:ascii="Arial" w:eastAsia="SimSun" w:hAnsi="Arial" w:cs="Arial"/>
          <w:sz w:val="24"/>
          <w:szCs w:val="24"/>
          <w:lang w:val="en-GB"/>
        </w:rPr>
        <w:t>București.</w:t>
      </w:r>
    </w:p>
    <w:p w:rsidR="007F6E99" w:rsidRPr="00E863B4" w:rsidRDefault="007F6E99" w:rsidP="007F6E99">
      <w:pPr>
        <w:spacing w:after="0" w:line="240" w:lineRule="auto"/>
        <w:ind w:firstLine="708"/>
        <w:jc w:val="both"/>
        <w:rPr>
          <w:rFonts w:ascii="Arial" w:eastAsia="Calibri" w:hAnsi="Arial" w:cs="Arial"/>
          <w:sz w:val="24"/>
          <w:szCs w:val="24"/>
        </w:rPr>
      </w:pPr>
      <w:r w:rsidRPr="00E863B4">
        <w:rPr>
          <w:rFonts w:ascii="Arial" w:eastAsia="Calibri" w:hAnsi="Arial" w:cs="Arial"/>
          <w:sz w:val="24"/>
          <w:szCs w:val="24"/>
        </w:rPr>
        <w:t>Staţia automată de monitorizare a debitului de doză gama absorbită în aer în timp real, achiziționată prin proiectul Proiectului PHARE RO2003/005-551.04.11.01 ,,Procurement of the Necessary Equipament for an Adequate Enviromental Radioactivity Monitoring and Reporting System”, face parte din RNSRM. Obiectivul principal al staţiei este detectarea oricăror creşteri cu semnificaţie radiologică a nivelelor de radioactivitate din mediu.</w:t>
      </w:r>
    </w:p>
    <w:p w:rsidR="007F6E99" w:rsidRPr="00E863B4" w:rsidRDefault="007F6E99" w:rsidP="007F6E99">
      <w:pPr>
        <w:spacing w:after="0" w:line="240" w:lineRule="auto"/>
        <w:ind w:firstLine="708"/>
        <w:jc w:val="both"/>
        <w:rPr>
          <w:rFonts w:ascii="Arial" w:eastAsia="Calibri" w:hAnsi="Arial" w:cs="Arial"/>
          <w:sz w:val="24"/>
          <w:szCs w:val="24"/>
        </w:rPr>
      </w:pPr>
      <w:r w:rsidRPr="00E863B4">
        <w:rPr>
          <w:rFonts w:ascii="Arial" w:eastAsia="Calibri" w:hAnsi="Arial" w:cs="Arial"/>
          <w:sz w:val="24"/>
          <w:szCs w:val="24"/>
        </w:rPr>
        <w:t xml:space="preserve">Monitorizarea dozei gama în aer se realizează în mod continuu, la distanţă de </w:t>
      </w:r>
      <w:smartTag w:uri="urn:schemas-microsoft-com:office:smarttags" w:element="metricconverter">
        <w:smartTagPr>
          <w:attr w:name="ProductID" w:val="1 metru"/>
        </w:smartTagPr>
        <w:r w:rsidRPr="00E863B4">
          <w:rPr>
            <w:rFonts w:ascii="Arial" w:eastAsia="Calibri" w:hAnsi="Arial" w:cs="Arial"/>
            <w:sz w:val="24"/>
            <w:szCs w:val="24"/>
          </w:rPr>
          <w:t>1 metru</w:t>
        </w:r>
      </w:smartTag>
      <w:r w:rsidRPr="00E863B4">
        <w:rPr>
          <w:rFonts w:ascii="Arial" w:eastAsia="Calibri" w:hAnsi="Arial" w:cs="Arial"/>
          <w:sz w:val="24"/>
          <w:szCs w:val="24"/>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din Laboratorul de Radioactivitatea Mediului unde acestea sunt validate și apoi la serverul Agenţiei pentru Protecţia Mediului Brăila.</w:t>
      </w:r>
    </w:p>
    <w:p w:rsidR="007F6E99" w:rsidRPr="00E863B4" w:rsidRDefault="007F6E99" w:rsidP="007F6E99">
      <w:pPr>
        <w:tabs>
          <w:tab w:val="left" w:pos="315"/>
          <w:tab w:val="center" w:pos="1080"/>
        </w:tabs>
        <w:spacing w:after="0" w:line="240" w:lineRule="auto"/>
        <w:jc w:val="both"/>
        <w:rPr>
          <w:rFonts w:ascii="Arial" w:eastAsia="Calibri" w:hAnsi="Arial" w:cs="Arial"/>
          <w:bCs/>
          <w:iCs/>
          <w:sz w:val="24"/>
          <w:szCs w:val="24"/>
        </w:rPr>
      </w:pPr>
      <w:r w:rsidRPr="00E863B4">
        <w:rPr>
          <w:rFonts w:ascii="Arial" w:eastAsia="Calibri" w:hAnsi="Arial" w:cs="Arial"/>
          <w:bCs/>
          <w:iCs/>
          <w:sz w:val="24"/>
          <w:szCs w:val="24"/>
        </w:rPr>
        <w:tab/>
        <w:t xml:space="preserve">Rezultatele programului de supraveghere a debitului dozei gama în decursul anului </w:t>
      </w:r>
      <w:r w:rsidRPr="00530F8E">
        <w:rPr>
          <w:rFonts w:ascii="Arial" w:eastAsia="Calibri" w:hAnsi="Arial" w:cs="Arial"/>
          <w:bCs/>
          <w:iCs/>
          <w:sz w:val="24"/>
          <w:szCs w:val="24"/>
        </w:rPr>
        <w:t xml:space="preserve">2017 </w:t>
      </w:r>
      <w:r w:rsidRPr="00E863B4">
        <w:rPr>
          <w:rFonts w:ascii="Arial" w:eastAsia="Calibri" w:hAnsi="Arial" w:cs="Arial"/>
          <w:bCs/>
          <w:iCs/>
          <w:sz w:val="24"/>
          <w:szCs w:val="24"/>
        </w:rPr>
        <w:t>sunt prezentate în tabelul IX.1.1.1. și tabelul IX.1.1.2.</w:t>
      </w:r>
      <w:r w:rsidRPr="00E863B4">
        <w:rPr>
          <w:rFonts w:ascii="Arial" w:eastAsia="Calibri" w:hAnsi="Arial" w:cs="Arial"/>
          <w:bCs/>
          <w:iCs/>
          <w:sz w:val="24"/>
          <w:szCs w:val="24"/>
        </w:rPr>
        <w:tab/>
      </w:r>
    </w:p>
    <w:p w:rsidR="007F6E99" w:rsidRPr="00E863B4" w:rsidRDefault="007F6E99" w:rsidP="007F6E99">
      <w:pPr>
        <w:tabs>
          <w:tab w:val="left" w:pos="315"/>
          <w:tab w:val="center" w:pos="1080"/>
        </w:tabs>
        <w:spacing w:after="0" w:line="240" w:lineRule="auto"/>
        <w:jc w:val="both"/>
        <w:rPr>
          <w:rFonts w:ascii="Arial" w:eastAsia="Calibri" w:hAnsi="Arial" w:cs="Arial"/>
          <w:bCs/>
          <w:iCs/>
          <w:sz w:val="24"/>
          <w:szCs w:val="24"/>
        </w:rPr>
      </w:pPr>
    </w:p>
    <w:p w:rsidR="007F6E99" w:rsidRPr="00530F8E" w:rsidRDefault="007F6E99" w:rsidP="007F6E99">
      <w:pPr>
        <w:tabs>
          <w:tab w:val="left" w:pos="315"/>
          <w:tab w:val="center" w:pos="1080"/>
        </w:tabs>
        <w:spacing w:after="0" w:line="240" w:lineRule="auto"/>
        <w:rPr>
          <w:rFonts w:ascii="Arial" w:eastAsia="Calibri" w:hAnsi="Arial" w:cs="Arial"/>
          <w:b/>
          <w:bCs/>
          <w:iCs/>
          <w:sz w:val="24"/>
          <w:szCs w:val="24"/>
        </w:rPr>
      </w:pPr>
      <w:r w:rsidRPr="0026029D">
        <w:rPr>
          <w:rFonts w:ascii="Arial" w:eastAsia="Calibri" w:hAnsi="Arial" w:cs="Arial"/>
          <w:b/>
          <w:bCs/>
          <w:iCs/>
          <w:sz w:val="24"/>
          <w:szCs w:val="24"/>
        </w:rPr>
        <w:t>Tabel IX.1.1.1</w:t>
      </w:r>
      <w:r>
        <w:rPr>
          <w:rFonts w:ascii="Arial" w:eastAsia="Calibri" w:hAnsi="Arial" w:cs="Arial"/>
          <w:bCs/>
          <w:iCs/>
          <w:sz w:val="24"/>
          <w:szCs w:val="24"/>
        </w:rPr>
        <w:t xml:space="preserve"> </w:t>
      </w:r>
      <w:r w:rsidRPr="00530F8E">
        <w:rPr>
          <w:rFonts w:ascii="Arial" w:eastAsia="Calibri" w:hAnsi="Arial" w:cs="Arial"/>
          <w:bCs/>
          <w:iCs/>
          <w:sz w:val="24"/>
          <w:szCs w:val="24"/>
        </w:rPr>
        <w:t>Maxima și media anuală 2017 la nivelul județului Brăila</w:t>
      </w:r>
      <w:r w:rsidRPr="00530F8E">
        <w:rPr>
          <w:rFonts w:ascii="Arial" w:eastAsia="Calibri" w:hAnsi="Arial" w:cs="Arial"/>
          <w:b/>
          <w:bCs/>
          <w:iCs/>
          <w:sz w:val="24"/>
          <w:szCs w:val="24"/>
        </w:rPr>
        <w:tab/>
      </w:r>
    </w:p>
    <w:tbl>
      <w:tblPr>
        <w:tblpPr w:leftFromText="180" w:rightFromText="180" w:vertAnchor="text" w:horzAnchor="margin" w:tblpXSpec="center" w:tblpY="2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7"/>
        <w:gridCol w:w="985"/>
        <w:gridCol w:w="1701"/>
        <w:gridCol w:w="1134"/>
        <w:gridCol w:w="1276"/>
        <w:gridCol w:w="1275"/>
      </w:tblGrid>
      <w:tr w:rsidR="007F6E99" w:rsidRPr="00530F8E" w:rsidTr="004E444C">
        <w:trPr>
          <w:trHeight w:val="298"/>
        </w:trPr>
        <w:tc>
          <w:tcPr>
            <w:tcW w:w="3127" w:type="dxa"/>
            <w:shd w:val="clear" w:color="auto" w:fill="E6E6E6"/>
            <w:vAlign w:val="center"/>
          </w:tcPr>
          <w:p w:rsidR="007F6E99" w:rsidRPr="00530F8E" w:rsidRDefault="007F6E99" w:rsidP="004E444C">
            <w:pPr>
              <w:keepNext/>
              <w:spacing w:after="0" w:line="240" w:lineRule="auto"/>
              <w:jc w:val="both"/>
              <w:outlineLvl w:val="1"/>
              <w:rPr>
                <w:rFonts w:ascii="Arial" w:eastAsia="Times New Roman" w:hAnsi="Arial" w:cs="Arial"/>
                <w:i/>
                <w:iCs/>
                <w:sz w:val="24"/>
                <w:szCs w:val="24"/>
                <w:lang w:val="en-GB"/>
              </w:rPr>
            </w:pPr>
            <w:r w:rsidRPr="00530F8E">
              <w:rPr>
                <w:rFonts w:ascii="Arial" w:eastAsia="Times New Roman" w:hAnsi="Arial" w:cs="Arial"/>
                <w:b/>
                <w:bCs/>
                <w:i/>
                <w:iCs/>
                <w:sz w:val="24"/>
                <w:szCs w:val="24"/>
                <w:lang w:val="en-GB"/>
              </w:rPr>
              <w:t>Factor  de mediu</w:t>
            </w:r>
          </w:p>
        </w:tc>
        <w:tc>
          <w:tcPr>
            <w:tcW w:w="985" w:type="dxa"/>
            <w:shd w:val="clear" w:color="auto" w:fill="E6E6E6"/>
            <w:vAlign w:val="center"/>
          </w:tcPr>
          <w:p w:rsidR="007F6E99" w:rsidRPr="00530F8E" w:rsidRDefault="007F6E99" w:rsidP="004E444C">
            <w:pPr>
              <w:spacing w:line="240" w:lineRule="auto"/>
              <w:jc w:val="both"/>
              <w:rPr>
                <w:rFonts w:ascii="Arial" w:eastAsia="Calibri" w:hAnsi="Arial" w:cs="Arial"/>
                <w:b/>
                <w:bCs/>
                <w:sz w:val="24"/>
                <w:szCs w:val="24"/>
              </w:rPr>
            </w:pPr>
            <w:r w:rsidRPr="00530F8E">
              <w:rPr>
                <w:rFonts w:ascii="Arial" w:eastAsia="Calibri" w:hAnsi="Arial" w:cs="Arial"/>
                <w:b/>
                <w:bCs/>
                <w:sz w:val="24"/>
                <w:szCs w:val="24"/>
              </w:rPr>
              <w:t>U.M.</w:t>
            </w:r>
          </w:p>
        </w:tc>
        <w:tc>
          <w:tcPr>
            <w:tcW w:w="1701" w:type="dxa"/>
            <w:shd w:val="clear" w:color="auto" w:fill="E6E6E6"/>
            <w:vAlign w:val="center"/>
          </w:tcPr>
          <w:p w:rsidR="007F6E99" w:rsidRPr="00530F8E" w:rsidRDefault="007F6E99" w:rsidP="004E444C">
            <w:pPr>
              <w:spacing w:line="240" w:lineRule="auto"/>
              <w:jc w:val="both"/>
              <w:rPr>
                <w:rFonts w:ascii="Arial" w:eastAsia="Calibri" w:hAnsi="Arial" w:cs="Arial"/>
                <w:b/>
                <w:bCs/>
                <w:sz w:val="24"/>
                <w:szCs w:val="24"/>
              </w:rPr>
            </w:pPr>
            <w:r w:rsidRPr="00530F8E">
              <w:rPr>
                <w:rFonts w:ascii="Arial" w:eastAsia="Calibri" w:hAnsi="Arial" w:cs="Arial"/>
                <w:b/>
                <w:bCs/>
                <w:sz w:val="24"/>
                <w:szCs w:val="24"/>
              </w:rPr>
              <w:t>Limita atenţionare/avertizare</w:t>
            </w:r>
          </w:p>
        </w:tc>
        <w:tc>
          <w:tcPr>
            <w:tcW w:w="1134" w:type="dxa"/>
            <w:shd w:val="clear" w:color="auto" w:fill="E6E6E6"/>
            <w:vAlign w:val="center"/>
          </w:tcPr>
          <w:p w:rsidR="007F6E99" w:rsidRPr="00530F8E" w:rsidRDefault="007F6E99" w:rsidP="004E444C">
            <w:pPr>
              <w:spacing w:line="240" w:lineRule="auto"/>
              <w:jc w:val="both"/>
              <w:rPr>
                <w:rFonts w:ascii="Arial" w:eastAsia="Calibri" w:hAnsi="Arial" w:cs="Arial"/>
                <w:b/>
                <w:bCs/>
                <w:sz w:val="24"/>
                <w:szCs w:val="24"/>
              </w:rPr>
            </w:pPr>
            <w:r w:rsidRPr="00530F8E">
              <w:rPr>
                <w:rFonts w:ascii="Arial" w:eastAsia="Calibri" w:hAnsi="Arial" w:cs="Arial"/>
                <w:b/>
                <w:bCs/>
                <w:sz w:val="24"/>
                <w:szCs w:val="24"/>
              </w:rPr>
              <w:t>Media anuală</w:t>
            </w:r>
          </w:p>
        </w:tc>
        <w:tc>
          <w:tcPr>
            <w:tcW w:w="1276" w:type="dxa"/>
            <w:shd w:val="clear" w:color="auto" w:fill="E6E6E6"/>
            <w:vAlign w:val="center"/>
          </w:tcPr>
          <w:p w:rsidR="007F6E99" w:rsidRPr="00530F8E" w:rsidRDefault="007F6E99" w:rsidP="004E444C">
            <w:pPr>
              <w:spacing w:line="240" w:lineRule="auto"/>
              <w:jc w:val="both"/>
              <w:rPr>
                <w:rFonts w:ascii="Arial" w:eastAsia="Calibri" w:hAnsi="Arial" w:cs="Arial"/>
                <w:b/>
                <w:bCs/>
                <w:sz w:val="24"/>
                <w:szCs w:val="24"/>
              </w:rPr>
            </w:pPr>
            <w:r w:rsidRPr="00530F8E">
              <w:rPr>
                <w:rFonts w:ascii="Arial" w:eastAsia="Calibri" w:hAnsi="Arial" w:cs="Arial"/>
                <w:b/>
                <w:bCs/>
                <w:sz w:val="24"/>
                <w:szCs w:val="24"/>
              </w:rPr>
              <w:t>Maxima lunară</w:t>
            </w:r>
          </w:p>
        </w:tc>
        <w:tc>
          <w:tcPr>
            <w:tcW w:w="1275" w:type="dxa"/>
            <w:shd w:val="clear" w:color="auto" w:fill="E6E6E6"/>
            <w:vAlign w:val="center"/>
          </w:tcPr>
          <w:p w:rsidR="007F6E99" w:rsidRPr="00530F8E" w:rsidRDefault="007F6E99" w:rsidP="004E444C">
            <w:pPr>
              <w:spacing w:line="240" w:lineRule="auto"/>
              <w:jc w:val="both"/>
              <w:rPr>
                <w:rFonts w:ascii="Arial" w:eastAsia="Calibri" w:hAnsi="Arial" w:cs="Arial"/>
                <w:b/>
                <w:bCs/>
                <w:sz w:val="24"/>
                <w:szCs w:val="24"/>
              </w:rPr>
            </w:pPr>
            <w:r w:rsidRPr="00530F8E">
              <w:rPr>
                <w:rFonts w:ascii="Arial" w:eastAsia="Calibri" w:hAnsi="Arial" w:cs="Arial"/>
                <w:b/>
                <w:bCs/>
                <w:sz w:val="24"/>
                <w:szCs w:val="24"/>
              </w:rPr>
              <w:t>Luna maximei</w:t>
            </w:r>
          </w:p>
        </w:tc>
      </w:tr>
      <w:tr w:rsidR="007F6E99" w:rsidRPr="00530F8E" w:rsidTr="004E444C">
        <w:trPr>
          <w:trHeight w:val="314"/>
        </w:trPr>
        <w:tc>
          <w:tcPr>
            <w:tcW w:w="3127"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Debit doză gamma în aer</w:t>
            </w:r>
          </w:p>
        </w:tc>
        <w:tc>
          <w:tcPr>
            <w:tcW w:w="985"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µSv/h</w:t>
            </w:r>
          </w:p>
        </w:tc>
        <w:tc>
          <w:tcPr>
            <w:tcW w:w="1701"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0,250/1,0</w:t>
            </w:r>
          </w:p>
        </w:tc>
        <w:tc>
          <w:tcPr>
            <w:tcW w:w="1134"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0,103</w:t>
            </w:r>
          </w:p>
        </w:tc>
        <w:tc>
          <w:tcPr>
            <w:tcW w:w="1276"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0,166</w:t>
            </w:r>
          </w:p>
        </w:tc>
        <w:tc>
          <w:tcPr>
            <w:tcW w:w="1275" w:type="dxa"/>
            <w:vAlign w:val="center"/>
          </w:tcPr>
          <w:p w:rsidR="007F6E99" w:rsidRPr="00530F8E" w:rsidRDefault="007F6E99" w:rsidP="004E444C">
            <w:pPr>
              <w:spacing w:line="240" w:lineRule="auto"/>
              <w:jc w:val="both"/>
              <w:rPr>
                <w:rFonts w:ascii="Arial" w:eastAsia="Calibri" w:hAnsi="Arial" w:cs="Arial"/>
                <w:sz w:val="24"/>
                <w:szCs w:val="24"/>
              </w:rPr>
            </w:pPr>
            <w:r w:rsidRPr="00530F8E">
              <w:rPr>
                <w:rFonts w:ascii="Arial" w:eastAsia="Calibri" w:hAnsi="Arial" w:cs="Arial"/>
                <w:sz w:val="24"/>
                <w:szCs w:val="24"/>
              </w:rPr>
              <w:t>12</w:t>
            </w:r>
          </w:p>
        </w:tc>
      </w:tr>
    </w:tbl>
    <w:p w:rsidR="007F6E99" w:rsidRPr="00530F8E" w:rsidRDefault="007F6E99" w:rsidP="007F6E99">
      <w:pPr>
        <w:tabs>
          <w:tab w:val="left" w:pos="315"/>
          <w:tab w:val="center" w:pos="1080"/>
        </w:tabs>
        <w:jc w:val="both"/>
        <w:rPr>
          <w:rFonts w:ascii="Arial" w:eastAsia="Calibri" w:hAnsi="Arial" w:cs="Arial"/>
          <w:b/>
          <w:bCs/>
          <w:iCs/>
          <w:sz w:val="24"/>
          <w:szCs w:val="24"/>
        </w:rPr>
      </w:pPr>
      <w:r w:rsidRPr="00530F8E">
        <w:rPr>
          <w:rFonts w:ascii="Arial" w:eastAsia="Calibri" w:hAnsi="Arial" w:cs="Arial"/>
          <w:b/>
          <w:bCs/>
          <w:iCs/>
          <w:sz w:val="24"/>
          <w:szCs w:val="24"/>
        </w:rPr>
        <w:tab/>
      </w:r>
    </w:p>
    <w:p w:rsidR="007F6E99" w:rsidRPr="00E863B4" w:rsidRDefault="007F6E99" w:rsidP="007F6E99">
      <w:pPr>
        <w:tabs>
          <w:tab w:val="left" w:pos="315"/>
          <w:tab w:val="center" w:pos="1080"/>
        </w:tabs>
        <w:spacing w:after="0" w:line="240" w:lineRule="auto"/>
        <w:rPr>
          <w:rFonts w:ascii="Arial" w:eastAsia="Calibri" w:hAnsi="Arial" w:cs="Arial"/>
        </w:rPr>
      </w:pPr>
      <w:r w:rsidRPr="0026029D">
        <w:rPr>
          <w:rFonts w:ascii="Arial" w:eastAsia="Calibri" w:hAnsi="Arial" w:cs="Arial"/>
          <w:b/>
          <w:sz w:val="24"/>
          <w:szCs w:val="24"/>
        </w:rPr>
        <w:t xml:space="preserve">Tabel </w:t>
      </w:r>
      <w:r w:rsidRPr="0026029D">
        <w:rPr>
          <w:rFonts w:ascii="Arial" w:eastAsia="Calibri" w:hAnsi="Arial" w:cs="Arial"/>
          <w:b/>
          <w:bCs/>
          <w:iCs/>
          <w:sz w:val="24"/>
          <w:szCs w:val="24"/>
        </w:rPr>
        <w:t>IX.1.1.2.</w:t>
      </w:r>
      <w:r w:rsidRPr="00E863B4">
        <w:rPr>
          <w:rFonts w:ascii="Arial" w:eastAsia="Calibri" w:hAnsi="Arial" w:cs="Arial"/>
          <w:bCs/>
          <w:iCs/>
          <w:sz w:val="24"/>
          <w:szCs w:val="24"/>
        </w:rPr>
        <w:t xml:space="preserve"> </w:t>
      </w:r>
      <w:r w:rsidRPr="00E863B4">
        <w:rPr>
          <w:rFonts w:ascii="Arial" w:eastAsia="Calibri" w:hAnsi="Arial" w:cs="Arial"/>
          <w:sz w:val="24"/>
          <w:szCs w:val="24"/>
        </w:rPr>
        <w:t>Valorile medii lunare de dozimetrie gamma</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87"/>
        <w:gridCol w:w="787"/>
        <w:gridCol w:w="787"/>
        <w:gridCol w:w="787"/>
        <w:gridCol w:w="788"/>
        <w:gridCol w:w="788"/>
        <w:gridCol w:w="788"/>
        <w:gridCol w:w="788"/>
        <w:gridCol w:w="788"/>
        <w:gridCol w:w="788"/>
        <w:gridCol w:w="788"/>
        <w:gridCol w:w="788"/>
      </w:tblGrid>
      <w:tr w:rsidR="007F6E99" w:rsidRPr="00530F8E" w:rsidTr="004E444C">
        <w:trPr>
          <w:trHeight w:val="326"/>
        </w:trPr>
        <w:tc>
          <w:tcPr>
            <w:tcW w:w="800" w:type="dxa"/>
            <w:shd w:val="clear" w:color="auto" w:fill="D9D9D9"/>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 xml:space="preserve">  UNA</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Ian</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Feb</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Mar</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Apr</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Mai</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Iun</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Iul</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Aug</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Sep</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Oct</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Nov</w:t>
            </w:r>
          </w:p>
        </w:tc>
        <w:tc>
          <w:tcPr>
            <w:tcW w:w="790" w:type="dxa"/>
            <w:shd w:val="clear" w:color="auto" w:fill="D9D9D9"/>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Dec</w:t>
            </w:r>
          </w:p>
        </w:tc>
      </w:tr>
      <w:tr w:rsidR="007F6E99" w:rsidRPr="00530F8E" w:rsidTr="004E444C">
        <w:trPr>
          <w:trHeight w:val="395"/>
        </w:trPr>
        <w:tc>
          <w:tcPr>
            <w:tcW w:w="80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Medii lunare</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0,101</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0,103</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0,105</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0,104</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0,104</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0,103</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0,103</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0,104</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0,106</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0,103</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0,098</w:t>
            </w:r>
          </w:p>
        </w:tc>
        <w:tc>
          <w:tcPr>
            <w:tcW w:w="790" w:type="dxa"/>
            <w:vAlign w:val="center"/>
          </w:tcPr>
          <w:p w:rsidR="007F6E99" w:rsidRPr="00530F8E" w:rsidRDefault="007F6E99" w:rsidP="004E444C">
            <w:pPr>
              <w:spacing w:after="0" w:line="240" w:lineRule="auto"/>
              <w:jc w:val="both"/>
              <w:rPr>
                <w:rFonts w:ascii="Arial" w:eastAsia="Calibri" w:hAnsi="Arial" w:cs="Arial"/>
              </w:rPr>
            </w:pPr>
            <w:r w:rsidRPr="00530F8E">
              <w:rPr>
                <w:rFonts w:ascii="Arial" w:eastAsia="Calibri" w:hAnsi="Arial" w:cs="Arial"/>
              </w:rPr>
              <w:t>0,097</w:t>
            </w:r>
          </w:p>
        </w:tc>
      </w:tr>
    </w:tbl>
    <w:p w:rsidR="007F6E99" w:rsidRPr="00E863B4" w:rsidRDefault="007F6E99" w:rsidP="007F6E99">
      <w:pPr>
        <w:spacing w:after="0" w:line="240" w:lineRule="auto"/>
        <w:ind w:firstLine="708"/>
        <w:jc w:val="both"/>
        <w:rPr>
          <w:rFonts w:ascii="Arial" w:eastAsia="Times New Roman" w:hAnsi="Arial" w:cs="Arial"/>
          <w:sz w:val="24"/>
          <w:szCs w:val="24"/>
          <w:lang w:eastAsia="pl-PL"/>
        </w:rPr>
      </w:pPr>
    </w:p>
    <w:p w:rsidR="007F6E99" w:rsidRPr="00E863B4" w:rsidRDefault="007F6E99" w:rsidP="007F6E99">
      <w:pPr>
        <w:spacing w:after="0" w:line="240" w:lineRule="auto"/>
        <w:ind w:firstLine="708"/>
        <w:jc w:val="both"/>
        <w:rPr>
          <w:rFonts w:ascii="Arial" w:eastAsia="Times New Roman" w:hAnsi="Arial" w:cs="Arial"/>
          <w:noProof/>
          <w:sz w:val="24"/>
          <w:szCs w:val="24"/>
          <w:lang w:val="pl-PL" w:eastAsia="pl-PL"/>
        </w:rPr>
      </w:pPr>
      <w:r w:rsidRPr="00E863B4">
        <w:rPr>
          <w:rFonts w:ascii="Arial" w:eastAsia="Times New Roman" w:hAnsi="Arial" w:cs="Arial"/>
          <w:sz w:val="24"/>
          <w:szCs w:val="24"/>
          <w:lang w:eastAsia="pl-PL"/>
        </w:rPr>
        <w:t xml:space="preserve">Valorile orare de dozimetrie gamma nu au prezentat depăşiri ale limitei de atenţionare de 0,250 </w:t>
      </w:r>
      <w:r w:rsidRPr="00E863B4">
        <w:rPr>
          <w:rFonts w:ascii="Arial" w:eastAsia="Times New Roman" w:hAnsi="Arial" w:cs="Arial"/>
          <w:sz w:val="24"/>
          <w:szCs w:val="24"/>
          <w:lang w:val="pl-PL" w:eastAsia="pl-PL"/>
        </w:rPr>
        <w:t>µSy/h</w:t>
      </w:r>
      <w:r w:rsidRPr="00E863B4">
        <w:rPr>
          <w:rFonts w:ascii="Arial" w:eastAsia="Times New Roman" w:hAnsi="Arial" w:cs="Arial"/>
          <w:sz w:val="24"/>
          <w:szCs w:val="24"/>
          <w:lang w:eastAsia="pl-PL"/>
        </w:rPr>
        <w:t xml:space="preserve">, media anuală fiind de </w:t>
      </w:r>
      <w:r w:rsidRPr="00530F8E">
        <w:rPr>
          <w:rFonts w:ascii="Arial" w:eastAsia="Times New Roman" w:hAnsi="Arial" w:cs="Arial"/>
          <w:sz w:val="24"/>
          <w:szCs w:val="24"/>
          <w:lang w:eastAsia="pl-PL"/>
        </w:rPr>
        <w:t xml:space="preserve">0,103 </w:t>
      </w:r>
      <w:r w:rsidRPr="00530F8E">
        <w:rPr>
          <w:rFonts w:ascii="Arial" w:eastAsia="Times New Roman" w:hAnsi="Arial" w:cs="Arial"/>
          <w:sz w:val="24"/>
          <w:szCs w:val="24"/>
          <w:lang w:val="pl-PL" w:eastAsia="pl-PL"/>
        </w:rPr>
        <w:t>µSy</w:t>
      </w:r>
      <w:r w:rsidRPr="00E863B4">
        <w:rPr>
          <w:rFonts w:ascii="Arial" w:eastAsia="Times New Roman" w:hAnsi="Arial" w:cs="Arial"/>
          <w:sz w:val="24"/>
          <w:szCs w:val="24"/>
          <w:lang w:val="pl-PL" w:eastAsia="pl-PL"/>
        </w:rPr>
        <w:t>/h</w:t>
      </w:r>
      <w:r w:rsidRPr="00E863B4">
        <w:rPr>
          <w:rFonts w:ascii="Arial" w:eastAsia="Times New Roman" w:hAnsi="Arial" w:cs="Arial"/>
          <w:sz w:val="24"/>
          <w:szCs w:val="24"/>
          <w:lang w:eastAsia="pl-PL"/>
        </w:rPr>
        <w:t>.</w:t>
      </w:r>
    </w:p>
    <w:p w:rsidR="005F3EF8" w:rsidRDefault="005F3EF8" w:rsidP="007F6E99">
      <w:pPr>
        <w:ind w:firstLine="708"/>
        <w:jc w:val="both"/>
        <w:rPr>
          <w:rFonts w:ascii="Arial" w:eastAsia="Calibri" w:hAnsi="Arial" w:cs="Arial"/>
          <w:noProof/>
          <w:sz w:val="24"/>
          <w:szCs w:val="24"/>
        </w:rPr>
      </w:pPr>
    </w:p>
    <w:p w:rsidR="007F6E99" w:rsidRPr="00E863B4" w:rsidRDefault="007F6E99" w:rsidP="007F6E99">
      <w:pPr>
        <w:ind w:firstLine="708"/>
        <w:jc w:val="both"/>
        <w:rPr>
          <w:rFonts w:ascii="Arial" w:eastAsia="Calibri" w:hAnsi="Arial" w:cs="Arial"/>
          <w:noProof/>
          <w:sz w:val="24"/>
          <w:szCs w:val="24"/>
        </w:rPr>
      </w:pPr>
      <w:r w:rsidRPr="00E863B4">
        <w:rPr>
          <w:rFonts w:ascii="Arial" w:eastAsia="Calibri" w:hAnsi="Arial" w:cs="Arial"/>
          <w:noProof/>
          <w:sz w:val="24"/>
          <w:szCs w:val="24"/>
        </w:rPr>
        <w:t xml:space="preserve">Variația mediilor și maximelor anuale ale debitului dozei gama înregistrate în ultimii cinci ani este prezentată </w:t>
      </w:r>
      <w:r w:rsidRPr="00E863B4">
        <w:rPr>
          <w:rFonts w:ascii="Arial" w:eastAsia="Calibri" w:hAnsi="Arial" w:cs="Arial"/>
          <w:b/>
          <w:noProof/>
          <w:sz w:val="24"/>
          <w:szCs w:val="24"/>
        </w:rPr>
        <w:t>în graficul IX.1.1.1</w:t>
      </w:r>
      <w:r w:rsidRPr="00E863B4">
        <w:rPr>
          <w:rFonts w:ascii="Arial" w:eastAsia="Calibri" w:hAnsi="Arial" w:cs="Arial"/>
          <w:noProof/>
          <w:sz w:val="24"/>
          <w:szCs w:val="24"/>
        </w:rPr>
        <w:t xml:space="preserve">, după cum urmează.     </w:t>
      </w:r>
    </w:p>
    <w:p w:rsidR="007F6E99" w:rsidRPr="00E863B4" w:rsidRDefault="007F6E99" w:rsidP="007F6E99">
      <w:pPr>
        <w:ind w:firstLine="708"/>
        <w:jc w:val="both"/>
        <w:rPr>
          <w:rFonts w:ascii="Arial" w:eastAsia="Calibri" w:hAnsi="Arial" w:cs="Arial"/>
          <w:noProof/>
          <w:sz w:val="24"/>
          <w:szCs w:val="24"/>
        </w:rPr>
      </w:pPr>
      <w:r w:rsidRPr="00E863B4">
        <w:rPr>
          <w:rFonts w:ascii="Arial" w:eastAsia="Calibri" w:hAnsi="Arial" w:cs="Arial"/>
          <w:noProof/>
          <w:sz w:val="24"/>
          <w:szCs w:val="24"/>
        </w:rPr>
        <w:lastRenderedPageBreak/>
        <w:drawing>
          <wp:inline distT="0" distB="0" distL="0" distR="0">
            <wp:extent cx="5353050" cy="3714750"/>
            <wp:effectExtent l="19050" t="0" r="19050" b="0"/>
            <wp:docPr id="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7F6E99" w:rsidRPr="0026029D" w:rsidRDefault="007F6E99" w:rsidP="007F6E99">
      <w:pPr>
        <w:ind w:firstLine="708"/>
        <w:jc w:val="both"/>
        <w:rPr>
          <w:rFonts w:ascii="Arial" w:eastAsia="Calibri" w:hAnsi="Arial" w:cs="Arial"/>
          <w:b/>
          <w:sz w:val="24"/>
          <w:szCs w:val="24"/>
        </w:rPr>
      </w:pPr>
      <w:r w:rsidRPr="0026029D">
        <w:rPr>
          <w:rFonts w:ascii="Arial" w:eastAsia="Calibri" w:hAnsi="Arial" w:cs="Arial"/>
          <w:b/>
          <w:sz w:val="24"/>
          <w:szCs w:val="24"/>
        </w:rPr>
        <w:t>Figura IX.1.1.1</w:t>
      </w:r>
    </w:p>
    <w:p w:rsidR="007F6E99" w:rsidRPr="00E863B4" w:rsidRDefault="007F6E99" w:rsidP="007F6E99">
      <w:pPr>
        <w:autoSpaceDE w:val="0"/>
        <w:autoSpaceDN w:val="0"/>
        <w:adjustRightInd w:val="0"/>
        <w:spacing w:after="0" w:line="240" w:lineRule="auto"/>
        <w:ind w:firstLine="708"/>
        <w:jc w:val="both"/>
        <w:rPr>
          <w:rFonts w:ascii="Arial" w:eastAsia="Calibri" w:hAnsi="Arial" w:cs="Arial"/>
          <w:sz w:val="24"/>
          <w:szCs w:val="24"/>
        </w:rPr>
      </w:pPr>
      <w:r w:rsidRPr="00E863B4">
        <w:rPr>
          <w:rFonts w:ascii="Arial" w:eastAsia="Calibri" w:hAnsi="Arial" w:cs="Arial"/>
          <w:sz w:val="24"/>
          <w:szCs w:val="24"/>
        </w:rPr>
        <w:t>Determinările efectuate în ultimii cinci ani au evidenţiat faptul că valoarea medie anuală a debitul dozei gama s-a menținut în același domeniu de variație.</w:t>
      </w:r>
    </w:p>
    <w:p w:rsidR="007F6E99" w:rsidRPr="00E863B4" w:rsidRDefault="007F6E99" w:rsidP="007F6E99">
      <w:pPr>
        <w:spacing w:after="0" w:line="240" w:lineRule="auto"/>
        <w:jc w:val="both"/>
        <w:rPr>
          <w:rFonts w:ascii="Arial" w:eastAsia="Calibri" w:hAnsi="Arial" w:cs="Arial"/>
          <w:i/>
          <w:sz w:val="24"/>
          <w:szCs w:val="24"/>
        </w:rPr>
      </w:pPr>
      <w:r w:rsidRPr="00E863B4">
        <w:rPr>
          <w:rFonts w:ascii="Arial" w:eastAsia="Calibri" w:hAnsi="Arial" w:cs="Arial"/>
          <w:i/>
          <w:sz w:val="24"/>
          <w:szCs w:val="24"/>
        </w:rPr>
        <w:t>GLOSAR DE TERMENI</w:t>
      </w:r>
    </w:p>
    <w:p w:rsidR="007F6E99" w:rsidRPr="00E863B4" w:rsidRDefault="007F6E99" w:rsidP="007F6E99">
      <w:pPr>
        <w:spacing w:after="0" w:line="240" w:lineRule="auto"/>
        <w:jc w:val="both"/>
        <w:rPr>
          <w:rFonts w:ascii="Arial" w:eastAsia="Calibri" w:hAnsi="Arial" w:cs="Arial"/>
          <w:sz w:val="24"/>
          <w:szCs w:val="24"/>
        </w:rPr>
      </w:pPr>
      <w:r w:rsidRPr="00E863B4">
        <w:rPr>
          <w:rFonts w:ascii="Arial" w:eastAsia="Calibri" w:hAnsi="Arial" w:cs="Arial"/>
          <w:b/>
          <w:sz w:val="24"/>
          <w:szCs w:val="24"/>
        </w:rPr>
        <w:tab/>
        <w:t>Doza absorbită</w:t>
      </w:r>
      <w:r w:rsidRPr="00E863B4">
        <w:rPr>
          <w:rFonts w:ascii="Arial" w:eastAsia="Calibri" w:hAnsi="Arial" w:cs="Arial"/>
          <w:sz w:val="24"/>
          <w:szCs w:val="24"/>
        </w:rPr>
        <w:t xml:space="preserve"> reprezintă energia cedată de radiaţia ionizantă unităţii de masă a substanţei prin care trece, unitatea de măsură fiind gray (Gy).</w:t>
      </w:r>
    </w:p>
    <w:p w:rsidR="007F6E99" w:rsidRPr="00E863B4" w:rsidRDefault="007F6E99" w:rsidP="007F6E99">
      <w:pPr>
        <w:spacing w:after="0" w:line="240" w:lineRule="auto"/>
        <w:jc w:val="both"/>
        <w:rPr>
          <w:rFonts w:ascii="Arial" w:eastAsia="Calibri" w:hAnsi="Arial" w:cs="Arial"/>
          <w:i/>
          <w:sz w:val="24"/>
          <w:szCs w:val="24"/>
        </w:rPr>
      </w:pPr>
      <w:r w:rsidRPr="00E863B4">
        <w:rPr>
          <w:rFonts w:ascii="Arial" w:eastAsia="Calibri" w:hAnsi="Arial" w:cs="Arial"/>
          <w:b/>
          <w:sz w:val="24"/>
          <w:szCs w:val="24"/>
        </w:rPr>
        <w:tab/>
        <w:t>Doza echivalentă</w:t>
      </w:r>
      <w:r w:rsidRPr="00E863B4">
        <w:rPr>
          <w:rFonts w:ascii="Arial" w:eastAsia="Calibri" w:hAnsi="Arial" w:cs="Arial"/>
          <w:sz w:val="24"/>
          <w:szCs w:val="24"/>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w:t>
      </w:r>
      <w:r w:rsidRPr="00E863B4">
        <w:rPr>
          <w:rFonts w:ascii="Arial" w:eastAsia="Calibri" w:hAnsi="Arial" w:cs="Arial"/>
          <w:i/>
          <w:sz w:val="24"/>
          <w:szCs w:val="24"/>
        </w:rPr>
        <w:t xml:space="preserve"> este sievert. (Sv).</w:t>
      </w:r>
    </w:p>
    <w:p w:rsidR="007F6E99" w:rsidRDefault="007F6E99" w:rsidP="007F6E99">
      <w:pPr>
        <w:spacing w:after="0"/>
        <w:ind w:firstLine="720"/>
        <w:jc w:val="both"/>
        <w:rPr>
          <w:rFonts w:ascii="Arial" w:hAnsi="Arial" w:cs="Arial"/>
          <w:b/>
          <w:sz w:val="24"/>
          <w:szCs w:val="24"/>
        </w:rPr>
      </w:pPr>
    </w:p>
    <w:p w:rsidR="007F6E99" w:rsidRPr="00594535" w:rsidRDefault="007F6E99" w:rsidP="007F6E99">
      <w:pPr>
        <w:spacing w:after="0"/>
        <w:ind w:firstLine="720"/>
        <w:jc w:val="both"/>
        <w:rPr>
          <w:rFonts w:ascii="Arial" w:hAnsi="Arial" w:cs="Arial"/>
          <w:b/>
          <w:sz w:val="24"/>
          <w:szCs w:val="24"/>
        </w:rPr>
      </w:pPr>
      <w:r w:rsidRPr="00594535">
        <w:rPr>
          <w:rFonts w:ascii="Arial" w:hAnsi="Arial" w:cs="Arial"/>
          <w:b/>
          <w:sz w:val="24"/>
          <w:szCs w:val="24"/>
        </w:rPr>
        <w:t xml:space="preserve">IX.1.2. </w:t>
      </w:r>
      <w:r w:rsidRPr="00594535">
        <w:rPr>
          <w:rFonts w:ascii="Arial" w:hAnsi="Arial" w:cs="Arial"/>
          <w:b/>
          <w:i/>
          <w:sz w:val="24"/>
          <w:szCs w:val="24"/>
        </w:rPr>
        <w:t>Radioactivitatea apelor</w:t>
      </w:r>
      <w:r w:rsidRPr="00594535">
        <w:rPr>
          <w:rFonts w:ascii="Arial" w:hAnsi="Arial" w:cs="Arial"/>
          <w:b/>
          <w:sz w:val="24"/>
          <w:szCs w:val="24"/>
        </w:rPr>
        <w:t xml:space="preserve"> </w:t>
      </w:r>
    </w:p>
    <w:p w:rsidR="007F6E99" w:rsidRPr="00594535" w:rsidRDefault="007F6E99" w:rsidP="007F6E99">
      <w:pPr>
        <w:ind w:firstLine="720"/>
        <w:jc w:val="both"/>
        <w:rPr>
          <w:rFonts w:ascii="Arial" w:hAnsi="Arial" w:cs="Arial"/>
          <w:sz w:val="24"/>
          <w:szCs w:val="24"/>
        </w:rPr>
      </w:pPr>
      <w:r w:rsidRPr="00594535">
        <w:rPr>
          <w:rFonts w:ascii="Arial" w:hAnsi="Arial" w:cs="Arial"/>
          <w:sz w:val="24"/>
          <w:szCs w:val="24"/>
        </w:rPr>
        <w:t xml:space="preserve">La nivelul județului </w:t>
      </w:r>
      <w:r>
        <w:rPr>
          <w:rFonts w:ascii="Arial" w:hAnsi="Arial" w:cs="Arial"/>
          <w:sz w:val="24"/>
          <w:szCs w:val="24"/>
        </w:rPr>
        <w:t>Brăila</w:t>
      </w:r>
      <w:r w:rsidRPr="00594535">
        <w:rPr>
          <w:rFonts w:ascii="Arial" w:hAnsi="Arial" w:cs="Arial"/>
          <w:sz w:val="24"/>
          <w:szCs w:val="24"/>
        </w:rPr>
        <w:t xml:space="preserve"> nu este cazul.</w:t>
      </w:r>
    </w:p>
    <w:p w:rsidR="007F6E99" w:rsidRPr="00594535" w:rsidRDefault="007F6E99" w:rsidP="007F6E99">
      <w:pPr>
        <w:ind w:firstLine="720"/>
        <w:jc w:val="both"/>
        <w:rPr>
          <w:rFonts w:ascii="Arial" w:hAnsi="Arial" w:cs="Arial"/>
          <w:b/>
          <w:sz w:val="24"/>
          <w:szCs w:val="24"/>
        </w:rPr>
      </w:pPr>
      <w:r w:rsidRPr="00594535">
        <w:rPr>
          <w:rFonts w:ascii="Arial" w:hAnsi="Arial" w:cs="Arial"/>
          <w:b/>
          <w:sz w:val="24"/>
          <w:szCs w:val="24"/>
        </w:rPr>
        <w:t xml:space="preserve">IX. 1.3. </w:t>
      </w:r>
      <w:r w:rsidRPr="00594535">
        <w:rPr>
          <w:rFonts w:ascii="Arial" w:hAnsi="Arial" w:cs="Arial"/>
          <w:b/>
          <w:i/>
          <w:sz w:val="24"/>
          <w:szCs w:val="24"/>
        </w:rPr>
        <w:t>Radioactivitatea solului</w:t>
      </w:r>
    </w:p>
    <w:p w:rsidR="007F6E99" w:rsidRPr="00594535" w:rsidRDefault="007F6E99" w:rsidP="007F6E99">
      <w:pPr>
        <w:ind w:firstLine="720"/>
        <w:jc w:val="both"/>
        <w:rPr>
          <w:rFonts w:ascii="Arial" w:hAnsi="Arial" w:cs="Arial"/>
          <w:sz w:val="24"/>
          <w:szCs w:val="24"/>
        </w:rPr>
      </w:pPr>
      <w:r w:rsidRPr="00594535">
        <w:rPr>
          <w:rFonts w:ascii="Arial" w:hAnsi="Arial" w:cs="Arial"/>
          <w:sz w:val="24"/>
          <w:szCs w:val="24"/>
        </w:rPr>
        <w:t xml:space="preserve">La nivelul județului </w:t>
      </w:r>
      <w:r>
        <w:rPr>
          <w:rFonts w:ascii="Arial" w:hAnsi="Arial" w:cs="Arial"/>
          <w:sz w:val="24"/>
          <w:szCs w:val="24"/>
        </w:rPr>
        <w:t>Brăila</w:t>
      </w:r>
      <w:r w:rsidRPr="00594535">
        <w:rPr>
          <w:rFonts w:ascii="Arial" w:hAnsi="Arial" w:cs="Arial"/>
          <w:sz w:val="24"/>
          <w:szCs w:val="24"/>
        </w:rPr>
        <w:t xml:space="preserve"> nu este cazul.</w:t>
      </w:r>
    </w:p>
    <w:p w:rsidR="007F6E99" w:rsidRPr="00594535" w:rsidRDefault="007F6E99" w:rsidP="007F6E99">
      <w:pPr>
        <w:ind w:firstLine="720"/>
        <w:jc w:val="both"/>
        <w:rPr>
          <w:rFonts w:ascii="Arial" w:hAnsi="Arial" w:cs="Arial"/>
          <w:b/>
          <w:sz w:val="24"/>
          <w:szCs w:val="24"/>
        </w:rPr>
      </w:pPr>
      <w:r w:rsidRPr="00594535">
        <w:rPr>
          <w:rFonts w:ascii="Arial" w:hAnsi="Arial" w:cs="Arial"/>
          <w:b/>
          <w:sz w:val="24"/>
          <w:szCs w:val="24"/>
        </w:rPr>
        <w:t>IX. 1.4</w:t>
      </w:r>
      <w:r w:rsidRPr="00594535">
        <w:rPr>
          <w:rFonts w:ascii="Arial" w:hAnsi="Arial" w:cs="Arial"/>
          <w:b/>
          <w:i/>
          <w:sz w:val="24"/>
          <w:szCs w:val="24"/>
        </w:rPr>
        <w:t>. Radioactivitatea vegetației</w:t>
      </w:r>
    </w:p>
    <w:p w:rsidR="007F6E99" w:rsidRPr="00594535" w:rsidRDefault="007F6E99" w:rsidP="007F6E99">
      <w:pPr>
        <w:ind w:firstLine="720"/>
        <w:jc w:val="both"/>
        <w:rPr>
          <w:rFonts w:ascii="Arial" w:hAnsi="Arial" w:cs="Arial"/>
          <w:sz w:val="24"/>
          <w:szCs w:val="24"/>
        </w:rPr>
      </w:pPr>
      <w:r w:rsidRPr="00594535">
        <w:rPr>
          <w:rFonts w:ascii="Arial" w:hAnsi="Arial" w:cs="Arial"/>
          <w:sz w:val="24"/>
          <w:szCs w:val="24"/>
        </w:rPr>
        <w:t xml:space="preserve">La nivelul județului </w:t>
      </w:r>
      <w:r>
        <w:rPr>
          <w:rFonts w:ascii="Arial" w:hAnsi="Arial" w:cs="Arial"/>
          <w:sz w:val="24"/>
          <w:szCs w:val="24"/>
        </w:rPr>
        <w:t>Brăila</w:t>
      </w:r>
      <w:r w:rsidRPr="00594535">
        <w:rPr>
          <w:rFonts w:ascii="Arial" w:hAnsi="Arial" w:cs="Arial"/>
          <w:sz w:val="24"/>
          <w:szCs w:val="24"/>
        </w:rPr>
        <w:t xml:space="preserve"> nu este cazul.</w:t>
      </w:r>
    </w:p>
    <w:p w:rsidR="0022295F" w:rsidRDefault="0022295F" w:rsidP="0022295F">
      <w:pPr>
        <w:pStyle w:val="ListParagraph"/>
        <w:ind w:left="0"/>
        <w:rPr>
          <w:rFonts w:ascii="Arial" w:hAnsi="Arial" w:cs="Arial"/>
          <w:b/>
          <w:color w:val="FF0000"/>
          <w:sz w:val="32"/>
          <w:szCs w:val="32"/>
        </w:rPr>
      </w:pPr>
    </w:p>
    <w:p w:rsidR="0022295F" w:rsidRDefault="0022295F" w:rsidP="0022295F">
      <w:pPr>
        <w:spacing w:after="0" w:line="240" w:lineRule="auto"/>
        <w:rPr>
          <w:rFonts w:ascii="Arial" w:hAnsi="Arial" w:cs="Arial"/>
          <w:b/>
          <w:sz w:val="24"/>
          <w:szCs w:val="24"/>
        </w:rPr>
      </w:pPr>
      <w:r w:rsidRPr="00D45D59">
        <w:rPr>
          <w:rFonts w:ascii="Arial" w:hAnsi="Arial" w:cs="Arial"/>
          <w:b/>
          <w:sz w:val="24"/>
          <w:szCs w:val="24"/>
        </w:rPr>
        <w:t>X. CONSUMUL ȘI MEDIUL ÎNCONJURĂTOR</w:t>
      </w:r>
    </w:p>
    <w:p w:rsidR="0022295F" w:rsidRPr="00D45D59" w:rsidRDefault="0022295F" w:rsidP="0022295F">
      <w:pPr>
        <w:spacing w:after="0" w:line="240" w:lineRule="auto"/>
        <w:rPr>
          <w:rFonts w:ascii="Arial" w:hAnsi="Arial" w:cs="Arial"/>
          <w:b/>
          <w:sz w:val="24"/>
          <w:szCs w:val="24"/>
        </w:rPr>
      </w:pPr>
    </w:p>
    <w:p w:rsidR="0022295F" w:rsidRDefault="0022295F" w:rsidP="0022295F">
      <w:pPr>
        <w:pStyle w:val="Default"/>
        <w:rPr>
          <w:rFonts w:ascii="Arial" w:hAnsi="Arial" w:cs="Arial"/>
          <w:b/>
          <w:color w:val="auto"/>
        </w:rPr>
      </w:pPr>
      <w:r w:rsidRPr="008710A0">
        <w:rPr>
          <w:rFonts w:ascii="Arial" w:hAnsi="Arial" w:cs="Arial"/>
          <w:b/>
          <w:bCs/>
          <w:iCs/>
          <w:color w:val="auto"/>
        </w:rPr>
        <w:t xml:space="preserve">     X.1. Tendinţe</w:t>
      </w:r>
      <w:r>
        <w:rPr>
          <w:rFonts w:ascii="Arial" w:hAnsi="Arial" w:cs="Arial"/>
          <w:b/>
          <w:bCs/>
          <w:iCs/>
          <w:color w:val="auto"/>
        </w:rPr>
        <w:t xml:space="preserve"> </w:t>
      </w:r>
      <w:r w:rsidRPr="008710A0">
        <w:rPr>
          <w:rFonts w:ascii="Arial" w:hAnsi="Arial" w:cs="Arial"/>
          <w:b/>
          <w:bCs/>
          <w:iCs/>
          <w:color w:val="auto"/>
        </w:rPr>
        <w:t>în</w:t>
      </w:r>
      <w:r>
        <w:rPr>
          <w:rFonts w:ascii="Arial" w:hAnsi="Arial" w:cs="Arial"/>
          <w:b/>
          <w:bCs/>
          <w:iCs/>
          <w:color w:val="auto"/>
        </w:rPr>
        <w:t xml:space="preserve"> </w:t>
      </w:r>
      <w:r w:rsidRPr="008710A0">
        <w:rPr>
          <w:rFonts w:ascii="Arial" w:hAnsi="Arial" w:cs="Arial"/>
          <w:b/>
          <w:bCs/>
          <w:iCs/>
          <w:color w:val="auto"/>
        </w:rPr>
        <w:t>consum</w:t>
      </w:r>
      <w:r>
        <w:rPr>
          <w:rFonts w:ascii="Arial" w:hAnsi="Arial" w:cs="Arial"/>
          <w:b/>
          <w:bCs/>
          <w:iCs/>
          <w:color w:val="auto"/>
        </w:rPr>
        <w:t xml:space="preserve"> </w:t>
      </w:r>
      <w:r w:rsidRPr="008710A0">
        <w:rPr>
          <w:rFonts w:ascii="Arial" w:hAnsi="Arial" w:cs="Arial"/>
          <w:b/>
          <w:color w:val="auto"/>
        </w:rPr>
        <w:t>la nivel</w:t>
      </w:r>
      <w:r>
        <w:rPr>
          <w:rFonts w:ascii="Arial" w:hAnsi="Arial" w:cs="Arial"/>
          <w:b/>
          <w:color w:val="auto"/>
        </w:rPr>
        <w:t xml:space="preserve"> </w:t>
      </w:r>
      <w:r w:rsidRPr="008710A0">
        <w:rPr>
          <w:rFonts w:ascii="Arial" w:hAnsi="Arial" w:cs="Arial"/>
          <w:b/>
          <w:color w:val="auto"/>
        </w:rPr>
        <w:t>judeţean</w:t>
      </w:r>
    </w:p>
    <w:p w:rsidR="0022295F" w:rsidRPr="008710A0" w:rsidRDefault="0022295F" w:rsidP="0022295F">
      <w:pPr>
        <w:pStyle w:val="Default"/>
        <w:rPr>
          <w:rFonts w:ascii="Arial" w:hAnsi="Arial" w:cs="Arial"/>
          <w:b/>
          <w:bCs/>
          <w:color w:val="auto"/>
        </w:rPr>
      </w:pPr>
      <w:r>
        <w:rPr>
          <w:rFonts w:ascii="Arial" w:hAnsi="Arial" w:cs="Arial"/>
          <w:b/>
          <w:bCs/>
          <w:iCs/>
          <w:color w:val="auto"/>
        </w:rPr>
        <w:t xml:space="preserve">        </w:t>
      </w:r>
      <w:r w:rsidRPr="008710A0">
        <w:rPr>
          <w:rFonts w:ascii="Arial" w:hAnsi="Arial" w:cs="Arial"/>
          <w:b/>
          <w:bCs/>
          <w:iCs/>
          <w:color w:val="auto"/>
        </w:rPr>
        <w:t xml:space="preserve">X.1.1. </w:t>
      </w:r>
      <w:r w:rsidRPr="008710A0">
        <w:rPr>
          <w:rFonts w:ascii="Arial" w:hAnsi="Arial" w:cs="Arial"/>
          <w:b/>
          <w:bCs/>
          <w:i/>
          <w:iCs/>
          <w:color w:val="auto"/>
        </w:rPr>
        <w:t>Alimente</w:t>
      </w:r>
      <w:r>
        <w:rPr>
          <w:rFonts w:ascii="Arial" w:hAnsi="Arial" w:cs="Arial"/>
          <w:b/>
          <w:bCs/>
          <w:i/>
          <w:iCs/>
          <w:color w:val="auto"/>
        </w:rPr>
        <w:t xml:space="preserve"> </w:t>
      </w:r>
      <w:r w:rsidRPr="008710A0">
        <w:rPr>
          <w:rFonts w:ascii="Arial" w:hAnsi="Arial" w:cs="Arial"/>
          <w:b/>
          <w:bCs/>
          <w:i/>
          <w:iCs/>
          <w:color w:val="auto"/>
        </w:rPr>
        <w:t>și</w:t>
      </w:r>
      <w:r>
        <w:rPr>
          <w:rFonts w:ascii="Arial" w:hAnsi="Arial" w:cs="Arial"/>
          <w:b/>
          <w:bCs/>
          <w:i/>
          <w:iCs/>
          <w:color w:val="auto"/>
        </w:rPr>
        <w:t xml:space="preserve"> </w:t>
      </w:r>
      <w:r w:rsidRPr="008710A0">
        <w:rPr>
          <w:rFonts w:ascii="Arial" w:hAnsi="Arial" w:cs="Arial"/>
          <w:b/>
          <w:bCs/>
          <w:i/>
          <w:iCs/>
          <w:color w:val="auto"/>
        </w:rPr>
        <w:t>băuturi</w:t>
      </w:r>
      <w:r w:rsidRPr="008710A0">
        <w:rPr>
          <w:rFonts w:ascii="Arial" w:hAnsi="Arial" w:cs="Arial"/>
          <w:b/>
          <w:bCs/>
          <w:iCs/>
          <w:color w:val="auto"/>
        </w:rPr>
        <w:t xml:space="preserve"> – </w:t>
      </w:r>
      <w:r w:rsidRPr="008710A0">
        <w:rPr>
          <w:rFonts w:ascii="Arial" w:hAnsi="Arial" w:cs="Arial"/>
          <w:bCs/>
          <w:iCs/>
          <w:color w:val="auto"/>
        </w:rPr>
        <w:t>nu sunt date statistice</w:t>
      </w:r>
      <w:r>
        <w:rPr>
          <w:rFonts w:ascii="Arial" w:hAnsi="Arial" w:cs="Arial"/>
          <w:bCs/>
          <w:iCs/>
          <w:color w:val="auto"/>
        </w:rPr>
        <w:t xml:space="preserve"> </w:t>
      </w:r>
      <w:r w:rsidRPr="008710A0">
        <w:rPr>
          <w:rFonts w:ascii="Arial" w:hAnsi="Arial" w:cs="Arial"/>
          <w:bCs/>
          <w:iCs/>
          <w:color w:val="auto"/>
        </w:rPr>
        <w:t>agregate de nivel</w:t>
      </w:r>
      <w:r>
        <w:rPr>
          <w:rFonts w:ascii="Arial" w:hAnsi="Arial" w:cs="Arial"/>
          <w:bCs/>
          <w:iCs/>
          <w:color w:val="auto"/>
        </w:rPr>
        <w:t xml:space="preserve"> </w:t>
      </w:r>
      <w:r w:rsidRPr="008710A0">
        <w:rPr>
          <w:rFonts w:ascii="Arial" w:hAnsi="Arial" w:cs="Arial"/>
          <w:bCs/>
          <w:iCs/>
          <w:color w:val="auto"/>
        </w:rPr>
        <w:t xml:space="preserve">județean </w:t>
      </w:r>
      <w:r>
        <w:rPr>
          <w:rFonts w:ascii="Arial" w:hAnsi="Arial" w:cs="Arial"/>
          <w:bCs/>
          <w:iCs/>
          <w:color w:val="auto"/>
        </w:rPr>
        <w:t xml:space="preserve">          </w:t>
      </w:r>
      <w:r w:rsidRPr="008710A0">
        <w:rPr>
          <w:rFonts w:ascii="Arial" w:hAnsi="Arial" w:cs="Arial"/>
          <w:bCs/>
          <w:iCs/>
          <w:color w:val="auto"/>
        </w:rPr>
        <w:t>(DirecțiaRegională de StatisticăBrăila)</w:t>
      </w:r>
    </w:p>
    <w:p w:rsidR="00984953" w:rsidRDefault="0022295F" w:rsidP="0022295F">
      <w:pPr>
        <w:pStyle w:val="Default"/>
        <w:rPr>
          <w:rFonts w:ascii="Arial" w:hAnsi="Arial" w:cs="Arial"/>
          <w:b/>
          <w:bCs/>
          <w:color w:val="auto"/>
        </w:rPr>
      </w:pPr>
      <w:r>
        <w:rPr>
          <w:rFonts w:ascii="Arial" w:hAnsi="Arial" w:cs="Arial"/>
          <w:b/>
          <w:bCs/>
          <w:color w:val="auto"/>
        </w:rPr>
        <w:t xml:space="preserve">       </w:t>
      </w:r>
    </w:p>
    <w:p w:rsidR="0022295F" w:rsidRPr="008710A0" w:rsidRDefault="0022295F" w:rsidP="0022295F">
      <w:pPr>
        <w:pStyle w:val="Default"/>
        <w:rPr>
          <w:rFonts w:ascii="Arial" w:hAnsi="Arial" w:cs="Arial"/>
          <w:b/>
          <w:bCs/>
          <w:i/>
          <w:color w:val="auto"/>
          <w:u w:val="single"/>
        </w:rPr>
      </w:pPr>
      <w:r>
        <w:rPr>
          <w:rFonts w:ascii="Arial" w:hAnsi="Arial" w:cs="Arial"/>
          <w:b/>
          <w:bCs/>
          <w:color w:val="auto"/>
        </w:rPr>
        <w:t xml:space="preserve"> </w:t>
      </w:r>
      <w:r w:rsidRPr="008710A0">
        <w:rPr>
          <w:rFonts w:ascii="Arial" w:hAnsi="Arial" w:cs="Arial"/>
          <w:b/>
          <w:bCs/>
          <w:color w:val="auto"/>
        </w:rPr>
        <w:t>X.1.2</w:t>
      </w:r>
      <w:r w:rsidRPr="008710A0">
        <w:rPr>
          <w:rFonts w:ascii="Arial" w:hAnsi="Arial" w:cs="Arial"/>
          <w:b/>
          <w:bCs/>
          <w:i/>
          <w:color w:val="auto"/>
        </w:rPr>
        <w:t>. Locuințe</w:t>
      </w:r>
    </w:p>
    <w:p w:rsidR="0022295F" w:rsidRPr="008710A0" w:rsidRDefault="0022295F" w:rsidP="0022295F">
      <w:pPr>
        <w:pStyle w:val="Default"/>
        <w:rPr>
          <w:rFonts w:ascii="Arial" w:hAnsi="Arial" w:cs="Arial"/>
          <w:b/>
          <w:bCs/>
          <w:i/>
          <w:color w:val="auto"/>
          <w:u w:val="single"/>
        </w:rPr>
      </w:pPr>
      <w:r>
        <w:rPr>
          <w:rFonts w:ascii="Arial" w:hAnsi="Arial" w:cs="Arial"/>
          <w:b/>
          <w:color w:val="auto"/>
        </w:rPr>
        <w:t xml:space="preserve">        </w:t>
      </w:r>
      <w:r w:rsidRPr="008710A0">
        <w:rPr>
          <w:rFonts w:ascii="Arial" w:hAnsi="Arial" w:cs="Arial"/>
          <w:b/>
          <w:color w:val="auto"/>
        </w:rPr>
        <w:t>Număr</w:t>
      </w:r>
      <w:r>
        <w:rPr>
          <w:rFonts w:ascii="Arial" w:hAnsi="Arial" w:cs="Arial"/>
          <w:b/>
          <w:color w:val="auto"/>
        </w:rPr>
        <w:t xml:space="preserve"> </w:t>
      </w:r>
      <w:r w:rsidRPr="008710A0">
        <w:rPr>
          <w:rFonts w:ascii="Arial" w:hAnsi="Arial" w:cs="Arial"/>
          <w:b/>
          <w:color w:val="auto"/>
        </w:rPr>
        <w:t xml:space="preserve">mediu de </w:t>
      </w:r>
      <w:r>
        <w:rPr>
          <w:rFonts w:ascii="Arial" w:hAnsi="Arial" w:cs="Arial"/>
          <w:b/>
          <w:color w:val="auto"/>
        </w:rPr>
        <w:t xml:space="preserve">persoane </w:t>
      </w:r>
      <w:r w:rsidRPr="008710A0">
        <w:rPr>
          <w:rFonts w:ascii="Arial" w:hAnsi="Arial" w:cs="Arial"/>
          <w:b/>
          <w:color w:val="auto"/>
        </w:rPr>
        <w:t>pe</w:t>
      </w:r>
      <w:r>
        <w:rPr>
          <w:rFonts w:ascii="Arial" w:hAnsi="Arial" w:cs="Arial"/>
          <w:b/>
          <w:color w:val="auto"/>
        </w:rPr>
        <w:t xml:space="preserve"> l</w:t>
      </w:r>
      <w:r w:rsidRPr="008710A0">
        <w:rPr>
          <w:rFonts w:ascii="Arial" w:hAnsi="Arial" w:cs="Arial"/>
          <w:b/>
          <w:color w:val="auto"/>
        </w:rPr>
        <w:t>ocuință</w:t>
      </w:r>
      <w:r w:rsidRPr="008710A0">
        <w:rPr>
          <w:rFonts w:ascii="Arial" w:hAnsi="Arial" w:cs="Arial"/>
          <w:b/>
          <w:iCs/>
          <w:color w:val="auto"/>
        </w:rPr>
        <w:t>(persoane/gospodărie) în</w:t>
      </w:r>
      <w:r>
        <w:rPr>
          <w:rFonts w:ascii="Arial" w:hAnsi="Arial" w:cs="Arial"/>
          <w:b/>
          <w:iCs/>
          <w:color w:val="auto"/>
        </w:rPr>
        <w:t xml:space="preserve"> </w:t>
      </w:r>
      <w:r w:rsidRPr="008710A0">
        <w:rPr>
          <w:rFonts w:ascii="Arial" w:hAnsi="Arial" w:cs="Arial"/>
          <w:b/>
          <w:iCs/>
          <w:color w:val="auto"/>
        </w:rPr>
        <w:t>județul</w:t>
      </w:r>
      <w:r>
        <w:rPr>
          <w:rFonts w:ascii="Arial" w:hAnsi="Arial" w:cs="Arial"/>
          <w:b/>
          <w:iCs/>
          <w:color w:val="auto"/>
        </w:rPr>
        <w:t xml:space="preserve"> </w:t>
      </w:r>
      <w:r w:rsidRPr="008710A0">
        <w:rPr>
          <w:rFonts w:ascii="Arial" w:hAnsi="Arial" w:cs="Arial"/>
          <w:b/>
          <w:iCs/>
          <w:color w:val="auto"/>
        </w:rPr>
        <w:t>Brăila</w:t>
      </w:r>
    </w:p>
    <w:p w:rsidR="0022295F" w:rsidRPr="008710A0" w:rsidRDefault="0022295F" w:rsidP="0022295F">
      <w:pPr>
        <w:pStyle w:val="Default"/>
        <w:rPr>
          <w:rFonts w:ascii="Arial" w:hAnsi="Arial" w:cs="Arial"/>
          <w:b/>
          <w:bCs/>
          <w:iCs/>
          <w:color w:val="auto"/>
          <w:u w:val="single"/>
        </w:rPr>
      </w:pPr>
    </w:p>
    <w:p w:rsidR="00984953" w:rsidRDefault="00984953" w:rsidP="0022295F">
      <w:pPr>
        <w:pStyle w:val="Default"/>
        <w:rPr>
          <w:rFonts w:ascii="Arial" w:hAnsi="Arial" w:cs="Arial"/>
          <w:b/>
          <w:bCs/>
          <w:color w:val="auto"/>
        </w:rPr>
      </w:pPr>
    </w:p>
    <w:p w:rsidR="0022295F" w:rsidRPr="008710A0" w:rsidRDefault="0022295F" w:rsidP="0022295F">
      <w:pPr>
        <w:pStyle w:val="Default"/>
        <w:rPr>
          <w:rFonts w:ascii="Arial" w:hAnsi="Arial" w:cs="Arial"/>
          <w:bCs/>
          <w:color w:val="auto"/>
        </w:rPr>
      </w:pPr>
      <w:r w:rsidRPr="008710A0">
        <w:rPr>
          <w:rFonts w:ascii="Arial" w:hAnsi="Arial" w:cs="Arial"/>
          <w:b/>
          <w:bCs/>
          <w:color w:val="auto"/>
        </w:rPr>
        <w:lastRenderedPageBreak/>
        <w:t xml:space="preserve">Tabelul nr. X.1.2.-1 </w:t>
      </w:r>
      <w:r w:rsidRPr="008710A0">
        <w:rPr>
          <w:rFonts w:ascii="Arial" w:hAnsi="Arial" w:cs="Arial"/>
          <w:color w:val="auto"/>
          <w:lang w:val="es-ES"/>
        </w:rPr>
        <w:t>Locuinţe existente la sfârşitul</w:t>
      </w:r>
      <w:r>
        <w:rPr>
          <w:rFonts w:ascii="Arial" w:hAnsi="Arial" w:cs="Arial"/>
          <w:color w:val="auto"/>
          <w:lang w:val="es-ES"/>
        </w:rPr>
        <w:t xml:space="preserve"> </w:t>
      </w:r>
      <w:r w:rsidRPr="008710A0">
        <w:rPr>
          <w:rFonts w:ascii="Arial" w:hAnsi="Arial" w:cs="Arial"/>
          <w:color w:val="auto"/>
          <w:lang w:val="es-ES"/>
        </w:rPr>
        <w:t>anului 2017, pe medii</w:t>
      </w:r>
    </w:p>
    <w:p w:rsidR="0022295F" w:rsidRPr="008710A0" w:rsidRDefault="0022295F" w:rsidP="0022295F">
      <w:pPr>
        <w:spacing w:after="0" w:line="240" w:lineRule="auto"/>
        <w:rPr>
          <w:rFonts w:ascii="Arial" w:hAnsi="Arial" w:cs="Arial"/>
          <w:sz w:val="24"/>
          <w:szCs w:val="24"/>
        </w:rPr>
      </w:pPr>
      <w:r>
        <w:rPr>
          <w:rFonts w:ascii="Arial" w:hAnsi="Arial" w:cs="Arial"/>
          <w:bCs/>
          <w:sz w:val="24"/>
          <w:szCs w:val="24"/>
        </w:rPr>
        <w:t xml:space="preserve">               </w:t>
      </w:r>
      <w:r w:rsidRPr="008710A0">
        <w:rPr>
          <w:rFonts w:ascii="Arial" w:hAnsi="Arial" w:cs="Arial"/>
          <w:bCs/>
          <w:sz w:val="24"/>
          <w:szCs w:val="24"/>
        </w:rPr>
        <w:t>Număr locuințe</w:t>
      </w:r>
    </w:p>
    <w:tbl>
      <w:tblPr>
        <w:tblW w:w="7442"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1"/>
        <w:gridCol w:w="1123"/>
        <w:gridCol w:w="1123"/>
        <w:gridCol w:w="1123"/>
        <w:gridCol w:w="1041"/>
        <w:gridCol w:w="1041"/>
      </w:tblGrid>
      <w:tr w:rsidR="0022295F" w:rsidRPr="008E1F89" w:rsidTr="004E444C">
        <w:trPr>
          <w:trHeight w:val="246"/>
          <w:jc w:val="center"/>
        </w:trPr>
        <w:tc>
          <w:tcPr>
            <w:tcW w:w="1991" w:type="dxa"/>
            <w:shd w:val="clear" w:color="auto" w:fill="F2DBDB" w:themeFill="accent2" w:themeFillTint="33"/>
            <w:noWrap/>
            <w:vAlign w:val="center"/>
          </w:tcPr>
          <w:p w:rsidR="0022295F" w:rsidRPr="008E1F89" w:rsidRDefault="0022295F" w:rsidP="004E444C">
            <w:pPr>
              <w:spacing w:after="0" w:line="240" w:lineRule="auto"/>
              <w:rPr>
                <w:rFonts w:ascii="Arial" w:hAnsi="Arial" w:cs="Arial"/>
                <w:color w:val="000000"/>
                <w:sz w:val="24"/>
                <w:szCs w:val="24"/>
                <w:lang w:val="it-IT"/>
              </w:rPr>
            </w:pPr>
            <w:r w:rsidRPr="008E1F89">
              <w:rPr>
                <w:rFonts w:ascii="Arial" w:hAnsi="Arial" w:cs="Arial"/>
                <w:b/>
                <w:bCs/>
                <w:color w:val="000000"/>
                <w:sz w:val="24"/>
                <w:szCs w:val="24"/>
              </w:rPr>
              <w:t>Judeţul Brăila</w:t>
            </w:r>
          </w:p>
        </w:tc>
        <w:tc>
          <w:tcPr>
            <w:tcW w:w="1123" w:type="dxa"/>
            <w:shd w:val="clear" w:color="auto" w:fill="F2DBDB" w:themeFill="accent2" w:themeFillTint="33"/>
            <w:noWrap/>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1123" w:type="dxa"/>
            <w:shd w:val="clear" w:color="auto" w:fill="F2DBDB" w:themeFill="accent2" w:themeFillTint="33"/>
            <w:noWrap/>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1123" w:type="dxa"/>
            <w:shd w:val="clear" w:color="auto" w:fill="F2DBDB" w:themeFill="accent2" w:themeFillTint="33"/>
            <w:noWrap/>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1041" w:type="dxa"/>
            <w:shd w:val="clear" w:color="auto" w:fill="F2DBDB" w:themeFill="accent2" w:themeFillTint="33"/>
          </w:tcPr>
          <w:p w:rsidR="0022295F" w:rsidRPr="008C6838" w:rsidRDefault="0022295F" w:rsidP="004E444C">
            <w:pPr>
              <w:spacing w:after="0" w:line="240" w:lineRule="auto"/>
              <w:rPr>
                <w:rFonts w:ascii="Arial" w:hAnsi="Arial" w:cs="Arial"/>
                <w:b/>
                <w:bCs/>
                <w:sz w:val="24"/>
                <w:szCs w:val="24"/>
              </w:rPr>
            </w:pPr>
            <w:r w:rsidRPr="008C6838">
              <w:rPr>
                <w:rFonts w:ascii="Arial" w:hAnsi="Arial" w:cs="Arial"/>
                <w:b/>
                <w:bCs/>
                <w:sz w:val="24"/>
                <w:szCs w:val="24"/>
              </w:rPr>
              <w:t>2016</w:t>
            </w:r>
          </w:p>
        </w:tc>
        <w:tc>
          <w:tcPr>
            <w:tcW w:w="1041" w:type="dxa"/>
            <w:shd w:val="clear" w:color="auto" w:fill="F2DBDB" w:themeFill="accent2" w:themeFillTint="33"/>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2017</w:t>
            </w:r>
          </w:p>
        </w:tc>
      </w:tr>
      <w:tr w:rsidR="0022295F" w:rsidRPr="008E1F89" w:rsidTr="004E444C">
        <w:trPr>
          <w:trHeight w:val="300"/>
          <w:jc w:val="center"/>
        </w:trPr>
        <w:tc>
          <w:tcPr>
            <w:tcW w:w="1991" w:type="dxa"/>
            <w:shd w:val="clear" w:color="auto" w:fill="DAEEF3" w:themeFill="accent5" w:themeFillTint="33"/>
            <w:noWrap/>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Total </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137474</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137698</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137883</w:t>
            </w:r>
          </w:p>
        </w:tc>
        <w:tc>
          <w:tcPr>
            <w:tcW w:w="1041" w:type="dxa"/>
            <w:shd w:val="clear" w:color="auto" w:fill="DAEEF3" w:themeFill="accent5" w:themeFillTint="33"/>
          </w:tcPr>
          <w:p w:rsidR="0022295F" w:rsidRPr="008C6838" w:rsidRDefault="0022295F" w:rsidP="004E444C">
            <w:pPr>
              <w:spacing w:after="0" w:line="240" w:lineRule="auto"/>
              <w:rPr>
                <w:rFonts w:ascii="Arial" w:hAnsi="Arial" w:cs="Arial"/>
                <w:sz w:val="24"/>
                <w:szCs w:val="24"/>
              </w:rPr>
            </w:pPr>
            <w:r w:rsidRPr="008C6838">
              <w:rPr>
                <w:rFonts w:ascii="Arial" w:hAnsi="Arial" w:cs="Arial"/>
                <w:sz w:val="24"/>
                <w:szCs w:val="24"/>
              </w:rPr>
              <w:t>138072</w:t>
            </w:r>
          </w:p>
        </w:tc>
        <w:tc>
          <w:tcPr>
            <w:tcW w:w="1041" w:type="dxa"/>
            <w:shd w:val="clear" w:color="auto" w:fill="DAEEF3" w:themeFill="accent5"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138397</w:t>
            </w:r>
          </w:p>
        </w:tc>
      </w:tr>
      <w:tr w:rsidR="0022295F" w:rsidRPr="008E1F89" w:rsidTr="004E444C">
        <w:trPr>
          <w:trHeight w:val="300"/>
          <w:jc w:val="center"/>
        </w:trPr>
        <w:tc>
          <w:tcPr>
            <w:tcW w:w="1991" w:type="dxa"/>
            <w:shd w:val="clear" w:color="auto" w:fill="DAEEF3" w:themeFill="accent5" w:themeFillTint="33"/>
            <w:noWrap/>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Urban</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87381</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87500</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87539</w:t>
            </w:r>
          </w:p>
        </w:tc>
        <w:tc>
          <w:tcPr>
            <w:tcW w:w="1041" w:type="dxa"/>
            <w:shd w:val="clear" w:color="auto" w:fill="DAEEF3" w:themeFill="accent5" w:themeFillTint="33"/>
          </w:tcPr>
          <w:p w:rsidR="0022295F" w:rsidRPr="008C6838" w:rsidRDefault="0022295F" w:rsidP="004E444C">
            <w:pPr>
              <w:spacing w:after="0" w:line="240" w:lineRule="auto"/>
              <w:rPr>
                <w:rFonts w:ascii="Arial" w:hAnsi="Arial" w:cs="Arial"/>
                <w:sz w:val="24"/>
                <w:szCs w:val="24"/>
              </w:rPr>
            </w:pPr>
            <w:r w:rsidRPr="008C6838">
              <w:rPr>
                <w:rFonts w:ascii="Arial" w:hAnsi="Arial" w:cs="Arial"/>
                <w:sz w:val="24"/>
                <w:szCs w:val="24"/>
              </w:rPr>
              <w:t>87578</w:t>
            </w:r>
          </w:p>
        </w:tc>
        <w:tc>
          <w:tcPr>
            <w:tcW w:w="1041" w:type="dxa"/>
            <w:shd w:val="clear" w:color="auto" w:fill="DAEEF3" w:themeFill="accent5"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87799</w:t>
            </w:r>
          </w:p>
        </w:tc>
      </w:tr>
      <w:tr w:rsidR="0022295F" w:rsidRPr="008E1F89" w:rsidTr="004E444C">
        <w:trPr>
          <w:trHeight w:val="300"/>
          <w:jc w:val="center"/>
        </w:trPr>
        <w:tc>
          <w:tcPr>
            <w:tcW w:w="1991" w:type="dxa"/>
            <w:shd w:val="clear" w:color="auto" w:fill="DAEEF3" w:themeFill="accent5" w:themeFillTint="33"/>
            <w:noWrap/>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Rural</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50093</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50198</w:t>
            </w:r>
          </w:p>
        </w:tc>
        <w:tc>
          <w:tcPr>
            <w:tcW w:w="1123" w:type="dxa"/>
            <w:shd w:val="clear" w:color="auto" w:fill="DAEEF3" w:themeFill="accent5" w:themeFillTint="33"/>
            <w:noWrap/>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50344</w:t>
            </w:r>
          </w:p>
        </w:tc>
        <w:tc>
          <w:tcPr>
            <w:tcW w:w="1041" w:type="dxa"/>
            <w:shd w:val="clear" w:color="auto" w:fill="DAEEF3" w:themeFill="accent5" w:themeFillTint="33"/>
          </w:tcPr>
          <w:p w:rsidR="0022295F" w:rsidRPr="008C6838" w:rsidRDefault="0022295F" w:rsidP="004E444C">
            <w:pPr>
              <w:spacing w:after="0" w:line="240" w:lineRule="auto"/>
              <w:rPr>
                <w:rFonts w:ascii="Arial" w:hAnsi="Arial" w:cs="Arial"/>
                <w:sz w:val="24"/>
                <w:szCs w:val="24"/>
              </w:rPr>
            </w:pPr>
            <w:r w:rsidRPr="008C6838">
              <w:rPr>
                <w:rFonts w:ascii="Arial" w:hAnsi="Arial" w:cs="Arial"/>
                <w:sz w:val="24"/>
                <w:szCs w:val="24"/>
              </w:rPr>
              <w:t>50494</w:t>
            </w:r>
          </w:p>
        </w:tc>
        <w:tc>
          <w:tcPr>
            <w:tcW w:w="1041" w:type="dxa"/>
            <w:shd w:val="clear" w:color="auto" w:fill="DAEEF3" w:themeFill="accent5"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50598</w:t>
            </w:r>
          </w:p>
        </w:tc>
      </w:tr>
    </w:tbl>
    <w:p w:rsidR="0022295F" w:rsidRDefault="0022295F" w:rsidP="0022295F">
      <w:pPr>
        <w:spacing w:after="0" w:line="240" w:lineRule="auto"/>
        <w:rPr>
          <w:rFonts w:ascii="Arial" w:hAnsi="Arial" w:cs="Arial"/>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Pr="00AE5913" w:rsidRDefault="0022295F" w:rsidP="0022295F">
      <w:pPr>
        <w:spacing w:after="0" w:line="240" w:lineRule="auto"/>
        <w:rPr>
          <w:rFonts w:ascii="Arial" w:hAnsi="Arial" w:cs="Arial"/>
          <w:b/>
          <w:bCs/>
          <w:sz w:val="20"/>
          <w:szCs w:val="20"/>
        </w:rPr>
      </w:pPr>
    </w:p>
    <w:p w:rsidR="0022295F" w:rsidRPr="008710A0" w:rsidRDefault="0022295F" w:rsidP="0022295F">
      <w:pPr>
        <w:spacing w:after="0" w:line="240" w:lineRule="auto"/>
        <w:rPr>
          <w:rFonts w:ascii="Arial" w:hAnsi="Arial" w:cs="Arial"/>
          <w:b/>
          <w:bCs/>
          <w:iCs/>
          <w:sz w:val="24"/>
          <w:szCs w:val="24"/>
          <w:u w:val="single"/>
        </w:rPr>
      </w:pPr>
      <w:r w:rsidRPr="008710A0">
        <w:rPr>
          <w:rFonts w:ascii="Arial" w:hAnsi="Arial" w:cs="Arial"/>
          <w:b/>
          <w:bCs/>
          <w:sz w:val="24"/>
          <w:szCs w:val="24"/>
        </w:rPr>
        <w:t xml:space="preserve">Tabelul nr. X.1.2.- 2  </w:t>
      </w:r>
      <w:r w:rsidRPr="008710A0">
        <w:rPr>
          <w:rFonts w:ascii="Arial" w:hAnsi="Arial" w:cs="Arial"/>
          <w:sz w:val="24"/>
          <w:szCs w:val="24"/>
          <w:lang w:val="it-IT"/>
        </w:rPr>
        <w:t xml:space="preserve">Populaţia după domiciliu, pe medii </w:t>
      </w:r>
      <w:r w:rsidRPr="008710A0">
        <w:rPr>
          <w:rFonts w:ascii="Arial" w:hAnsi="Arial" w:cs="Arial"/>
          <w:sz w:val="24"/>
          <w:szCs w:val="24"/>
        </w:rPr>
        <w:t>în perioada 2013 – 2017</w:t>
      </w:r>
    </w:p>
    <w:p w:rsidR="0022295F" w:rsidRPr="008710A0" w:rsidRDefault="0022295F" w:rsidP="0022295F">
      <w:pPr>
        <w:spacing w:after="0" w:line="240" w:lineRule="auto"/>
        <w:rPr>
          <w:rFonts w:ascii="Arial" w:hAnsi="Arial" w:cs="Arial"/>
          <w:sz w:val="24"/>
          <w:szCs w:val="24"/>
        </w:rPr>
      </w:pPr>
      <w:r w:rsidRPr="008710A0">
        <w:rPr>
          <w:rFonts w:ascii="Arial" w:hAnsi="Arial" w:cs="Arial"/>
          <w:bCs/>
          <w:sz w:val="24"/>
          <w:szCs w:val="24"/>
        </w:rPr>
        <w:t xml:space="preserve">                                                                                                        Număr persoane</w:t>
      </w:r>
    </w:p>
    <w:tbl>
      <w:tblPr>
        <w:tblW w:w="0" w:type="auto"/>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3"/>
        <w:gridCol w:w="1084"/>
        <w:gridCol w:w="1133"/>
        <w:gridCol w:w="1133"/>
        <w:gridCol w:w="1084"/>
        <w:gridCol w:w="1084"/>
      </w:tblGrid>
      <w:tr w:rsidR="0022295F" w:rsidRPr="008710A0" w:rsidTr="004E444C">
        <w:trPr>
          <w:trHeight w:val="397"/>
          <w:jc w:val="center"/>
        </w:trPr>
        <w:tc>
          <w:tcPr>
            <w:tcW w:w="2013"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Judeţul Brăila</w:t>
            </w:r>
          </w:p>
        </w:tc>
        <w:tc>
          <w:tcPr>
            <w:tcW w:w="1084"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2013</w:t>
            </w:r>
          </w:p>
        </w:tc>
        <w:tc>
          <w:tcPr>
            <w:tcW w:w="1133"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2014</w:t>
            </w:r>
          </w:p>
        </w:tc>
        <w:tc>
          <w:tcPr>
            <w:tcW w:w="1133"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2015</w:t>
            </w:r>
          </w:p>
        </w:tc>
        <w:tc>
          <w:tcPr>
            <w:tcW w:w="1084"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2016</w:t>
            </w:r>
          </w:p>
        </w:tc>
        <w:tc>
          <w:tcPr>
            <w:tcW w:w="1084"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2017</w:t>
            </w:r>
          </w:p>
        </w:tc>
      </w:tr>
      <w:tr w:rsidR="0022295F" w:rsidRPr="008710A0" w:rsidTr="004E444C">
        <w:trPr>
          <w:trHeight w:val="300"/>
          <w:jc w:val="center"/>
        </w:trPr>
        <w:tc>
          <w:tcPr>
            <w:tcW w:w="2013" w:type="dxa"/>
            <w:shd w:val="clear" w:color="auto" w:fill="EAF1DD" w:themeFill="accent3"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Total populaţie</w:t>
            </w:r>
          </w:p>
        </w:tc>
        <w:tc>
          <w:tcPr>
            <w:tcW w:w="1084" w:type="dxa"/>
            <w:shd w:val="clear" w:color="auto" w:fill="EAF1DD" w:themeFill="accent3" w:themeFillTint="33"/>
            <w:vAlign w:val="center"/>
          </w:tcPr>
          <w:p w:rsidR="0022295F" w:rsidRPr="008710A0" w:rsidRDefault="0022295F" w:rsidP="004E444C">
            <w:pPr>
              <w:spacing w:after="0" w:line="240" w:lineRule="auto"/>
              <w:rPr>
                <w:rFonts w:ascii="Arial" w:hAnsi="Arial" w:cs="Arial"/>
                <w:b/>
                <w:sz w:val="24"/>
                <w:szCs w:val="24"/>
              </w:rPr>
            </w:pPr>
            <w:r w:rsidRPr="008710A0">
              <w:rPr>
                <w:rFonts w:ascii="Arial" w:hAnsi="Arial" w:cs="Arial"/>
                <w:b/>
                <w:sz w:val="24"/>
                <w:szCs w:val="24"/>
              </w:rPr>
              <w:t>364.644</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b/>
                <w:sz w:val="24"/>
                <w:szCs w:val="24"/>
              </w:rPr>
            </w:pPr>
            <w:r w:rsidRPr="008710A0">
              <w:rPr>
                <w:rFonts w:ascii="Arial" w:hAnsi="Arial" w:cs="Arial"/>
                <w:b/>
                <w:sz w:val="24"/>
                <w:szCs w:val="24"/>
              </w:rPr>
              <w:t>361.218</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b/>
                <w:sz w:val="24"/>
                <w:szCs w:val="24"/>
              </w:rPr>
            </w:pPr>
            <w:r w:rsidRPr="008710A0">
              <w:rPr>
                <w:rFonts w:ascii="Arial" w:hAnsi="Arial" w:cs="Arial"/>
                <w:b/>
                <w:sz w:val="24"/>
                <w:szCs w:val="24"/>
              </w:rPr>
              <w:t>357.752</w:t>
            </w:r>
          </w:p>
        </w:tc>
        <w:tc>
          <w:tcPr>
            <w:tcW w:w="1084" w:type="dxa"/>
            <w:shd w:val="clear" w:color="auto" w:fill="EAF1DD" w:themeFill="accent3" w:themeFillTint="33"/>
            <w:vAlign w:val="center"/>
          </w:tcPr>
          <w:p w:rsidR="0022295F" w:rsidRPr="008710A0" w:rsidRDefault="0022295F" w:rsidP="004E444C">
            <w:pPr>
              <w:spacing w:after="0" w:line="240" w:lineRule="auto"/>
              <w:rPr>
                <w:rFonts w:ascii="Arial" w:hAnsi="Arial" w:cs="Arial"/>
                <w:b/>
                <w:sz w:val="24"/>
                <w:szCs w:val="24"/>
              </w:rPr>
            </w:pPr>
            <w:r w:rsidRPr="008710A0">
              <w:rPr>
                <w:rFonts w:ascii="Arial" w:hAnsi="Arial" w:cs="Arial"/>
                <w:b/>
                <w:sz w:val="24"/>
                <w:szCs w:val="24"/>
              </w:rPr>
              <w:t>354.275</w:t>
            </w:r>
          </w:p>
        </w:tc>
        <w:tc>
          <w:tcPr>
            <w:tcW w:w="1084" w:type="dxa"/>
            <w:shd w:val="clear" w:color="auto" w:fill="EAF1DD" w:themeFill="accent3" w:themeFillTint="33"/>
          </w:tcPr>
          <w:p w:rsidR="0022295F" w:rsidRPr="008710A0" w:rsidRDefault="0022295F" w:rsidP="004E444C">
            <w:pPr>
              <w:spacing w:after="0" w:line="240" w:lineRule="auto"/>
              <w:rPr>
                <w:rFonts w:ascii="Arial" w:hAnsi="Arial" w:cs="Arial"/>
                <w:b/>
                <w:sz w:val="24"/>
                <w:szCs w:val="24"/>
              </w:rPr>
            </w:pPr>
            <w:r w:rsidRPr="008710A0">
              <w:rPr>
                <w:rFonts w:ascii="Arial" w:hAnsi="Arial" w:cs="Arial"/>
                <w:b/>
                <w:sz w:val="24"/>
                <w:szCs w:val="24"/>
              </w:rPr>
              <w:t>352.910</w:t>
            </w:r>
          </w:p>
        </w:tc>
      </w:tr>
      <w:tr w:rsidR="0022295F" w:rsidRPr="008710A0" w:rsidTr="004E444C">
        <w:trPr>
          <w:trHeight w:val="300"/>
          <w:jc w:val="center"/>
        </w:trPr>
        <w:tc>
          <w:tcPr>
            <w:tcW w:w="2013" w:type="dxa"/>
            <w:shd w:val="clear" w:color="auto" w:fill="EAF1DD" w:themeFill="accent3" w:themeFillTint="33"/>
            <w:vAlign w:val="center"/>
          </w:tcPr>
          <w:p w:rsidR="0022295F" w:rsidRPr="008710A0" w:rsidRDefault="0022295F" w:rsidP="004E444C">
            <w:pPr>
              <w:spacing w:after="0" w:line="240" w:lineRule="auto"/>
              <w:rPr>
                <w:rFonts w:ascii="Arial" w:hAnsi="Arial" w:cs="Arial"/>
                <w:bCs/>
                <w:sz w:val="24"/>
                <w:szCs w:val="24"/>
              </w:rPr>
            </w:pPr>
            <w:r w:rsidRPr="008710A0">
              <w:rPr>
                <w:rFonts w:ascii="Arial" w:hAnsi="Arial" w:cs="Arial"/>
                <w:bCs/>
                <w:sz w:val="24"/>
                <w:szCs w:val="24"/>
              </w:rPr>
              <w:t>Urban</w:t>
            </w:r>
          </w:p>
        </w:tc>
        <w:tc>
          <w:tcPr>
            <w:tcW w:w="1084"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239.119</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236.557</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234.055</w:t>
            </w:r>
          </w:p>
        </w:tc>
        <w:tc>
          <w:tcPr>
            <w:tcW w:w="1084" w:type="dxa"/>
            <w:shd w:val="clear" w:color="auto" w:fill="EAF1DD" w:themeFill="accent3"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231.312</w:t>
            </w:r>
          </w:p>
        </w:tc>
        <w:tc>
          <w:tcPr>
            <w:tcW w:w="1084" w:type="dxa"/>
            <w:shd w:val="clear" w:color="auto" w:fill="EAF1DD" w:themeFill="accent3"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230.259</w:t>
            </w:r>
          </w:p>
        </w:tc>
      </w:tr>
      <w:tr w:rsidR="0022295F" w:rsidRPr="008710A0" w:rsidTr="004E444C">
        <w:trPr>
          <w:trHeight w:val="300"/>
          <w:jc w:val="center"/>
        </w:trPr>
        <w:tc>
          <w:tcPr>
            <w:tcW w:w="2013" w:type="dxa"/>
            <w:shd w:val="clear" w:color="auto" w:fill="EAF1DD" w:themeFill="accent3" w:themeFillTint="33"/>
            <w:vAlign w:val="center"/>
          </w:tcPr>
          <w:p w:rsidR="0022295F" w:rsidRPr="008710A0" w:rsidRDefault="0022295F" w:rsidP="004E444C">
            <w:pPr>
              <w:spacing w:after="0" w:line="240" w:lineRule="auto"/>
              <w:rPr>
                <w:rFonts w:ascii="Arial" w:hAnsi="Arial" w:cs="Arial"/>
                <w:bCs/>
                <w:sz w:val="24"/>
                <w:szCs w:val="24"/>
              </w:rPr>
            </w:pPr>
            <w:r w:rsidRPr="008710A0">
              <w:rPr>
                <w:rFonts w:ascii="Arial" w:hAnsi="Arial" w:cs="Arial"/>
                <w:bCs/>
                <w:sz w:val="24"/>
                <w:szCs w:val="24"/>
              </w:rPr>
              <w:t>Rural</w:t>
            </w:r>
          </w:p>
        </w:tc>
        <w:tc>
          <w:tcPr>
            <w:tcW w:w="1084"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125.525</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124.661</w:t>
            </w:r>
          </w:p>
        </w:tc>
        <w:tc>
          <w:tcPr>
            <w:tcW w:w="1133" w:type="dxa"/>
            <w:shd w:val="clear" w:color="auto" w:fill="EAF1DD" w:themeFill="accent3"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123.697</w:t>
            </w:r>
          </w:p>
        </w:tc>
        <w:tc>
          <w:tcPr>
            <w:tcW w:w="1084" w:type="dxa"/>
            <w:shd w:val="clear" w:color="auto" w:fill="EAF1DD" w:themeFill="accent3"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122.963</w:t>
            </w:r>
          </w:p>
        </w:tc>
        <w:tc>
          <w:tcPr>
            <w:tcW w:w="1084" w:type="dxa"/>
            <w:shd w:val="clear" w:color="auto" w:fill="EAF1DD" w:themeFill="accent3" w:themeFillTint="33"/>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122.651</w:t>
            </w:r>
          </w:p>
        </w:tc>
      </w:tr>
    </w:tbl>
    <w:p w:rsidR="0022295F" w:rsidRDefault="0022295F" w:rsidP="0022295F">
      <w:pPr>
        <w:spacing w:after="0" w:line="240" w:lineRule="auto"/>
        <w:rPr>
          <w:rFonts w:ascii="Arial" w:hAnsi="Arial" w:cs="Arial"/>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Pr="00AE5913" w:rsidRDefault="0022295F" w:rsidP="0022295F">
      <w:pPr>
        <w:spacing w:after="0" w:line="240" w:lineRule="auto"/>
        <w:rPr>
          <w:rFonts w:ascii="Arial" w:hAnsi="Arial" w:cs="Arial"/>
          <w:b/>
          <w:bCs/>
          <w:sz w:val="20"/>
          <w:szCs w:val="20"/>
        </w:rPr>
      </w:pPr>
    </w:p>
    <w:p w:rsidR="0022295F" w:rsidRPr="008710A0" w:rsidRDefault="0022295F" w:rsidP="0022295F">
      <w:pPr>
        <w:spacing w:after="0" w:line="240" w:lineRule="auto"/>
        <w:rPr>
          <w:rFonts w:ascii="Arial" w:hAnsi="Arial" w:cs="Arial"/>
          <w:sz w:val="24"/>
          <w:szCs w:val="24"/>
        </w:rPr>
      </w:pPr>
      <w:r w:rsidRPr="008710A0">
        <w:rPr>
          <w:rFonts w:ascii="Arial" w:hAnsi="Arial" w:cs="Arial"/>
          <w:b/>
          <w:bCs/>
          <w:sz w:val="24"/>
          <w:szCs w:val="24"/>
        </w:rPr>
        <w:t xml:space="preserve">Tabelul nr. X.1.2.- 3  </w:t>
      </w:r>
      <w:r w:rsidRPr="008710A0">
        <w:rPr>
          <w:rFonts w:ascii="Arial" w:hAnsi="Arial" w:cs="Arial"/>
          <w:sz w:val="24"/>
          <w:szCs w:val="24"/>
        </w:rPr>
        <w:t>Populaţia totală stabilă raportată la numărul total de locuinţe, la nivelul  județului Brăila, pentru perioada 2013 – 2017</w:t>
      </w:r>
    </w:p>
    <w:p w:rsidR="0022295F" w:rsidRPr="008710A0" w:rsidRDefault="0022295F" w:rsidP="0022295F">
      <w:pPr>
        <w:spacing w:after="0" w:line="240" w:lineRule="auto"/>
        <w:rPr>
          <w:rFonts w:ascii="Arial" w:hAnsi="Arial" w:cs="Arial"/>
          <w:sz w:val="24"/>
          <w:szCs w:val="24"/>
        </w:rPr>
      </w:pPr>
      <w:r w:rsidRPr="008710A0">
        <w:rPr>
          <w:rFonts w:ascii="Arial" w:hAnsi="Arial" w:cs="Arial"/>
          <w:sz w:val="24"/>
          <w:szCs w:val="24"/>
        </w:rPr>
        <w:t xml:space="preserve">                                                                                  Număr persoane/gospodărie</w:t>
      </w:r>
    </w:p>
    <w:tbl>
      <w:tblPr>
        <w:tblW w:w="0" w:type="auto"/>
        <w:jc w:val="center"/>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3"/>
        <w:gridCol w:w="847"/>
        <w:gridCol w:w="775"/>
        <w:gridCol w:w="775"/>
        <w:gridCol w:w="751"/>
        <w:gridCol w:w="751"/>
      </w:tblGrid>
      <w:tr w:rsidR="0022295F" w:rsidRPr="008710A0" w:rsidTr="004E444C">
        <w:trPr>
          <w:jc w:val="center"/>
        </w:trPr>
        <w:tc>
          <w:tcPr>
            <w:tcW w:w="3393" w:type="dxa"/>
            <w:shd w:val="clear" w:color="auto" w:fill="F2DBDB" w:themeFill="accent2" w:themeFillTint="33"/>
            <w:vAlign w:val="center"/>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JudețulBrăila</w:t>
            </w:r>
          </w:p>
        </w:tc>
        <w:tc>
          <w:tcPr>
            <w:tcW w:w="847" w:type="dxa"/>
            <w:shd w:val="clear" w:color="auto" w:fill="F2DBDB" w:themeFill="accent2" w:themeFillTint="33"/>
            <w:vAlign w:val="center"/>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2013</w:t>
            </w:r>
          </w:p>
        </w:tc>
        <w:tc>
          <w:tcPr>
            <w:tcW w:w="775" w:type="dxa"/>
            <w:shd w:val="clear" w:color="auto" w:fill="F2DBDB" w:themeFill="accent2" w:themeFillTint="33"/>
            <w:vAlign w:val="center"/>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2014</w:t>
            </w:r>
          </w:p>
        </w:tc>
        <w:tc>
          <w:tcPr>
            <w:tcW w:w="775" w:type="dxa"/>
            <w:shd w:val="clear" w:color="auto" w:fill="F2DBDB" w:themeFill="accent2" w:themeFillTint="33"/>
            <w:vAlign w:val="center"/>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2015</w:t>
            </w:r>
          </w:p>
        </w:tc>
        <w:tc>
          <w:tcPr>
            <w:tcW w:w="751" w:type="dxa"/>
            <w:shd w:val="clear" w:color="auto" w:fill="F2DBDB" w:themeFill="accent2" w:themeFillTint="33"/>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2016</w:t>
            </w:r>
          </w:p>
        </w:tc>
        <w:tc>
          <w:tcPr>
            <w:tcW w:w="751" w:type="dxa"/>
            <w:shd w:val="clear" w:color="auto" w:fill="F2DBDB" w:themeFill="accent2" w:themeFillTint="33"/>
          </w:tcPr>
          <w:p w:rsidR="0022295F" w:rsidRPr="008710A0" w:rsidRDefault="0022295F" w:rsidP="004E444C">
            <w:pPr>
              <w:pStyle w:val="Default"/>
              <w:rPr>
                <w:rFonts w:ascii="Arial" w:hAnsi="Arial" w:cs="Arial"/>
                <w:b/>
                <w:iCs/>
                <w:color w:val="auto"/>
              </w:rPr>
            </w:pPr>
            <w:r w:rsidRPr="008710A0">
              <w:rPr>
                <w:rFonts w:ascii="Arial" w:hAnsi="Arial" w:cs="Arial"/>
                <w:b/>
                <w:iCs/>
                <w:color w:val="auto"/>
              </w:rPr>
              <w:t>2017</w:t>
            </w:r>
          </w:p>
        </w:tc>
      </w:tr>
      <w:tr w:rsidR="0022295F" w:rsidRPr="008710A0" w:rsidTr="004E444C">
        <w:trPr>
          <w:jc w:val="center"/>
        </w:trPr>
        <w:tc>
          <w:tcPr>
            <w:tcW w:w="3393"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Total populațiestabilă/Total gospodării din care</w:t>
            </w:r>
          </w:p>
        </w:tc>
        <w:tc>
          <w:tcPr>
            <w:tcW w:w="847"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2,65</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2,62</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2,59</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2,57</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2,16</w:t>
            </w:r>
          </w:p>
        </w:tc>
      </w:tr>
      <w:tr w:rsidR="0022295F" w:rsidRPr="008710A0" w:rsidTr="004E444C">
        <w:trPr>
          <w:jc w:val="center"/>
        </w:trPr>
        <w:tc>
          <w:tcPr>
            <w:tcW w:w="3393"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Total populațiestabilă/Total gospodării Urban</w:t>
            </w:r>
          </w:p>
        </w:tc>
        <w:tc>
          <w:tcPr>
            <w:tcW w:w="847"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2,73</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2,70</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2,67</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2,64</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2,10</w:t>
            </w:r>
          </w:p>
        </w:tc>
      </w:tr>
      <w:tr w:rsidR="0022295F" w:rsidRPr="008710A0" w:rsidTr="004E444C">
        <w:trPr>
          <w:jc w:val="center"/>
        </w:trPr>
        <w:tc>
          <w:tcPr>
            <w:tcW w:w="3393"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Total populațiestabilă/Total gospodării Rural</w:t>
            </w:r>
          </w:p>
        </w:tc>
        <w:tc>
          <w:tcPr>
            <w:tcW w:w="847"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2,50</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2,48</w:t>
            </w:r>
          </w:p>
        </w:tc>
        <w:tc>
          <w:tcPr>
            <w:tcW w:w="775"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2,45</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2,44</w:t>
            </w:r>
          </w:p>
        </w:tc>
        <w:tc>
          <w:tcPr>
            <w:tcW w:w="751" w:type="dxa"/>
            <w:shd w:val="clear" w:color="auto" w:fill="E5DFEC" w:themeFill="accent4" w:themeFillTint="33"/>
            <w:vAlign w:val="center"/>
          </w:tcPr>
          <w:p w:rsidR="0022295F" w:rsidRPr="008710A0" w:rsidRDefault="0022295F" w:rsidP="004E444C">
            <w:pPr>
              <w:pStyle w:val="Default"/>
              <w:rPr>
                <w:rFonts w:ascii="Arial" w:hAnsi="Arial" w:cs="Arial"/>
                <w:iCs/>
                <w:color w:val="auto"/>
              </w:rPr>
            </w:pPr>
            <w:r w:rsidRPr="008710A0">
              <w:rPr>
                <w:rFonts w:ascii="Arial" w:hAnsi="Arial" w:cs="Arial"/>
                <w:iCs/>
                <w:color w:val="auto"/>
              </w:rPr>
              <w:t>2,26</w:t>
            </w:r>
          </w:p>
        </w:tc>
      </w:tr>
    </w:tbl>
    <w:p w:rsidR="0022295F" w:rsidRPr="00AE5913" w:rsidRDefault="0022295F" w:rsidP="0022295F">
      <w:pPr>
        <w:spacing w:after="0" w:line="240" w:lineRule="auto"/>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Default="0022295F" w:rsidP="0022295F">
      <w:pPr>
        <w:spacing w:after="0" w:line="240" w:lineRule="auto"/>
      </w:pPr>
    </w:p>
    <w:p w:rsidR="0022295F" w:rsidRDefault="0022295F" w:rsidP="0022295F">
      <w:pPr>
        <w:spacing w:after="0" w:line="240" w:lineRule="auto"/>
        <w:jc w:val="center"/>
      </w:pPr>
      <w:r w:rsidRPr="00E32E52">
        <w:rPr>
          <w:rFonts w:ascii="Arial" w:hAnsi="Arial" w:cs="Arial"/>
          <w:noProof/>
          <w:sz w:val="24"/>
          <w:szCs w:val="24"/>
          <w:shd w:val="clear" w:color="auto" w:fill="FFFF00"/>
        </w:rPr>
        <w:drawing>
          <wp:inline distT="0" distB="0" distL="0" distR="0">
            <wp:extent cx="5667375" cy="2552700"/>
            <wp:effectExtent l="19050" t="0" r="9525" b="0"/>
            <wp:docPr id="1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22295F" w:rsidRDefault="0022295F" w:rsidP="0022295F">
      <w:pPr>
        <w:pStyle w:val="Default"/>
        <w:rPr>
          <w:rFonts w:ascii="Arial" w:hAnsi="Arial" w:cs="Arial"/>
          <w:b/>
          <w:bCs/>
          <w:i/>
          <w:iCs/>
          <w:color w:val="auto"/>
        </w:rPr>
      </w:pPr>
    </w:p>
    <w:p w:rsidR="0022295F" w:rsidRDefault="0022295F" w:rsidP="0022295F">
      <w:pPr>
        <w:pStyle w:val="Default"/>
        <w:rPr>
          <w:rFonts w:ascii="Arial" w:hAnsi="Arial" w:cs="Arial"/>
          <w:b/>
          <w:bCs/>
          <w:i/>
          <w:iCs/>
          <w:color w:val="auto"/>
        </w:rPr>
      </w:pPr>
    </w:p>
    <w:p w:rsidR="0022295F" w:rsidRPr="00C939DB" w:rsidRDefault="0022295F" w:rsidP="0022295F">
      <w:pPr>
        <w:pStyle w:val="Default"/>
        <w:rPr>
          <w:rFonts w:ascii="Arial" w:hAnsi="Arial" w:cs="Arial"/>
          <w:b/>
          <w:bCs/>
          <w:i/>
          <w:iCs/>
          <w:color w:val="auto"/>
        </w:rPr>
      </w:pPr>
      <w:r w:rsidRPr="00C939DB">
        <w:rPr>
          <w:rFonts w:ascii="Arial" w:hAnsi="Arial" w:cs="Arial"/>
          <w:b/>
          <w:bCs/>
          <w:i/>
          <w:iCs/>
          <w:color w:val="auto"/>
        </w:rPr>
        <w:t>X.1.3. Mobilitate</w:t>
      </w:r>
    </w:p>
    <w:p w:rsidR="0022295F" w:rsidRPr="00C939DB" w:rsidRDefault="0022295F" w:rsidP="0022295F">
      <w:pPr>
        <w:pStyle w:val="Default"/>
        <w:rPr>
          <w:rFonts w:ascii="Arial" w:hAnsi="Arial" w:cs="Arial"/>
          <w:b/>
          <w:bCs/>
          <w:i/>
          <w:iCs/>
          <w:color w:val="auto"/>
          <w:u w:val="single"/>
        </w:rPr>
      </w:pPr>
    </w:p>
    <w:p w:rsidR="0022295F" w:rsidRPr="00F14D33" w:rsidRDefault="0022295F" w:rsidP="0022295F">
      <w:pPr>
        <w:pStyle w:val="Default"/>
        <w:rPr>
          <w:rFonts w:ascii="Arial" w:hAnsi="Arial" w:cs="Arial"/>
          <w:b/>
          <w:bCs/>
          <w:iCs/>
          <w:color w:val="FF0000"/>
          <w:u w:val="single"/>
        </w:rPr>
      </w:pPr>
      <w:r w:rsidRPr="00C939DB">
        <w:rPr>
          <w:rFonts w:ascii="Arial" w:hAnsi="Arial" w:cs="Arial"/>
          <w:b/>
          <w:bCs/>
          <w:iCs/>
          <w:color w:val="auto"/>
        </w:rPr>
        <w:tab/>
        <w:t>XI.1.3.1. Transportul de pasageri</w:t>
      </w:r>
    </w:p>
    <w:p w:rsidR="0022295F" w:rsidRPr="008710A0" w:rsidRDefault="0022295F" w:rsidP="0022295F">
      <w:pPr>
        <w:pStyle w:val="Default"/>
        <w:jc w:val="both"/>
        <w:rPr>
          <w:rFonts w:ascii="Arial" w:hAnsi="Arial" w:cs="Arial"/>
          <w:b/>
          <w:color w:val="auto"/>
        </w:rPr>
      </w:pPr>
      <w:r w:rsidRPr="008710A0">
        <w:rPr>
          <w:rFonts w:ascii="Arial" w:hAnsi="Arial" w:cs="Arial"/>
          <w:b/>
          <w:color w:val="auto"/>
        </w:rPr>
        <w:t xml:space="preserve">Tabelul nr. X.1.3.1. - 1 </w:t>
      </w:r>
      <w:r w:rsidRPr="008710A0">
        <w:rPr>
          <w:rFonts w:ascii="Arial" w:hAnsi="Arial" w:cs="Arial"/>
          <w:color w:val="auto"/>
          <w:lang w:val="pt-BR"/>
        </w:rPr>
        <w:t xml:space="preserve">Numărul vehiculelor în inventar pentru transport public local  de pasageri, </w:t>
      </w:r>
      <w:r w:rsidRPr="008710A0">
        <w:rPr>
          <w:rFonts w:ascii="Arial" w:hAnsi="Arial" w:cs="Arial"/>
          <w:color w:val="auto"/>
        </w:rPr>
        <w:t>pe</w:t>
      </w:r>
      <w:r>
        <w:rPr>
          <w:rFonts w:ascii="Arial" w:hAnsi="Arial" w:cs="Arial"/>
          <w:color w:val="auto"/>
        </w:rPr>
        <w:t xml:space="preserve"> </w:t>
      </w:r>
      <w:r w:rsidRPr="008710A0">
        <w:rPr>
          <w:rFonts w:ascii="Arial" w:hAnsi="Arial" w:cs="Arial"/>
          <w:color w:val="auto"/>
        </w:rPr>
        <w:t>tipuri de vehicule</w:t>
      </w:r>
      <w:r>
        <w:rPr>
          <w:rFonts w:ascii="Arial" w:hAnsi="Arial" w:cs="Arial"/>
          <w:color w:val="auto"/>
        </w:rPr>
        <w:t xml:space="preserve"> </w:t>
      </w:r>
      <w:r w:rsidRPr="008710A0">
        <w:rPr>
          <w:rFonts w:ascii="Arial" w:hAnsi="Arial" w:cs="Arial"/>
          <w:color w:val="auto"/>
        </w:rPr>
        <w:t>pentru</w:t>
      </w:r>
      <w:r>
        <w:rPr>
          <w:rFonts w:ascii="Arial" w:hAnsi="Arial" w:cs="Arial"/>
          <w:color w:val="auto"/>
        </w:rPr>
        <w:t xml:space="preserve"> </w:t>
      </w:r>
      <w:r w:rsidRPr="008710A0">
        <w:rPr>
          <w:rFonts w:ascii="Arial" w:hAnsi="Arial" w:cs="Arial"/>
          <w:color w:val="auto"/>
        </w:rPr>
        <w:t>perioada 2013 – 2017:</w:t>
      </w:r>
    </w:p>
    <w:p w:rsidR="0022295F" w:rsidRPr="008E1F89" w:rsidRDefault="0022295F" w:rsidP="0022295F">
      <w:pPr>
        <w:pStyle w:val="ListParagraph"/>
        <w:ind w:left="0"/>
        <w:rPr>
          <w:rFonts w:ascii="Arial" w:hAnsi="Arial" w:cs="Arial"/>
        </w:rPr>
      </w:pPr>
      <w:r w:rsidRPr="008E1F89">
        <w:rPr>
          <w:rFonts w:ascii="Arial" w:hAnsi="Arial" w:cs="Arial"/>
          <w:bCs/>
          <w:color w:val="000000"/>
        </w:rPr>
        <w:t xml:space="preserve">                                                                                                                       număr</w:t>
      </w:r>
    </w:p>
    <w:tbl>
      <w:tblPr>
        <w:tblW w:w="6851" w:type="dxa"/>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3"/>
        <w:gridCol w:w="750"/>
        <w:gridCol w:w="750"/>
        <w:gridCol w:w="836"/>
        <w:gridCol w:w="750"/>
        <w:gridCol w:w="832"/>
      </w:tblGrid>
      <w:tr w:rsidR="0022295F" w:rsidRPr="008E1F89" w:rsidTr="004E444C">
        <w:trPr>
          <w:trHeight w:val="511"/>
          <w:jc w:val="center"/>
        </w:trPr>
        <w:tc>
          <w:tcPr>
            <w:tcW w:w="2933"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Judeţul Brăila</w:t>
            </w:r>
          </w:p>
        </w:tc>
        <w:tc>
          <w:tcPr>
            <w:tcW w:w="750"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750"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836"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750" w:type="dxa"/>
            <w:shd w:val="clear" w:color="auto" w:fill="F2DBDB" w:themeFill="accent2" w:themeFillTint="33"/>
            <w:vAlign w:val="center"/>
          </w:tcPr>
          <w:p w:rsidR="0022295F" w:rsidRPr="00E4770A" w:rsidRDefault="0022295F" w:rsidP="004E444C">
            <w:pPr>
              <w:spacing w:after="0" w:line="240" w:lineRule="auto"/>
              <w:rPr>
                <w:rFonts w:ascii="Arial" w:hAnsi="Arial" w:cs="Arial"/>
                <w:b/>
                <w:bCs/>
                <w:sz w:val="24"/>
                <w:szCs w:val="24"/>
              </w:rPr>
            </w:pPr>
            <w:r w:rsidRPr="00E4770A">
              <w:rPr>
                <w:rFonts w:ascii="Arial" w:hAnsi="Arial" w:cs="Arial"/>
                <w:b/>
                <w:bCs/>
                <w:sz w:val="24"/>
                <w:szCs w:val="24"/>
              </w:rPr>
              <w:t>2016</w:t>
            </w:r>
          </w:p>
        </w:tc>
        <w:tc>
          <w:tcPr>
            <w:tcW w:w="832" w:type="dxa"/>
            <w:shd w:val="clear" w:color="auto" w:fill="F2DBDB" w:themeFill="accent2" w:themeFillTint="33"/>
            <w:vAlign w:val="center"/>
          </w:tcPr>
          <w:p w:rsidR="0022295F" w:rsidRPr="008710A0" w:rsidRDefault="0022295F" w:rsidP="004E444C">
            <w:pPr>
              <w:spacing w:after="0" w:line="240" w:lineRule="auto"/>
              <w:rPr>
                <w:rFonts w:ascii="Arial" w:hAnsi="Arial" w:cs="Arial"/>
                <w:b/>
                <w:bCs/>
                <w:sz w:val="24"/>
                <w:szCs w:val="24"/>
              </w:rPr>
            </w:pPr>
            <w:r w:rsidRPr="008710A0">
              <w:rPr>
                <w:rFonts w:ascii="Arial" w:hAnsi="Arial" w:cs="Arial"/>
                <w:b/>
                <w:bCs/>
                <w:sz w:val="24"/>
                <w:szCs w:val="24"/>
              </w:rPr>
              <w:t>2017</w:t>
            </w:r>
          </w:p>
        </w:tc>
      </w:tr>
      <w:tr w:rsidR="0022295F" w:rsidRPr="008E1F89" w:rsidTr="004E444C">
        <w:trPr>
          <w:trHeight w:val="300"/>
          <w:jc w:val="center"/>
        </w:trPr>
        <w:tc>
          <w:tcPr>
            <w:tcW w:w="2933"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Tramvaie</w:t>
            </w:r>
          </w:p>
        </w:tc>
        <w:tc>
          <w:tcPr>
            <w:tcW w:w="7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7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836"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750" w:type="dxa"/>
            <w:shd w:val="clear" w:color="auto" w:fill="FDE9D9" w:themeFill="accent6" w:themeFillTint="33"/>
            <w:vAlign w:val="center"/>
          </w:tcPr>
          <w:p w:rsidR="0022295F" w:rsidRPr="00E4770A" w:rsidRDefault="0022295F" w:rsidP="004E444C">
            <w:pPr>
              <w:spacing w:after="0" w:line="240" w:lineRule="auto"/>
              <w:rPr>
                <w:rFonts w:ascii="Arial" w:hAnsi="Arial" w:cs="Arial"/>
              </w:rPr>
            </w:pPr>
            <w:r w:rsidRPr="00E4770A">
              <w:rPr>
                <w:rFonts w:ascii="Arial" w:hAnsi="Arial" w:cs="Arial"/>
              </w:rPr>
              <w:t>38</w:t>
            </w:r>
          </w:p>
        </w:tc>
        <w:tc>
          <w:tcPr>
            <w:tcW w:w="832" w:type="dxa"/>
            <w:shd w:val="clear" w:color="auto" w:fill="FDE9D9" w:themeFill="accent6" w:themeFillTint="33"/>
            <w:vAlign w:val="center"/>
          </w:tcPr>
          <w:p w:rsidR="0022295F" w:rsidRPr="008710A0" w:rsidRDefault="0022295F" w:rsidP="004E444C">
            <w:pPr>
              <w:spacing w:after="0" w:line="240" w:lineRule="auto"/>
              <w:rPr>
                <w:rFonts w:ascii="Arial" w:hAnsi="Arial" w:cs="Arial"/>
              </w:rPr>
            </w:pPr>
            <w:r w:rsidRPr="008710A0">
              <w:rPr>
                <w:rFonts w:ascii="Arial" w:hAnsi="Arial" w:cs="Arial"/>
              </w:rPr>
              <w:t>30</w:t>
            </w:r>
          </w:p>
        </w:tc>
      </w:tr>
      <w:tr w:rsidR="0022295F" w:rsidRPr="008E1F89" w:rsidTr="004E444C">
        <w:trPr>
          <w:trHeight w:val="300"/>
          <w:jc w:val="center"/>
        </w:trPr>
        <w:tc>
          <w:tcPr>
            <w:tcW w:w="2933"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Autobuze si microbuze</w:t>
            </w:r>
          </w:p>
        </w:tc>
        <w:tc>
          <w:tcPr>
            <w:tcW w:w="7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164</w:t>
            </w:r>
          </w:p>
        </w:tc>
        <w:tc>
          <w:tcPr>
            <w:tcW w:w="7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178</w:t>
            </w:r>
          </w:p>
        </w:tc>
        <w:tc>
          <w:tcPr>
            <w:tcW w:w="836"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176</w:t>
            </w:r>
          </w:p>
        </w:tc>
        <w:tc>
          <w:tcPr>
            <w:tcW w:w="750" w:type="dxa"/>
            <w:shd w:val="clear" w:color="auto" w:fill="FDE9D9" w:themeFill="accent6" w:themeFillTint="33"/>
            <w:vAlign w:val="center"/>
          </w:tcPr>
          <w:p w:rsidR="0022295F" w:rsidRPr="00E4770A" w:rsidRDefault="0022295F" w:rsidP="004E444C">
            <w:pPr>
              <w:spacing w:after="0" w:line="240" w:lineRule="auto"/>
              <w:rPr>
                <w:rFonts w:ascii="Arial" w:hAnsi="Arial" w:cs="Arial"/>
              </w:rPr>
            </w:pPr>
            <w:r w:rsidRPr="00E4770A">
              <w:rPr>
                <w:rFonts w:ascii="Arial" w:hAnsi="Arial" w:cs="Arial"/>
              </w:rPr>
              <w:t>135</w:t>
            </w:r>
          </w:p>
        </w:tc>
        <w:tc>
          <w:tcPr>
            <w:tcW w:w="832" w:type="dxa"/>
            <w:shd w:val="clear" w:color="auto" w:fill="FDE9D9" w:themeFill="accent6" w:themeFillTint="33"/>
            <w:vAlign w:val="center"/>
          </w:tcPr>
          <w:p w:rsidR="0022295F" w:rsidRPr="008710A0" w:rsidRDefault="0022295F" w:rsidP="004E444C">
            <w:pPr>
              <w:spacing w:after="0" w:line="240" w:lineRule="auto"/>
              <w:rPr>
                <w:rFonts w:ascii="Arial" w:hAnsi="Arial" w:cs="Arial"/>
              </w:rPr>
            </w:pPr>
            <w:r w:rsidRPr="008710A0">
              <w:rPr>
                <w:rFonts w:ascii="Arial" w:hAnsi="Arial" w:cs="Arial"/>
              </w:rPr>
              <w:t>144</w:t>
            </w:r>
          </w:p>
        </w:tc>
      </w:tr>
    </w:tbl>
    <w:p w:rsidR="0022295F" w:rsidRPr="00AE5913" w:rsidRDefault="0022295F" w:rsidP="0022295F">
      <w:pPr>
        <w:spacing w:after="0" w:line="240" w:lineRule="auto"/>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Pr="008E1F89" w:rsidRDefault="0022295F" w:rsidP="0022295F">
      <w:pPr>
        <w:pStyle w:val="Default"/>
        <w:rPr>
          <w:rFonts w:ascii="Arial" w:hAnsi="Arial" w:cs="Arial"/>
          <w:b/>
          <w:color w:val="auto"/>
        </w:rPr>
      </w:pPr>
    </w:p>
    <w:p w:rsidR="0022295F" w:rsidRDefault="0022295F" w:rsidP="0022295F">
      <w:pPr>
        <w:pStyle w:val="Default"/>
        <w:jc w:val="center"/>
        <w:rPr>
          <w:rFonts w:ascii="Arial" w:hAnsi="Arial" w:cs="Arial"/>
          <w:b/>
          <w:color w:val="auto"/>
        </w:rPr>
      </w:pPr>
      <w:r w:rsidRPr="008E1F89">
        <w:rPr>
          <w:rFonts w:ascii="Arial" w:hAnsi="Arial" w:cs="Arial"/>
          <w:b/>
          <w:noProof/>
          <w:color w:val="auto"/>
          <w:lang w:val="ro-RO" w:eastAsia="ro-RO"/>
        </w:rPr>
        <w:drawing>
          <wp:inline distT="0" distB="0" distL="0" distR="0">
            <wp:extent cx="4986670" cy="2264734"/>
            <wp:effectExtent l="0" t="0" r="23495" b="21590"/>
            <wp:docPr id="1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22295F" w:rsidRPr="008E1F89" w:rsidRDefault="0022295F" w:rsidP="0022295F">
      <w:pPr>
        <w:pStyle w:val="Default"/>
        <w:rPr>
          <w:rFonts w:ascii="Arial" w:hAnsi="Arial" w:cs="Arial"/>
          <w:b/>
          <w:color w:val="auto"/>
        </w:rPr>
      </w:pPr>
    </w:p>
    <w:p w:rsidR="0022295F" w:rsidRPr="008710A0" w:rsidRDefault="0022295F" w:rsidP="0022295F">
      <w:pPr>
        <w:pStyle w:val="Default"/>
        <w:jc w:val="both"/>
        <w:rPr>
          <w:rFonts w:ascii="Arial" w:hAnsi="Arial" w:cs="Arial"/>
          <w:b/>
          <w:iCs/>
          <w:color w:val="auto"/>
        </w:rPr>
      </w:pPr>
      <w:r w:rsidRPr="008710A0">
        <w:rPr>
          <w:rFonts w:ascii="Arial" w:hAnsi="Arial" w:cs="Arial"/>
          <w:b/>
          <w:color w:val="auto"/>
        </w:rPr>
        <w:t>Utilizarea</w:t>
      </w:r>
      <w:r>
        <w:rPr>
          <w:rFonts w:ascii="Arial" w:hAnsi="Arial" w:cs="Arial"/>
          <w:b/>
          <w:color w:val="auto"/>
        </w:rPr>
        <w:t xml:space="preserve"> </w:t>
      </w:r>
      <w:r w:rsidRPr="008710A0">
        <w:rPr>
          <w:rFonts w:ascii="Arial" w:hAnsi="Arial" w:cs="Arial"/>
          <w:b/>
          <w:color w:val="auto"/>
        </w:rPr>
        <w:t>transportului</w:t>
      </w:r>
      <w:r>
        <w:rPr>
          <w:rFonts w:ascii="Arial" w:hAnsi="Arial" w:cs="Arial"/>
          <w:b/>
          <w:color w:val="auto"/>
        </w:rPr>
        <w:t xml:space="preserve"> </w:t>
      </w:r>
      <w:r w:rsidRPr="008710A0">
        <w:rPr>
          <w:rFonts w:ascii="Arial" w:hAnsi="Arial" w:cs="Arial"/>
          <w:b/>
          <w:color w:val="auto"/>
        </w:rPr>
        <w:t>în</w:t>
      </w:r>
      <w:r>
        <w:rPr>
          <w:rFonts w:ascii="Arial" w:hAnsi="Arial" w:cs="Arial"/>
          <w:b/>
          <w:color w:val="auto"/>
        </w:rPr>
        <w:t xml:space="preserve"> </w:t>
      </w:r>
      <w:r w:rsidRPr="008710A0">
        <w:rPr>
          <w:rFonts w:ascii="Arial" w:hAnsi="Arial" w:cs="Arial"/>
          <w:b/>
          <w:color w:val="auto"/>
        </w:rPr>
        <w:t>comun</w:t>
      </w:r>
      <w:r w:rsidRPr="008710A0">
        <w:rPr>
          <w:rFonts w:ascii="Arial" w:hAnsi="Arial" w:cs="Arial"/>
          <w:b/>
          <w:iCs/>
          <w:color w:val="auto"/>
        </w:rPr>
        <w:t>(mii pasageri) /(mii pasageri/km) la nivelul</w:t>
      </w:r>
      <w:r>
        <w:rPr>
          <w:rFonts w:ascii="Arial" w:hAnsi="Arial" w:cs="Arial"/>
          <w:b/>
          <w:iCs/>
          <w:color w:val="auto"/>
        </w:rPr>
        <w:t xml:space="preserve"> </w:t>
      </w:r>
      <w:r w:rsidRPr="008710A0">
        <w:rPr>
          <w:rFonts w:ascii="Arial" w:hAnsi="Arial" w:cs="Arial"/>
          <w:b/>
          <w:iCs/>
          <w:color w:val="auto"/>
        </w:rPr>
        <w:t>județului</w:t>
      </w:r>
      <w:r>
        <w:rPr>
          <w:rFonts w:ascii="Arial" w:hAnsi="Arial" w:cs="Arial"/>
          <w:b/>
          <w:iCs/>
          <w:color w:val="auto"/>
        </w:rPr>
        <w:t xml:space="preserve"> </w:t>
      </w:r>
      <w:r w:rsidRPr="008710A0">
        <w:rPr>
          <w:rFonts w:ascii="Arial" w:hAnsi="Arial" w:cs="Arial"/>
          <w:b/>
          <w:iCs/>
          <w:color w:val="auto"/>
        </w:rPr>
        <w:t>Brăila</w:t>
      </w:r>
      <w:r>
        <w:rPr>
          <w:rFonts w:ascii="Arial" w:hAnsi="Arial" w:cs="Arial"/>
          <w:b/>
          <w:iCs/>
          <w:color w:val="auto"/>
        </w:rPr>
        <w:t xml:space="preserve"> </w:t>
      </w:r>
      <w:r w:rsidRPr="008710A0">
        <w:rPr>
          <w:rFonts w:ascii="Arial" w:hAnsi="Arial" w:cs="Arial"/>
          <w:b/>
          <w:iCs/>
          <w:color w:val="auto"/>
        </w:rPr>
        <w:t>pentru</w:t>
      </w:r>
      <w:r>
        <w:rPr>
          <w:rFonts w:ascii="Arial" w:hAnsi="Arial" w:cs="Arial"/>
          <w:b/>
          <w:iCs/>
          <w:color w:val="auto"/>
        </w:rPr>
        <w:t xml:space="preserve"> </w:t>
      </w:r>
      <w:r w:rsidRPr="008710A0">
        <w:rPr>
          <w:rFonts w:ascii="Arial" w:hAnsi="Arial" w:cs="Arial"/>
          <w:b/>
          <w:iCs/>
          <w:color w:val="auto"/>
        </w:rPr>
        <w:t>perioada 2013 - 2017:</w:t>
      </w:r>
    </w:p>
    <w:p w:rsidR="0022295F" w:rsidRPr="008710A0" w:rsidRDefault="0022295F" w:rsidP="0022295F">
      <w:pPr>
        <w:pStyle w:val="Default"/>
        <w:rPr>
          <w:rFonts w:ascii="Arial" w:hAnsi="Arial" w:cs="Arial"/>
          <w:b/>
          <w:iCs/>
          <w:color w:val="auto"/>
        </w:rPr>
      </w:pPr>
    </w:p>
    <w:p w:rsidR="0022295F" w:rsidRPr="008710A0" w:rsidRDefault="0022295F" w:rsidP="0022295F">
      <w:pPr>
        <w:pStyle w:val="Default"/>
        <w:rPr>
          <w:rFonts w:ascii="Arial" w:hAnsi="Arial" w:cs="Arial"/>
          <w:color w:val="auto"/>
        </w:rPr>
      </w:pPr>
      <w:r w:rsidRPr="008710A0">
        <w:rPr>
          <w:rFonts w:ascii="Arial" w:hAnsi="Arial" w:cs="Arial"/>
          <w:b/>
          <w:color w:val="auto"/>
        </w:rPr>
        <w:t>Tabelul nr. X.1.3.1.- 2</w:t>
      </w:r>
      <w:r>
        <w:rPr>
          <w:rFonts w:ascii="Arial" w:hAnsi="Arial" w:cs="Arial"/>
          <w:b/>
          <w:color w:val="auto"/>
        </w:rPr>
        <w:t xml:space="preserve"> </w:t>
      </w:r>
      <w:r w:rsidRPr="008710A0">
        <w:rPr>
          <w:rFonts w:ascii="Arial" w:hAnsi="Arial" w:cs="Arial"/>
          <w:color w:val="auto"/>
        </w:rPr>
        <w:t>Numărul</w:t>
      </w:r>
      <w:r>
        <w:rPr>
          <w:rFonts w:ascii="Arial" w:hAnsi="Arial" w:cs="Arial"/>
          <w:color w:val="auto"/>
        </w:rPr>
        <w:t xml:space="preserve"> </w:t>
      </w:r>
      <w:r w:rsidRPr="008710A0">
        <w:rPr>
          <w:rFonts w:ascii="Arial" w:hAnsi="Arial" w:cs="Arial"/>
          <w:color w:val="auto"/>
        </w:rPr>
        <w:t>pasagerilor</w:t>
      </w:r>
      <w:r>
        <w:rPr>
          <w:rFonts w:ascii="Arial" w:hAnsi="Arial" w:cs="Arial"/>
          <w:color w:val="auto"/>
        </w:rPr>
        <w:t xml:space="preserve"> </w:t>
      </w:r>
      <w:r w:rsidRPr="008710A0">
        <w:rPr>
          <w:rFonts w:ascii="Arial" w:hAnsi="Arial" w:cs="Arial"/>
          <w:color w:val="auto"/>
        </w:rPr>
        <w:t>transportaţi</w:t>
      </w:r>
      <w:r>
        <w:rPr>
          <w:rFonts w:ascii="Arial" w:hAnsi="Arial" w:cs="Arial"/>
          <w:color w:val="auto"/>
        </w:rPr>
        <w:t xml:space="preserve"> </w:t>
      </w:r>
      <w:r w:rsidRPr="008710A0">
        <w:rPr>
          <w:rFonts w:ascii="Arial" w:hAnsi="Arial" w:cs="Arial"/>
          <w:color w:val="auto"/>
        </w:rPr>
        <w:t>în</w:t>
      </w:r>
      <w:r>
        <w:rPr>
          <w:rFonts w:ascii="Arial" w:hAnsi="Arial" w:cs="Arial"/>
          <w:color w:val="auto"/>
        </w:rPr>
        <w:t xml:space="preserve"> </w:t>
      </w:r>
      <w:r w:rsidRPr="008710A0">
        <w:rPr>
          <w:rFonts w:ascii="Arial" w:hAnsi="Arial" w:cs="Arial"/>
          <w:color w:val="auto"/>
        </w:rPr>
        <w:t>transportul public local, pe</w:t>
      </w:r>
      <w:r>
        <w:rPr>
          <w:rFonts w:ascii="Arial" w:hAnsi="Arial" w:cs="Arial"/>
          <w:color w:val="auto"/>
        </w:rPr>
        <w:t xml:space="preserve"> </w:t>
      </w:r>
      <w:r w:rsidRPr="008710A0">
        <w:rPr>
          <w:rFonts w:ascii="Arial" w:hAnsi="Arial" w:cs="Arial"/>
          <w:color w:val="auto"/>
        </w:rPr>
        <w:t>tipuri de vehicule:</w:t>
      </w:r>
    </w:p>
    <w:p w:rsidR="0022295F" w:rsidRPr="00FF7522" w:rsidRDefault="0022295F" w:rsidP="0022295F">
      <w:pPr>
        <w:pStyle w:val="Default"/>
        <w:rPr>
          <w:rFonts w:ascii="Arial" w:hAnsi="Arial" w:cs="Arial"/>
          <w:color w:val="FF0000"/>
        </w:rPr>
      </w:pPr>
    </w:p>
    <w:tbl>
      <w:tblPr>
        <w:tblW w:w="7752"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2"/>
        <w:gridCol w:w="1218"/>
        <w:gridCol w:w="1218"/>
        <w:gridCol w:w="1051"/>
        <w:gridCol w:w="1218"/>
        <w:gridCol w:w="1225"/>
      </w:tblGrid>
      <w:tr w:rsidR="0022295F" w:rsidRPr="008E1F89" w:rsidTr="004E444C">
        <w:trPr>
          <w:trHeight w:val="601"/>
          <w:jc w:val="center"/>
        </w:trPr>
        <w:tc>
          <w:tcPr>
            <w:tcW w:w="1822" w:type="dxa"/>
            <w:shd w:val="clear" w:color="auto" w:fill="FBD4B4" w:themeFill="accent6" w:themeFillTint="66"/>
            <w:vAlign w:val="center"/>
          </w:tcPr>
          <w:p w:rsidR="0022295F" w:rsidRPr="008E1F89" w:rsidRDefault="0022295F" w:rsidP="004E444C">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Judeţul Brăila</w:t>
            </w:r>
          </w:p>
        </w:tc>
        <w:tc>
          <w:tcPr>
            <w:tcW w:w="1218" w:type="dxa"/>
            <w:shd w:val="clear" w:color="auto" w:fill="FBD4B4" w:themeFill="accent6" w:themeFillTint="66"/>
            <w:vAlign w:val="center"/>
          </w:tcPr>
          <w:p w:rsidR="0022295F" w:rsidRPr="008E1F89" w:rsidRDefault="0022295F" w:rsidP="004E444C">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2013</w:t>
            </w:r>
          </w:p>
        </w:tc>
        <w:tc>
          <w:tcPr>
            <w:tcW w:w="1218" w:type="dxa"/>
            <w:shd w:val="clear" w:color="auto" w:fill="FBD4B4" w:themeFill="accent6" w:themeFillTint="66"/>
            <w:vAlign w:val="center"/>
          </w:tcPr>
          <w:p w:rsidR="0022295F" w:rsidRPr="008E1F89" w:rsidRDefault="0022295F" w:rsidP="004E444C">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2014</w:t>
            </w:r>
          </w:p>
        </w:tc>
        <w:tc>
          <w:tcPr>
            <w:tcW w:w="1051" w:type="dxa"/>
            <w:shd w:val="clear" w:color="auto" w:fill="FBD4B4" w:themeFill="accent6" w:themeFillTint="66"/>
            <w:vAlign w:val="center"/>
          </w:tcPr>
          <w:p w:rsidR="0022295F" w:rsidRPr="008E1F89" w:rsidRDefault="0022295F" w:rsidP="004E444C">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2015</w:t>
            </w:r>
          </w:p>
        </w:tc>
        <w:tc>
          <w:tcPr>
            <w:tcW w:w="1218" w:type="dxa"/>
            <w:shd w:val="clear" w:color="auto" w:fill="FBD4B4" w:themeFill="accent6" w:themeFillTint="66"/>
            <w:vAlign w:val="center"/>
          </w:tcPr>
          <w:p w:rsidR="0022295F" w:rsidRPr="008E1F89" w:rsidRDefault="0022295F" w:rsidP="004E444C">
            <w:pPr>
              <w:spacing w:after="0" w:line="240" w:lineRule="auto"/>
              <w:jc w:val="center"/>
              <w:rPr>
                <w:rFonts w:ascii="Arial" w:hAnsi="Arial" w:cs="Arial"/>
                <w:b/>
                <w:bCs/>
                <w:color w:val="000000"/>
                <w:sz w:val="24"/>
                <w:szCs w:val="24"/>
              </w:rPr>
            </w:pPr>
            <w:r w:rsidRPr="00701A46">
              <w:rPr>
                <w:rFonts w:ascii="Arial" w:hAnsi="Arial" w:cs="Arial"/>
                <w:b/>
                <w:bCs/>
                <w:sz w:val="24"/>
                <w:szCs w:val="24"/>
              </w:rPr>
              <w:t>2016</w:t>
            </w:r>
          </w:p>
        </w:tc>
        <w:tc>
          <w:tcPr>
            <w:tcW w:w="1225" w:type="dxa"/>
            <w:shd w:val="clear" w:color="auto" w:fill="FBD4B4" w:themeFill="accent6" w:themeFillTint="66"/>
            <w:vAlign w:val="center"/>
          </w:tcPr>
          <w:p w:rsidR="0022295F" w:rsidRPr="008710A0" w:rsidRDefault="0022295F" w:rsidP="004E444C">
            <w:pPr>
              <w:spacing w:after="0" w:line="240" w:lineRule="auto"/>
              <w:jc w:val="center"/>
              <w:rPr>
                <w:rFonts w:ascii="Arial" w:hAnsi="Arial" w:cs="Arial"/>
                <w:b/>
                <w:bCs/>
                <w:sz w:val="24"/>
                <w:szCs w:val="24"/>
              </w:rPr>
            </w:pPr>
            <w:r w:rsidRPr="008710A0">
              <w:rPr>
                <w:rFonts w:ascii="Arial" w:hAnsi="Arial" w:cs="Arial"/>
                <w:b/>
                <w:bCs/>
                <w:sz w:val="24"/>
                <w:szCs w:val="24"/>
              </w:rPr>
              <w:t>2017</w:t>
            </w:r>
          </w:p>
        </w:tc>
      </w:tr>
      <w:tr w:rsidR="0022295F" w:rsidRPr="008E1F89" w:rsidTr="004E444C">
        <w:trPr>
          <w:trHeight w:val="300"/>
          <w:jc w:val="center"/>
        </w:trPr>
        <w:tc>
          <w:tcPr>
            <w:tcW w:w="1822" w:type="dxa"/>
            <w:shd w:val="clear" w:color="auto" w:fill="FFC000"/>
            <w:vAlign w:val="center"/>
          </w:tcPr>
          <w:p w:rsidR="0022295F" w:rsidRPr="008E1F89" w:rsidRDefault="0022295F" w:rsidP="004E444C">
            <w:pPr>
              <w:spacing w:after="0" w:line="240" w:lineRule="auto"/>
              <w:rPr>
                <w:rFonts w:ascii="Arial" w:hAnsi="Arial" w:cs="Arial"/>
                <w:b/>
                <w:bCs/>
                <w:color w:val="000000"/>
                <w:sz w:val="24"/>
                <w:szCs w:val="24"/>
              </w:rPr>
            </w:pPr>
          </w:p>
        </w:tc>
        <w:tc>
          <w:tcPr>
            <w:tcW w:w="5930" w:type="dxa"/>
            <w:gridSpan w:val="5"/>
            <w:shd w:val="clear" w:color="auto" w:fill="FFC000"/>
            <w:vAlign w:val="bottom"/>
          </w:tcPr>
          <w:p w:rsidR="0022295F" w:rsidRPr="008710A0" w:rsidRDefault="0022295F" w:rsidP="004E444C">
            <w:pPr>
              <w:spacing w:after="0" w:line="240" w:lineRule="auto"/>
              <w:rPr>
                <w:rFonts w:ascii="Arial" w:hAnsi="Arial" w:cs="Arial"/>
                <w:sz w:val="24"/>
                <w:szCs w:val="24"/>
              </w:rPr>
            </w:pPr>
            <w:r w:rsidRPr="008710A0">
              <w:rPr>
                <w:rFonts w:ascii="Arial" w:hAnsi="Arial" w:cs="Arial"/>
                <w:b/>
                <w:bCs/>
                <w:sz w:val="24"/>
                <w:szCs w:val="24"/>
              </w:rPr>
              <w:t>Mii pasageri</w:t>
            </w:r>
          </w:p>
        </w:tc>
      </w:tr>
      <w:tr w:rsidR="0022295F" w:rsidRPr="008E1F89" w:rsidTr="004E444C">
        <w:trPr>
          <w:trHeight w:val="300"/>
          <w:jc w:val="center"/>
        </w:trPr>
        <w:tc>
          <w:tcPr>
            <w:tcW w:w="1822" w:type="dxa"/>
            <w:shd w:val="clear" w:color="auto" w:fill="FDE9D9" w:themeFill="accent6"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Tramvaie</w:t>
            </w:r>
          </w:p>
        </w:tc>
        <w:tc>
          <w:tcPr>
            <w:tcW w:w="1218"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4898,0</w:t>
            </w:r>
          </w:p>
        </w:tc>
        <w:tc>
          <w:tcPr>
            <w:tcW w:w="1218"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6082,0</w:t>
            </w:r>
          </w:p>
        </w:tc>
        <w:tc>
          <w:tcPr>
            <w:tcW w:w="1051"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11564</w:t>
            </w:r>
          </w:p>
        </w:tc>
        <w:tc>
          <w:tcPr>
            <w:tcW w:w="1218" w:type="dxa"/>
            <w:shd w:val="clear" w:color="auto" w:fill="FDE9D9" w:themeFill="accent6" w:themeFillTint="33"/>
          </w:tcPr>
          <w:p w:rsidR="0022295F" w:rsidRPr="004B1FA3" w:rsidRDefault="0022295F" w:rsidP="004E444C">
            <w:pPr>
              <w:spacing w:after="0" w:line="240" w:lineRule="auto"/>
              <w:rPr>
                <w:rFonts w:ascii="Arial" w:hAnsi="Arial" w:cs="Arial"/>
                <w:sz w:val="24"/>
                <w:szCs w:val="24"/>
              </w:rPr>
            </w:pPr>
            <w:r w:rsidRPr="004B1FA3">
              <w:rPr>
                <w:rFonts w:ascii="Arial" w:hAnsi="Arial" w:cs="Arial"/>
                <w:sz w:val="24"/>
                <w:szCs w:val="24"/>
              </w:rPr>
              <w:t>11174,0</w:t>
            </w:r>
          </w:p>
        </w:tc>
        <w:tc>
          <w:tcPr>
            <w:tcW w:w="1225" w:type="dxa"/>
            <w:shd w:val="clear" w:color="auto" w:fill="FDE9D9" w:themeFill="accent6" w:themeFillTint="33"/>
            <w:vAlign w:val="bottom"/>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10727,0</w:t>
            </w:r>
          </w:p>
        </w:tc>
      </w:tr>
      <w:tr w:rsidR="0022295F" w:rsidRPr="008E1F89" w:rsidTr="004E444C">
        <w:trPr>
          <w:trHeight w:val="300"/>
          <w:jc w:val="center"/>
        </w:trPr>
        <w:tc>
          <w:tcPr>
            <w:tcW w:w="1822" w:type="dxa"/>
            <w:shd w:val="clear" w:color="auto" w:fill="FDE9D9" w:themeFill="accent6"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218"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27369,8</w:t>
            </w:r>
          </w:p>
        </w:tc>
        <w:tc>
          <w:tcPr>
            <w:tcW w:w="1218"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27069,5</w:t>
            </w:r>
          </w:p>
        </w:tc>
        <w:tc>
          <w:tcPr>
            <w:tcW w:w="1051"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24088</w:t>
            </w:r>
          </w:p>
        </w:tc>
        <w:tc>
          <w:tcPr>
            <w:tcW w:w="1218" w:type="dxa"/>
            <w:shd w:val="clear" w:color="auto" w:fill="FDE9D9" w:themeFill="accent6" w:themeFillTint="33"/>
            <w:vAlign w:val="center"/>
          </w:tcPr>
          <w:p w:rsidR="0022295F" w:rsidRPr="004B1FA3" w:rsidRDefault="0022295F" w:rsidP="004E444C">
            <w:pPr>
              <w:spacing w:after="0" w:line="240" w:lineRule="auto"/>
              <w:rPr>
                <w:rFonts w:ascii="Arial" w:hAnsi="Arial" w:cs="Arial"/>
                <w:sz w:val="24"/>
                <w:szCs w:val="24"/>
              </w:rPr>
            </w:pPr>
            <w:r w:rsidRPr="004B1FA3">
              <w:rPr>
                <w:rFonts w:ascii="Arial" w:hAnsi="Arial" w:cs="Arial"/>
                <w:sz w:val="24"/>
                <w:szCs w:val="24"/>
              </w:rPr>
              <w:t>24017,4</w:t>
            </w:r>
          </w:p>
        </w:tc>
        <w:tc>
          <w:tcPr>
            <w:tcW w:w="1225" w:type="dxa"/>
            <w:shd w:val="clear" w:color="auto" w:fill="FDE9D9" w:themeFill="accent6"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22151,3</w:t>
            </w:r>
          </w:p>
        </w:tc>
      </w:tr>
      <w:tr w:rsidR="0022295F" w:rsidRPr="008E1F89" w:rsidTr="004E444C">
        <w:trPr>
          <w:trHeight w:val="300"/>
          <w:jc w:val="center"/>
        </w:trPr>
        <w:tc>
          <w:tcPr>
            <w:tcW w:w="1822" w:type="dxa"/>
            <w:shd w:val="clear" w:color="auto" w:fill="FFC000"/>
            <w:vAlign w:val="center"/>
          </w:tcPr>
          <w:p w:rsidR="0022295F" w:rsidRPr="008E1F89" w:rsidRDefault="0022295F" w:rsidP="004E444C">
            <w:pPr>
              <w:spacing w:after="0" w:line="240" w:lineRule="auto"/>
              <w:rPr>
                <w:rFonts w:ascii="Arial" w:hAnsi="Arial" w:cs="Arial"/>
                <w:b/>
                <w:bCs/>
                <w:color w:val="000000"/>
                <w:sz w:val="24"/>
                <w:szCs w:val="24"/>
              </w:rPr>
            </w:pPr>
          </w:p>
        </w:tc>
        <w:tc>
          <w:tcPr>
            <w:tcW w:w="5930" w:type="dxa"/>
            <w:gridSpan w:val="5"/>
            <w:shd w:val="clear" w:color="auto" w:fill="FFC000"/>
            <w:vAlign w:val="bottom"/>
          </w:tcPr>
          <w:p w:rsidR="0022295F" w:rsidRPr="008710A0" w:rsidRDefault="0022295F" w:rsidP="004E444C">
            <w:pPr>
              <w:spacing w:after="0" w:line="240" w:lineRule="auto"/>
              <w:rPr>
                <w:rFonts w:ascii="Arial" w:hAnsi="Arial" w:cs="Arial"/>
                <w:sz w:val="24"/>
                <w:szCs w:val="24"/>
              </w:rPr>
            </w:pPr>
            <w:r w:rsidRPr="008710A0">
              <w:rPr>
                <w:rFonts w:ascii="Arial" w:hAnsi="Arial" w:cs="Arial"/>
                <w:b/>
                <w:bCs/>
                <w:sz w:val="24"/>
                <w:szCs w:val="24"/>
              </w:rPr>
              <w:t>Mii pasageri-km</w:t>
            </w:r>
          </w:p>
        </w:tc>
      </w:tr>
      <w:tr w:rsidR="0022295F" w:rsidRPr="008E1F89" w:rsidTr="004E444C">
        <w:trPr>
          <w:trHeight w:val="300"/>
          <w:jc w:val="center"/>
        </w:trPr>
        <w:tc>
          <w:tcPr>
            <w:tcW w:w="1822" w:type="dxa"/>
            <w:shd w:val="clear" w:color="auto" w:fill="FDE9D9" w:themeFill="accent6"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Tramvaie</w:t>
            </w:r>
          </w:p>
        </w:tc>
        <w:tc>
          <w:tcPr>
            <w:tcW w:w="1218"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10775,0</w:t>
            </w:r>
          </w:p>
        </w:tc>
        <w:tc>
          <w:tcPr>
            <w:tcW w:w="1218"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13379,0</w:t>
            </w:r>
          </w:p>
        </w:tc>
        <w:tc>
          <w:tcPr>
            <w:tcW w:w="1051" w:type="dxa"/>
            <w:shd w:val="clear" w:color="auto" w:fill="FDE9D9" w:themeFill="accent6" w:themeFillTint="33"/>
            <w:vAlign w:val="bottom"/>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25440</w:t>
            </w:r>
          </w:p>
        </w:tc>
        <w:tc>
          <w:tcPr>
            <w:tcW w:w="1218" w:type="dxa"/>
            <w:shd w:val="clear" w:color="auto" w:fill="FDE9D9" w:themeFill="accent6" w:themeFillTint="33"/>
          </w:tcPr>
          <w:p w:rsidR="0022295F" w:rsidRPr="004B1FA3" w:rsidRDefault="0022295F" w:rsidP="004E444C">
            <w:pPr>
              <w:spacing w:after="0" w:line="240" w:lineRule="auto"/>
              <w:rPr>
                <w:rFonts w:ascii="Arial" w:hAnsi="Arial" w:cs="Arial"/>
                <w:sz w:val="24"/>
                <w:szCs w:val="24"/>
              </w:rPr>
            </w:pPr>
            <w:r w:rsidRPr="004B1FA3">
              <w:rPr>
                <w:rFonts w:ascii="Arial" w:hAnsi="Arial" w:cs="Arial"/>
                <w:sz w:val="24"/>
                <w:szCs w:val="24"/>
              </w:rPr>
              <w:t>24582,0</w:t>
            </w:r>
          </w:p>
        </w:tc>
        <w:tc>
          <w:tcPr>
            <w:tcW w:w="1225" w:type="dxa"/>
            <w:shd w:val="clear" w:color="auto" w:fill="FDE9D9" w:themeFill="accent6" w:themeFillTint="33"/>
            <w:vAlign w:val="bottom"/>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23567,0</w:t>
            </w:r>
          </w:p>
        </w:tc>
      </w:tr>
      <w:tr w:rsidR="0022295F" w:rsidRPr="008E1F89" w:rsidTr="004E444C">
        <w:trPr>
          <w:trHeight w:val="300"/>
          <w:jc w:val="center"/>
        </w:trPr>
        <w:tc>
          <w:tcPr>
            <w:tcW w:w="1822" w:type="dxa"/>
            <w:shd w:val="clear" w:color="auto" w:fill="FDE9D9" w:themeFill="accent6"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218"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131755,2</w:t>
            </w:r>
          </w:p>
        </w:tc>
        <w:tc>
          <w:tcPr>
            <w:tcW w:w="1218"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131151,0</w:t>
            </w:r>
          </w:p>
        </w:tc>
        <w:tc>
          <w:tcPr>
            <w:tcW w:w="1051"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118027</w:t>
            </w:r>
          </w:p>
        </w:tc>
        <w:tc>
          <w:tcPr>
            <w:tcW w:w="1218" w:type="dxa"/>
            <w:shd w:val="clear" w:color="auto" w:fill="FDE9D9" w:themeFill="accent6" w:themeFillTint="33"/>
            <w:vAlign w:val="center"/>
          </w:tcPr>
          <w:p w:rsidR="0022295F" w:rsidRPr="004B1FA3" w:rsidRDefault="0022295F" w:rsidP="004E444C">
            <w:pPr>
              <w:spacing w:after="0" w:line="240" w:lineRule="auto"/>
              <w:rPr>
                <w:rFonts w:ascii="Arial" w:hAnsi="Arial" w:cs="Arial"/>
                <w:sz w:val="24"/>
                <w:szCs w:val="24"/>
              </w:rPr>
            </w:pPr>
            <w:r w:rsidRPr="004B1FA3">
              <w:rPr>
                <w:rFonts w:ascii="Arial" w:hAnsi="Arial" w:cs="Arial"/>
                <w:sz w:val="24"/>
                <w:szCs w:val="24"/>
              </w:rPr>
              <w:t>116097,1</w:t>
            </w:r>
          </w:p>
        </w:tc>
        <w:tc>
          <w:tcPr>
            <w:tcW w:w="1225" w:type="dxa"/>
            <w:shd w:val="clear" w:color="auto" w:fill="FDE9D9" w:themeFill="accent6" w:themeFillTint="33"/>
            <w:vAlign w:val="center"/>
          </w:tcPr>
          <w:p w:rsidR="0022295F" w:rsidRPr="008710A0" w:rsidRDefault="0022295F" w:rsidP="004E444C">
            <w:pPr>
              <w:spacing w:after="0" w:line="240" w:lineRule="auto"/>
              <w:rPr>
                <w:rFonts w:ascii="Arial" w:hAnsi="Arial" w:cs="Arial"/>
                <w:sz w:val="24"/>
                <w:szCs w:val="24"/>
              </w:rPr>
            </w:pPr>
            <w:r w:rsidRPr="008710A0">
              <w:rPr>
                <w:rFonts w:ascii="Arial" w:hAnsi="Arial" w:cs="Arial"/>
                <w:sz w:val="24"/>
                <w:szCs w:val="24"/>
              </w:rPr>
              <w:t>101411,4</w:t>
            </w:r>
          </w:p>
        </w:tc>
      </w:tr>
    </w:tbl>
    <w:p w:rsidR="0022295F" w:rsidRPr="00AE5913" w:rsidRDefault="0022295F" w:rsidP="0022295F">
      <w:pPr>
        <w:spacing w:after="0" w:line="240" w:lineRule="auto"/>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Pr="008E1F89" w:rsidRDefault="0022295F" w:rsidP="0022295F">
      <w:pPr>
        <w:pStyle w:val="Default"/>
        <w:rPr>
          <w:rFonts w:ascii="Arial" w:hAnsi="Arial" w:cs="Arial"/>
          <w:color w:val="auto"/>
        </w:rPr>
      </w:pPr>
    </w:p>
    <w:p w:rsidR="0022295F" w:rsidRPr="00F13ABD" w:rsidRDefault="0022295F" w:rsidP="0022295F">
      <w:pPr>
        <w:pStyle w:val="Default"/>
        <w:rPr>
          <w:rFonts w:ascii="Arial" w:hAnsi="Arial" w:cs="Arial"/>
          <w:color w:val="auto"/>
        </w:rPr>
      </w:pPr>
      <w:r w:rsidRPr="00F13ABD">
        <w:rPr>
          <w:rFonts w:ascii="Arial" w:hAnsi="Arial" w:cs="Arial"/>
          <w:color w:val="auto"/>
        </w:rPr>
        <w:t>Transportul public local de</w:t>
      </w:r>
      <w:r>
        <w:rPr>
          <w:rFonts w:ascii="Arial" w:hAnsi="Arial" w:cs="Arial"/>
          <w:color w:val="auto"/>
        </w:rPr>
        <w:t xml:space="preserve"> </w:t>
      </w:r>
      <w:r w:rsidRPr="00F13ABD">
        <w:rPr>
          <w:rFonts w:ascii="Arial" w:hAnsi="Arial" w:cs="Arial"/>
          <w:color w:val="auto"/>
        </w:rPr>
        <w:t>pasageri</w:t>
      </w:r>
      <w:r>
        <w:rPr>
          <w:rFonts w:ascii="Arial" w:hAnsi="Arial" w:cs="Arial"/>
          <w:color w:val="auto"/>
        </w:rPr>
        <w:t xml:space="preserve"> </w:t>
      </w:r>
      <w:r w:rsidRPr="00F13ABD">
        <w:rPr>
          <w:rFonts w:ascii="Arial" w:hAnsi="Arial" w:cs="Arial"/>
          <w:color w:val="auto"/>
        </w:rPr>
        <w:t>cuprinde</w:t>
      </w:r>
      <w:r>
        <w:rPr>
          <w:rFonts w:ascii="Arial" w:hAnsi="Arial" w:cs="Arial"/>
          <w:color w:val="auto"/>
        </w:rPr>
        <w:t xml:space="preserve"> </w:t>
      </w:r>
      <w:r w:rsidRPr="00F13ABD">
        <w:rPr>
          <w:rFonts w:ascii="Arial" w:hAnsi="Arial" w:cs="Arial"/>
          <w:color w:val="auto"/>
        </w:rPr>
        <w:t>transportul, în</w:t>
      </w:r>
      <w:r>
        <w:rPr>
          <w:rFonts w:ascii="Arial" w:hAnsi="Arial" w:cs="Arial"/>
          <w:color w:val="auto"/>
        </w:rPr>
        <w:t xml:space="preserve"> </w:t>
      </w:r>
      <w:r w:rsidRPr="00F13ABD">
        <w:rPr>
          <w:rFonts w:ascii="Arial" w:hAnsi="Arial" w:cs="Arial"/>
          <w:color w:val="auto"/>
        </w:rPr>
        <w:t>interiorul</w:t>
      </w:r>
      <w:r>
        <w:rPr>
          <w:rFonts w:ascii="Arial" w:hAnsi="Arial" w:cs="Arial"/>
          <w:color w:val="auto"/>
        </w:rPr>
        <w:t xml:space="preserve"> </w:t>
      </w:r>
      <w:r w:rsidRPr="00F13ABD">
        <w:rPr>
          <w:rFonts w:ascii="Arial" w:hAnsi="Arial" w:cs="Arial"/>
          <w:color w:val="auto"/>
        </w:rPr>
        <w:t>zoneiadministrativ -teritoriale a unei</w:t>
      </w:r>
      <w:r>
        <w:rPr>
          <w:rFonts w:ascii="Arial" w:hAnsi="Arial" w:cs="Arial"/>
          <w:color w:val="auto"/>
        </w:rPr>
        <w:t xml:space="preserve"> </w:t>
      </w:r>
      <w:r w:rsidRPr="00F13ABD">
        <w:rPr>
          <w:rFonts w:ascii="Arial" w:hAnsi="Arial" w:cs="Arial"/>
          <w:color w:val="auto"/>
        </w:rPr>
        <w:t>localităţi, fără a depăşi</w:t>
      </w:r>
      <w:r>
        <w:rPr>
          <w:rFonts w:ascii="Arial" w:hAnsi="Arial" w:cs="Arial"/>
          <w:color w:val="auto"/>
        </w:rPr>
        <w:t xml:space="preserve"> </w:t>
      </w:r>
      <w:r w:rsidRPr="00F13ABD">
        <w:rPr>
          <w:rFonts w:ascii="Arial" w:hAnsi="Arial" w:cs="Arial"/>
          <w:color w:val="auto"/>
        </w:rPr>
        <w:t>limitele</w:t>
      </w:r>
      <w:r>
        <w:rPr>
          <w:rFonts w:ascii="Arial" w:hAnsi="Arial" w:cs="Arial"/>
          <w:color w:val="auto"/>
        </w:rPr>
        <w:t xml:space="preserve"> </w:t>
      </w:r>
      <w:r w:rsidRPr="00F13ABD">
        <w:rPr>
          <w:rFonts w:ascii="Arial" w:hAnsi="Arial" w:cs="Arial"/>
          <w:color w:val="auto"/>
        </w:rPr>
        <w:t>acesteia.</w:t>
      </w:r>
    </w:p>
    <w:p w:rsidR="0022295F" w:rsidRPr="00F13ABD" w:rsidRDefault="0022295F" w:rsidP="0022295F">
      <w:pPr>
        <w:pStyle w:val="Default"/>
        <w:rPr>
          <w:rFonts w:ascii="Arial" w:hAnsi="Arial" w:cs="Arial"/>
          <w:color w:val="auto"/>
        </w:rPr>
      </w:pPr>
    </w:p>
    <w:p w:rsidR="0022295F" w:rsidRPr="008E1F89" w:rsidRDefault="0022295F" w:rsidP="0022295F">
      <w:pPr>
        <w:spacing w:after="0" w:line="240" w:lineRule="auto"/>
        <w:jc w:val="center"/>
        <w:rPr>
          <w:rFonts w:ascii="Arial" w:hAnsi="Arial" w:cs="Arial"/>
          <w:sz w:val="24"/>
          <w:szCs w:val="24"/>
        </w:rPr>
      </w:pPr>
      <w:r w:rsidRPr="008E1F89">
        <w:rPr>
          <w:rFonts w:ascii="Arial" w:hAnsi="Arial" w:cs="Arial"/>
          <w:noProof/>
          <w:sz w:val="24"/>
          <w:szCs w:val="24"/>
        </w:rPr>
        <w:drawing>
          <wp:inline distT="0" distB="0" distL="0" distR="0">
            <wp:extent cx="5486400" cy="2668772"/>
            <wp:effectExtent l="0" t="0" r="19050" b="17780"/>
            <wp:docPr id="1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22295F" w:rsidRPr="008E1F89" w:rsidRDefault="0022295F" w:rsidP="0022295F">
      <w:pPr>
        <w:pStyle w:val="Default"/>
        <w:rPr>
          <w:rFonts w:ascii="Arial" w:hAnsi="Arial" w:cs="Arial"/>
          <w:color w:val="auto"/>
        </w:rPr>
      </w:pPr>
    </w:p>
    <w:p w:rsidR="0022295F" w:rsidRPr="008E1F89" w:rsidRDefault="0022295F" w:rsidP="0022295F">
      <w:pPr>
        <w:spacing w:after="0" w:line="240" w:lineRule="auto"/>
        <w:jc w:val="center"/>
        <w:rPr>
          <w:rFonts w:ascii="Arial" w:hAnsi="Arial" w:cs="Arial"/>
          <w:sz w:val="24"/>
          <w:szCs w:val="24"/>
        </w:rPr>
      </w:pPr>
      <w:r w:rsidRPr="008E1F89">
        <w:rPr>
          <w:rFonts w:ascii="Arial" w:hAnsi="Arial" w:cs="Arial"/>
          <w:noProof/>
          <w:sz w:val="24"/>
          <w:szCs w:val="24"/>
          <w:highlight w:val="yellow"/>
        </w:rPr>
        <w:lastRenderedPageBreak/>
        <w:drawing>
          <wp:inline distT="0" distB="0" distL="0" distR="0">
            <wp:extent cx="5486400" cy="2147777"/>
            <wp:effectExtent l="0" t="0" r="19050" b="24130"/>
            <wp:docPr id="1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22295F" w:rsidRPr="008E1F89" w:rsidRDefault="0022295F" w:rsidP="0022295F">
      <w:pPr>
        <w:pStyle w:val="Default"/>
        <w:rPr>
          <w:rFonts w:ascii="Arial" w:hAnsi="Arial" w:cs="Arial"/>
          <w:color w:val="auto"/>
        </w:rPr>
      </w:pPr>
    </w:p>
    <w:p w:rsidR="0022295F" w:rsidRPr="00F13ABD" w:rsidRDefault="0022295F" w:rsidP="0022295F">
      <w:pPr>
        <w:spacing w:after="0" w:line="240" w:lineRule="auto"/>
        <w:rPr>
          <w:rFonts w:ascii="Arial" w:hAnsi="Arial" w:cs="Arial"/>
          <w:b/>
          <w:sz w:val="24"/>
          <w:szCs w:val="24"/>
        </w:rPr>
      </w:pPr>
      <w:r w:rsidRPr="00F13ABD">
        <w:rPr>
          <w:rFonts w:ascii="Arial" w:hAnsi="Arial" w:cs="Arial"/>
          <w:b/>
          <w:sz w:val="24"/>
          <w:szCs w:val="24"/>
        </w:rPr>
        <w:t xml:space="preserve">X.1.3.2. Transportul de mărfuri </w:t>
      </w:r>
    </w:p>
    <w:p w:rsidR="0022295F" w:rsidRPr="00F13ABD" w:rsidRDefault="0022295F" w:rsidP="0022295F">
      <w:pPr>
        <w:spacing w:after="0" w:line="240" w:lineRule="auto"/>
        <w:rPr>
          <w:rFonts w:ascii="Arial" w:hAnsi="Arial" w:cs="Arial"/>
          <w:b/>
          <w:sz w:val="24"/>
          <w:szCs w:val="24"/>
        </w:rPr>
      </w:pPr>
      <w:r w:rsidRPr="00F13ABD">
        <w:rPr>
          <w:rFonts w:ascii="Arial" w:hAnsi="Arial" w:cs="Arial"/>
          <w:b/>
          <w:sz w:val="24"/>
          <w:szCs w:val="24"/>
        </w:rPr>
        <w:t>Vehicule rutiere înmatriculate în circulaţie, pe categorii de vehicule</w:t>
      </w:r>
    </w:p>
    <w:p w:rsidR="0022295F" w:rsidRDefault="0022295F" w:rsidP="0022295F">
      <w:pPr>
        <w:spacing w:after="0" w:line="240" w:lineRule="auto"/>
        <w:rPr>
          <w:rFonts w:ascii="Arial" w:hAnsi="Arial" w:cs="Arial"/>
          <w:b/>
          <w:sz w:val="24"/>
          <w:szCs w:val="24"/>
        </w:rPr>
      </w:pPr>
    </w:p>
    <w:p w:rsidR="0022295F" w:rsidRDefault="0022295F" w:rsidP="0022295F">
      <w:pPr>
        <w:spacing w:after="0" w:line="240" w:lineRule="auto"/>
        <w:rPr>
          <w:rFonts w:ascii="Arial" w:hAnsi="Arial" w:cs="Arial"/>
          <w:bCs/>
          <w:color w:val="000000"/>
          <w:sz w:val="24"/>
          <w:szCs w:val="24"/>
        </w:rPr>
      </w:pPr>
      <w:r w:rsidRPr="00F13ABD">
        <w:rPr>
          <w:rFonts w:ascii="Arial" w:hAnsi="Arial" w:cs="Arial"/>
          <w:b/>
          <w:sz w:val="24"/>
          <w:szCs w:val="24"/>
        </w:rPr>
        <w:t>Tabelul nr. X.1.3.2. -1</w:t>
      </w:r>
      <w:r w:rsidRPr="00F13ABD">
        <w:rPr>
          <w:rFonts w:ascii="Arial" w:hAnsi="Arial" w:cs="Arial"/>
          <w:sz w:val="24"/>
          <w:szCs w:val="24"/>
        </w:rPr>
        <w:t>Vehicule rutiere înmatriculate în circulaţie, pe categorii de vehicule în perioada 2013 - 2017</w:t>
      </w:r>
      <w:r>
        <w:rPr>
          <w:rFonts w:ascii="Arial" w:hAnsi="Arial" w:cs="Arial"/>
          <w:bCs/>
          <w:color w:val="00B0F0"/>
          <w:sz w:val="24"/>
          <w:szCs w:val="24"/>
        </w:rPr>
        <w:t xml:space="preserve">: </w:t>
      </w:r>
    </w:p>
    <w:p w:rsidR="0022295F" w:rsidRPr="001C7ED6" w:rsidRDefault="00E73ABB" w:rsidP="0022295F">
      <w:pPr>
        <w:spacing w:after="0" w:line="240" w:lineRule="auto"/>
        <w:rPr>
          <w:rFonts w:ascii="Arial" w:hAnsi="Arial" w:cs="Arial"/>
          <w:b/>
          <w:sz w:val="24"/>
          <w:szCs w:val="24"/>
        </w:rPr>
      </w:pPr>
      <w:r>
        <w:rPr>
          <w:rFonts w:ascii="Arial" w:hAnsi="Arial" w:cs="Arial"/>
          <w:b/>
          <w:bCs/>
          <w:color w:val="000000"/>
          <w:sz w:val="24"/>
          <w:szCs w:val="24"/>
        </w:rPr>
        <w:t xml:space="preserve">                                                                                                                       </w:t>
      </w:r>
      <w:r w:rsidR="0022295F">
        <w:rPr>
          <w:rFonts w:ascii="Arial" w:hAnsi="Arial" w:cs="Arial"/>
          <w:b/>
          <w:bCs/>
          <w:color w:val="000000"/>
          <w:sz w:val="24"/>
          <w:szCs w:val="24"/>
        </w:rPr>
        <w:t>(</w:t>
      </w:r>
      <w:r w:rsidR="0022295F" w:rsidRPr="001C7ED6">
        <w:rPr>
          <w:rFonts w:ascii="Arial" w:hAnsi="Arial" w:cs="Arial"/>
          <w:b/>
          <w:bCs/>
          <w:color w:val="000000"/>
          <w:sz w:val="24"/>
          <w:szCs w:val="24"/>
        </w:rPr>
        <w:t xml:space="preserve"> număr</w:t>
      </w:r>
      <w:r w:rsidR="0022295F">
        <w:rPr>
          <w:rFonts w:ascii="Arial" w:hAnsi="Arial" w:cs="Arial"/>
          <w:b/>
          <w:bCs/>
          <w:color w:val="000000"/>
          <w:sz w:val="24"/>
          <w:szCs w:val="24"/>
        </w:rPr>
        <w:t>)</w:t>
      </w:r>
    </w:p>
    <w:tbl>
      <w:tblPr>
        <w:tblW w:w="7862"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6"/>
        <w:gridCol w:w="884"/>
        <w:gridCol w:w="977"/>
        <w:gridCol w:w="992"/>
        <w:gridCol w:w="993"/>
        <w:gridCol w:w="850"/>
      </w:tblGrid>
      <w:tr w:rsidR="0022295F" w:rsidRPr="008E1F89" w:rsidTr="004E444C">
        <w:trPr>
          <w:trHeight w:val="510"/>
          <w:jc w:val="center"/>
        </w:trPr>
        <w:tc>
          <w:tcPr>
            <w:tcW w:w="3166" w:type="dxa"/>
            <w:shd w:val="clear" w:color="auto" w:fill="FABF8F" w:themeFill="accent6" w:themeFillTint="99"/>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Judeţul Brăila</w:t>
            </w:r>
          </w:p>
        </w:tc>
        <w:tc>
          <w:tcPr>
            <w:tcW w:w="884" w:type="dxa"/>
            <w:shd w:val="clear" w:color="auto" w:fill="FABF8F" w:themeFill="accent6" w:themeFillTint="99"/>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977" w:type="dxa"/>
            <w:shd w:val="clear" w:color="auto" w:fill="FABF8F" w:themeFill="accent6" w:themeFillTint="99"/>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992" w:type="dxa"/>
            <w:shd w:val="clear" w:color="auto" w:fill="FABF8F" w:themeFill="accent6" w:themeFillTint="99"/>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993" w:type="dxa"/>
            <w:shd w:val="clear" w:color="auto" w:fill="FABF8F" w:themeFill="accent6" w:themeFillTint="99"/>
            <w:vAlign w:val="center"/>
          </w:tcPr>
          <w:p w:rsidR="0022295F" w:rsidRPr="004731BA" w:rsidRDefault="0022295F" w:rsidP="004E444C">
            <w:pPr>
              <w:spacing w:after="0" w:line="240" w:lineRule="auto"/>
              <w:rPr>
                <w:rFonts w:ascii="Arial" w:hAnsi="Arial" w:cs="Arial"/>
                <w:b/>
                <w:bCs/>
                <w:sz w:val="24"/>
                <w:szCs w:val="24"/>
              </w:rPr>
            </w:pPr>
            <w:r w:rsidRPr="004731BA">
              <w:rPr>
                <w:rFonts w:ascii="Arial" w:hAnsi="Arial" w:cs="Arial"/>
                <w:b/>
                <w:bCs/>
                <w:sz w:val="24"/>
                <w:szCs w:val="24"/>
              </w:rPr>
              <w:t>2016</w:t>
            </w:r>
          </w:p>
        </w:tc>
        <w:tc>
          <w:tcPr>
            <w:tcW w:w="850" w:type="dxa"/>
            <w:shd w:val="clear" w:color="auto" w:fill="FABF8F" w:themeFill="accent6" w:themeFillTint="99"/>
            <w:vAlign w:val="center"/>
          </w:tcPr>
          <w:p w:rsidR="0022295F" w:rsidRPr="00F13ABD" w:rsidRDefault="0022295F" w:rsidP="004E444C">
            <w:pPr>
              <w:spacing w:after="0" w:line="240" w:lineRule="auto"/>
              <w:rPr>
                <w:rFonts w:ascii="Arial" w:hAnsi="Arial" w:cs="Arial"/>
                <w:b/>
                <w:bCs/>
                <w:sz w:val="24"/>
                <w:szCs w:val="24"/>
              </w:rPr>
            </w:pPr>
            <w:r w:rsidRPr="00F13ABD">
              <w:rPr>
                <w:rFonts w:ascii="Arial" w:hAnsi="Arial" w:cs="Arial"/>
                <w:b/>
                <w:bCs/>
                <w:sz w:val="24"/>
                <w:szCs w:val="24"/>
              </w:rPr>
              <w:t>2017</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Autobuze şi microbuze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695</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735</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755</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787</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809</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Autoturisme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59206</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62117</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65294</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69287</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76617</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Mopede şi motociclete (inclusiv mototricicluri şi cvadricicluri)</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874</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921</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961</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1004</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1065</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Autovehicule de marfă din care: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8764</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9409</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9961</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10396</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11033</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 Autocamioane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7830</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8348</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8765</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9121</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9623</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 Autotractoare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934</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1061</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1151</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1275</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1410</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lang w:val="it-IT"/>
              </w:rPr>
            </w:pPr>
            <w:r w:rsidRPr="008E1F89">
              <w:rPr>
                <w:rFonts w:ascii="Arial" w:hAnsi="Arial" w:cs="Arial"/>
                <w:bCs/>
                <w:color w:val="000000"/>
                <w:sz w:val="24"/>
                <w:szCs w:val="24"/>
                <w:lang w:val="it-IT"/>
              </w:rPr>
              <w:t>Vehicule rutiere pentru scopuri speciale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356</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361</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358</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363</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391</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Tractoare</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432</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424</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428</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424</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422</w:t>
            </w:r>
          </w:p>
        </w:tc>
      </w:tr>
      <w:tr w:rsidR="0022295F" w:rsidRPr="008E1F89" w:rsidTr="004E444C">
        <w:trPr>
          <w:trHeight w:val="284"/>
          <w:jc w:val="center"/>
        </w:trPr>
        <w:tc>
          <w:tcPr>
            <w:tcW w:w="316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Remorci şi semiremorci</w:t>
            </w:r>
          </w:p>
        </w:tc>
        <w:tc>
          <w:tcPr>
            <w:tcW w:w="884"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4175</w:t>
            </w:r>
          </w:p>
        </w:tc>
        <w:tc>
          <w:tcPr>
            <w:tcW w:w="977"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4459</w:t>
            </w:r>
          </w:p>
        </w:tc>
        <w:tc>
          <w:tcPr>
            <w:tcW w:w="992"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4621</w:t>
            </w:r>
          </w:p>
        </w:tc>
        <w:tc>
          <w:tcPr>
            <w:tcW w:w="993" w:type="dxa"/>
            <w:shd w:val="clear" w:color="auto" w:fill="FDE9D9" w:themeFill="accent6" w:themeFillTint="33"/>
            <w:vAlign w:val="center"/>
          </w:tcPr>
          <w:p w:rsidR="0022295F" w:rsidRPr="004731BA" w:rsidRDefault="0022295F" w:rsidP="004E444C">
            <w:pPr>
              <w:spacing w:after="0" w:line="240" w:lineRule="auto"/>
              <w:rPr>
                <w:rFonts w:ascii="Arial" w:hAnsi="Arial" w:cs="Arial"/>
              </w:rPr>
            </w:pPr>
            <w:r w:rsidRPr="004731BA">
              <w:rPr>
                <w:rFonts w:ascii="Arial" w:hAnsi="Arial" w:cs="Arial"/>
              </w:rPr>
              <w:t>4906</w:t>
            </w:r>
          </w:p>
        </w:tc>
        <w:tc>
          <w:tcPr>
            <w:tcW w:w="850" w:type="dxa"/>
            <w:shd w:val="clear" w:color="auto" w:fill="FDE9D9" w:themeFill="accent6" w:themeFillTint="33"/>
          </w:tcPr>
          <w:p w:rsidR="0022295F" w:rsidRPr="00F13ABD" w:rsidRDefault="0022295F" w:rsidP="004E444C">
            <w:pPr>
              <w:spacing w:after="0" w:line="240" w:lineRule="auto"/>
              <w:rPr>
                <w:rFonts w:ascii="Arial" w:hAnsi="Arial" w:cs="Arial"/>
              </w:rPr>
            </w:pPr>
            <w:r w:rsidRPr="00F13ABD">
              <w:rPr>
                <w:rFonts w:ascii="Arial" w:hAnsi="Arial" w:cs="Arial"/>
              </w:rPr>
              <w:t>5132</w:t>
            </w:r>
          </w:p>
        </w:tc>
      </w:tr>
    </w:tbl>
    <w:p w:rsidR="0022295F" w:rsidRPr="00AE5913" w:rsidRDefault="0022295F" w:rsidP="0022295F">
      <w:pPr>
        <w:spacing w:after="0" w:line="240" w:lineRule="auto"/>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Pr>
          <w:rFonts w:ascii="Arial" w:hAnsi="Arial" w:cs="Arial"/>
          <w:bCs/>
          <w:sz w:val="20"/>
          <w:szCs w:val="20"/>
        </w:rPr>
        <w:t>Brăila</w:t>
      </w:r>
    </w:p>
    <w:p w:rsidR="0022295F" w:rsidRPr="008E1F89" w:rsidRDefault="0022295F" w:rsidP="0022295F">
      <w:pPr>
        <w:pStyle w:val="Default"/>
        <w:rPr>
          <w:rFonts w:ascii="Arial" w:hAnsi="Arial" w:cs="Arial"/>
          <w:color w:val="auto"/>
        </w:rPr>
      </w:pPr>
    </w:p>
    <w:p w:rsidR="0022295F" w:rsidRPr="00F13ABD" w:rsidRDefault="0022295F" w:rsidP="0022295F">
      <w:pPr>
        <w:spacing w:after="0" w:line="240" w:lineRule="auto"/>
        <w:rPr>
          <w:rFonts w:ascii="Arial" w:hAnsi="Arial" w:cs="Arial"/>
          <w:b/>
          <w:sz w:val="24"/>
          <w:szCs w:val="24"/>
          <w:u w:val="single"/>
        </w:rPr>
      </w:pPr>
      <w:r w:rsidRPr="00F13ABD">
        <w:rPr>
          <w:rFonts w:ascii="Arial" w:hAnsi="Arial" w:cs="Arial"/>
          <w:b/>
          <w:sz w:val="24"/>
          <w:szCs w:val="24"/>
        </w:rPr>
        <w:t xml:space="preserve">X.2. Factori care influențează consumul </w:t>
      </w:r>
    </w:p>
    <w:p w:rsidR="0022295F" w:rsidRPr="00F13ABD" w:rsidRDefault="0022295F" w:rsidP="0022295F">
      <w:pPr>
        <w:pStyle w:val="Default"/>
        <w:rPr>
          <w:rFonts w:ascii="Arial" w:hAnsi="Arial" w:cs="Arial"/>
          <w:b/>
          <w:color w:val="auto"/>
        </w:rPr>
      </w:pPr>
      <w:r>
        <w:rPr>
          <w:rFonts w:ascii="Arial" w:hAnsi="Arial" w:cs="Arial"/>
          <w:b/>
          <w:color w:val="auto"/>
        </w:rPr>
        <w:t xml:space="preserve">        </w:t>
      </w:r>
      <w:r w:rsidRPr="00F13ABD">
        <w:rPr>
          <w:rFonts w:ascii="Arial" w:hAnsi="Arial" w:cs="Arial"/>
          <w:b/>
          <w:color w:val="auto"/>
        </w:rPr>
        <w:t>Influenţele</w:t>
      </w:r>
      <w:r>
        <w:rPr>
          <w:rFonts w:ascii="Arial" w:hAnsi="Arial" w:cs="Arial"/>
          <w:b/>
          <w:color w:val="auto"/>
        </w:rPr>
        <w:t xml:space="preserve"> </w:t>
      </w:r>
      <w:r w:rsidRPr="00F13ABD">
        <w:rPr>
          <w:rFonts w:ascii="Arial" w:hAnsi="Arial" w:cs="Arial"/>
          <w:b/>
          <w:color w:val="auto"/>
        </w:rPr>
        <w:t>economice</w:t>
      </w:r>
    </w:p>
    <w:p w:rsidR="0022295F" w:rsidRDefault="0022295F" w:rsidP="0022295F">
      <w:pPr>
        <w:spacing w:after="0" w:line="240" w:lineRule="auto"/>
        <w:rPr>
          <w:rFonts w:ascii="Arial" w:eastAsia="Times New Roman" w:hAnsi="Arial" w:cs="Arial"/>
          <w:b/>
          <w:sz w:val="24"/>
          <w:szCs w:val="24"/>
          <w:lang w:val="en-US"/>
        </w:rPr>
      </w:pPr>
    </w:p>
    <w:p w:rsidR="0022295F" w:rsidRPr="00F13ABD" w:rsidRDefault="0022295F" w:rsidP="0022295F">
      <w:pPr>
        <w:spacing w:after="0" w:line="240" w:lineRule="auto"/>
        <w:rPr>
          <w:rFonts w:ascii="Arial" w:hAnsi="Arial" w:cs="Arial"/>
          <w:bCs/>
          <w:iCs/>
          <w:sz w:val="24"/>
          <w:szCs w:val="24"/>
        </w:rPr>
      </w:pPr>
      <w:r w:rsidRPr="00F13ABD">
        <w:rPr>
          <w:rFonts w:ascii="Arial" w:hAnsi="Arial" w:cs="Arial"/>
          <w:b/>
          <w:bCs/>
          <w:sz w:val="24"/>
          <w:szCs w:val="24"/>
        </w:rPr>
        <w:t>Tabelul nr. X.2. - 1</w:t>
      </w:r>
      <w:r w:rsidRPr="00F13ABD">
        <w:rPr>
          <w:rFonts w:ascii="Arial" w:hAnsi="Arial" w:cs="Arial"/>
          <w:sz w:val="24"/>
          <w:szCs w:val="24"/>
          <w:lang w:val="it-IT"/>
        </w:rPr>
        <w:t>Produsul intern brut şi Valoarea adăugată brută,pe ramuri de activitatepentru perioada 2011 – 2015:</w:t>
      </w:r>
    </w:p>
    <w:p w:rsidR="0022295F" w:rsidRPr="00F13ABD" w:rsidRDefault="00E73ABB" w:rsidP="0022295F">
      <w:pPr>
        <w:pStyle w:val="Default"/>
        <w:rPr>
          <w:rFonts w:ascii="Arial" w:hAnsi="Arial" w:cs="Arial"/>
          <w:b/>
          <w:bCs/>
          <w:iCs/>
          <w:color w:val="auto"/>
          <w:u w:val="single"/>
        </w:rPr>
      </w:pPr>
      <w:r>
        <w:rPr>
          <w:rFonts w:ascii="Arial" w:hAnsi="Arial" w:cs="Arial"/>
          <w:color w:val="auto"/>
        </w:rPr>
        <w:t xml:space="preserve">                                                                                                </w:t>
      </w:r>
      <w:r w:rsidR="0022295F" w:rsidRPr="00F13ABD">
        <w:rPr>
          <w:rFonts w:ascii="Arial" w:hAnsi="Arial" w:cs="Arial"/>
          <w:color w:val="auto"/>
        </w:rPr>
        <w:t>milioane lei – pre</w:t>
      </w:r>
      <w:r w:rsidR="0022295F" w:rsidRPr="00F13ABD">
        <w:rPr>
          <w:rFonts w:ascii="Arial" w:hAnsi="Arial" w:cs="Arial"/>
          <w:color w:val="auto"/>
          <w:lang w:val="ro-RO"/>
        </w:rPr>
        <w:t>ţuri curente</w:t>
      </w:r>
    </w:p>
    <w:tbl>
      <w:tblPr>
        <w:tblW w:w="9213" w:type="dxa"/>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4"/>
        <w:gridCol w:w="1084"/>
        <w:gridCol w:w="1087"/>
        <w:gridCol w:w="1084"/>
        <w:gridCol w:w="1012"/>
        <w:gridCol w:w="1012"/>
      </w:tblGrid>
      <w:tr w:rsidR="0022295F" w:rsidRPr="008E1F89" w:rsidTr="004E444C">
        <w:trPr>
          <w:trHeight w:val="542"/>
          <w:jc w:val="center"/>
        </w:trPr>
        <w:tc>
          <w:tcPr>
            <w:tcW w:w="3934" w:type="dxa"/>
            <w:shd w:val="clear" w:color="auto" w:fill="CCC0D9" w:themeFill="accent4" w:themeFillTint="66"/>
            <w:noWrap/>
            <w:vAlign w:val="center"/>
          </w:tcPr>
          <w:p w:rsidR="0022295F" w:rsidRPr="008E1F89" w:rsidRDefault="0022295F" w:rsidP="004E444C">
            <w:pPr>
              <w:spacing w:after="0" w:line="240" w:lineRule="auto"/>
              <w:jc w:val="center"/>
              <w:rPr>
                <w:rFonts w:ascii="Arial" w:hAnsi="Arial" w:cs="Arial"/>
                <w:b/>
                <w:sz w:val="24"/>
                <w:szCs w:val="24"/>
              </w:rPr>
            </w:pPr>
            <w:r w:rsidRPr="008E1F89">
              <w:rPr>
                <w:rFonts w:ascii="Arial" w:hAnsi="Arial" w:cs="Arial"/>
                <w:b/>
                <w:bCs/>
                <w:color w:val="000000"/>
                <w:sz w:val="24"/>
                <w:szCs w:val="24"/>
              </w:rPr>
              <w:t>Judeţul Brăila</w:t>
            </w:r>
          </w:p>
        </w:tc>
        <w:tc>
          <w:tcPr>
            <w:tcW w:w="1084" w:type="dxa"/>
            <w:shd w:val="clear" w:color="auto" w:fill="CCC0D9" w:themeFill="accent4" w:themeFillTint="66"/>
            <w:vAlign w:val="center"/>
          </w:tcPr>
          <w:p w:rsidR="0022295F" w:rsidRPr="008E1F89" w:rsidRDefault="0022295F" w:rsidP="004E444C">
            <w:pPr>
              <w:spacing w:after="0" w:line="240" w:lineRule="auto"/>
              <w:jc w:val="center"/>
              <w:rPr>
                <w:rFonts w:ascii="Arial" w:hAnsi="Arial" w:cs="Arial"/>
                <w:b/>
                <w:color w:val="000000"/>
                <w:sz w:val="24"/>
                <w:szCs w:val="24"/>
              </w:rPr>
            </w:pPr>
            <w:r w:rsidRPr="008E1F89">
              <w:rPr>
                <w:rFonts w:ascii="Arial" w:hAnsi="Arial" w:cs="Arial"/>
                <w:b/>
                <w:color w:val="000000"/>
                <w:sz w:val="24"/>
                <w:szCs w:val="24"/>
              </w:rPr>
              <w:t>2011</w:t>
            </w:r>
            <w:r>
              <w:rPr>
                <w:rFonts w:ascii="Arial" w:hAnsi="Arial" w:cs="Arial"/>
                <w:b/>
                <w:color w:val="000000"/>
                <w:sz w:val="24"/>
                <w:szCs w:val="24"/>
              </w:rPr>
              <w:t>*</w:t>
            </w:r>
          </w:p>
        </w:tc>
        <w:tc>
          <w:tcPr>
            <w:tcW w:w="1087" w:type="dxa"/>
            <w:shd w:val="clear" w:color="auto" w:fill="CCC0D9" w:themeFill="accent4" w:themeFillTint="66"/>
            <w:noWrap/>
            <w:vAlign w:val="center"/>
          </w:tcPr>
          <w:p w:rsidR="0022295F" w:rsidRPr="008E1F89" w:rsidRDefault="0022295F" w:rsidP="004E444C">
            <w:pPr>
              <w:spacing w:after="0" w:line="240" w:lineRule="auto"/>
              <w:jc w:val="center"/>
              <w:rPr>
                <w:rFonts w:ascii="Arial" w:hAnsi="Arial" w:cs="Arial"/>
                <w:b/>
                <w:color w:val="000000"/>
                <w:sz w:val="24"/>
                <w:szCs w:val="24"/>
              </w:rPr>
            </w:pPr>
            <w:r w:rsidRPr="008E1F89">
              <w:rPr>
                <w:rFonts w:ascii="Arial" w:hAnsi="Arial" w:cs="Arial"/>
                <w:b/>
                <w:color w:val="000000"/>
                <w:sz w:val="24"/>
                <w:szCs w:val="24"/>
              </w:rPr>
              <w:t>2012*</w:t>
            </w:r>
          </w:p>
        </w:tc>
        <w:tc>
          <w:tcPr>
            <w:tcW w:w="1084" w:type="dxa"/>
            <w:shd w:val="clear" w:color="auto" w:fill="CCC0D9" w:themeFill="accent4" w:themeFillTint="66"/>
            <w:vAlign w:val="center"/>
          </w:tcPr>
          <w:p w:rsidR="0022295F" w:rsidRPr="008E1F89" w:rsidRDefault="0022295F" w:rsidP="004E444C">
            <w:pPr>
              <w:spacing w:after="0" w:line="240" w:lineRule="auto"/>
              <w:jc w:val="center"/>
              <w:rPr>
                <w:rFonts w:ascii="Arial" w:hAnsi="Arial" w:cs="Arial"/>
                <w:b/>
                <w:color w:val="000000"/>
                <w:sz w:val="24"/>
                <w:szCs w:val="24"/>
              </w:rPr>
            </w:pPr>
            <w:r w:rsidRPr="008E1F89">
              <w:rPr>
                <w:rFonts w:ascii="Arial" w:hAnsi="Arial" w:cs="Arial"/>
                <w:b/>
                <w:color w:val="000000"/>
                <w:sz w:val="24"/>
                <w:szCs w:val="24"/>
              </w:rPr>
              <w:t>2013</w:t>
            </w:r>
            <w:r>
              <w:rPr>
                <w:rFonts w:ascii="Arial" w:hAnsi="Arial" w:cs="Arial"/>
                <w:b/>
                <w:color w:val="000000"/>
                <w:sz w:val="24"/>
                <w:szCs w:val="24"/>
              </w:rPr>
              <w:t>*</w:t>
            </w:r>
          </w:p>
        </w:tc>
        <w:tc>
          <w:tcPr>
            <w:tcW w:w="1012" w:type="dxa"/>
            <w:shd w:val="clear" w:color="auto" w:fill="CCC0D9" w:themeFill="accent4" w:themeFillTint="66"/>
            <w:vAlign w:val="center"/>
          </w:tcPr>
          <w:p w:rsidR="0022295F" w:rsidRPr="009E3F7D" w:rsidRDefault="0022295F" w:rsidP="004E444C">
            <w:pPr>
              <w:spacing w:after="0" w:line="240" w:lineRule="auto"/>
              <w:jc w:val="center"/>
              <w:rPr>
                <w:rFonts w:ascii="Arial" w:hAnsi="Arial" w:cs="Arial"/>
                <w:b/>
                <w:sz w:val="24"/>
                <w:szCs w:val="24"/>
              </w:rPr>
            </w:pPr>
            <w:r w:rsidRPr="009E3F7D">
              <w:rPr>
                <w:rFonts w:ascii="Arial" w:hAnsi="Arial" w:cs="Arial"/>
                <w:b/>
                <w:sz w:val="24"/>
                <w:szCs w:val="24"/>
              </w:rPr>
              <w:t>2014*</w:t>
            </w:r>
          </w:p>
        </w:tc>
        <w:tc>
          <w:tcPr>
            <w:tcW w:w="1012" w:type="dxa"/>
            <w:shd w:val="clear" w:color="auto" w:fill="CCC0D9" w:themeFill="accent4" w:themeFillTint="66"/>
            <w:vAlign w:val="center"/>
          </w:tcPr>
          <w:p w:rsidR="0022295F" w:rsidRPr="00C05E6F" w:rsidRDefault="0022295F" w:rsidP="004E444C">
            <w:pPr>
              <w:spacing w:after="0" w:line="240" w:lineRule="auto"/>
              <w:jc w:val="center"/>
              <w:rPr>
                <w:rFonts w:ascii="Arial" w:hAnsi="Arial" w:cs="Arial"/>
                <w:b/>
                <w:sz w:val="24"/>
                <w:szCs w:val="24"/>
              </w:rPr>
            </w:pPr>
            <w:r w:rsidRPr="00C05E6F">
              <w:rPr>
                <w:rFonts w:ascii="Arial" w:hAnsi="Arial" w:cs="Arial"/>
                <w:b/>
                <w:sz w:val="24"/>
                <w:szCs w:val="24"/>
              </w:rPr>
              <w:t>2015**</w:t>
            </w:r>
          </w:p>
        </w:tc>
      </w:tr>
      <w:tr w:rsidR="0022295F" w:rsidRPr="008E1F89" w:rsidTr="004E444C">
        <w:trPr>
          <w:trHeight w:val="300"/>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b/>
                <w:sz w:val="24"/>
                <w:szCs w:val="24"/>
              </w:rPr>
            </w:pPr>
            <w:r w:rsidRPr="008E1F89">
              <w:rPr>
                <w:rFonts w:ascii="Arial" w:hAnsi="Arial" w:cs="Arial"/>
                <w:b/>
                <w:i/>
                <w:iCs/>
                <w:sz w:val="24"/>
                <w:szCs w:val="24"/>
              </w:rPr>
              <w:t xml:space="preserve">Valoarea adăugată brută </w:t>
            </w:r>
            <w:r w:rsidRPr="008E1F89">
              <w:rPr>
                <w:rFonts w:ascii="Arial" w:hAnsi="Arial" w:cs="Arial"/>
                <w:color w:val="000000"/>
                <w:sz w:val="24"/>
                <w:szCs w:val="24"/>
              </w:rPr>
              <w:t xml:space="preserve"> - </w:t>
            </w:r>
            <w:r w:rsidRPr="008E1F89">
              <w:rPr>
                <w:rFonts w:ascii="Arial" w:hAnsi="Arial" w:cs="Arial"/>
                <w:b/>
                <w:color w:val="000000"/>
                <w:sz w:val="24"/>
                <w:szCs w:val="24"/>
              </w:rPr>
              <w:t>Total</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b/>
                <w:sz w:val="24"/>
                <w:szCs w:val="24"/>
              </w:rPr>
            </w:pPr>
            <w:r>
              <w:rPr>
                <w:rFonts w:ascii="Arial" w:hAnsi="Arial" w:cs="Arial"/>
                <w:b/>
                <w:sz w:val="24"/>
                <w:szCs w:val="24"/>
              </w:rPr>
              <w:t>54246,4</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b/>
                <w:color w:val="000000"/>
                <w:sz w:val="24"/>
                <w:szCs w:val="24"/>
              </w:rPr>
            </w:pPr>
            <w:r>
              <w:rPr>
                <w:rFonts w:ascii="Arial" w:hAnsi="Arial" w:cs="Arial"/>
                <w:b/>
                <w:color w:val="000000"/>
                <w:sz w:val="24"/>
                <w:szCs w:val="24"/>
              </w:rPr>
              <w:t>56787,2</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b/>
                <w:sz w:val="24"/>
                <w:szCs w:val="24"/>
              </w:rPr>
            </w:pPr>
            <w:r>
              <w:rPr>
                <w:rFonts w:ascii="Arial" w:hAnsi="Arial" w:cs="Arial"/>
                <w:b/>
                <w:sz w:val="24"/>
                <w:szCs w:val="24"/>
              </w:rPr>
              <w:t>63516,4</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b/>
              </w:rPr>
            </w:pPr>
            <w:r w:rsidRPr="009E3F7D">
              <w:rPr>
                <w:rFonts w:ascii="Arial" w:hAnsi="Arial" w:cs="Arial"/>
                <w:b/>
              </w:rPr>
              <w:t>66549,9</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b/>
              </w:rPr>
            </w:pPr>
            <w:r w:rsidRPr="00C05E6F">
              <w:rPr>
                <w:rFonts w:ascii="Arial" w:hAnsi="Arial" w:cs="Arial"/>
                <w:b/>
              </w:rPr>
              <w:t>66960,1</w:t>
            </w:r>
          </w:p>
        </w:tc>
      </w:tr>
      <w:tr w:rsidR="0022295F" w:rsidRPr="008E1F89" w:rsidTr="004E444C">
        <w:trPr>
          <w:trHeight w:val="315"/>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i/>
                <w:iCs/>
                <w:color w:val="000000"/>
                <w:sz w:val="24"/>
                <w:szCs w:val="24"/>
              </w:rPr>
            </w:pPr>
            <w:r w:rsidRPr="008E1F89">
              <w:rPr>
                <w:rFonts w:ascii="Arial" w:hAnsi="Arial" w:cs="Arial"/>
                <w:i/>
                <w:iCs/>
                <w:color w:val="000000"/>
                <w:sz w:val="24"/>
                <w:szCs w:val="24"/>
              </w:rPr>
              <w:t xml:space="preserve">Agricultură, silvicultură şi pescuit </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6582,3</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4549,3</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6020,8</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5373,0</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rPr>
            </w:pPr>
            <w:r w:rsidRPr="00C05E6F">
              <w:rPr>
                <w:rFonts w:ascii="Arial" w:hAnsi="Arial" w:cs="Arial"/>
              </w:rPr>
              <w:t>5370,0</w:t>
            </w:r>
          </w:p>
        </w:tc>
      </w:tr>
      <w:tr w:rsidR="0022295F" w:rsidRPr="008E1F89" w:rsidTr="004E444C">
        <w:trPr>
          <w:trHeight w:val="720"/>
          <w:jc w:val="center"/>
        </w:trPr>
        <w:tc>
          <w:tcPr>
            <w:tcW w:w="3934" w:type="dxa"/>
            <w:shd w:val="clear" w:color="auto" w:fill="E5DFEC" w:themeFill="accent4" w:themeFillTint="33"/>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t>Industria extractivă; industria prelucrătoare; producția și furnizarea de energie electrică și termică, gaze, apă caldă și aer condiționat; distribuția apei; salubritate, gestionarea deșeurilor, activități de decontaminare</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20373,3</w:t>
            </w:r>
          </w:p>
        </w:tc>
        <w:tc>
          <w:tcPr>
            <w:tcW w:w="1087"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17006,4</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20549,1</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23000,0</w:t>
            </w:r>
          </w:p>
        </w:tc>
        <w:tc>
          <w:tcPr>
            <w:tcW w:w="1012" w:type="dxa"/>
            <w:shd w:val="clear" w:color="auto" w:fill="E5DFEC" w:themeFill="accent4" w:themeFillTint="33"/>
            <w:vAlign w:val="center"/>
          </w:tcPr>
          <w:p w:rsidR="0022295F" w:rsidRPr="00C05E6F" w:rsidRDefault="0022295F" w:rsidP="004E444C">
            <w:pPr>
              <w:spacing w:after="0" w:line="240" w:lineRule="auto"/>
              <w:rPr>
                <w:rFonts w:ascii="Arial" w:hAnsi="Arial" w:cs="Arial"/>
              </w:rPr>
            </w:pPr>
            <w:r w:rsidRPr="00C05E6F">
              <w:rPr>
                <w:rFonts w:ascii="Arial" w:hAnsi="Arial" w:cs="Arial"/>
              </w:rPr>
              <w:t>21136,7</w:t>
            </w:r>
          </w:p>
        </w:tc>
      </w:tr>
      <w:tr w:rsidR="0022295F" w:rsidRPr="008E1F89" w:rsidTr="004E444C">
        <w:trPr>
          <w:trHeight w:val="315"/>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i/>
                <w:iCs/>
                <w:color w:val="000000"/>
                <w:sz w:val="24"/>
                <w:szCs w:val="24"/>
              </w:rPr>
            </w:pPr>
            <w:r w:rsidRPr="008E1F89">
              <w:rPr>
                <w:rFonts w:ascii="Arial" w:hAnsi="Arial" w:cs="Arial"/>
                <w:i/>
                <w:iCs/>
                <w:color w:val="000000"/>
                <w:sz w:val="24"/>
                <w:szCs w:val="24"/>
              </w:rPr>
              <w:t>Construcţii</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4050,3</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5674,6</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5887,4</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5378,7</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rPr>
            </w:pPr>
            <w:r w:rsidRPr="00C05E6F">
              <w:rPr>
                <w:rFonts w:ascii="Arial" w:hAnsi="Arial" w:cs="Arial"/>
              </w:rPr>
              <w:t>5259,9</w:t>
            </w:r>
          </w:p>
        </w:tc>
      </w:tr>
      <w:tr w:rsidR="0022295F" w:rsidRPr="008E1F89" w:rsidTr="004E444C">
        <w:trPr>
          <w:trHeight w:val="420"/>
          <w:jc w:val="center"/>
        </w:trPr>
        <w:tc>
          <w:tcPr>
            <w:tcW w:w="3934" w:type="dxa"/>
            <w:shd w:val="clear" w:color="auto" w:fill="E5DFEC" w:themeFill="accent4" w:themeFillTint="33"/>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t xml:space="preserve">Comerț cu ridicata și cu </w:t>
            </w:r>
            <w:r w:rsidRPr="008E1F89">
              <w:rPr>
                <w:rFonts w:ascii="Arial" w:hAnsi="Arial" w:cs="Arial"/>
                <w:i/>
                <w:iCs/>
                <w:sz w:val="24"/>
                <w:szCs w:val="24"/>
              </w:rPr>
              <w:lastRenderedPageBreak/>
              <w:t>amănuntul; repararea autovehiculelor și motocicletelor; transport și depozitare; hoteluri și restaurante</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lastRenderedPageBreak/>
              <w:t>6960,2</w:t>
            </w:r>
          </w:p>
        </w:tc>
        <w:tc>
          <w:tcPr>
            <w:tcW w:w="1087"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12183,9</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11761,8</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11373,6</w:t>
            </w:r>
          </w:p>
        </w:tc>
        <w:tc>
          <w:tcPr>
            <w:tcW w:w="1012" w:type="dxa"/>
            <w:shd w:val="clear" w:color="auto" w:fill="E5DFEC" w:themeFill="accent4" w:themeFillTint="33"/>
            <w:vAlign w:val="center"/>
          </w:tcPr>
          <w:p w:rsidR="0022295F" w:rsidRPr="00C05E6F" w:rsidRDefault="0022295F" w:rsidP="004E444C">
            <w:pPr>
              <w:spacing w:after="0" w:line="240" w:lineRule="auto"/>
              <w:rPr>
                <w:rFonts w:ascii="Arial" w:hAnsi="Arial" w:cs="Arial"/>
              </w:rPr>
            </w:pPr>
            <w:r w:rsidRPr="00C05E6F">
              <w:rPr>
                <w:rFonts w:ascii="Arial" w:hAnsi="Arial" w:cs="Arial"/>
              </w:rPr>
              <w:t>13475,9</w:t>
            </w:r>
          </w:p>
        </w:tc>
      </w:tr>
      <w:tr w:rsidR="0022295F" w:rsidRPr="008E1F89" w:rsidTr="004E444C">
        <w:trPr>
          <w:trHeight w:val="315"/>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lastRenderedPageBreak/>
              <w:t>Informații și comunicații</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556,1</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743,8</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1135,8</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1034,6</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rPr>
            </w:pPr>
            <w:r w:rsidRPr="00C05E6F">
              <w:rPr>
                <w:rFonts w:ascii="Arial" w:hAnsi="Arial" w:cs="Arial"/>
              </w:rPr>
              <w:t>1207,1</w:t>
            </w:r>
          </w:p>
        </w:tc>
      </w:tr>
      <w:tr w:rsidR="0022295F" w:rsidRPr="008E1F89" w:rsidTr="004E444C">
        <w:trPr>
          <w:trHeight w:val="315"/>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i/>
                <w:iCs/>
                <w:color w:val="000000"/>
                <w:sz w:val="24"/>
                <w:szCs w:val="24"/>
              </w:rPr>
            </w:pPr>
            <w:r w:rsidRPr="008E1F89">
              <w:rPr>
                <w:rFonts w:ascii="Arial" w:hAnsi="Arial" w:cs="Arial"/>
                <w:i/>
                <w:iCs/>
                <w:color w:val="000000"/>
                <w:sz w:val="24"/>
                <w:szCs w:val="24"/>
              </w:rPr>
              <w:t>Intermedieri financiare şi asigurări</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607,2</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749,5</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1003,6</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880,6</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rPr>
            </w:pPr>
            <w:r w:rsidRPr="00C05E6F">
              <w:rPr>
                <w:rFonts w:ascii="Arial" w:hAnsi="Arial" w:cs="Arial"/>
              </w:rPr>
              <w:t>902,7</w:t>
            </w:r>
          </w:p>
        </w:tc>
      </w:tr>
      <w:tr w:rsidR="0022295F" w:rsidRPr="008E1F89" w:rsidTr="004E444C">
        <w:trPr>
          <w:trHeight w:val="315"/>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i/>
                <w:iCs/>
                <w:color w:val="000000"/>
                <w:sz w:val="24"/>
                <w:szCs w:val="24"/>
              </w:rPr>
            </w:pPr>
            <w:r w:rsidRPr="008E1F89">
              <w:rPr>
                <w:rFonts w:ascii="Arial" w:hAnsi="Arial" w:cs="Arial"/>
                <w:i/>
                <w:iCs/>
                <w:color w:val="000000"/>
                <w:sz w:val="24"/>
                <w:szCs w:val="24"/>
              </w:rPr>
              <w:t>Tranzacţii imobiliare</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5016,1</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5644,6</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6363,9</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6456,0</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rPr>
            </w:pPr>
            <w:r w:rsidRPr="00C05E6F">
              <w:rPr>
                <w:rFonts w:ascii="Arial" w:hAnsi="Arial" w:cs="Arial"/>
              </w:rPr>
              <w:t>6792,4</w:t>
            </w:r>
          </w:p>
        </w:tc>
      </w:tr>
      <w:tr w:rsidR="0022295F" w:rsidRPr="008E1F89" w:rsidTr="004E444C">
        <w:trPr>
          <w:trHeight w:val="435"/>
          <w:jc w:val="center"/>
        </w:trPr>
        <w:tc>
          <w:tcPr>
            <w:tcW w:w="3934" w:type="dxa"/>
            <w:shd w:val="clear" w:color="auto" w:fill="E5DFEC" w:themeFill="accent4" w:themeFillTint="33"/>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t>Activități profesionale, științifice și tehnice; activități de servicii administrative și activități de servicii suport</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1985,8</w:t>
            </w:r>
          </w:p>
        </w:tc>
        <w:tc>
          <w:tcPr>
            <w:tcW w:w="1087"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1953,3</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2430,8</w:t>
            </w:r>
          </w:p>
        </w:tc>
        <w:tc>
          <w:tcPr>
            <w:tcW w:w="1012" w:type="dxa"/>
            <w:shd w:val="clear" w:color="auto" w:fill="E5DFEC" w:themeFill="accent4" w:themeFillTint="33"/>
            <w:vAlign w:val="center"/>
          </w:tcPr>
          <w:p w:rsidR="0022295F" w:rsidRPr="009E3F7D" w:rsidRDefault="0022295F" w:rsidP="004E444C">
            <w:pPr>
              <w:spacing w:after="0" w:line="240" w:lineRule="auto"/>
              <w:rPr>
                <w:rFonts w:ascii="Arial" w:hAnsi="Arial" w:cs="Arial"/>
              </w:rPr>
            </w:pPr>
            <w:r>
              <w:rPr>
                <w:rFonts w:ascii="Arial" w:hAnsi="Arial" w:cs="Arial"/>
              </w:rPr>
              <w:t>2932,6</w:t>
            </w:r>
          </w:p>
        </w:tc>
        <w:tc>
          <w:tcPr>
            <w:tcW w:w="1012" w:type="dxa"/>
            <w:shd w:val="clear" w:color="auto" w:fill="E5DFEC" w:themeFill="accent4" w:themeFillTint="33"/>
            <w:vAlign w:val="center"/>
          </w:tcPr>
          <w:p w:rsidR="0022295F" w:rsidRPr="00C05E6F" w:rsidRDefault="0022295F" w:rsidP="004E444C">
            <w:pPr>
              <w:spacing w:after="0" w:line="240" w:lineRule="auto"/>
              <w:rPr>
                <w:rFonts w:ascii="Arial" w:hAnsi="Arial" w:cs="Arial"/>
              </w:rPr>
            </w:pPr>
            <w:r w:rsidRPr="00C05E6F">
              <w:rPr>
                <w:rFonts w:ascii="Arial" w:hAnsi="Arial" w:cs="Arial"/>
              </w:rPr>
              <w:t>3167,0</w:t>
            </w:r>
          </w:p>
        </w:tc>
      </w:tr>
      <w:tr w:rsidR="0022295F" w:rsidRPr="008E1F89" w:rsidTr="004E444C">
        <w:trPr>
          <w:trHeight w:val="480"/>
          <w:jc w:val="center"/>
        </w:trPr>
        <w:tc>
          <w:tcPr>
            <w:tcW w:w="3934" w:type="dxa"/>
            <w:shd w:val="clear" w:color="auto" w:fill="E5DFEC" w:themeFill="accent4" w:themeFillTint="33"/>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t>Administrație publică și apărare; asigurări sociale din sistemul public; învățământ; sănătate și asistență socială</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6217,1</w:t>
            </w:r>
          </w:p>
        </w:tc>
        <w:tc>
          <w:tcPr>
            <w:tcW w:w="1087"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6459,8</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6791,0</w:t>
            </w:r>
          </w:p>
        </w:tc>
        <w:tc>
          <w:tcPr>
            <w:tcW w:w="1012" w:type="dxa"/>
            <w:shd w:val="clear" w:color="auto" w:fill="E5DFEC" w:themeFill="accent4" w:themeFillTint="33"/>
            <w:vAlign w:val="center"/>
          </w:tcPr>
          <w:p w:rsidR="0022295F" w:rsidRPr="000C0D10" w:rsidRDefault="0022295F" w:rsidP="004E444C">
            <w:pPr>
              <w:spacing w:after="0" w:line="240" w:lineRule="auto"/>
              <w:rPr>
                <w:rFonts w:ascii="Arial" w:hAnsi="Arial" w:cs="Arial"/>
              </w:rPr>
            </w:pPr>
            <w:r w:rsidRPr="000C0D10">
              <w:rPr>
                <w:rFonts w:ascii="Arial" w:hAnsi="Arial" w:cs="Arial"/>
              </w:rPr>
              <w:t>8345,6</w:t>
            </w:r>
          </w:p>
        </w:tc>
        <w:tc>
          <w:tcPr>
            <w:tcW w:w="1012" w:type="dxa"/>
            <w:shd w:val="clear" w:color="auto" w:fill="E5DFEC" w:themeFill="accent4" w:themeFillTint="33"/>
            <w:vAlign w:val="center"/>
          </w:tcPr>
          <w:p w:rsidR="0022295F" w:rsidRPr="00C05E6F" w:rsidRDefault="0022295F" w:rsidP="004E444C">
            <w:pPr>
              <w:spacing w:after="0" w:line="240" w:lineRule="auto"/>
              <w:rPr>
                <w:rFonts w:ascii="Arial" w:hAnsi="Arial" w:cs="Arial"/>
              </w:rPr>
            </w:pPr>
            <w:r w:rsidRPr="00C05E6F">
              <w:rPr>
                <w:rFonts w:ascii="Arial" w:hAnsi="Arial" w:cs="Arial"/>
              </w:rPr>
              <w:t>7335,1</w:t>
            </w:r>
          </w:p>
        </w:tc>
      </w:tr>
      <w:tr w:rsidR="0022295F" w:rsidRPr="008E1F89" w:rsidTr="004E444C">
        <w:trPr>
          <w:trHeight w:val="315"/>
          <w:jc w:val="center"/>
        </w:trPr>
        <w:tc>
          <w:tcPr>
            <w:tcW w:w="3934" w:type="dxa"/>
            <w:shd w:val="clear" w:color="auto" w:fill="E5DFEC" w:themeFill="accent4" w:themeFillTint="33"/>
            <w:vAlign w:val="center"/>
          </w:tcPr>
          <w:p w:rsidR="0022295F" w:rsidRPr="008E1F89" w:rsidRDefault="0022295F" w:rsidP="004E444C">
            <w:pPr>
              <w:spacing w:after="0" w:line="240" w:lineRule="auto"/>
              <w:rPr>
                <w:rFonts w:ascii="Arial" w:hAnsi="Arial" w:cs="Arial"/>
                <w:i/>
                <w:iCs/>
                <w:sz w:val="24"/>
                <w:szCs w:val="24"/>
              </w:rPr>
            </w:pPr>
            <w:r w:rsidRPr="008E1F89">
              <w:rPr>
                <w:rFonts w:ascii="Arial" w:hAnsi="Arial" w:cs="Arial"/>
                <w:i/>
                <w:iCs/>
                <w:sz w:val="24"/>
                <w:szCs w:val="24"/>
              </w:rPr>
              <w:t>Activități culturale și spectacole; reparații de produse de uz casnic și alte servicii</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1898,0</w:t>
            </w:r>
          </w:p>
        </w:tc>
        <w:tc>
          <w:tcPr>
            <w:tcW w:w="1087"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1822,0</w:t>
            </w:r>
          </w:p>
        </w:tc>
        <w:tc>
          <w:tcPr>
            <w:tcW w:w="1084" w:type="dxa"/>
            <w:shd w:val="clear" w:color="auto" w:fill="E5DFEC" w:themeFill="accent4" w:themeFillTint="33"/>
            <w:vAlign w:val="center"/>
          </w:tcPr>
          <w:p w:rsidR="0022295F" w:rsidRPr="008E1F89" w:rsidRDefault="0022295F" w:rsidP="004E444C">
            <w:pPr>
              <w:spacing w:after="0" w:line="240" w:lineRule="auto"/>
              <w:rPr>
                <w:rFonts w:ascii="Arial" w:hAnsi="Arial" w:cs="Arial"/>
                <w:sz w:val="24"/>
                <w:szCs w:val="24"/>
              </w:rPr>
            </w:pPr>
            <w:r>
              <w:rPr>
                <w:rFonts w:ascii="Arial" w:hAnsi="Arial" w:cs="Arial"/>
                <w:sz w:val="24"/>
                <w:szCs w:val="24"/>
              </w:rPr>
              <w:t>1572,2</w:t>
            </w:r>
          </w:p>
        </w:tc>
        <w:tc>
          <w:tcPr>
            <w:tcW w:w="1012" w:type="dxa"/>
            <w:shd w:val="clear" w:color="auto" w:fill="E5DFEC" w:themeFill="accent4" w:themeFillTint="33"/>
            <w:vAlign w:val="center"/>
          </w:tcPr>
          <w:p w:rsidR="0022295F" w:rsidRPr="000C0D10" w:rsidRDefault="0022295F" w:rsidP="004E444C">
            <w:pPr>
              <w:spacing w:after="0" w:line="240" w:lineRule="auto"/>
              <w:rPr>
                <w:rFonts w:ascii="Arial" w:hAnsi="Arial" w:cs="Arial"/>
              </w:rPr>
            </w:pPr>
            <w:r w:rsidRPr="000C0D10">
              <w:rPr>
                <w:rFonts w:ascii="Arial" w:hAnsi="Arial" w:cs="Arial"/>
              </w:rPr>
              <w:t>1775,2</w:t>
            </w:r>
          </w:p>
        </w:tc>
        <w:tc>
          <w:tcPr>
            <w:tcW w:w="1012" w:type="dxa"/>
            <w:shd w:val="clear" w:color="auto" w:fill="E5DFEC" w:themeFill="accent4" w:themeFillTint="33"/>
            <w:vAlign w:val="center"/>
          </w:tcPr>
          <w:p w:rsidR="0022295F" w:rsidRPr="00C05E6F" w:rsidRDefault="0022295F" w:rsidP="004E444C">
            <w:pPr>
              <w:spacing w:after="0" w:line="240" w:lineRule="auto"/>
              <w:rPr>
                <w:rFonts w:ascii="Arial" w:hAnsi="Arial" w:cs="Arial"/>
              </w:rPr>
            </w:pPr>
            <w:r w:rsidRPr="00C05E6F">
              <w:rPr>
                <w:rFonts w:ascii="Arial" w:hAnsi="Arial" w:cs="Arial"/>
              </w:rPr>
              <w:t>2313,3</w:t>
            </w:r>
          </w:p>
        </w:tc>
      </w:tr>
      <w:tr w:rsidR="0022295F" w:rsidRPr="008E1F89" w:rsidTr="004E444C">
        <w:trPr>
          <w:trHeight w:val="300"/>
          <w:jc w:val="center"/>
        </w:trPr>
        <w:tc>
          <w:tcPr>
            <w:tcW w:w="3934" w:type="dxa"/>
            <w:shd w:val="clear" w:color="auto" w:fill="E5DFEC" w:themeFill="accent4" w:themeFillTint="33"/>
            <w:noWrap/>
            <w:vAlign w:val="center"/>
          </w:tcPr>
          <w:p w:rsidR="0022295F" w:rsidRPr="008E1F89" w:rsidRDefault="0022295F" w:rsidP="004E444C">
            <w:pPr>
              <w:spacing w:after="0" w:line="240" w:lineRule="auto"/>
              <w:rPr>
                <w:rFonts w:ascii="Arial" w:hAnsi="Arial" w:cs="Arial"/>
                <w:b/>
                <w:bCs/>
                <w:i/>
                <w:iCs/>
                <w:sz w:val="24"/>
                <w:szCs w:val="24"/>
              </w:rPr>
            </w:pPr>
            <w:r w:rsidRPr="008E1F89">
              <w:rPr>
                <w:rFonts w:ascii="Arial" w:hAnsi="Arial" w:cs="Arial"/>
                <w:b/>
                <w:bCs/>
                <w:i/>
                <w:iCs/>
                <w:sz w:val="24"/>
                <w:szCs w:val="24"/>
              </w:rPr>
              <w:t xml:space="preserve">Produsul Intern Brut </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b/>
                <w:sz w:val="24"/>
                <w:szCs w:val="24"/>
              </w:rPr>
            </w:pPr>
            <w:r>
              <w:rPr>
                <w:rFonts w:ascii="Arial" w:hAnsi="Arial" w:cs="Arial"/>
                <w:b/>
                <w:sz w:val="24"/>
                <w:szCs w:val="24"/>
              </w:rPr>
              <w:t>61930,9</w:t>
            </w:r>
          </w:p>
        </w:tc>
        <w:tc>
          <w:tcPr>
            <w:tcW w:w="1087" w:type="dxa"/>
            <w:shd w:val="clear" w:color="auto" w:fill="E5DFEC" w:themeFill="accent4" w:themeFillTint="33"/>
            <w:noWrap/>
            <w:vAlign w:val="bottom"/>
          </w:tcPr>
          <w:p w:rsidR="0022295F" w:rsidRPr="008E1F89" w:rsidRDefault="0022295F" w:rsidP="004E444C">
            <w:pPr>
              <w:spacing w:after="0" w:line="240" w:lineRule="auto"/>
              <w:rPr>
                <w:rFonts w:ascii="Arial" w:hAnsi="Arial" w:cs="Arial"/>
                <w:b/>
                <w:sz w:val="24"/>
                <w:szCs w:val="24"/>
              </w:rPr>
            </w:pPr>
            <w:r>
              <w:rPr>
                <w:rFonts w:ascii="Arial" w:hAnsi="Arial" w:cs="Arial"/>
                <w:b/>
                <w:sz w:val="24"/>
                <w:szCs w:val="24"/>
              </w:rPr>
              <w:t>64813,5</w:t>
            </w:r>
          </w:p>
        </w:tc>
        <w:tc>
          <w:tcPr>
            <w:tcW w:w="1084" w:type="dxa"/>
            <w:shd w:val="clear" w:color="auto" w:fill="E5DFEC" w:themeFill="accent4" w:themeFillTint="33"/>
            <w:vAlign w:val="bottom"/>
          </w:tcPr>
          <w:p w:rsidR="0022295F" w:rsidRPr="008E1F89" w:rsidRDefault="0022295F" w:rsidP="004E444C">
            <w:pPr>
              <w:spacing w:after="0" w:line="240" w:lineRule="auto"/>
              <w:rPr>
                <w:rFonts w:ascii="Arial" w:hAnsi="Arial" w:cs="Arial"/>
                <w:b/>
                <w:sz w:val="24"/>
                <w:szCs w:val="24"/>
              </w:rPr>
            </w:pPr>
            <w:r>
              <w:rPr>
                <w:rFonts w:ascii="Arial" w:hAnsi="Arial" w:cs="Arial"/>
                <w:b/>
                <w:sz w:val="24"/>
                <w:szCs w:val="24"/>
              </w:rPr>
              <w:t>72153,7</w:t>
            </w:r>
          </w:p>
        </w:tc>
        <w:tc>
          <w:tcPr>
            <w:tcW w:w="1012" w:type="dxa"/>
            <w:shd w:val="clear" w:color="auto" w:fill="E5DFEC" w:themeFill="accent4" w:themeFillTint="33"/>
            <w:vAlign w:val="center"/>
          </w:tcPr>
          <w:p w:rsidR="0022295F" w:rsidRPr="000C0D10" w:rsidRDefault="0022295F" w:rsidP="004E444C">
            <w:pPr>
              <w:spacing w:after="0" w:line="240" w:lineRule="auto"/>
              <w:rPr>
                <w:rFonts w:ascii="Arial" w:hAnsi="Arial" w:cs="Arial"/>
                <w:b/>
              </w:rPr>
            </w:pPr>
            <w:r w:rsidRPr="000C0D10">
              <w:rPr>
                <w:rFonts w:ascii="Arial" w:hAnsi="Arial" w:cs="Arial"/>
                <w:b/>
              </w:rPr>
              <w:t>75239,3</w:t>
            </w:r>
          </w:p>
        </w:tc>
        <w:tc>
          <w:tcPr>
            <w:tcW w:w="1012" w:type="dxa"/>
            <w:shd w:val="clear" w:color="auto" w:fill="E5DFEC" w:themeFill="accent4" w:themeFillTint="33"/>
          </w:tcPr>
          <w:p w:rsidR="0022295F" w:rsidRPr="00C05E6F" w:rsidRDefault="0022295F" w:rsidP="004E444C">
            <w:pPr>
              <w:spacing w:after="0" w:line="240" w:lineRule="auto"/>
              <w:rPr>
                <w:rFonts w:ascii="Arial" w:hAnsi="Arial" w:cs="Arial"/>
                <w:b/>
              </w:rPr>
            </w:pPr>
            <w:r w:rsidRPr="00C05E6F">
              <w:rPr>
                <w:rFonts w:ascii="Arial" w:hAnsi="Arial" w:cs="Arial"/>
                <w:b/>
              </w:rPr>
              <w:t>76184,3</w:t>
            </w:r>
          </w:p>
        </w:tc>
      </w:tr>
    </w:tbl>
    <w:p w:rsidR="0022295F" w:rsidRPr="00C05E6F" w:rsidRDefault="0022295F" w:rsidP="0022295F">
      <w:pPr>
        <w:pStyle w:val="ListParagraph"/>
        <w:ind w:left="0"/>
        <w:rPr>
          <w:rFonts w:ascii="Arial" w:hAnsi="Arial" w:cs="Arial"/>
          <w:sz w:val="20"/>
          <w:szCs w:val="20"/>
        </w:rPr>
      </w:pPr>
      <w:r w:rsidRPr="00C05E6F">
        <w:rPr>
          <w:rFonts w:ascii="Arial" w:hAnsi="Arial" w:cs="Arial"/>
        </w:rPr>
        <w:t xml:space="preserve">* </w:t>
      </w:r>
      <w:r w:rsidRPr="00C05E6F">
        <w:rPr>
          <w:rFonts w:ascii="Arial" w:hAnsi="Arial" w:cs="Arial"/>
          <w:sz w:val="20"/>
          <w:szCs w:val="20"/>
        </w:rPr>
        <w:t>- Date revizuite</w:t>
      </w:r>
    </w:p>
    <w:p w:rsidR="0022295F" w:rsidRDefault="0022295F" w:rsidP="0022295F">
      <w:pPr>
        <w:pStyle w:val="ListParagraph"/>
        <w:ind w:left="0"/>
        <w:rPr>
          <w:rFonts w:ascii="Arial" w:hAnsi="Arial" w:cs="Arial"/>
          <w:sz w:val="20"/>
          <w:szCs w:val="20"/>
        </w:rPr>
      </w:pPr>
      <w:r w:rsidRPr="00C05E6F">
        <w:rPr>
          <w:rFonts w:ascii="Arial" w:hAnsi="Arial" w:cs="Arial"/>
          <w:sz w:val="20"/>
          <w:szCs w:val="20"/>
        </w:rPr>
        <w:t>** - Date provizorii</w:t>
      </w:r>
    </w:p>
    <w:p w:rsidR="0022295F" w:rsidRPr="00C05E6F" w:rsidRDefault="0022295F" w:rsidP="0022295F">
      <w:pPr>
        <w:pStyle w:val="ListParagraph"/>
        <w:ind w:left="0"/>
        <w:rPr>
          <w:rFonts w:ascii="Arial" w:hAnsi="Arial" w:cs="Arial"/>
        </w:rPr>
      </w:pPr>
      <w:r w:rsidRPr="00C05E6F">
        <w:rPr>
          <w:rFonts w:ascii="Arial" w:hAnsi="Arial" w:cs="Arial"/>
          <w:bCs/>
          <w:sz w:val="20"/>
          <w:szCs w:val="20"/>
        </w:rPr>
        <w:t xml:space="preserve"> Notă: Informații furnizate de către Direcția Regională de Statistică Brăila</w:t>
      </w:r>
    </w:p>
    <w:p w:rsidR="0022295F" w:rsidRDefault="0022295F" w:rsidP="0022295F">
      <w:pPr>
        <w:pStyle w:val="Default"/>
        <w:rPr>
          <w:rFonts w:ascii="Arial" w:hAnsi="Arial" w:cs="Arial"/>
          <w:b/>
          <w:color w:val="auto"/>
        </w:rPr>
      </w:pPr>
    </w:p>
    <w:p w:rsidR="0022295F" w:rsidRDefault="0022295F" w:rsidP="0022295F">
      <w:pPr>
        <w:pStyle w:val="Default"/>
        <w:rPr>
          <w:rFonts w:ascii="Arial" w:hAnsi="Arial" w:cs="Arial"/>
          <w:color w:val="FF0000"/>
        </w:rPr>
      </w:pPr>
      <w:r w:rsidRPr="00C05E6F">
        <w:rPr>
          <w:rFonts w:ascii="Arial" w:hAnsi="Arial" w:cs="Arial"/>
          <w:b/>
          <w:color w:val="auto"/>
        </w:rPr>
        <w:t>Influenţele</w:t>
      </w:r>
      <w:r>
        <w:rPr>
          <w:rFonts w:ascii="Arial" w:hAnsi="Arial" w:cs="Arial"/>
          <w:b/>
          <w:color w:val="auto"/>
        </w:rPr>
        <w:t xml:space="preserve"> </w:t>
      </w:r>
      <w:r w:rsidRPr="00C05E6F">
        <w:rPr>
          <w:rFonts w:ascii="Arial" w:hAnsi="Arial" w:cs="Arial"/>
          <w:b/>
          <w:color w:val="auto"/>
        </w:rPr>
        <w:t>demografice</w:t>
      </w:r>
    </w:p>
    <w:p w:rsidR="0022295F" w:rsidRDefault="0022295F" w:rsidP="0022295F">
      <w:pPr>
        <w:pStyle w:val="Default"/>
        <w:rPr>
          <w:rFonts w:ascii="Arial" w:hAnsi="Arial" w:cs="Arial"/>
          <w:color w:val="FF0000"/>
        </w:rPr>
      </w:pPr>
    </w:p>
    <w:p w:rsidR="0022295F" w:rsidRPr="00FC4637" w:rsidRDefault="0022295F" w:rsidP="0022295F">
      <w:pPr>
        <w:pStyle w:val="Default"/>
        <w:rPr>
          <w:rFonts w:ascii="Arial" w:hAnsi="Arial" w:cs="Arial"/>
          <w:color w:val="FF0000"/>
        </w:rPr>
      </w:pPr>
      <w:r w:rsidRPr="00C958FF">
        <w:rPr>
          <w:rFonts w:ascii="Arial" w:hAnsi="Arial" w:cs="Arial"/>
          <w:b/>
          <w:i/>
          <w:lang w:val="ro-RO"/>
        </w:rPr>
        <w:t>Modificarea densității populației</w:t>
      </w:r>
    </w:p>
    <w:p w:rsidR="0022295F" w:rsidRPr="00C05E6F" w:rsidRDefault="0022295F" w:rsidP="0022295F">
      <w:pPr>
        <w:spacing w:after="0" w:line="240" w:lineRule="auto"/>
        <w:rPr>
          <w:rFonts w:ascii="Arial" w:hAnsi="Arial" w:cs="Arial"/>
          <w:bCs/>
          <w:iCs/>
        </w:rPr>
      </w:pPr>
      <w:r w:rsidRPr="00C05E6F">
        <w:rPr>
          <w:rFonts w:ascii="Arial" w:hAnsi="Arial" w:cs="Arial"/>
          <w:b/>
          <w:bCs/>
        </w:rPr>
        <w:t xml:space="preserve">Tabelul nr. X.2.- 2  </w:t>
      </w:r>
      <w:r w:rsidRPr="00C05E6F">
        <w:rPr>
          <w:rFonts w:ascii="Arial" w:hAnsi="Arial" w:cs="Arial"/>
          <w:lang w:val="it-IT"/>
        </w:rPr>
        <w:t xml:space="preserve">Populaţia județului Brăila după domiciliu, pe medii </w:t>
      </w:r>
      <w:r w:rsidRPr="00C05E6F">
        <w:rPr>
          <w:rFonts w:ascii="Arial" w:hAnsi="Arial" w:cs="Arial"/>
        </w:rPr>
        <w:t>în perioada 2013 – 2017</w:t>
      </w:r>
      <w:r w:rsidRPr="00C05E6F">
        <w:rPr>
          <w:rFonts w:ascii="Arial" w:hAnsi="Arial" w:cs="Arial"/>
          <w:lang w:val="it-IT"/>
        </w:rPr>
        <w:t>:</w:t>
      </w:r>
    </w:p>
    <w:p w:rsidR="0022295F" w:rsidRPr="008E1F89" w:rsidRDefault="0022295F" w:rsidP="0022295F">
      <w:pPr>
        <w:pStyle w:val="ListParagraph"/>
        <w:ind w:left="0"/>
        <w:rPr>
          <w:rFonts w:ascii="Arial" w:hAnsi="Arial" w:cs="Arial"/>
        </w:rPr>
      </w:pPr>
      <w:r w:rsidRPr="008E1F89">
        <w:rPr>
          <w:rFonts w:ascii="Arial" w:hAnsi="Arial" w:cs="Arial"/>
          <w:bCs/>
          <w:color w:val="000000"/>
        </w:rPr>
        <w:t xml:space="preserve">                                                                                               Număr persoane</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6"/>
        <w:gridCol w:w="1150"/>
        <w:gridCol w:w="1150"/>
        <w:gridCol w:w="1150"/>
        <w:gridCol w:w="963"/>
        <w:gridCol w:w="963"/>
      </w:tblGrid>
      <w:tr w:rsidR="0022295F" w:rsidRPr="008E1F89" w:rsidTr="004E444C">
        <w:trPr>
          <w:trHeight w:val="357"/>
          <w:jc w:val="center"/>
        </w:trPr>
        <w:tc>
          <w:tcPr>
            <w:tcW w:w="2116"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Judeţul Brăila</w:t>
            </w:r>
          </w:p>
        </w:tc>
        <w:tc>
          <w:tcPr>
            <w:tcW w:w="1150"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1150"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1150" w:type="dxa"/>
            <w:shd w:val="clear" w:color="auto" w:fill="F2DBDB" w:themeFill="accent2"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963" w:type="dxa"/>
            <w:shd w:val="clear" w:color="auto" w:fill="F2DBDB" w:themeFill="accent2" w:themeFillTint="33"/>
          </w:tcPr>
          <w:p w:rsidR="0022295F" w:rsidRPr="006415DA" w:rsidRDefault="0022295F" w:rsidP="004E444C">
            <w:pPr>
              <w:spacing w:after="0" w:line="240" w:lineRule="auto"/>
              <w:rPr>
                <w:rFonts w:ascii="Arial" w:hAnsi="Arial" w:cs="Arial"/>
                <w:b/>
                <w:bCs/>
                <w:sz w:val="24"/>
                <w:szCs w:val="24"/>
              </w:rPr>
            </w:pPr>
            <w:r w:rsidRPr="006415DA">
              <w:rPr>
                <w:rFonts w:ascii="Arial" w:hAnsi="Arial" w:cs="Arial"/>
                <w:b/>
                <w:bCs/>
                <w:sz w:val="24"/>
                <w:szCs w:val="24"/>
              </w:rPr>
              <w:t>2016</w:t>
            </w:r>
          </w:p>
        </w:tc>
        <w:tc>
          <w:tcPr>
            <w:tcW w:w="963" w:type="dxa"/>
            <w:shd w:val="clear" w:color="auto" w:fill="F2DBDB" w:themeFill="accent2" w:themeFillTint="33"/>
          </w:tcPr>
          <w:p w:rsidR="0022295F" w:rsidRPr="00C05E6F" w:rsidRDefault="0022295F" w:rsidP="004E444C">
            <w:pPr>
              <w:spacing w:after="0" w:line="240" w:lineRule="auto"/>
              <w:rPr>
                <w:rFonts w:ascii="Arial" w:hAnsi="Arial" w:cs="Arial"/>
                <w:b/>
                <w:bCs/>
                <w:sz w:val="24"/>
                <w:szCs w:val="24"/>
              </w:rPr>
            </w:pPr>
            <w:r w:rsidRPr="00C05E6F">
              <w:rPr>
                <w:rFonts w:ascii="Arial" w:hAnsi="Arial" w:cs="Arial"/>
                <w:b/>
                <w:bCs/>
                <w:sz w:val="24"/>
                <w:szCs w:val="24"/>
              </w:rPr>
              <w:t>2017</w:t>
            </w:r>
          </w:p>
        </w:tc>
      </w:tr>
      <w:tr w:rsidR="0022295F" w:rsidRPr="008E1F89" w:rsidTr="004E444C">
        <w:trPr>
          <w:trHeight w:val="300"/>
          <w:jc w:val="center"/>
        </w:trPr>
        <w:tc>
          <w:tcPr>
            <w:tcW w:w="2116" w:type="dxa"/>
            <w:shd w:val="clear" w:color="auto" w:fill="FDE9D9" w:themeFill="accent6" w:themeFillTint="33"/>
            <w:vAlign w:val="center"/>
          </w:tcPr>
          <w:p w:rsidR="0022295F" w:rsidRPr="008E1F89" w:rsidRDefault="0022295F" w:rsidP="004E444C">
            <w:pPr>
              <w:spacing w:after="0" w:line="240" w:lineRule="auto"/>
              <w:rPr>
                <w:rFonts w:ascii="Arial" w:hAnsi="Arial" w:cs="Arial"/>
                <w:b/>
                <w:bCs/>
                <w:color w:val="000000"/>
                <w:sz w:val="24"/>
                <w:szCs w:val="24"/>
              </w:rPr>
            </w:pPr>
            <w:r w:rsidRPr="008E1F89">
              <w:rPr>
                <w:rFonts w:ascii="Arial" w:hAnsi="Arial" w:cs="Arial"/>
                <w:b/>
                <w:bCs/>
                <w:color w:val="000000"/>
                <w:sz w:val="24"/>
                <w:szCs w:val="24"/>
              </w:rPr>
              <w:t>Total populaţie</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b/>
                <w:color w:val="000000"/>
                <w:sz w:val="24"/>
                <w:szCs w:val="24"/>
              </w:rPr>
            </w:pPr>
            <w:r w:rsidRPr="008E1F89">
              <w:rPr>
                <w:rFonts w:ascii="Arial" w:hAnsi="Arial" w:cs="Arial"/>
                <w:b/>
                <w:color w:val="000000"/>
                <w:sz w:val="24"/>
                <w:szCs w:val="24"/>
              </w:rPr>
              <w:t>364644</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b/>
                <w:color w:val="000000"/>
                <w:sz w:val="24"/>
                <w:szCs w:val="24"/>
              </w:rPr>
            </w:pPr>
            <w:r w:rsidRPr="008E1F89">
              <w:rPr>
                <w:rFonts w:ascii="Arial" w:hAnsi="Arial" w:cs="Arial"/>
                <w:b/>
                <w:color w:val="000000"/>
                <w:sz w:val="24"/>
                <w:szCs w:val="24"/>
              </w:rPr>
              <w:t>361218</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b/>
                <w:color w:val="000000"/>
                <w:sz w:val="24"/>
                <w:szCs w:val="24"/>
              </w:rPr>
            </w:pPr>
            <w:r w:rsidRPr="008E1F89">
              <w:rPr>
                <w:rFonts w:ascii="Arial" w:hAnsi="Arial" w:cs="Arial"/>
                <w:b/>
                <w:color w:val="000000"/>
                <w:sz w:val="24"/>
                <w:szCs w:val="24"/>
              </w:rPr>
              <w:t>357752</w:t>
            </w:r>
          </w:p>
        </w:tc>
        <w:tc>
          <w:tcPr>
            <w:tcW w:w="963" w:type="dxa"/>
            <w:shd w:val="clear" w:color="auto" w:fill="FDE9D9" w:themeFill="accent6" w:themeFillTint="33"/>
            <w:vAlign w:val="bottom"/>
          </w:tcPr>
          <w:p w:rsidR="0022295F" w:rsidRPr="006415DA" w:rsidRDefault="0022295F" w:rsidP="004E444C">
            <w:pPr>
              <w:spacing w:after="0" w:line="240" w:lineRule="auto"/>
              <w:rPr>
                <w:rFonts w:ascii="Arial" w:hAnsi="Arial" w:cs="Arial"/>
                <w:b/>
              </w:rPr>
            </w:pPr>
            <w:r w:rsidRPr="006415DA">
              <w:rPr>
                <w:rFonts w:ascii="Arial" w:hAnsi="Arial" w:cs="Arial"/>
                <w:b/>
              </w:rPr>
              <w:t>354275</w:t>
            </w:r>
          </w:p>
        </w:tc>
        <w:tc>
          <w:tcPr>
            <w:tcW w:w="963" w:type="dxa"/>
            <w:shd w:val="clear" w:color="auto" w:fill="FDE9D9" w:themeFill="accent6" w:themeFillTint="33"/>
          </w:tcPr>
          <w:p w:rsidR="0022295F" w:rsidRPr="00C05E6F" w:rsidRDefault="0022295F" w:rsidP="004E444C">
            <w:pPr>
              <w:spacing w:after="0" w:line="240" w:lineRule="auto"/>
              <w:rPr>
                <w:rFonts w:ascii="Arial" w:hAnsi="Arial" w:cs="Arial"/>
                <w:b/>
              </w:rPr>
            </w:pPr>
            <w:r w:rsidRPr="00C05E6F">
              <w:rPr>
                <w:rFonts w:ascii="Arial" w:hAnsi="Arial" w:cs="Arial"/>
                <w:b/>
              </w:rPr>
              <w:t>352910</w:t>
            </w:r>
          </w:p>
        </w:tc>
      </w:tr>
      <w:tr w:rsidR="0022295F" w:rsidRPr="008E1F89" w:rsidTr="004E444C">
        <w:trPr>
          <w:trHeight w:val="300"/>
          <w:jc w:val="center"/>
        </w:trPr>
        <w:tc>
          <w:tcPr>
            <w:tcW w:w="211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Urban</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239119</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236557</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234055</w:t>
            </w:r>
          </w:p>
        </w:tc>
        <w:tc>
          <w:tcPr>
            <w:tcW w:w="963" w:type="dxa"/>
            <w:shd w:val="clear" w:color="auto" w:fill="FDE9D9" w:themeFill="accent6" w:themeFillTint="33"/>
            <w:vAlign w:val="bottom"/>
          </w:tcPr>
          <w:p w:rsidR="0022295F" w:rsidRPr="006415DA" w:rsidRDefault="0022295F" w:rsidP="004E444C">
            <w:pPr>
              <w:spacing w:after="0" w:line="240" w:lineRule="auto"/>
              <w:rPr>
                <w:rFonts w:ascii="Arial" w:hAnsi="Arial" w:cs="Arial"/>
              </w:rPr>
            </w:pPr>
            <w:r w:rsidRPr="006415DA">
              <w:rPr>
                <w:rFonts w:ascii="Arial" w:hAnsi="Arial" w:cs="Arial"/>
              </w:rPr>
              <w:t>231312</w:t>
            </w:r>
          </w:p>
        </w:tc>
        <w:tc>
          <w:tcPr>
            <w:tcW w:w="963" w:type="dxa"/>
            <w:shd w:val="clear" w:color="auto" w:fill="FDE9D9" w:themeFill="accent6" w:themeFillTint="33"/>
          </w:tcPr>
          <w:p w:rsidR="0022295F" w:rsidRPr="00C05E6F" w:rsidRDefault="0022295F" w:rsidP="004E444C">
            <w:pPr>
              <w:spacing w:after="0" w:line="240" w:lineRule="auto"/>
              <w:rPr>
                <w:rFonts w:ascii="Arial" w:hAnsi="Arial" w:cs="Arial"/>
              </w:rPr>
            </w:pPr>
            <w:r w:rsidRPr="00C05E6F">
              <w:rPr>
                <w:rFonts w:ascii="Arial" w:hAnsi="Arial" w:cs="Arial"/>
              </w:rPr>
              <w:t>230259</w:t>
            </w:r>
          </w:p>
        </w:tc>
      </w:tr>
      <w:tr w:rsidR="0022295F" w:rsidRPr="008E1F89" w:rsidTr="004E444C">
        <w:trPr>
          <w:trHeight w:val="300"/>
          <w:jc w:val="center"/>
        </w:trPr>
        <w:tc>
          <w:tcPr>
            <w:tcW w:w="2116" w:type="dxa"/>
            <w:shd w:val="clear" w:color="auto" w:fill="FDE9D9" w:themeFill="accent6" w:themeFillTint="33"/>
            <w:vAlign w:val="center"/>
          </w:tcPr>
          <w:p w:rsidR="0022295F" w:rsidRPr="008E1F89" w:rsidRDefault="0022295F" w:rsidP="004E444C">
            <w:pPr>
              <w:spacing w:after="0" w:line="240" w:lineRule="auto"/>
              <w:rPr>
                <w:rFonts w:ascii="Arial" w:hAnsi="Arial" w:cs="Arial"/>
                <w:bCs/>
                <w:color w:val="000000"/>
                <w:sz w:val="24"/>
                <w:szCs w:val="24"/>
              </w:rPr>
            </w:pPr>
            <w:r w:rsidRPr="008E1F89">
              <w:rPr>
                <w:rFonts w:ascii="Arial" w:hAnsi="Arial" w:cs="Arial"/>
                <w:bCs/>
                <w:color w:val="000000"/>
                <w:sz w:val="24"/>
                <w:szCs w:val="24"/>
              </w:rPr>
              <w:t>Rural</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125525</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124661</w:t>
            </w:r>
          </w:p>
        </w:tc>
        <w:tc>
          <w:tcPr>
            <w:tcW w:w="1150" w:type="dxa"/>
            <w:shd w:val="clear" w:color="auto" w:fill="FDE9D9" w:themeFill="accent6" w:themeFillTint="33"/>
            <w:vAlign w:val="center"/>
          </w:tcPr>
          <w:p w:rsidR="0022295F" w:rsidRPr="008E1F89" w:rsidRDefault="0022295F" w:rsidP="004E444C">
            <w:pPr>
              <w:spacing w:after="0" w:line="240" w:lineRule="auto"/>
              <w:rPr>
                <w:rFonts w:ascii="Arial" w:hAnsi="Arial" w:cs="Arial"/>
                <w:color w:val="000000"/>
                <w:sz w:val="24"/>
                <w:szCs w:val="24"/>
              </w:rPr>
            </w:pPr>
            <w:r w:rsidRPr="008E1F89">
              <w:rPr>
                <w:rFonts w:ascii="Arial" w:hAnsi="Arial" w:cs="Arial"/>
                <w:color w:val="000000"/>
                <w:sz w:val="24"/>
                <w:szCs w:val="24"/>
              </w:rPr>
              <w:t>123697</w:t>
            </w:r>
          </w:p>
        </w:tc>
        <w:tc>
          <w:tcPr>
            <w:tcW w:w="963" w:type="dxa"/>
            <w:shd w:val="clear" w:color="auto" w:fill="FDE9D9" w:themeFill="accent6" w:themeFillTint="33"/>
            <w:vAlign w:val="bottom"/>
          </w:tcPr>
          <w:p w:rsidR="0022295F" w:rsidRPr="006415DA" w:rsidRDefault="0022295F" w:rsidP="004E444C">
            <w:pPr>
              <w:spacing w:after="0" w:line="240" w:lineRule="auto"/>
              <w:rPr>
                <w:rFonts w:ascii="Arial" w:hAnsi="Arial" w:cs="Arial"/>
              </w:rPr>
            </w:pPr>
            <w:r w:rsidRPr="006415DA">
              <w:rPr>
                <w:rFonts w:ascii="Arial" w:hAnsi="Arial" w:cs="Arial"/>
              </w:rPr>
              <w:t>122963</w:t>
            </w:r>
          </w:p>
        </w:tc>
        <w:tc>
          <w:tcPr>
            <w:tcW w:w="963" w:type="dxa"/>
            <w:shd w:val="clear" w:color="auto" w:fill="FDE9D9" w:themeFill="accent6" w:themeFillTint="33"/>
          </w:tcPr>
          <w:p w:rsidR="0022295F" w:rsidRPr="00C05E6F" w:rsidRDefault="0022295F" w:rsidP="004E444C">
            <w:pPr>
              <w:spacing w:after="0" w:line="240" w:lineRule="auto"/>
              <w:rPr>
                <w:rFonts w:ascii="Arial" w:hAnsi="Arial" w:cs="Arial"/>
              </w:rPr>
            </w:pPr>
            <w:r w:rsidRPr="00C05E6F">
              <w:rPr>
                <w:rFonts w:ascii="Arial" w:hAnsi="Arial" w:cs="Arial"/>
              </w:rPr>
              <w:t>122651</w:t>
            </w:r>
          </w:p>
        </w:tc>
      </w:tr>
    </w:tbl>
    <w:p w:rsidR="0022295F" w:rsidRPr="00C05E6F" w:rsidRDefault="0022295F" w:rsidP="00EF3940">
      <w:pPr>
        <w:pStyle w:val="ListParagraph"/>
        <w:numPr>
          <w:ilvl w:val="0"/>
          <w:numId w:val="88"/>
        </w:numPr>
        <w:ind w:left="0" w:firstLine="0"/>
        <w:rPr>
          <w:rFonts w:ascii="Arial" w:hAnsi="Arial" w:cs="Arial"/>
          <w:bCs/>
          <w:sz w:val="20"/>
          <w:szCs w:val="20"/>
        </w:rPr>
      </w:pPr>
      <w:r w:rsidRPr="00C05E6F">
        <w:rPr>
          <w:rFonts w:ascii="Arial" w:hAnsi="Arial" w:cs="Arial"/>
          <w:b/>
          <w:sz w:val="20"/>
          <w:szCs w:val="20"/>
        </w:rPr>
        <w:t>la o suprafață a  județului Brăila de 4.766 km</w:t>
      </w:r>
      <w:r w:rsidRPr="00C05E6F">
        <w:rPr>
          <w:rFonts w:ascii="Arial" w:hAnsi="Arial" w:cs="Arial"/>
          <w:b/>
          <w:sz w:val="20"/>
          <w:szCs w:val="20"/>
          <w:vertAlign w:val="superscript"/>
        </w:rPr>
        <w:t>2</w:t>
      </w:r>
    </w:p>
    <w:p w:rsidR="0022295F" w:rsidRPr="00C05E6F" w:rsidRDefault="0022295F" w:rsidP="0022295F">
      <w:pPr>
        <w:spacing w:after="0" w:line="240" w:lineRule="auto"/>
        <w:rPr>
          <w:rFonts w:ascii="Arial" w:hAnsi="Arial" w:cs="Arial"/>
          <w:b/>
          <w:bCs/>
          <w:sz w:val="20"/>
          <w:szCs w:val="20"/>
        </w:rPr>
      </w:pPr>
      <w:r w:rsidRPr="00C05E6F">
        <w:rPr>
          <w:rFonts w:ascii="Arial" w:hAnsi="Arial" w:cs="Arial"/>
          <w:bCs/>
          <w:sz w:val="20"/>
          <w:szCs w:val="20"/>
        </w:rPr>
        <w:t>Notă: Informații furnizate de către Direcția Regională de Statistică Brăila</w:t>
      </w:r>
    </w:p>
    <w:p w:rsidR="0022295F" w:rsidRPr="00C05E6F" w:rsidRDefault="0022295F" w:rsidP="0022295F">
      <w:pPr>
        <w:spacing w:after="0" w:line="240" w:lineRule="auto"/>
        <w:rPr>
          <w:rFonts w:ascii="Arial" w:eastAsia="Times New Roman" w:hAnsi="Arial" w:cs="Arial"/>
          <w:lang w:eastAsia="en-US"/>
        </w:rPr>
      </w:pPr>
      <w:r w:rsidRPr="00C05E6F">
        <w:rPr>
          <w:rFonts w:ascii="Arial" w:hAnsi="Arial" w:cs="Arial"/>
          <w:b/>
        </w:rPr>
        <w:t xml:space="preserve">Notă: </w:t>
      </w:r>
      <w:r w:rsidRPr="00C05E6F">
        <w:rPr>
          <w:rFonts w:ascii="Arial" w:eastAsia="Times New Roman" w:hAnsi="Arial" w:cs="Arial"/>
          <w:lang w:eastAsia="en-US"/>
        </w:rPr>
        <w:t xml:space="preserve">Populaţia după domiciliu reprezintă numărul persoanelor cu cetăţenie română şi domiciliu pe teritoriul României, delimitat după criterii administrativ-teritoriale. Domiciliul persoanei este adresa la care aceasta declară că are locuinţa principală, trecută în actul </w:t>
      </w:r>
      <w:r w:rsidRPr="00C05E6F">
        <w:rPr>
          <w:rFonts w:ascii="Arial" w:eastAsia="Times New Roman" w:hAnsi="Arial" w:cs="Arial"/>
          <w:i/>
          <w:lang w:eastAsia="en-US"/>
        </w:rPr>
        <w:t>de identitate</w:t>
      </w:r>
      <w:r w:rsidRPr="00C05E6F">
        <w:rPr>
          <w:rFonts w:ascii="Arial" w:eastAsia="Times New Roman" w:hAnsi="Arial" w:cs="Arial"/>
          <w:lang w:eastAsia="en-US"/>
        </w:rPr>
        <w:t xml:space="preserve"> (CI, BI), aşa cum este luată în evidenţa organelor administrative ale statului. În stabilirea valorii acestui indicator nu se ţine cont de reşedinţa obişnuită, de perioada şi/sau de motivul absenţei de la domiciliu.  Datele sunt disponibile în profil teritorial până la nivel de localitate (municipiu, oraş, comună).</w:t>
      </w:r>
    </w:p>
    <w:p w:rsidR="0022295F" w:rsidRDefault="0022295F" w:rsidP="0022295F">
      <w:pPr>
        <w:pStyle w:val="Default"/>
        <w:rPr>
          <w:rFonts w:ascii="Arial" w:hAnsi="Arial" w:cs="Arial"/>
          <w:b/>
          <w:color w:val="FF0000"/>
        </w:rPr>
      </w:pPr>
    </w:p>
    <w:p w:rsidR="0022295F" w:rsidRDefault="0022295F" w:rsidP="0022295F">
      <w:pPr>
        <w:pStyle w:val="Default"/>
        <w:jc w:val="center"/>
        <w:rPr>
          <w:rFonts w:ascii="Arial" w:hAnsi="Arial" w:cs="Arial"/>
          <w:b/>
          <w:color w:val="FF0000"/>
        </w:rPr>
      </w:pPr>
      <w:r>
        <w:rPr>
          <w:rFonts w:ascii="Arial" w:hAnsi="Arial" w:cs="Arial"/>
          <w:b/>
          <w:noProof/>
          <w:color w:val="FF0000"/>
          <w:lang w:val="ro-RO" w:eastAsia="ro-RO"/>
        </w:rPr>
        <w:drawing>
          <wp:inline distT="0" distB="0" distL="0" distR="0">
            <wp:extent cx="5486400" cy="2349796"/>
            <wp:effectExtent l="0" t="0" r="19050" b="1270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22295F" w:rsidRDefault="0022295F" w:rsidP="0022295F">
      <w:pPr>
        <w:pStyle w:val="Default"/>
        <w:rPr>
          <w:rFonts w:ascii="Arial" w:hAnsi="Arial" w:cs="Arial"/>
          <w:b/>
          <w:color w:val="FF0000"/>
        </w:rPr>
      </w:pPr>
    </w:p>
    <w:p w:rsidR="0022295F" w:rsidRDefault="0022295F" w:rsidP="0022295F">
      <w:pPr>
        <w:pStyle w:val="BodyTextIndent2"/>
        <w:spacing w:after="0" w:line="240" w:lineRule="auto"/>
        <w:ind w:left="0"/>
        <w:rPr>
          <w:rFonts w:ascii="Arial" w:hAnsi="Arial" w:cs="Arial"/>
          <w:lang w:val="ro-RO"/>
        </w:rPr>
      </w:pPr>
      <w:r w:rsidRPr="005349E3">
        <w:rPr>
          <w:rFonts w:ascii="Arial" w:hAnsi="Arial" w:cs="Arial"/>
          <w:b/>
          <w:bCs/>
        </w:rPr>
        <w:lastRenderedPageBreak/>
        <w:t>Tabelul nr. X.2.- 3</w:t>
      </w:r>
      <w:r w:rsidRPr="004E720D">
        <w:rPr>
          <w:rFonts w:ascii="Arial" w:hAnsi="Arial" w:cs="Arial"/>
          <w:lang w:val="ro-RO"/>
        </w:rPr>
        <w:t xml:space="preserve">- Evoluţia populaţiei rezidente a judeţului Brăila pe medii (urban și rural) în perioada </w:t>
      </w:r>
      <w:r w:rsidRPr="00C05E6F">
        <w:rPr>
          <w:rFonts w:ascii="Arial" w:hAnsi="Arial" w:cs="Arial"/>
          <w:lang w:val="ro-RO"/>
        </w:rPr>
        <w:t>2013– 2017</w:t>
      </w:r>
    </w:p>
    <w:p w:rsidR="0022295F" w:rsidRDefault="0022295F" w:rsidP="0022295F">
      <w:pPr>
        <w:pStyle w:val="Default"/>
        <w:rPr>
          <w:rFonts w:ascii="Arial" w:hAnsi="Arial" w:cs="Arial"/>
          <w:b/>
          <w:color w:val="FF0000"/>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22295F" w:rsidRPr="00317CEC" w:rsidTr="004E444C">
        <w:trPr>
          <w:trHeight w:val="611"/>
          <w:jc w:val="center"/>
        </w:trPr>
        <w:tc>
          <w:tcPr>
            <w:tcW w:w="1001" w:type="dxa"/>
            <w:tcBorders>
              <w:bottom w:val="single" w:sz="4" w:space="0" w:color="auto"/>
            </w:tcBorders>
            <w:shd w:val="clear" w:color="auto" w:fill="D9D9D9"/>
            <w:vAlign w:val="center"/>
          </w:tcPr>
          <w:p w:rsidR="0022295F" w:rsidRPr="00317CEC" w:rsidRDefault="0022295F" w:rsidP="004E444C">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Anul</w:t>
            </w:r>
          </w:p>
        </w:tc>
        <w:tc>
          <w:tcPr>
            <w:tcW w:w="1018" w:type="dxa"/>
            <w:tcBorders>
              <w:bottom w:val="single" w:sz="4" w:space="0" w:color="auto"/>
            </w:tcBorders>
            <w:shd w:val="clear" w:color="auto" w:fill="D9D9D9"/>
            <w:vAlign w:val="center"/>
          </w:tcPr>
          <w:p w:rsidR="0022295F" w:rsidRPr="00317CEC" w:rsidRDefault="0022295F" w:rsidP="004E444C">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Total</w:t>
            </w:r>
          </w:p>
        </w:tc>
        <w:tc>
          <w:tcPr>
            <w:tcW w:w="1355" w:type="dxa"/>
            <w:tcBorders>
              <w:bottom w:val="single" w:sz="4" w:space="0" w:color="auto"/>
            </w:tcBorders>
            <w:shd w:val="clear" w:color="auto" w:fill="D9D9D9"/>
            <w:vAlign w:val="center"/>
          </w:tcPr>
          <w:p w:rsidR="0022295F" w:rsidRPr="00317CEC" w:rsidRDefault="0022295F" w:rsidP="004E444C">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Urban</w:t>
            </w:r>
          </w:p>
        </w:tc>
        <w:tc>
          <w:tcPr>
            <w:tcW w:w="1304" w:type="dxa"/>
            <w:tcBorders>
              <w:bottom w:val="single" w:sz="4" w:space="0" w:color="auto"/>
            </w:tcBorders>
            <w:shd w:val="clear" w:color="auto" w:fill="D9D9D9"/>
            <w:vAlign w:val="center"/>
          </w:tcPr>
          <w:p w:rsidR="0022295F" w:rsidRPr="00317CEC" w:rsidRDefault="0022295F" w:rsidP="004E444C">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Rural</w:t>
            </w:r>
          </w:p>
        </w:tc>
        <w:tc>
          <w:tcPr>
            <w:tcW w:w="1247" w:type="dxa"/>
            <w:tcBorders>
              <w:bottom w:val="single" w:sz="4" w:space="0" w:color="auto"/>
            </w:tcBorders>
            <w:shd w:val="clear" w:color="auto" w:fill="D9D9D9"/>
            <w:vAlign w:val="center"/>
          </w:tcPr>
          <w:p w:rsidR="0022295F" w:rsidRPr="00317CEC" w:rsidRDefault="0022295F" w:rsidP="004E444C">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Locuitori /km</w:t>
            </w:r>
            <w:r w:rsidRPr="00317CEC">
              <w:rPr>
                <w:rFonts w:ascii="Arial" w:hAnsi="Arial" w:cs="Arial"/>
                <w:b/>
                <w:sz w:val="24"/>
                <w:szCs w:val="24"/>
                <w:vertAlign w:val="superscript"/>
              </w:rPr>
              <w:t>2</w:t>
            </w:r>
          </w:p>
        </w:tc>
      </w:tr>
      <w:tr w:rsidR="0022295F" w:rsidRPr="00317CEC" w:rsidTr="004E444C">
        <w:trPr>
          <w:trHeight w:val="270"/>
          <w:jc w:val="center"/>
        </w:trPr>
        <w:tc>
          <w:tcPr>
            <w:tcW w:w="1001" w:type="dxa"/>
            <w:shd w:val="clear" w:color="auto" w:fill="FFFFDD"/>
            <w:vAlign w:val="center"/>
          </w:tcPr>
          <w:p w:rsidR="0022295F" w:rsidRPr="005C0C78" w:rsidRDefault="0022295F" w:rsidP="004E444C">
            <w:pPr>
              <w:spacing w:after="0" w:line="240" w:lineRule="auto"/>
              <w:rPr>
                <w:rFonts w:ascii="Arial" w:hAnsi="Arial" w:cs="Arial"/>
                <w:b/>
                <w:sz w:val="24"/>
                <w:szCs w:val="24"/>
              </w:rPr>
            </w:pPr>
            <w:r w:rsidRPr="005C0C78">
              <w:rPr>
                <w:rFonts w:ascii="Arial" w:hAnsi="Arial" w:cs="Arial"/>
                <w:b/>
                <w:sz w:val="24"/>
                <w:szCs w:val="24"/>
              </w:rPr>
              <w:t>2013</w:t>
            </w:r>
          </w:p>
        </w:tc>
        <w:tc>
          <w:tcPr>
            <w:tcW w:w="1018"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315598</w:t>
            </w:r>
          </w:p>
        </w:tc>
        <w:tc>
          <w:tcPr>
            <w:tcW w:w="1355"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196563</w:t>
            </w:r>
          </w:p>
        </w:tc>
        <w:tc>
          <w:tcPr>
            <w:tcW w:w="1304"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119035</w:t>
            </w:r>
          </w:p>
        </w:tc>
        <w:tc>
          <w:tcPr>
            <w:tcW w:w="1247"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66,22</w:t>
            </w:r>
          </w:p>
        </w:tc>
      </w:tr>
      <w:tr w:rsidR="0022295F" w:rsidRPr="00317CEC" w:rsidTr="004E444C">
        <w:trPr>
          <w:trHeight w:val="270"/>
          <w:jc w:val="center"/>
        </w:trPr>
        <w:tc>
          <w:tcPr>
            <w:tcW w:w="1001" w:type="dxa"/>
            <w:shd w:val="clear" w:color="auto" w:fill="FFFFDD"/>
            <w:vAlign w:val="center"/>
          </w:tcPr>
          <w:p w:rsidR="0022295F" w:rsidRPr="005C0C78" w:rsidRDefault="0022295F" w:rsidP="004E444C">
            <w:pPr>
              <w:spacing w:after="0" w:line="240" w:lineRule="auto"/>
              <w:rPr>
                <w:rFonts w:ascii="Arial" w:hAnsi="Arial" w:cs="Arial"/>
                <w:b/>
                <w:sz w:val="24"/>
                <w:szCs w:val="24"/>
              </w:rPr>
            </w:pPr>
            <w:r w:rsidRPr="005C0C78">
              <w:rPr>
                <w:rFonts w:ascii="Arial" w:hAnsi="Arial" w:cs="Arial"/>
                <w:b/>
                <w:sz w:val="24"/>
                <w:szCs w:val="24"/>
              </w:rPr>
              <w:t>2014</w:t>
            </w:r>
          </w:p>
        </w:tc>
        <w:tc>
          <w:tcPr>
            <w:tcW w:w="1018"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312089</w:t>
            </w:r>
          </w:p>
        </w:tc>
        <w:tc>
          <w:tcPr>
            <w:tcW w:w="1355"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194025</w:t>
            </w:r>
          </w:p>
        </w:tc>
        <w:tc>
          <w:tcPr>
            <w:tcW w:w="1304"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118064</w:t>
            </w:r>
          </w:p>
        </w:tc>
        <w:tc>
          <w:tcPr>
            <w:tcW w:w="1247"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65,49</w:t>
            </w:r>
          </w:p>
        </w:tc>
      </w:tr>
      <w:tr w:rsidR="0022295F" w:rsidRPr="00317CEC" w:rsidTr="004E444C">
        <w:trPr>
          <w:trHeight w:val="270"/>
          <w:jc w:val="center"/>
        </w:trPr>
        <w:tc>
          <w:tcPr>
            <w:tcW w:w="1001" w:type="dxa"/>
            <w:shd w:val="clear" w:color="auto" w:fill="FFFFDD"/>
            <w:vAlign w:val="center"/>
          </w:tcPr>
          <w:p w:rsidR="0022295F" w:rsidRPr="005C0C78" w:rsidRDefault="0022295F" w:rsidP="004E444C">
            <w:pPr>
              <w:spacing w:after="0" w:line="240" w:lineRule="auto"/>
              <w:rPr>
                <w:rFonts w:ascii="Arial" w:hAnsi="Arial" w:cs="Arial"/>
                <w:b/>
                <w:sz w:val="24"/>
                <w:szCs w:val="24"/>
              </w:rPr>
            </w:pPr>
            <w:r w:rsidRPr="005C0C78">
              <w:rPr>
                <w:rFonts w:ascii="Arial" w:hAnsi="Arial" w:cs="Arial"/>
                <w:b/>
                <w:sz w:val="24"/>
                <w:szCs w:val="24"/>
              </w:rPr>
              <w:t>2015</w:t>
            </w:r>
          </w:p>
        </w:tc>
        <w:tc>
          <w:tcPr>
            <w:tcW w:w="1018"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308176</w:t>
            </w:r>
          </w:p>
        </w:tc>
        <w:tc>
          <w:tcPr>
            <w:tcW w:w="1355"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191230</w:t>
            </w:r>
          </w:p>
        </w:tc>
        <w:tc>
          <w:tcPr>
            <w:tcW w:w="1304"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116946</w:t>
            </w:r>
          </w:p>
        </w:tc>
        <w:tc>
          <w:tcPr>
            <w:tcW w:w="1247" w:type="dxa"/>
            <w:shd w:val="clear" w:color="auto" w:fill="FFFFDD"/>
            <w:vAlign w:val="center"/>
          </w:tcPr>
          <w:p w:rsidR="0022295F" w:rsidRPr="00317CEC" w:rsidRDefault="0022295F" w:rsidP="004E444C">
            <w:pPr>
              <w:spacing w:after="0" w:line="240" w:lineRule="auto"/>
              <w:rPr>
                <w:rFonts w:ascii="Arial" w:hAnsi="Arial" w:cs="Arial"/>
                <w:sz w:val="24"/>
                <w:szCs w:val="24"/>
              </w:rPr>
            </w:pPr>
            <w:r w:rsidRPr="00317CEC">
              <w:rPr>
                <w:rFonts w:ascii="Arial" w:hAnsi="Arial" w:cs="Arial"/>
                <w:sz w:val="24"/>
                <w:szCs w:val="24"/>
              </w:rPr>
              <w:t>64,65</w:t>
            </w:r>
          </w:p>
        </w:tc>
      </w:tr>
      <w:tr w:rsidR="0022295F" w:rsidRPr="00317CEC" w:rsidTr="004E444C">
        <w:trPr>
          <w:trHeight w:val="270"/>
          <w:jc w:val="center"/>
        </w:trPr>
        <w:tc>
          <w:tcPr>
            <w:tcW w:w="1001" w:type="dxa"/>
            <w:shd w:val="clear" w:color="auto" w:fill="FFFFDD"/>
            <w:vAlign w:val="center"/>
          </w:tcPr>
          <w:p w:rsidR="0022295F" w:rsidRPr="000323E8" w:rsidRDefault="0022295F" w:rsidP="004E444C">
            <w:pPr>
              <w:spacing w:after="0" w:line="240" w:lineRule="auto"/>
              <w:rPr>
                <w:rFonts w:ascii="Arial" w:hAnsi="Arial" w:cs="Arial"/>
                <w:b/>
                <w:sz w:val="24"/>
                <w:szCs w:val="24"/>
              </w:rPr>
            </w:pPr>
            <w:r w:rsidRPr="000323E8">
              <w:rPr>
                <w:rFonts w:ascii="Arial" w:hAnsi="Arial" w:cs="Arial"/>
                <w:b/>
                <w:sz w:val="24"/>
                <w:szCs w:val="24"/>
              </w:rPr>
              <w:t>2016</w:t>
            </w:r>
          </w:p>
        </w:tc>
        <w:tc>
          <w:tcPr>
            <w:tcW w:w="1018" w:type="dxa"/>
            <w:shd w:val="clear" w:color="auto" w:fill="FFFFDD"/>
            <w:vAlign w:val="center"/>
          </w:tcPr>
          <w:p w:rsidR="0022295F" w:rsidRPr="000323E8" w:rsidRDefault="0022295F" w:rsidP="004E444C">
            <w:pPr>
              <w:spacing w:after="0" w:line="240" w:lineRule="auto"/>
              <w:rPr>
                <w:rFonts w:ascii="Arial" w:hAnsi="Arial" w:cs="Arial"/>
                <w:sz w:val="24"/>
                <w:szCs w:val="24"/>
              </w:rPr>
            </w:pPr>
            <w:r w:rsidRPr="000323E8">
              <w:rPr>
                <w:rFonts w:ascii="Arial" w:hAnsi="Arial" w:cs="Arial"/>
                <w:sz w:val="24"/>
                <w:szCs w:val="24"/>
              </w:rPr>
              <w:t>303622</w:t>
            </w:r>
          </w:p>
        </w:tc>
        <w:tc>
          <w:tcPr>
            <w:tcW w:w="1355" w:type="dxa"/>
            <w:shd w:val="clear" w:color="auto" w:fill="FFFFDD"/>
            <w:vAlign w:val="center"/>
          </w:tcPr>
          <w:p w:rsidR="0022295F" w:rsidRPr="000323E8" w:rsidRDefault="0022295F" w:rsidP="004E444C">
            <w:pPr>
              <w:spacing w:after="0" w:line="240" w:lineRule="auto"/>
              <w:rPr>
                <w:rFonts w:ascii="Arial" w:hAnsi="Arial" w:cs="Arial"/>
                <w:sz w:val="24"/>
                <w:szCs w:val="24"/>
              </w:rPr>
            </w:pPr>
            <w:r w:rsidRPr="000323E8">
              <w:rPr>
                <w:rFonts w:ascii="Arial" w:hAnsi="Arial" w:cs="Arial"/>
                <w:sz w:val="24"/>
                <w:szCs w:val="24"/>
              </w:rPr>
              <w:t>187956</w:t>
            </w:r>
          </w:p>
        </w:tc>
        <w:tc>
          <w:tcPr>
            <w:tcW w:w="1304" w:type="dxa"/>
            <w:shd w:val="clear" w:color="auto" w:fill="FFFFDD"/>
            <w:vAlign w:val="center"/>
          </w:tcPr>
          <w:p w:rsidR="0022295F" w:rsidRPr="000323E8" w:rsidRDefault="0022295F" w:rsidP="004E444C">
            <w:pPr>
              <w:spacing w:after="0" w:line="240" w:lineRule="auto"/>
              <w:rPr>
                <w:rFonts w:ascii="Arial" w:hAnsi="Arial" w:cs="Arial"/>
                <w:sz w:val="24"/>
                <w:szCs w:val="24"/>
              </w:rPr>
            </w:pPr>
            <w:r w:rsidRPr="000323E8">
              <w:rPr>
                <w:rFonts w:ascii="Arial" w:hAnsi="Arial" w:cs="Arial"/>
                <w:sz w:val="24"/>
                <w:szCs w:val="24"/>
              </w:rPr>
              <w:t>115666</w:t>
            </w:r>
          </w:p>
        </w:tc>
        <w:tc>
          <w:tcPr>
            <w:tcW w:w="1247" w:type="dxa"/>
            <w:shd w:val="clear" w:color="auto" w:fill="FFFFDD"/>
            <w:vAlign w:val="center"/>
          </w:tcPr>
          <w:p w:rsidR="0022295F" w:rsidRPr="000323E8" w:rsidRDefault="0022295F" w:rsidP="004E444C">
            <w:pPr>
              <w:spacing w:after="0" w:line="240" w:lineRule="auto"/>
              <w:rPr>
                <w:rFonts w:ascii="Arial" w:hAnsi="Arial" w:cs="Arial"/>
                <w:sz w:val="24"/>
                <w:szCs w:val="24"/>
              </w:rPr>
            </w:pPr>
            <w:r w:rsidRPr="000323E8">
              <w:rPr>
                <w:rFonts w:ascii="Arial" w:hAnsi="Arial" w:cs="Arial"/>
                <w:sz w:val="24"/>
                <w:szCs w:val="24"/>
              </w:rPr>
              <w:t>63,71</w:t>
            </w:r>
          </w:p>
        </w:tc>
      </w:tr>
      <w:tr w:rsidR="0022295F" w:rsidRPr="00317CEC" w:rsidTr="004E444C">
        <w:trPr>
          <w:trHeight w:val="270"/>
          <w:jc w:val="center"/>
        </w:trPr>
        <w:tc>
          <w:tcPr>
            <w:tcW w:w="1001" w:type="dxa"/>
            <w:shd w:val="clear" w:color="auto" w:fill="FFFFDD"/>
            <w:vAlign w:val="center"/>
          </w:tcPr>
          <w:p w:rsidR="0022295F" w:rsidRPr="00C05E6F" w:rsidRDefault="0022295F" w:rsidP="004E444C">
            <w:pPr>
              <w:spacing w:after="0" w:line="240" w:lineRule="auto"/>
              <w:rPr>
                <w:rFonts w:ascii="Arial" w:hAnsi="Arial" w:cs="Arial"/>
                <w:b/>
                <w:sz w:val="24"/>
                <w:szCs w:val="24"/>
              </w:rPr>
            </w:pPr>
            <w:r w:rsidRPr="00C05E6F">
              <w:rPr>
                <w:rFonts w:ascii="Arial" w:hAnsi="Arial" w:cs="Arial"/>
                <w:b/>
                <w:sz w:val="24"/>
                <w:szCs w:val="24"/>
              </w:rPr>
              <w:t>2017</w:t>
            </w:r>
          </w:p>
        </w:tc>
        <w:tc>
          <w:tcPr>
            <w:tcW w:w="1018" w:type="dxa"/>
            <w:shd w:val="clear" w:color="auto" w:fill="FFFFDD"/>
            <w:vAlign w:val="center"/>
          </w:tcPr>
          <w:p w:rsidR="0022295F" w:rsidRPr="00C05E6F" w:rsidRDefault="0022295F" w:rsidP="004E444C">
            <w:pPr>
              <w:spacing w:after="0" w:line="240" w:lineRule="auto"/>
              <w:rPr>
                <w:rFonts w:ascii="Arial" w:hAnsi="Arial" w:cs="Arial"/>
                <w:sz w:val="24"/>
                <w:szCs w:val="24"/>
              </w:rPr>
            </w:pPr>
            <w:r w:rsidRPr="00C05E6F">
              <w:rPr>
                <w:rFonts w:ascii="Arial" w:hAnsi="Arial" w:cs="Arial"/>
                <w:sz w:val="24"/>
                <w:szCs w:val="24"/>
              </w:rPr>
              <w:t>299125</w:t>
            </w:r>
          </w:p>
        </w:tc>
        <w:tc>
          <w:tcPr>
            <w:tcW w:w="1355" w:type="dxa"/>
            <w:shd w:val="clear" w:color="auto" w:fill="FFFFDD"/>
            <w:vAlign w:val="center"/>
          </w:tcPr>
          <w:p w:rsidR="0022295F" w:rsidRPr="00C05E6F" w:rsidRDefault="0022295F" w:rsidP="004E444C">
            <w:pPr>
              <w:spacing w:after="0" w:line="240" w:lineRule="auto"/>
              <w:rPr>
                <w:rFonts w:ascii="Arial" w:hAnsi="Arial" w:cs="Arial"/>
                <w:sz w:val="24"/>
                <w:szCs w:val="24"/>
              </w:rPr>
            </w:pPr>
            <w:r w:rsidRPr="00C05E6F">
              <w:rPr>
                <w:rFonts w:ascii="Arial" w:hAnsi="Arial" w:cs="Arial"/>
                <w:sz w:val="24"/>
                <w:szCs w:val="24"/>
              </w:rPr>
              <w:t>184693</w:t>
            </w:r>
          </w:p>
        </w:tc>
        <w:tc>
          <w:tcPr>
            <w:tcW w:w="1304" w:type="dxa"/>
            <w:shd w:val="clear" w:color="auto" w:fill="FFFFDD"/>
            <w:vAlign w:val="center"/>
          </w:tcPr>
          <w:p w:rsidR="0022295F" w:rsidRPr="00C05E6F" w:rsidRDefault="0022295F" w:rsidP="004E444C">
            <w:pPr>
              <w:spacing w:after="0" w:line="240" w:lineRule="auto"/>
              <w:rPr>
                <w:rFonts w:ascii="Arial" w:hAnsi="Arial" w:cs="Arial"/>
                <w:sz w:val="24"/>
                <w:szCs w:val="24"/>
              </w:rPr>
            </w:pPr>
            <w:r w:rsidRPr="00C05E6F">
              <w:rPr>
                <w:rFonts w:ascii="Arial" w:hAnsi="Arial" w:cs="Arial"/>
                <w:sz w:val="24"/>
                <w:szCs w:val="24"/>
              </w:rPr>
              <w:t>114432</w:t>
            </w:r>
          </w:p>
        </w:tc>
        <w:tc>
          <w:tcPr>
            <w:tcW w:w="1247" w:type="dxa"/>
            <w:shd w:val="clear" w:color="auto" w:fill="FFFFDD"/>
            <w:vAlign w:val="center"/>
          </w:tcPr>
          <w:p w:rsidR="0022295F" w:rsidRPr="00C05E6F" w:rsidRDefault="0022295F" w:rsidP="004E444C">
            <w:pPr>
              <w:spacing w:after="0" w:line="240" w:lineRule="auto"/>
              <w:rPr>
                <w:rFonts w:ascii="Arial" w:hAnsi="Arial" w:cs="Arial"/>
                <w:sz w:val="24"/>
                <w:szCs w:val="24"/>
              </w:rPr>
            </w:pPr>
            <w:r w:rsidRPr="00C05E6F">
              <w:rPr>
                <w:rFonts w:ascii="Arial" w:hAnsi="Arial" w:cs="Arial"/>
                <w:sz w:val="24"/>
                <w:szCs w:val="24"/>
              </w:rPr>
              <w:t>62,76</w:t>
            </w:r>
          </w:p>
        </w:tc>
      </w:tr>
    </w:tbl>
    <w:p w:rsidR="0022295F" w:rsidRDefault="0022295F" w:rsidP="0022295F">
      <w:pPr>
        <w:spacing w:after="0" w:line="240" w:lineRule="auto"/>
        <w:rPr>
          <w:rFonts w:ascii="Arial" w:hAnsi="Arial" w:cs="Arial"/>
          <w:b/>
          <w:sz w:val="20"/>
          <w:szCs w:val="20"/>
          <w:vertAlign w:val="superscript"/>
        </w:rPr>
      </w:pPr>
      <w:r w:rsidRPr="0028650F">
        <w:rPr>
          <w:rFonts w:ascii="Arial" w:hAnsi="Arial" w:cs="Arial"/>
          <w:b/>
          <w:sz w:val="20"/>
          <w:szCs w:val="20"/>
        </w:rPr>
        <w:t xml:space="preserve">- la o suprafață a  județului </w:t>
      </w:r>
      <w:r>
        <w:rPr>
          <w:rFonts w:ascii="Arial" w:hAnsi="Arial" w:cs="Arial"/>
          <w:b/>
          <w:sz w:val="20"/>
          <w:szCs w:val="20"/>
        </w:rPr>
        <w:t>Brăila</w:t>
      </w:r>
      <w:r w:rsidRPr="0028650F">
        <w:rPr>
          <w:rFonts w:ascii="Arial" w:hAnsi="Arial" w:cs="Arial"/>
          <w:b/>
          <w:sz w:val="20"/>
          <w:szCs w:val="20"/>
        </w:rPr>
        <w:t xml:space="preserve"> de 4.766 km</w:t>
      </w:r>
      <w:r w:rsidRPr="0028650F">
        <w:rPr>
          <w:rFonts w:ascii="Arial" w:hAnsi="Arial" w:cs="Arial"/>
          <w:b/>
          <w:sz w:val="20"/>
          <w:szCs w:val="20"/>
          <w:vertAlign w:val="superscript"/>
        </w:rPr>
        <w:t>2</w:t>
      </w:r>
    </w:p>
    <w:p w:rsidR="0022295F" w:rsidRDefault="0022295F" w:rsidP="0022295F">
      <w:pPr>
        <w:spacing w:after="0" w:line="240" w:lineRule="auto"/>
        <w:rPr>
          <w:rFonts w:ascii="Arial" w:eastAsia="Times New Roman" w:hAnsi="Arial" w:cs="Arial"/>
          <w:sz w:val="20"/>
          <w:szCs w:val="20"/>
        </w:rPr>
      </w:pPr>
      <w:r w:rsidRPr="00B8452D">
        <w:rPr>
          <w:rFonts w:ascii="Arial" w:hAnsi="Arial" w:cs="Arial"/>
          <w:sz w:val="20"/>
          <w:szCs w:val="20"/>
        </w:rPr>
        <w:t xml:space="preserve">Notă : </w:t>
      </w:r>
      <w:r w:rsidRPr="00B8452D">
        <w:rPr>
          <w:rFonts w:ascii="Arial" w:eastAsia="Times New Roman" w:hAnsi="Arial" w:cs="Arial"/>
          <w:sz w:val="20"/>
          <w:szCs w:val="20"/>
        </w:rPr>
        <w:t>Populaţia rezidentă reprezintă totalitatea persoanelor cu cetăţenie română, străini şi fără cetăţenie, care au reşedinţa obişnuită pe teritoriul României. Se calculează conform regulamentelor europene (Regulamentul nr. 1260/2013 al Parlamentului European şi al Consiliului privind statisticile europene pe demografie și Regulamentul nr. 205/2014 al Comisiei de implementare a Regulamentului nr. 1260/2013 privind statisticile europene pe demografie referitor la defalcare date, termene, revizuiri de date).</w:t>
      </w:r>
    </w:p>
    <w:p w:rsidR="0022295F" w:rsidRDefault="0022295F" w:rsidP="0022295F">
      <w:pPr>
        <w:spacing w:after="0" w:line="240" w:lineRule="auto"/>
        <w:rPr>
          <w:rFonts w:ascii="Arial" w:hAnsi="Arial" w:cs="Arial"/>
          <w:bCs/>
          <w:sz w:val="20"/>
          <w:szCs w:val="20"/>
        </w:rPr>
      </w:pPr>
      <w:r w:rsidRPr="00C05E6F">
        <w:rPr>
          <w:rFonts w:ascii="Arial" w:hAnsi="Arial" w:cs="Arial"/>
          <w:b/>
          <w:bCs/>
          <w:sz w:val="20"/>
          <w:szCs w:val="20"/>
        </w:rPr>
        <w:t>Notă</w:t>
      </w:r>
      <w:r w:rsidRPr="005D6606">
        <w:rPr>
          <w:rFonts w:ascii="Arial" w:hAnsi="Arial" w:cs="Arial"/>
          <w:bCs/>
          <w:sz w:val="20"/>
          <w:szCs w:val="20"/>
        </w:rPr>
        <w:t xml:space="preserve">: Informații furnizate de către Direcția Regională de Statistică </w:t>
      </w:r>
      <w:r>
        <w:rPr>
          <w:rFonts w:ascii="Arial" w:hAnsi="Arial" w:cs="Arial"/>
          <w:bCs/>
          <w:sz w:val="20"/>
          <w:szCs w:val="20"/>
        </w:rPr>
        <w:t>Brăila</w:t>
      </w:r>
    </w:p>
    <w:p w:rsidR="00E73ABB" w:rsidRDefault="00E73ABB" w:rsidP="0022295F">
      <w:pPr>
        <w:spacing w:after="0" w:line="240" w:lineRule="auto"/>
        <w:rPr>
          <w:rFonts w:ascii="Arial" w:hAnsi="Arial" w:cs="Arial"/>
          <w:bCs/>
          <w:sz w:val="20"/>
          <w:szCs w:val="20"/>
        </w:rPr>
      </w:pPr>
    </w:p>
    <w:p w:rsidR="0022295F" w:rsidRDefault="0022295F" w:rsidP="0022295F">
      <w:pPr>
        <w:spacing w:after="0" w:line="240" w:lineRule="auto"/>
        <w:jc w:val="center"/>
        <w:rPr>
          <w:rFonts w:ascii="Arial" w:hAnsi="Arial" w:cs="Arial"/>
          <w:bCs/>
          <w:sz w:val="20"/>
          <w:szCs w:val="20"/>
        </w:rPr>
      </w:pPr>
      <w:r w:rsidRPr="0031211D">
        <w:rPr>
          <w:rFonts w:ascii="Arial" w:hAnsi="Arial" w:cs="Arial"/>
          <w:bCs/>
          <w:noProof/>
          <w:sz w:val="20"/>
          <w:szCs w:val="20"/>
          <w:shd w:val="clear" w:color="auto" w:fill="DAEEF3" w:themeFill="accent5" w:themeFillTint="33"/>
        </w:rPr>
        <w:drawing>
          <wp:inline distT="0" distB="0" distL="0" distR="0">
            <wp:extent cx="4752754" cy="2860158"/>
            <wp:effectExtent l="0" t="0" r="10160" b="16510"/>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22295F" w:rsidRDefault="0022295F" w:rsidP="0022295F">
      <w:pPr>
        <w:pStyle w:val="Default"/>
        <w:rPr>
          <w:rFonts w:ascii="Arial" w:hAnsi="Arial" w:cs="Arial"/>
          <w:b/>
          <w:color w:val="FF0000"/>
        </w:rPr>
      </w:pPr>
    </w:p>
    <w:p w:rsidR="0022295F" w:rsidRPr="00C05E6F" w:rsidRDefault="0022295F" w:rsidP="0022295F">
      <w:pPr>
        <w:tabs>
          <w:tab w:val="left" w:pos="2160"/>
          <w:tab w:val="left" w:leader="dot" w:pos="8820"/>
        </w:tabs>
        <w:spacing w:after="0" w:line="240" w:lineRule="auto"/>
        <w:rPr>
          <w:rFonts w:ascii="Arial" w:hAnsi="Arial" w:cs="Arial"/>
          <w:sz w:val="24"/>
          <w:szCs w:val="24"/>
        </w:rPr>
      </w:pPr>
      <w:r w:rsidRPr="00C05E6F">
        <w:rPr>
          <w:rFonts w:ascii="Arial" w:hAnsi="Arial" w:cs="Arial"/>
          <w:sz w:val="24"/>
          <w:szCs w:val="24"/>
        </w:rPr>
        <w:t xml:space="preserve">În perioada </w:t>
      </w:r>
      <w:r w:rsidRPr="00C05E6F">
        <w:rPr>
          <w:rFonts w:ascii="Arial" w:hAnsi="Arial" w:cs="Arial"/>
          <w:b/>
          <w:sz w:val="24"/>
          <w:szCs w:val="24"/>
        </w:rPr>
        <w:t>2013 - 2017</w:t>
      </w:r>
      <w:r w:rsidRPr="00C05E6F">
        <w:rPr>
          <w:rFonts w:ascii="Arial" w:hAnsi="Arial" w:cs="Arial"/>
          <w:sz w:val="24"/>
          <w:szCs w:val="24"/>
        </w:rPr>
        <w:t xml:space="preserve"> populaţia judeţului Brăila s-a aflat într-o continuă scădere, atât în ceea ce privește populația cu domiciliul stabil declarat în județul Brăila,cât și în ceea ce privește populația rezidentă pe raza județului Brăila.</w:t>
      </w:r>
    </w:p>
    <w:p w:rsidR="0022295F" w:rsidRPr="001D616B" w:rsidRDefault="0022295F" w:rsidP="0022295F">
      <w:pPr>
        <w:pStyle w:val="Default"/>
        <w:rPr>
          <w:rFonts w:ascii="Arial" w:hAnsi="Arial" w:cs="Arial"/>
          <w:b/>
          <w:color w:val="FF0000"/>
        </w:rPr>
      </w:pPr>
    </w:p>
    <w:p w:rsidR="00FE0C26" w:rsidRDefault="00FE0C26" w:rsidP="00FE0C26">
      <w:pPr>
        <w:pStyle w:val="Default"/>
        <w:rPr>
          <w:rFonts w:ascii="Arial" w:hAnsi="Arial" w:cs="Arial"/>
          <w:b/>
          <w:color w:val="auto"/>
        </w:rPr>
      </w:pPr>
      <w:r>
        <w:rPr>
          <w:rFonts w:ascii="Arial" w:hAnsi="Arial" w:cs="Arial"/>
          <w:b/>
          <w:color w:val="auto"/>
        </w:rPr>
        <w:t>X.3. Presiunile asupra mediului cauzate de consum</w:t>
      </w:r>
    </w:p>
    <w:p w:rsidR="00FE0C26" w:rsidRDefault="00FE0C26" w:rsidP="00FE0C26">
      <w:pPr>
        <w:pStyle w:val="Default"/>
        <w:rPr>
          <w:rFonts w:ascii="Arial" w:hAnsi="Arial" w:cs="Arial"/>
          <w:b/>
          <w:color w:val="auto"/>
        </w:rPr>
      </w:pPr>
    </w:p>
    <w:p w:rsidR="00FE0C26" w:rsidRDefault="00FE0C26" w:rsidP="00FE0C26">
      <w:pPr>
        <w:tabs>
          <w:tab w:val="left" w:pos="1425"/>
        </w:tabs>
        <w:rPr>
          <w:rFonts w:ascii="Arial" w:hAnsi="Arial" w:cs="Arial"/>
          <w:b/>
          <w:sz w:val="24"/>
          <w:szCs w:val="24"/>
          <w:lang w:val="fr-BE"/>
        </w:rPr>
      </w:pPr>
      <w:r>
        <w:rPr>
          <w:rFonts w:ascii="Arial" w:hAnsi="Arial" w:cs="Arial"/>
          <w:b/>
          <w:sz w:val="24"/>
          <w:szCs w:val="24"/>
          <w:lang w:val="fr-BE"/>
        </w:rPr>
        <w:t xml:space="preserve">         X.3.1. Emisiile de gaze cu efect de seră din sectorul rezidențial</w:t>
      </w:r>
    </w:p>
    <w:p w:rsidR="00FE0C26" w:rsidRDefault="00FE0C26" w:rsidP="00FE0C26">
      <w:pPr>
        <w:tabs>
          <w:tab w:val="left" w:pos="1425"/>
        </w:tabs>
        <w:rPr>
          <w:rFonts w:ascii="Arial" w:hAnsi="Arial" w:cs="Arial"/>
          <w:sz w:val="24"/>
          <w:szCs w:val="24"/>
          <w:lang w:val="fr-BE"/>
        </w:rPr>
      </w:pPr>
      <w:r>
        <w:rPr>
          <w:rFonts w:ascii="Arial" w:hAnsi="Arial" w:cs="Arial"/>
          <w:sz w:val="24"/>
          <w:szCs w:val="24"/>
          <w:lang w:val="fr-BE"/>
        </w:rPr>
        <w:t xml:space="preserve">             Cod indicatorRomânia RO 10</w:t>
      </w:r>
    </w:p>
    <w:p w:rsidR="00FE0C26" w:rsidRDefault="00FE0C26" w:rsidP="00FE0C26">
      <w:pPr>
        <w:tabs>
          <w:tab w:val="left" w:pos="1425"/>
        </w:tabs>
        <w:spacing w:after="0" w:line="240" w:lineRule="auto"/>
        <w:jc w:val="both"/>
        <w:rPr>
          <w:rFonts w:ascii="Arial" w:hAnsi="Arial" w:cs="Arial"/>
          <w:b/>
          <w:i/>
          <w:sz w:val="24"/>
          <w:szCs w:val="24"/>
          <w:lang w:val="fr-BE"/>
        </w:rPr>
      </w:pPr>
      <w:r>
        <w:rPr>
          <w:rFonts w:ascii="Arial" w:hAnsi="Arial" w:cs="Arial"/>
          <w:sz w:val="24"/>
          <w:szCs w:val="24"/>
          <w:lang w:val="fr-BE"/>
        </w:rPr>
        <w:t xml:space="preserve">Tendința emisiilor de gaze cu efect de seră – </w:t>
      </w:r>
      <w:r>
        <w:rPr>
          <w:rFonts w:ascii="Arial" w:hAnsi="Arial" w:cs="Arial"/>
          <w:b/>
          <w:i/>
          <w:sz w:val="24"/>
          <w:szCs w:val="24"/>
          <w:lang w:val="fr-BE"/>
        </w:rPr>
        <w:t>nu sunt date disponibile la acest moment din inventarul național.</w:t>
      </w:r>
    </w:p>
    <w:p w:rsidR="00FE0C26" w:rsidRDefault="00FE0C26" w:rsidP="00FE0C26">
      <w:pPr>
        <w:pStyle w:val="Default"/>
        <w:rPr>
          <w:rFonts w:ascii="Arial" w:hAnsi="Arial" w:cs="Arial"/>
          <w:i/>
          <w:lang w:val="fr-BE"/>
        </w:rPr>
      </w:pPr>
    </w:p>
    <w:p w:rsidR="00FE0C26" w:rsidRDefault="00FE0C26" w:rsidP="00FE0C26">
      <w:pPr>
        <w:pStyle w:val="Default"/>
        <w:rPr>
          <w:rFonts w:ascii="Arial" w:hAnsi="Arial" w:cs="Arial"/>
          <w:i/>
          <w:color w:val="auto"/>
          <w:u w:val="single"/>
        </w:rPr>
      </w:pPr>
      <w:r>
        <w:rPr>
          <w:rFonts w:ascii="Arial" w:hAnsi="Arial" w:cs="Arial"/>
          <w:b/>
          <w:color w:val="auto"/>
        </w:rPr>
        <w:t xml:space="preserve">         X.3.2. </w:t>
      </w:r>
      <w:r>
        <w:rPr>
          <w:rFonts w:ascii="Arial" w:hAnsi="Arial" w:cs="Arial"/>
          <w:b/>
          <w:i/>
          <w:color w:val="auto"/>
        </w:rPr>
        <w:t>Consumul de energie pe locuitor</w:t>
      </w:r>
      <w:r>
        <w:rPr>
          <w:rFonts w:ascii="Arial" w:hAnsi="Arial" w:cs="Arial"/>
          <w:b/>
          <w:i/>
          <w:u w:val="single"/>
        </w:rPr>
        <w:t xml:space="preserve">- </w:t>
      </w:r>
      <w:r>
        <w:rPr>
          <w:rFonts w:ascii="Arial" w:hAnsi="Arial" w:cs="Arial"/>
          <w:i/>
          <w:color w:val="auto"/>
          <w:u w:val="single"/>
        </w:rPr>
        <w:t>nu sunt date la nivel județean (DRS Brăila)</w:t>
      </w:r>
    </w:p>
    <w:p w:rsidR="00FE0C26" w:rsidRDefault="00FE0C26" w:rsidP="00FE0C26">
      <w:pPr>
        <w:pStyle w:val="Default"/>
        <w:rPr>
          <w:rFonts w:ascii="Arial" w:hAnsi="Arial" w:cs="Arial"/>
          <w:i/>
          <w:color w:val="auto"/>
          <w:u w:val="single"/>
        </w:rPr>
      </w:pPr>
    </w:p>
    <w:p w:rsidR="00FE0C26" w:rsidRDefault="00FE0C26" w:rsidP="00FE0C26">
      <w:pPr>
        <w:pStyle w:val="Default"/>
        <w:rPr>
          <w:rFonts w:ascii="Arial" w:hAnsi="Arial" w:cs="Arial"/>
          <w:b/>
          <w:i/>
        </w:rPr>
      </w:pPr>
      <w:r>
        <w:rPr>
          <w:rFonts w:ascii="Arial" w:hAnsi="Arial" w:cs="Arial"/>
          <w:b/>
        </w:rPr>
        <w:t xml:space="preserve">         X.3.3. </w:t>
      </w:r>
      <w:r>
        <w:rPr>
          <w:rFonts w:ascii="Arial" w:hAnsi="Arial" w:cs="Arial"/>
          <w:b/>
          <w:i/>
        </w:rPr>
        <w:t>Utilizarea materialelor</w:t>
      </w:r>
    </w:p>
    <w:p w:rsidR="00FE0C26" w:rsidRDefault="00FE0C26" w:rsidP="00FE0C26">
      <w:pPr>
        <w:pStyle w:val="Default"/>
        <w:rPr>
          <w:rFonts w:ascii="Arial" w:hAnsi="Arial" w:cs="Arial"/>
          <w:b/>
          <w:bCs/>
        </w:rPr>
      </w:pPr>
    </w:p>
    <w:p w:rsidR="00FE0C26" w:rsidRDefault="00FE0C26" w:rsidP="00FE0C26">
      <w:pPr>
        <w:pStyle w:val="Default"/>
        <w:rPr>
          <w:rFonts w:ascii="Arial" w:hAnsi="Arial" w:cs="Arial"/>
          <w:b/>
          <w:bCs/>
        </w:rPr>
      </w:pPr>
      <w:r>
        <w:rPr>
          <w:rFonts w:ascii="Arial" w:hAnsi="Arial" w:cs="Arial"/>
          <w:b/>
          <w:bCs/>
        </w:rPr>
        <w:t xml:space="preserve">Resurse </w:t>
      </w:r>
    </w:p>
    <w:p w:rsidR="00FE0C26" w:rsidRDefault="00FE0C26" w:rsidP="00FE0C26">
      <w:pPr>
        <w:pStyle w:val="Default"/>
        <w:rPr>
          <w:rFonts w:ascii="Arial" w:hAnsi="Arial" w:cs="Arial"/>
        </w:rPr>
      </w:pPr>
      <w:r>
        <w:rPr>
          <w:rFonts w:ascii="Arial" w:hAnsi="Arial" w:cs="Arial"/>
        </w:rPr>
        <w:t xml:space="preserve">Principalele </w:t>
      </w:r>
      <w:r>
        <w:rPr>
          <w:rFonts w:ascii="Arial" w:hAnsi="Arial" w:cs="Arial"/>
          <w:b/>
          <w:bCs/>
        </w:rPr>
        <w:t xml:space="preserve">zăcăminte </w:t>
      </w:r>
      <w:r>
        <w:rPr>
          <w:rFonts w:ascii="Arial" w:hAnsi="Arial" w:cs="Arial"/>
        </w:rPr>
        <w:t xml:space="preserve">din judeţul Brăila sunt: </w:t>
      </w:r>
    </w:p>
    <w:p w:rsidR="00FE0C26" w:rsidRDefault="00FE0C26" w:rsidP="00FE0C26">
      <w:pPr>
        <w:pStyle w:val="Default"/>
        <w:rPr>
          <w:rFonts w:ascii="Arial" w:hAnsi="Arial" w:cs="Arial"/>
        </w:rPr>
      </w:pPr>
      <w:r>
        <w:rPr>
          <w:rFonts w:ascii="Arial" w:hAnsi="Arial" w:cs="Arial"/>
          <w:b/>
          <w:bCs/>
        </w:rPr>
        <w:t xml:space="preserve">Zăcămintele de ţiţei şi gaze </w:t>
      </w:r>
      <w:r>
        <w:rPr>
          <w:rFonts w:ascii="Arial" w:hAnsi="Arial" w:cs="Arial"/>
        </w:rPr>
        <w:t xml:space="preserve">se află situate în două unităţi geologice distincte şi anume: </w:t>
      </w:r>
    </w:p>
    <w:p w:rsidR="00FE0C26" w:rsidRDefault="00FE0C26" w:rsidP="00FE0C26">
      <w:pPr>
        <w:pStyle w:val="Default"/>
        <w:numPr>
          <w:ilvl w:val="0"/>
          <w:numId w:val="89"/>
        </w:numPr>
        <w:rPr>
          <w:rFonts w:ascii="Arial" w:hAnsi="Arial" w:cs="Arial"/>
        </w:rPr>
      </w:pPr>
      <w:r>
        <w:rPr>
          <w:rFonts w:ascii="Arial" w:hAnsi="Arial" w:cs="Arial"/>
        </w:rPr>
        <w:t>În cadrul zonei sud-estice a Platformei Moesice sunt puse în evidenţă şi se află în exploatare o serie de zăcăminte de ţiţei şi gaze pe aliniamentul structural orientat sud-</w:t>
      </w:r>
      <w:r>
        <w:rPr>
          <w:rFonts w:ascii="Arial" w:hAnsi="Arial" w:cs="Arial"/>
        </w:rPr>
        <w:lastRenderedPageBreak/>
        <w:t xml:space="preserve">vest nord-est Urziceni-Gârbova-BRăgăneasa-Padina-Jugureanu-Oprişeneşti-Plopu-Bordei Verde- Lişcoteanca-Stăncuţa-Berteşti. </w:t>
      </w:r>
    </w:p>
    <w:p w:rsidR="00FE0C26" w:rsidRDefault="00FE0C26" w:rsidP="00FE0C26">
      <w:pPr>
        <w:pStyle w:val="Default"/>
        <w:numPr>
          <w:ilvl w:val="0"/>
          <w:numId w:val="89"/>
        </w:numPr>
        <w:rPr>
          <w:rFonts w:ascii="Arial" w:hAnsi="Arial" w:cs="Arial"/>
        </w:rPr>
      </w:pPr>
      <w:r>
        <w:rPr>
          <w:rFonts w:ascii="Arial" w:hAnsi="Arial" w:cs="Arial"/>
        </w:rPr>
        <w:t xml:space="preserve">În zona vestică a ridicării Bordei Verde-Însurăţei, într-o zonă delimitată convenţional, între această ridicare şi râul Dâmboviţa, se întâlnesc zăcăminte de ţiţei şi gaze asociate în lungul anticlinalului principal Moara Vlăsiei-Urziceni-Jugureanu. Dintre acestea sunt exploatate zacămintele de ţiţei Jugureanu şi Padina. </w:t>
      </w:r>
    </w:p>
    <w:p w:rsidR="00FE0C26" w:rsidRDefault="00FE0C26" w:rsidP="00FE0C26">
      <w:pPr>
        <w:pStyle w:val="Default"/>
        <w:rPr>
          <w:rFonts w:ascii="Arial" w:hAnsi="Arial" w:cs="Arial"/>
        </w:rPr>
      </w:pPr>
      <w:r>
        <w:rPr>
          <w:rFonts w:ascii="Arial" w:hAnsi="Arial" w:cs="Arial"/>
          <w:b/>
          <w:bCs/>
        </w:rPr>
        <w:t xml:space="preserve">Zăcămintele de gaze libere </w:t>
      </w:r>
      <w:r>
        <w:rPr>
          <w:rFonts w:ascii="Arial" w:hAnsi="Arial" w:cs="Arial"/>
        </w:rPr>
        <w:t xml:space="preserve">în zona de sud-est a Platformei Moesice au fost puse în evidenţă şi se află în exploatare la Oprişeneşti, Bordei Verde, Lişcoteanca, Berteşti, Stăncuţa, Jugureanu, Padina, Gardiştea, Balta Albă. </w:t>
      </w:r>
    </w:p>
    <w:p w:rsidR="00FE0C26" w:rsidRDefault="00FE0C26" w:rsidP="00FE0C26">
      <w:pPr>
        <w:pStyle w:val="Default"/>
        <w:rPr>
          <w:rFonts w:ascii="Arial" w:hAnsi="Arial" w:cs="Arial"/>
        </w:rPr>
      </w:pPr>
      <w:r>
        <w:rPr>
          <w:rFonts w:ascii="Arial" w:hAnsi="Arial" w:cs="Arial"/>
          <w:b/>
          <w:bCs/>
        </w:rPr>
        <w:t xml:space="preserve">Zăcămintele de balast </w:t>
      </w:r>
      <w:r>
        <w:rPr>
          <w:rFonts w:ascii="Arial" w:hAnsi="Arial" w:cs="Arial"/>
        </w:rPr>
        <w:t xml:space="preserve">din judeţul Brăila apar la Gradiştea şi Ibrianu, în albia majoră a râului Buzău. S-au utilizat pentru amenajări de drumuri şi în construcţii. </w:t>
      </w:r>
    </w:p>
    <w:p w:rsidR="00FE0C26" w:rsidRDefault="00FE0C26" w:rsidP="00FE0C26">
      <w:pPr>
        <w:pStyle w:val="Default"/>
        <w:rPr>
          <w:rFonts w:ascii="Arial" w:hAnsi="Arial" w:cs="Arial"/>
        </w:rPr>
      </w:pPr>
      <w:r>
        <w:rPr>
          <w:rFonts w:ascii="Arial" w:hAnsi="Arial" w:cs="Arial"/>
          <w:b/>
          <w:bCs/>
        </w:rPr>
        <w:t xml:space="preserve">Zăcăminte de argilă aluvionară </w:t>
      </w:r>
      <w:r>
        <w:rPr>
          <w:rFonts w:ascii="Arial" w:hAnsi="Arial" w:cs="Arial"/>
        </w:rPr>
        <w:t xml:space="preserve">cu intercalaţii nisipoase şi granule de CaCO3 la Baldovineşti, argilă prăfoasă nisipoasă la Brăila, cu rezerve de bilanţ de circa 1200 mii t şi argilă marnoasă cu înalt grad de refractaritate la Făurei-rezerve de bilanţ de circa 8200 mii t. Depunerile loessoide formează materia primă pentru ceramică inferioară, aceste argile fiind utilizate la faBRicarea cărămizilor. </w:t>
      </w:r>
    </w:p>
    <w:p w:rsidR="00FE0C26" w:rsidRDefault="00FE0C26" w:rsidP="00FE0C26">
      <w:pPr>
        <w:pStyle w:val="Default"/>
        <w:rPr>
          <w:rFonts w:ascii="Arial" w:hAnsi="Arial" w:cs="Arial"/>
        </w:rPr>
      </w:pPr>
      <w:r>
        <w:rPr>
          <w:rFonts w:ascii="Arial" w:hAnsi="Arial" w:cs="Arial"/>
          <w:b/>
          <w:bCs/>
        </w:rPr>
        <w:t xml:space="preserve">Ape minerale şi termale </w:t>
      </w:r>
    </w:p>
    <w:p w:rsidR="00FE0C26" w:rsidRDefault="00FE0C26" w:rsidP="00FE0C26">
      <w:pPr>
        <w:pStyle w:val="Default"/>
        <w:ind w:firstLine="708"/>
        <w:rPr>
          <w:rFonts w:ascii="Arial" w:hAnsi="Arial" w:cs="Arial"/>
        </w:rPr>
      </w:pPr>
      <w:r>
        <w:rPr>
          <w:rFonts w:ascii="Arial" w:hAnsi="Arial" w:cs="Arial"/>
        </w:rPr>
        <w:t xml:space="preserve">În judeţul Brăila există patru sonde cu ape geotermale, două la Însurăţei, una la Mihai Bravu şi alta la Victoria. Apa are o temperatură la gura sondei de 90-95oC. Sondele aparţin S.C. FORADEX S.A. Bucureşti şi sunt în custodia primăriilor locale. Apa are un puternic caracter clorurat-sodic-sulfatic-potasic-magnezianocalcic. </w:t>
      </w:r>
    </w:p>
    <w:p w:rsidR="00FE0C26" w:rsidRDefault="00FE0C26" w:rsidP="00FE0C26">
      <w:pPr>
        <w:pStyle w:val="Default"/>
        <w:rPr>
          <w:rFonts w:ascii="Arial" w:hAnsi="Arial" w:cs="Arial"/>
        </w:rPr>
      </w:pPr>
      <w:r>
        <w:rPr>
          <w:rFonts w:ascii="Arial" w:hAnsi="Arial" w:cs="Arial"/>
        </w:rPr>
        <w:t xml:space="preserve">Actualmente nu sunt utilizate. În trecut a fost utilizată o singura sondă în Însurăţei pentru preparare agent termic pentru locuinţe. </w:t>
      </w:r>
    </w:p>
    <w:p w:rsidR="00FE0C26" w:rsidRDefault="00FE0C26" w:rsidP="00FE0C26">
      <w:pPr>
        <w:rPr>
          <w:rFonts w:ascii="Arial" w:hAnsi="Arial" w:cs="Arial"/>
          <w:b/>
        </w:rPr>
      </w:pPr>
    </w:p>
    <w:p w:rsidR="00FE0C26" w:rsidRDefault="00FE0C26" w:rsidP="00FE0C26">
      <w:pPr>
        <w:rPr>
          <w:rFonts w:ascii="Arial" w:hAnsi="Arial" w:cs="Arial"/>
          <w:b/>
          <w:sz w:val="24"/>
          <w:szCs w:val="24"/>
        </w:rPr>
      </w:pPr>
      <w:r>
        <w:rPr>
          <w:rFonts w:ascii="Arial" w:hAnsi="Arial" w:cs="Arial"/>
          <w:b/>
          <w:sz w:val="24"/>
          <w:szCs w:val="24"/>
        </w:rPr>
        <w:t xml:space="preserve">Presiunile asupra mediului cauzate de deșeuri </w:t>
      </w:r>
    </w:p>
    <w:p w:rsidR="00FE0C26" w:rsidRDefault="00FE0C26" w:rsidP="00FE0C26">
      <w:pPr>
        <w:pStyle w:val="Default"/>
        <w:rPr>
          <w:rFonts w:ascii="Arial" w:hAnsi="Arial" w:cs="Arial"/>
        </w:rPr>
      </w:pPr>
      <w:r>
        <w:rPr>
          <w:rFonts w:ascii="Arial" w:hAnsi="Arial" w:cs="Arial"/>
          <w:b/>
          <w:bCs/>
        </w:rPr>
        <w:t xml:space="preserve">    Evaluarea situaţiei actuale şi a situaţiei prognozate </w:t>
      </w:r>
    </w:p>
    <w:p w:rsidR="00FE0C26" w:rsidRDefault="00FE0C26" w:rsidP="00FE0C26">
      <w:pPr>
        <w:pStyle w:val="Default"/>
        <w:rPr>
          <w:rFonts w:ascii="Arial" w:hAnsi="Arial" w:cs="Arial"/>
          <w:b/>
          <w:bCs/>
        </w:rPr>
      </w:pPr>
    </w:p>
    <w:p w:rsidR="00FE0C26" w:rsidRDefault="00FE0C26" w:rsidP="00FE0C26">
      <w:pPr>
        <w:pStyle w:val="Default"/>
        <w:rPr>
          <w:rFonts w:ascii="Arial" w:hAnsi="Arial" w:cs="Arial"/>
        </w:rPr>
      </w:pPr>
      <w:r>
        <w:rPr>
          <w:rFonts w:ascii="Arial" w:hAnsi="Arial" w:cs="Arial"/>
          <w:b/>
          <w:bCs/>
        </w:rPr>
        <w:t xml:space="preserve">Date generale </w:t>
      </w:r>
    </w:p>
    <w:p w:rsidR="00FE0C26" w:rsidRDefault="00FE0C26" w:rsidP="00FE0C26">
      <w:pPr>
        <w:pStyle w:val="Default"/>
        <w:rPr>
          <w:rFonts w:ascii="Arial" w:hAnsi="Arial" w:cs="Arial"/>
        </w:rPr>
      </w:pPr>
      <w:r>
        <w:rPr>
          <w:rFonts w:ascii="Arial" w:hAnsi="Arial" w:cs="Arial"/>
          <w:b/>
          <w:bCs/>
        </w:rPr>
        <w:t xml:space="preserve">Sursele generatoare </w:t>
      </w:r>
      <w:r>
        <w:rPr>
          <w:rFonts w:ascii="Arial" w:hAnsi="Arial" w:cs="Arial"/>
        </w:rPr>
        <w:t xml:space="preserve">pe categorii de deșeuri sunt următoarele: </w:t>
      </w:r>
    </w:p>
    <w:p w:rsidR="00FE0C26" w:rsidRDefault="00FE0C26" w:rsidP="00FE0C26">
      <w:pPr>
        <w:pStyle w:val="Default"/>
        <w:rPr>
          <w:rFonts w:ascii="Arial" w:hAnsi="Arial" w:cs="Arial"/>
        </w:rPr>
      </w:pPr>
      <w:r>
        <w:rPr>
          <w:rFonts w:ascii="Arial" w:hAnsi="Arial" w:cs="Arial"/>
        </w:rPr>
        <w:t xml:space="preserve">• </w:t>
      </w:r>
      <w:r>
        <w:rPr>
          <w:rFonts w:ascii="Arial" w:hAnsi="Arial" w:cs="Arial"/>
          <w:b/>
          <w:bCs/>
        </w:rPr>
        <w:t>gospodăriile</w:t>
      </w:r>
      <w:r>
        <w:rPr>
          <w:rFonts w:ascii="Arial" w:hAnsi="Arial" w:cs="Arial"/>
        </w:rPr>
        <w:t xml:space="preserve">: generează deșeuri menajere colectate în amestec (fiind principalul flux de deșeuri, cu un conținut important al fracției biodegradabile), deșeuri menajere colectate separat (în vederea reciclării-recuperării de material: hârtie și carton, plastic, sticlă, metal, lemn), deșeuri voluminoase, deșeuri menajere periculoase (reprezentate de mici cantități de baterii pentru aparataj electronic, medicamente expirate, resturi de vopsele și diluanți, etc), deșeuri menajere necolectate generate în general în mediul rural de către populația nedeservită de operatori de salubritate și depozitate ilegal). </w:t>
      </w:r>
    </w:p>
    <w:p w:rsidR="00FE0C26" w:rsidRDefault="00FE0C26" w:rsidP="00FE0C26">
      <w:pPr>
        <w:pStyle w:val="Default"/>
        <w:rPr>
          <w:rFonts w:ascii="Arial" w:hAnsi="Arial" w:cs="Arial"/>
        </w:rPr>
      </w:pPr>
      <w:r>
        <w:rPr>
          <w:rFonts w:ascii="Arial" w:hAnsi="Arial" w:cs="Arial"/>
        </w:rPr>
        <w:t xml:space="preserve">• </w:t>
      </w:r>
      <w:r>
        <w:rPr>
          <w:rFonts w:ascii="Arial" w:hAnsi="Arial" w:cs="Arial"/>
          <w:b/>
          <w:bCs/>
        </w:rPr>
        <w:t>sectorul industrial</w:t>
      </w:r>
      <w:r>
        <w:rPr>
          <w:rFonts w:ascii="Arial" w:hAnsi="Arial" w:cs="Arial"/>
        </w:rPr>
        <w:t xml:space="preserve">: generează deșeuri similare în compoziția celor menajere, provenite din diferite activități ale industriei (clădiri administrative, cantine, etc), deșeuri industriale ne-periculoase (deșeuri în general depozitate în depozite proprii); </w:t>
      </w:r>
    </w:p>
    <w:p w:rsidR="00FE0C26" w:rsidRDefault="00FE0C26" w:rsidP="00FE0C26">
      <w:pPr>
        <w:pStyle w:val="Default"/>
        <w:rPr>
          <w:rFonts w:ascii="Arial" w:hAnsi="Arial" w:cs="Arial"/>
        </w:rPr>
      </w:pPr>
      <w:r>
        <w:rPr>
          <w:rFonts w:ascii="Arial" w:hAnsi="Arial" w:cs="Arial"/>
        </w:rPr>
        <w:t xml:space="preserve">• </w:t>
      </w:r>
      <w:r>
        <w:rPr>
          <w:rFonts w:ascii="Arial" w:hAnsi="Arial" w:cs="Arial"/>
          <w:b/>
          <w:bCs/>
        </w:rPr>
        <w:t>sectorul comercial şi instituţional</w:t>
      </w:r>
      <w:r>
        <w:rPr>
          <w:rFonts w:ascii="Arial" w:hAnsi="Arial" w:cs="Arial"/>
        </w:rPr>
        <w:t>: generează deșeuri similare ăn compozița celor menajere, deșeuri din ambalaje (parte din aceste deșeuri sânt reciclate și recuperate, returnate producătorilor sau sunt depuse la depozit), deșeuri voluminoase, deșeuri medicale periculoase si deșeuri periculoase,</w:t>
      </w:r>
    </w:p>
    <w:p w:rsidR="00FE0C26" w:rsidRDefault="00FE0C26" w:rsidP="00FE0C26">
      <w:pPr>
        <w:pStyle w:val="Default"/>
        <w:rPr>
          <w:rFonts w:ascii="Arial" w:hAnsi="Arial" w:cs="Arial"/>
        </w:rPr>
      </w:pPr>
      <w:r>
        <w:rPr>
          <w:rFonts w:ascii="Arial" w:hAnsi="Arial" w:cs="Arial"/>
        </w:rPr>
        <w:t xml:space="preserve"> • </w:t>
      </w:r>
      <w:r>
        <w:rPr>
          <w:rFonts w:ascii="Arial" w:hAnsi="Arial" w:cs="Arial"/>
          <w:b/>
          <w:bCs/>
        </w:rPr>
        <w:t>sectorul de construcţii</w:t>
      </w:r>
      <w:r>
        <w:rPr>
          <w:rFonts w:ascii="Arial" w:hAnsi="Arial" w:cs="Arial"/>
        </w:rPr>
        <w:t xml:space="preserve">: fluxul principal este constituit de deșeuri din construcții și demolări (includ diverse cantități de lemn, metal, sticlă, plastic, etc – mare parte a acestor materiale sunt recuperate, restul constiuie un refuz inert, care de obicei se depozitează); </w:t>
      </w:r>
    </w:p>
    <w:p w:rsidR="00FE0C26" w:rsidRDefault="00FE0C26" w:rsidP="00FE0C26">
      <w:pPr>
        <w:pStyle w:val="Default"/>
        <w:rPr>
          <w:rFonts w:ascii="Arial" w:hAnsi="Arial" w:cs="Arial"/>
        </w:rPr>
      </w:pPr>
      <w:r>
        <w:rPr>
          <w:rFonts w:ascii="Arial" w:hAnsi="Arial" w:cs="Arial"/>
        </w:rPr>
        <w:t xml:space="preserve">• </w:t>
      </w:r>
      <w:r>
        <w:rPr>
          <w:rFonts w:ascii="Arial" w:hAnsi="Arial" w:cs="Arial"/>
          <w:b/>
          <w:bCs/>
        </w:rPr>
        <w:t>sectorul municipal</w:t>
      </w:r>
      <w:r>
        <w:rPr>
          <w:rFonts w:ascii="Arial" w:hAnsi="Arial" w:cs="Arial"/>
        </w:rPr>
        <w:t xml:space="preserve">: este reprezentat de diverse tipuri de deșeuri rezultate din activitățile de curățenie și întreținere a infrastructurii municipale(deșeuri stradale, deșeuri din pieț , deșeuri verzi, fractii biodegradabile, ambalaje, etc), deșeuri din parcuri și grădini </w:t>
      </w:r>
    </w:p>
    <w:p w:rsidR="00FE0C26" w:rsidRDefault="00FE0C26" w:rsidP="00FE0C26">
      <w:pPr>
        <w:pStyle w:val="Default"/>
        <w:rPr>
          <w:rFonts w:ascii="Arial" w:hAnsi="Arial" w:cs="Arial"/>
        </w:rPr>
      </w:pPr>
      <w:r>
        <w:rPr>
          <w:rFonts w:ascii="Arial" w:hAnsi="Arial" w:cs="Arial"/>
        </w:rPr>
        <w:t xml:space="preserve">• </w:t>
      </w:r>
      <w:r>
        <w:rPr>
          <w:rFonts w:ascii="Arial" w:hAnsi="Arial" w:cs="Arial"/>
          <w:b/>
          <w:bCs/>
        </w:rPr>
        <w:t>activităţi cu impact asupra mediului</w:t>
      </w:r>
      <w:r>
        <w:rPr>
          <w:rFonts w:ascii="Arial" w:hAnsi="Arial" w:cs="Arial"/>
        </w:rPr>
        <w:t>: nămoluri (provenite din stațiile de tratare ape uzate menajere).</w:t>
      </w:r>
    </w:p>
    <w:p w:rsidR="00FE0C26" w:rsidRDefault="00FE0C26" w:rsidP="00FE0C26">
      <w:pPr>
        <w:rPr>
          <w:rFonts w:ascii="Arial" w:hAnsi="Arial" w:cs="Arial"/>
          <w:sz w:val="24"/>
          <w:szCs w:val="24"/>
        </w:rPr>
      </w:pPr>
      <w:r>
        <w:rPr>
          <w:rFonts w:ascii="Arial" w:hAnsi="Arial" w:cs="Arial"/>
          <w:sz w:val="24"/>
          <w:szCs w:val="24"/>
        </w:rPr>
        <w:t xml:space="preserve">• </w:t>
      </w:r>
      <w:r>
        <w:rPr>
          <w:rFonts w:ascii="Arial" w:hAnsi="Arial" w:cs="Arial"/>
          <w:b/>
          <w:bCs/>
          <w:sz w:val="24"/>
          <w:szCs w:val="24"/>
        </w:rPr>
        <w:t>fluxuri speciale de deşeuri</w:t>
      </w:r>
      <w:r>
        <w:rPr>
          <w:rFonts w:ascii="Arial" w:hAnsi="Arial" w:cs="Arial"/>
          <w:sz w:val="24"/>
          <w:szCs w:val="24"/>
        </w:rPr>
        <w:t>: deșeuri periculoase, deșeuri provenite din echipamente electrice și electronice, deșeuri rezultate din scoterea din uz a autovehicolelor, deșeuri de anvelope uzate.</w:t>
      </w:r>
    </w:p>
    <w:p w:rsidR="00FE0C26" w:rsidRDefault="00FE0C26" w:rsidP="00FE0C26">
      <w:pPr>
        <w:rPr>
          <w:rFonts w:ascii="Arial" w:hAnsi="Arial" w:cs="Arial"/>
          <w:b/>
          <w:sz w:val="24"/>
          <w:szCs w:val="24"/>
          <w:lang w:val="it-IT"/>
        </w:rPr>
      </w:pPr>
      <w:r>
        <w:rPr>
          <w:rFonts w:ascii="Arial" w:hAnsi="Arial" w:cs="Arial"/>
          <w:b/>
          <w:sz w:val="24"/>
          <w:szCs w:val="24"/>
        </w:rPr>
        <w:lastRenderedPageBreak/>
        <w:t>X.4. Prognoze, politici și măsuri privind consumul și mediul</w:t>
      </w:r>
    </w:p>
    <w:p w:rsidR="00FE0C26" w:rsidRDefault="00FE0C26" w:rsidP="00FE0C26">
      <w:pPr>
        <w:pStyle w:val="Default"/>
        <w:rPr>
          <w:rFonts w:ascii="Arial" w:hAnsi="Arial" w:cs="Arial"/>
        </w:rPr>
      </w:pPr>
      <w:r>
        <w:rPr>
          <w:rFonts w:ascii="Arial" w:hAnsi="Arial" w:cs="Arial"/>
        </w:rPr>
        <w:t xml:space="preserve">La nivelul judetului Brăila a fost elaborat Proiectul </w:t>
      </w:r>
      <w:r>
        <w:rPr>
          <w:rFonts w:ascii="Arial" w:hAnsi="Arial" w:cs="Arial"/>
          <w:b/>
          <w:bCs/>
        </w:rPr>
        <w:t xml:space="preserve">„Sistem de management integrat al deşeurilor în judeţul Brăila” </w:t>
      </w:r>
      <w:r>
        <w:rPr>
          <w:rFonts w:ascii="Arial" w:hAnsi="Arial" w:cs="Arial"/>
        </w:rPr>
        <w:t>care se află în faza de implementare fizică prin POS Mediu.</w:t>
      </w:r>
    </w:p>
    <w:p w:rsidR="00FE0C26" w:rsidRDefault="00FE0C26" w:rsidP="00FE0C26">
      <w:pPr>
        <w:pStyle w:val="Default"/>
        <w:rPr>
          <w:rFonts w:ascii="Arial" w:hAnsi="Arial" w:cs="Arial"/>
        </w:rPr>
      </w:pPr>
      <w:r>
        <w:rPr>
          <w:rFonts w:ascii="Arial" w:hAnsi="Arial" w:cs="Arial"/>
          <w:b/>
        </w:rPr>
        <w:t>Scopul acestui proiect</w:t>
      </w:r>
      <w:r>
        <w:rPr>
          <w:rFonts w:ascii="Arial" w:hAnsi="Arial" w:cs="Arial"/>
        </w:rPr>
        <w:t xml:space="preserve"> îl reprezintă identificarea  măsurilor, care trebuie îndeplinite pentru dezvoltarea unui sistem de management integrat al deșeurilor solide în județul Brăila, în conformitate cu obligațiile legale. </w:t>
      </w:r>
    </w:p>
    <w:p w:rsidR="00FE0C26" w:rsidRDefault="00FE0C26" w:rsidP="00FE0C26">
      <w:pPr>
        <w:pStyle w:val="Default"/>
        <w:rPr>
          <w:rFonts w:ascii="Arial" w:hAnsi="Arial" w:cs="Arial"/>
        </w:rPr>
      </w:pPr>
      <w:r>
        <w:rPr>
          <w:rFonts w:ascii="Arial" w:hAnsi="Arial" w:cs="Arial"/>
          <w:b/>
          <w:bCs/>
        </w:rPr>
        <w:t xml:space="preserve">Obiectivele generale </w:t>
      </w:r>
      <w:r>
        <w:rPr>
          <w:rFonts w:ascii="Arial" w:hAnsi="Arial" w:cs="Arial"/>
        </w:rPr>
        <w:t xml:space="preserve">ale proiectului sunt urmatoarele: </w:t>
      </w:r>
    </w:p>
    <w:p w:rsidR="00FE0C26" w:rsidRDefault="00FE0C26" w:rsidP="00D61BAB">
      <w:pPr>
        <w:pStyle w:val="Default"/>
        <w:numPr>
          <w:ilvl w:val="0"/>
          <w:numId w:val="92"/>
        </w:numPr>
        <w:rPr>
          <w:rFonts w:ascii="Arial" w:hAnsi="Arial" w:cs="Arial"/>
        </w:rPr>
      </w:pPr>
      <w:r>
        <w:rPr>
          <w:rFonts w:ascii="Arial" w:hAnsi="Arial" w:cs="Arial"/>
        </w:rPr>
        <w:t xml:space="preserve">Creșterea standardelor de viață și de mediu din județul Brăila, vizând, în principal, respectarea acquis-ului comunitar de mediu; </w:t>
      </w:r>
    </w:p>
    <w:p w:rsidR="00FE0C26" w:rsidRDefault="00FE0C26" w:rsidP="00D61BAB">
      <w:pPr>
        <w:pStyle w:val="Default"/>
        <w:numPr>
          <w:ilvl w:val="0"/>
          <w:numId w:val="92"/>
        </w:numPr>
        <w:rPr>
          <w:rFonts w:ascii="Arial" w:hAnsi="Arial" w:cs="Arial"/>
        </w:rPr>
      </w:pPr>
      <w:r>
        <w:rPr>
          <w:rFonts w:ascii="Arial" w:hAnsi="Arial" w:cs="Arial"/>
        </w:rPr>
        <w:t xml:space="preserve">Dezvoltarea unui sistem durabil de management al deșeurilor în judetul Brăila, prin îmbunătățirea managementului deșeurilor și reducerea numărului de zone poluate din județ. </w:t>
      </w:r>
    </w:p>
    <w:p w:rsidR="00FE0C26" w:rsidRDefault="00FE0C26" w:rsidP="00FE0C26">
      <w:pPr>
        <w:pStyle w:val="Default"/>
        <w:rPr>
          <w:rFonts w:ascii="Arial" w:hAnsi="Arial" w:cs="Arial"/>
        </w:rPr>
      </w:pPr>
      <w:r>
        <w:rPr>
          <w:rFonts w:ascii="Arial" w:hAnsi="Arial" w:cs="Arial"/>
          <w:b/>
          <w:bCs/>
        </w:rPr>
        <w:t xml:space="preserve">Obiectivele specifice </w:t>
      </w:r>
      <w:r>
        <w:rPr>
          <w:rFonts w:ascii="Arial" w:hAnsi="Arial" w:cs="Arial"/>
        </w:rPr>
        <w:t xml:space="preserve">ale proiectului sunt definite pe baza obiectivelor din cadrul POS Mediu și vizează: </w:t>
      </w:r>
    </w:p>
    <w:p w:rsidR="00FE0C26" w:rsidRDefault="00FE0C26" w:rsidP="00FE0C26">
      <w:pPr>
        <w:pStyle w:val="Default"/>
        <w:numPr>
          <w:ilvl w:val="0"/>
          <w:numId w:val="90"/>
        </w:numPr>
        <w:rPr>
          <w:rFonts w:ascii="Arial" w:hAnsi="Arial" w:cs="Arial"/>
        </w:rPr>
      </w:pPr>
      <w:r>
        <w:rPr>
          <w:rFonts w:ascii="Arial" w:hAnsi="Arial" w:cs="Arial"/>
        </w:rPr>
        <w:t>Creșterea gradului de acoperire cu servicii de salu</w:t>
      </w:r>
      <w:r w:rsidR="00063AAD">
        <w:rPr>
          <w:rFonts w:ascii="Arial" w:hAnsi="Arial" w:cs="Arial"/>
        </w:rPr>
        <w:t>br</w:t>
      </w:r>
      <w:r>
        <w:rPr>
          <w:rFonts w:ascii="Arial" w:hAnsi="Arial" w:cs="Arial"/>
        </w:rPr>
        <w:t xml:space="preserve">itate la nivelul judeului Brăila, prin îmbunătățirea managementului deșeurilor; </w:t>
      </w:r>
    </w:p>
    <w:p w:rsidR="00FE0C26" w:rsidRDefault="00FE0C26" w:rsidP="00FE0C26">
      <w:pPr>
        <w:pStyle w:val="Default"/>
        <w:numPr>
          <w:ilvl w:val="0"/>
          <w:numId w:val="90"/>
        </w:numPr>
        <w:rPr>
          <w:rFonts w:ascii="Arial" w:hAnsi="Arial" w:cs="Arial"/>
          <w:color w:val="auto"/>
        </w:rPr>
      </w:pPr>
      <w:r>
        <w:rPr>
          <w:rFonts w:ascii="Arial" w:hAnsi="Arial" w:cs="Arial"/>
          <w:color w:val="auto"/>
        </w:rPr>
        <w:t>Asigurarea unor servicii de salu</w:t>
      </w:r>
      <w:r w:rsidR="00690F32">
        <w:rPr>
          <w:rFonts w:ascii="Arial" w:hAnsi="Arial" w:cs="Arial"/>
          <w:color w:val="auto"/>
        </w:rPr>
        <w:t>br</w:t>
      </w:r>
      <w:r>
        <w:rPr>
          <w:rFonts w:ascii="Arial" w:hAnsi="Arial" w:cs="Arial"/>
          <w:color w:val="auto"/>
        </w:rPr>
        <w:t xml:space="preserve">itate la standarde europene, percepând tarife acceptabile pentru populatia din judet; </w:t>
      </w:r>
    </w:p>
    <w:p w:rsidR="00FE0C26" w:rsidRDefault="00FE0C26" w:rsidP="00FE0C26">
      <w:pPr>
        <w:pStyle w:val="Default"/>
        <w:numPr>
          <w:ilvl w:val="0"/>
          <w:numId w:val="90"/>
        </w:numPr>
        <w:rPr>
          <w:rFonts w:ascii="Arial" w:hAnsi="Arial" w:cs="Arial"/>
          <w:color w:val="auto"/>
        </w:rPr>
      </w:pPr>
      <w:r>
        <w:rPr>
          <w:rFonts w:ascii="Arial" w:hAnsi="Arial" w:cs="Arial"/>
          <w:color w:val="auto"/>
        </w:rPr>
        <w:t xml:space="preserve">Reducerea cantității de deșeuri depozitate pe suprafața judetului Brăila; </w:t>
      </w:r>
    </w:p>
    <w:p w:rsidR="00FE0C26" w:rsidRDefault="00FE0C26" w:rsidP="00FE0C26">
      <w:pPr>
        <w:pStyle w:val="Default"/>
        <w:numPr>
          <w:ilvl w:val="0"/>
          <w:numId w:val="90"/>
        </w:numPr>
        <w:rPr>
          <w:rFonts w:ascii="Arial" w:hAnsi="Arial" w:cs="Arial"/>
          <w:color w:val="auto"/>
        </w:rPr>
      </w:pPr>
      <w:r>
        <w:rPr>
          <w:rFonts w:ascii="Arial" w:hAnsi="Arial" w:cs="Arial"/>
          <w:color w:val="auto"/>
        </w:rPr>
        <w:t xml:space="preserve">Creșterea cantității de deșeuri reciclate si valorificate la nivelul judetului Brăila; </w:t>
      </w:r>
    </w:p>
    <w:p w:rsidR="00FE0C26" w:rsidRDefault="00FE0C26" w:rsidP="00FE0C26">
      <w:pPr>
        <w:pStyle w:val="Default"/>
        <w:rPr>
          <w:rFonts w:ascii="Arial" w:hAnsi="Arial" w:cs="Arial"/>
          <w:color w:val="auto"/>
        </w:rPr>
      </w:pPr>
      <w:r>
        <w:rPr>
          <w:rFonts w:ascii="Arial" w:hAnsi="Arial" w:cs="Arial"/>
          <w:color w:val="auto"/>
        </w:rPr>
        <w:t xml:space="preserve">Înființarea la nivelul județului Brăila a unor structuri eficiente de management al deșeurilor. </w:t>
      </w:r>
    </w:p>
    <w:p w:rsidR="00FE0C26" w:rsidRDefault="00FE0C26" w:rsidP="00FE0C26">
      <w:pPr>
        <w:pStyle w:val="Default"/>
        <w:rPr>
          <w:rFonts w:ascii="Arial" w:hAnsi="Arial" w:cs="Arial"/>
          <w:color w:val="auto"/>
        </w:rPr>
      </w:pPr>
      <w:r>
        <w:rPr>
          <w:rFonts w:ascii="Arial" w:hAnsi="Arial" w:cs="Arial"/>
          <w:color w:val="auto"/>
        </w:rPr>
        <w:t xml:space="preserve">Implementarea proiectului în județul Brăila permite  atingerea următoarelor obiective: </w:t>
      </w:r>
    </w:p>
    <w:p w:rsidR="00FE0C26" w:rsidRDefault="00FE0C26" w:rsidP="00FE0C26">
      <w:pPr>
        <w:pStyle w:val="Default"/>
        <w:numPr>
          <w:ilvl w:val="0"/>
          <w:numId w:val="91"/>
        </w:numPr>
        <w:rPr>
          <w:rFonts w:ascii="Arial" w:hAnsi="Arial" w:cs="Arial"/>
          <w:color w:val="auto"/>
        </w:rPr>
      </w:pPr>
      <w:r>
        <w:rPr>
          <w:rFonts w:ascii="Arial" w:hAnsi="Arial" w:cs="Arial"/>
          <w:color w:val="auto"/>
        </w:rPr>
        <w:t>asigurarea unui grad de acoperire cu servicii de salu</w:t>
      </w:r>
      <w:r w:rsidR="00063AAD">
        <w:rPr>
          <w:rFonts w:ascii="Arial" w:hAnsi="Arial" w:cs="Arial"/>
          <w:color w:val="auto"/>
        </w:rPr>
        <w:t>br</w:t>
      </w:r>
      <w:r>
        <w:rPr>
          <w:rFonts w:ascii="Arial" w:hAnsi="Arial" w:cs="Arial"/>
          <w:color w:val="auto"/>
        </w:rPr>
        <w:t xml:space="preserve">itate de 100%, atât în mediul urban, cât și în mediul rural; </w:t>
      </w:r>
    </w:p>
    <w:p w:rsidR="00FE0C26" w:rsidRDefault="00FE0C26" w:rsidP="00FE0C26">
      <w:pPr>
        <w:pStyle w:val="Default"/>
        <w:numPr>
          <w:ilvl w:val="0"/>
          <w:numId w:val="91"/>
        </w:numPr>
        <w:rPr>
          <w:rFonts w:ascii="Arial" w:hAnsi="Arial" w:cs="Arial"/>
          <w:color w:val="auto"/>
        </w:rPr>
      </w:pPr>
      <w:r>
        <w:rPr>
          <w:rFonts w:ascii="Arial" w:hAnsi="Arial" w:cs="Arial"/>
          <w:color w:val="auto"/>
        </w:rPr>
        <w:t xml:space="preserve">atingerea țintelor de reciclare/valorificare a deșeurilor din ambalaje. </w:t>
      </w:r>
    </w:p>
    <w:p w:rsidR="00FE0C26" w:rsidRDefault="00FE0C26" w:rsidP="00FE0C26">
      <w:pPr>
        <w:pStyle w:val="Default"/>
        <w:numPr>
          <w:ilvl w:val="0"/>
          <w:numId w:val="91"/>
        </w:numPr>
        <w:rPr>
          <w:rFonts w:ascii="Arial" w:hAnsi="Arial" w:cs="Arial"/>
          <w:color w:val="auto"/>
        </w:rPr>
      </w:pPr>
      <w:r>
        <w:rPr>
          <w:rFonts w:ascii="Arial" w:hAnsi="Arial" w:cs="Arial"/>
          <w:color w:val="auto"/>
        </w:rPr>
        <w:t xml:space="preserve">conformarea cu privire la Directiva UE privind depozitarea deșeurilor biodegradabile </w:t>
      </w:r>
    </w:p>
    <w:p w:rsidR="00FE0C26" w:rsidRDefault="00FE0C26" w:rsidP="00FE0C26">
      <w:pPr>
        <w:pStyle w:val="Default"/>
        <w:numPr>
          <w:ilvl w:val="0"/>
          <w:numId w:val="91"/>
        </w:numPr>
        <w:rPr>
          <w:rFonts w:ascii="Arial" w:hAnsi="Arial" w:cs="Arial"/>
          <w:color w:val="auto"/>
        </w:rPr>
      </w:pPr>
      <w:r>
        <w:rPr>
          <w:rFonts w:ascii="Arial" w:hAnsi="Arial" w:cs="Arial"/>
          <w:color w:val="auto"/>
        </w:rPr>
        <w:t xml:space="preserve">reducerea impactului de mediu aferente depozitărilor neconforme. </w:t>
      </w:r>
    </w:p>
    <w:p w:rsidR="00FE0C26" w:rsidRDefault="00FE0C26" w:rsidP="00FE0C26">
      <w:pPr>
        <w:spacing w:line="240" w:lineRule="auto"/>
        <w:rPr>
          <w:rFonts w:ascii="Arial" w:hAnsi="Arial" w:cs="Arial"/>
          <w:b/>
          <w:color w:val="FF0000"/>
          <w:sz w:val="24"/>
          <w:szCs w:val="24"/>
          <w:u w:val="single"/>
        </w:rPr>
      </w:pPr>
    </w:p>
    <w:p w:rsidR="00B51C11" w:rsidRPr="006C2DD6" w:rsidRDefault="00B51C11" w:rsidP="00B51C11"/>
    <w:p w:rsidR="007A21BD" w:rsidRPr="00067FEF" w:rsidRDefault="007A21BD" w:rsidP="007A21BD">
      <w:pPr>
        <w:shd w:val="clear" w:color="auto" w:fill="FFFFFF" w:themeFill="background1"/>
        <w:tabs>
          <w:tab w:val="left" w:pos="1204"/>
          <w:tab w:val="left" w:leader="dot" w:pos="9356"/>
        </w:tabs>
        <w:spacing w:after="0" w:line="240" w:lineRule="auto"/>
        <w:ind w:left="426"/>
        <w:jc w:val="both"/>
        <w:rPr>
          <w:rFonts w:ascii="Arial" w:hAnsi="Arial" w:cs="Arial"/>
          <w:b/>
          <w:i/>
          <w:sz w:val="24"/>
          <w:szCs w:val="24"/>
        </w:rPr>
      </w:pPr>
    </w:p>
    <w:p w:rsidR="007A21BD" w:rsidRPr="0090394B" w:rsidRDefault="007A21BD" w:rsidP="007A21BD">
      <w:pPr>
        <w:shd w:val="clear" w:color="auto" w:fill="FFFFFF" w:themeFill="background1"/>
        <w:rPr>
          <w:rFonts w:ascii="Arial" w:hAnsi="Arial" w:cs="Arial"/>
          <w:sz w:val="24"/>
          <w:szCs w:val="24"/>
        </w:rPr>
      </w:pPr>
    </w:p>
    <w:p w:rsidR="006B2FD4" w:rsidRPr="003771CC" w:rsidRDefault="006B2FD4" w:rsidP="006B2FD4">
      <w:pPr>
        <w:spacing w:after="0" w:line="240" w:lineRule="auto"/>
        <w:jc w:val="both"/>
        <w:rPr>
          <w:rFonts w:ascii="Arial" w:hAnsi="Arial" w:cs="Arial"/>
          <w:color w:val="00B050"/>
          <w:sz w:val="24"/>
          <w:szCs w:val="24"/>
        </w:rPr>
      </w:pPr>
    </w:p>
    <w:p w:rsidR="006B2FD4" w:rsidRPr="00C625DB" w:rsidRDefault="006B2FD4" w:rsidP="006B2FD4">
      <w:pPr>
        <w:tabs>
          <w:tab w:val="left" w:pos="1204"/>
          <w:tab w:val="left" w:leader="dot" w:pos="9356"/>
        </w:tabs>
        <w:spacing w:after="0" w:line="240" w:lineRule="auto"/>
        <w:ind w:left="426"/>
        <w:jc w:val="both"/>
        <w:rPr>
          <w:rFonts w:ascii="Arial" w:hAnsi="Arial" w:cs="Arial"/>
          <w:b/>
          <w:i/>
          <w:sz w:val="24"/>
          <w:szCs w:val="24"/>
        </w:rPr>
      </w:pPr>
    </w:p>
    <w:p w:rsidR="006B2FD4" w:rsidRPr="00C625DB" w:rsidRDefault="006B2FD4" w:rsidP="006B2FD4">
      <w:pPr>
        <w:tabs>
          <w:tab w:val="left" w:pos="1204"/>
          <w:tab w:val="left" w:leader="dot" w:pos="9356"/>
        </w:tabs>
        <w:spacing w:after="0" w:line="240" w:lineRule="auto"/>
        <w:ind w:left="426"/>
        <w:jc w:val="both"/>
        <w:rPr>
          <w:rFonts w:ascii="Arial" w:hAnsi="Arial" w:cs="Arial"/>
          <w:b/>
          <w:i/>
          <w:sz w:val="24"/>
          <w:szCs w:val="24"/>
        </w:rPr>
      </w:pPr>
      <w:r w:rsidRPr="00C625DB">
        <w:rPr>
          <w:rFonts w:ascii="Arial" w:hAnsi="Arial" w:cs="Arial"/>
          <w:b/>
          <w:i/>
          <w:sz w:val="24"/>
          <w:szCs w:val="24"/>
        </w:rPr>
        <w:br w:type="textWrapping" w:clear="all"/>
      </w:r>
    </w:p>
    <w:p w:rsidR="006B2FD4" w:rsidRPr="00C625DB" w:rsidRDefault="006B2FD4" w:rsidP="006B2FD4">
      <w:pPr>
        <w:tabs>
          <w:tab w:val="left" w:pos="1204"/>
          <w:tab w:val="left" w:leader="dot" w:pos="9356"/>
        </w:tabs>
        <w:spacing w:after="0" w:line="240" w:lineRule="auto"/>
        <w:ind w:left="426"/>
        <w:jc w:val="both"/>
        <w:rPr>
          <w:rFonts w:ascii="Arial" w:hAnsi="Arial" w:cs="Arial"/>
          <w:b/>
          <w:i/>
          <w:sz w:val="24"/>
          <w:szCs w:val="24"/>
        </w:rPr>
      </w:pPr>
    </w:p>
    <w:p w:rsidR="006B2FD4" w:rsidRPr="00C625DB" w:rsidRDefault="006B2FD4" w:rsidP="006B2FD4">
      <w:pPr>
        <w:tabs>
          <w:tab w:val="left" w:pos="1204"/>
          <w:tab w:val="left" w:leader="dot" w:pos="9356"/>
        </w:tabs>
        <w:spacing w:after="0" w:line="240" w:lineRule="auto"/>
        <w:ind w:left="426"/>
        <w:jc w:val="both"/>
        <w:rPr>
          <w:rFonts w:ascii="Arial" w:hAnsi="Arial" w:cs="Arial"/>
          <w:b/>
          <w:i/>
          <w:sz w:val="24"/>
          <w:szCs w:val="24"/>
        </w:rPr>
      </w:pPr>
    </w:p>
    <w:sectPr w:rsidR="006B2FD4" w:rsidRPr="00C625DB" w:rsidSect="002C1759">
      <w:footerReference w:type="default" r:id="rId163"/>
      <w:pgSz w:w="11907" w:h="16840" w:code="9"/>
      <w:pgMar w:top="567" w:right="567" w:bottom="567" w:left="1134" w:header="284"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1EA" w:rsidRDefault="00EE61EA" w:rsidP="00E927D6">
      <w:pPr>
        <w:spacing w:after="0" w:line="240" w:lineRule="auto"/>
      </w:pPr>
      <w:r>
        <w:separator/>
      </w:r>
    </w:p>
  </w:endnote>
  <w:endnote w:type="continuationSeparator" w:id="1">
    <w:p w:rsidR="00EE61EA" w:rsidRDefault="00EE61EA" w:rsidP="00E92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0" w:usb1="00000000" w:usb2="00000000" w:usb3="00000000" w:csb0="00000000" w:csb1="00000000"/>
  </w:font>
  <w:font w:name="Ro Times New Roman">
    <w:altName w:val="Times New Roman"/>
    <w:charset w:val="00"/>
    <w:family w:val="roman"/>
    <w:pitch w:val="variable"/>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0291"/>
      <w:docPartObj>
        <w:docPartGallery w:val="Page Numbers (Bottom of Page)"/>
        <w:docPartUnique/>
      </w:docPartObj>
    </w:sdtPr>
    <w:sdtContent>
      <w:p w:rsidR="00DE32CE" w:rsidRDefault="00DE32CE">
        <w:pPr>
          <w:pStyle w:val="Footer"/>
          <w:jc w:val="center"/>
        </w:pPr>
        <w:r>
          <w:t>[</w:t>
        </w:r>
        <w:fldSimple w:instr=" PAGE   \* MERGEFORMAT ">
          <w:r w:rsidR="00323029">
            <w:rPr>
              <w:noProof/>
            </w:rPr>
            <w:t>3</w:t>
          </w:r>
        </w:fldSimple>
        <w:r>
          <w:t>]</w:t>
        </w:r>
      </w:p>
    </w:sdtContent>
  </w:sdt>
  <w:p w:rsidR="00DE32CE" w:rsidRDefault="00DE32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1EA" w:rsidRDefault="00EE61EA" w:rsidP="00E927D6">
      <w:pPr>
        <w:spacing w:after="0" w:line="240" w:lineRule="auto"/>
      </w:pPr>
      <w:r>
        <w:separator/>
      </w:r>
    </w:p>
  </w:footnote>
  <w:footnote w:type="continuationSeparator" w:id="1">
    <w:p w:rsidR="00EE61EA" w:rsidRDefault="00EE61EA" w:rsidP="00E92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208"/>
    <w:multiLevelType w:val="hybridMultilevel"/>
    <w:tmpl w:val="2ADCAC0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036A15E9"/>
    <w:multiLevelType w:val="hybridMultilevel"/>
    <w:tmpl w:val="7D14FC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05676"/>
    <w:multiLevelType w:val="hybridMultilevel"/>
    <w:tmpl w:val="354AAA24"/>
    <w:lvl w:ilvl="0" w:tplc="A3E07014">
      <w:start w:val="11"/>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464AAB"/>
    <w:multiLevelType w:val="hybridMultilevel"/>
    <w:tmpl w:val="9F18F7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B0C7C8C"/>
    <w:multiLevelType w:val="hybridMultilevel"/>
    <w:tmpl w:val="A310299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C2F186A"/>
    <w:multiLevelType w:val="hybridMultilevel"/>
    <w:tmpl w:val="B3DEFA5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0E2B3C98"/>
    <w:multiLevelType w:val="hybridMultilevel"/>
    <w:tmpl w:val="288030DA"/>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7">
    <w:nsid w:val="0F8D50CC"/>
    <w:multiLevelType w:val="hybridMultilevel"/>
    <w:tmpl w:val="E96A30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FFA2050"/>
    <w:multiLevelType w:val="hybridMultilevel"/>
    <w:tmpl w:val="CE0C3922"/>
    <w:lvl w:ilvl="0" w:tplc="D3CE15C0">
      <w:start w:val="9"/>
      <w:numFmt w:val="bullet"/>
      <w:lvlText w:val="-"/>
      <w:lvlJc w:val="left"/>
      <w:pPr>
        <w:ind w:left="720"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19408B9"/>
    <w:multiLevelType w:val="hybridMultilevel"/>
    <w:tmpl w:val="AF1AED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0632A6"/>
    <w:multiLevelType w:val="hybridMultilevel"/>
    <w:tmpl w:val="9A9849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2091AA6"/>
    <w:multiLevelType w:val="multilevel"/>
    <w:tmpl w:val="3740F76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nsid w:val="14844589"/>
    <w:multiLevelType w:val="hybridMultilevel"/>
    <w:tmpl w:val="C3B6B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616051B"/>
    <w:multiLevelType w:val="hybridMultilevel"/>
    <w:tmpl w:val="FF6EAE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6957F97"/>
    <w:multiLevelType w:val="hybridMultilevel"/>
    <w:tmpl w:val="376A4582"/>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16">
    <w:nsid w:val="174B42F7"/>
    <w:multiLevelType w:val="hybridMultilevel"/>
    <w:tmpl w:val="63F08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7636F76"/>
    <w:multiLevelType w:val="hybridMultilevel"/>
    <w:tmpl w:val="DAD0E2AC"/>
    <w:lvl w:ilvl="0" w:tplc="AE8493DC">
      <w:start w:val="2"/>
      <w:numFmt w:val="upperRoman"/>
      <w:lvlText w:val="%1."/>
      <w:lvlJc w:val="left"/>
      <w:pPr>
        <w:tabs>
          <w:tab w:val="num" w:pos="1080"/>
        </w:tabs>
        <w:ind w:left="1080" w:hanging="72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17F24D21"/>
    <w:multiLevelType w:val="hybridMultilevel"/>
    <w:tmpl w:val="4AD4F7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855242D"/>
    <w:multiLevelType w:val="hybridMultilevel"/>
    <w:tmpl w:val="167617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908742D"/>
    <w:multiLevelType w:val="hybridMultilevel"/>
    <w:tmpl w:val="6CEC28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9922A0B"/>
    <w:multiLevelType w:val="hybridMultilevel"/>
    <w:tmpl w:val="168C6DE4"/>
    <w:lvl w:ilvl="0" w:tplc="B14ADC2C">
      <w:start w:val="1"/>
      <w:numFmt w:val="upp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A822165"/>
    <w:multiLevelType w:val="hybridMultilevel"/>
    <w:tmpl w:val="CBD4385C"/>
    <w:lvl w:ilvl="0" w:tplc="04180001">
      <w:start w:val="1"/>
      <w:numFmt w:val="bullet"/>
      <w:lvlText w:val=""/>
      <w:lvlJc w:val="left"/>
      <w:pPr>
        <w:tabs>
          <w:tab w:val="num" w:pos="1776"/>
        </w:tabs>
        <w:ind w:left="1776"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3">
    <w:nsid w:val="1A956F5B"/>
    <w:multiLevelType w:val="hybridMultilevel"/>
    <w:tmpl w:val="6B5411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1191"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25">
    <w:nsid w:val="1E7F2516"/>
    <w:multiLevelType w:val="hybridMultilevel"/>
    <w:tmpl w:val="0CBA91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EB37745"/>
    <w:multiLevelType w:val="multilevel"/>
    <w:tmpl w:val="E64A5560"/>
    <w:lvl w:ilvl="0">
      <w:start w:val="1"/>
      <w:numFmt w:val="bullet"/>
      <w:lvlText w:val=""/>
      <w:lvlJc w:val="left"/>
      <w:pPr>
        <w:ind w:left="2300" w:hanging="360"/>
      </w:pPr>
      <w:rPr>
        <w:rFonts w:ascii="Symbol" w:hAnsi="Symbol" w:cs="Symbol"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28">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36F1E96"/>
    <w:multiLevelType w:val="hybridMultilevel"/>
    <w:tmpl w:val="B6A0B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7909A6"/>
    <w:multiLevelType w:val="hybridMultilevel"/>
    <w:tmpl w:val="8D5CA6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23DB4BDD"/>
    <w:multiLevelType w:val="hybridMultilevel"/>
    <w:tmpl w:val="2FAEAD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251957DF"/>
    <w:multiLevelType w:val="hybridMultilevel"/>
    <w:tmpl w:val="857C7C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26846293"/>
    <w:multiLevelType w:val="hybridMultilevel"/>
    <w:tmpl w:val="E8E435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272F7628"/>
    <w:multiLevelType w:val="hybridMultilevel"/>
    <w:tmpl w:val="5324262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2ACE6C66"/>
    <w:multiLevelType w:val="hybridMultilevel"/>
    <w:tmpl w:val="B39604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D543493"/>
    <w:multiLevelType w:val="hybridMultilevel"/>
    <w:tmpl w:val="48323D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FF9206B"/>
    <w:multiLevelType w:val="hybridMultilevel"/>
    <w:tmpl w:val="DB608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30B13097"/>
    <w:multiLevelType w:val="hybridMultilevel"/>
    <w:tmpl w:val="81A897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nsid w:val="31C45907"/>
    <w:multiLevelType w:val="hybridMultilevel"/>
    <w:tmpl w:val="4664D7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2B742C4"/>
    <w:multiLevelType w:val="hybridMultilevel"/>
    <w:tmpl w:val="48AECF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3339549F"/>
    <w:multiLevelType w:val="hybridMultilevel"/>
    <w:tmpl w:val="5DB8E8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4A55AAD"/>
    <w:multiLevelType w:val="hybridMultilevel"/>
    <w:tmpl w:val="E0B8B1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85D18DF"/>
    <w:multiLevelType w:val="hybridMultilevel"/>
    <w:tmpl w:val="C42EAB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9662C41"/>
    <w:multiLevelType w:val="hybridMultilevel"/>
    <w:tmpl w:val="0B029BA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9">
    <w:nsid w:val="3FDC28E1"/>
    <w:multiLevelType w:val="hybridMultilevel"/>
    <w:tmpl w:val="E2CC394A"/>
    <w:lvl w:ilvl="0" w:tplc="28DCE51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1">
    <w:nsid w:val="42630F3F"/>
    <w:multiLevelType w:val="hybridMultilevel"/>
    <w:tmpl w:val="26EEE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58F2FDD"/>
    <w:multiLevelType w:val="hybridMultilevel"/>
    <w:tmpl w:val="D0D074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45E92CBD"/>
    <w:multiLevelType w:val="hybridMultilevel"/>
    <w:tmpl w:val="27F898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49BE45F4"/>
    <w:multiLevelType w:val="hybridMultilevel"/>
    <w:tmpl w:val="DDB860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49D831FE"/>
    <w:multiLevelType w:val="hybridMultilevel"/>
    <w:tmpl w:val="417CA9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4F454DC0"/>
    <w:multiLevelType w:val="hybridMultilevel"/>
    <w:tmpl w:val="4B904742"/>
    <w:lvl w:ilvl="0" w:tplc="3AA41214">
      <w:start w:val="1"/>
      <w:numFmt w:val="bullet"/>
      <w:lvlText w:val=""/>
      <w:lvlJc w:val="left"/>
      <w:pPr>
        <w:tabs>
          <w:tab w:val="num" w:pos="1070"/>
        </w:tabs>
        <w:ind w:left="370" w:firstLine="340"/>
      </w:pPr>
      <w:rPr>
        <w:rFonts w:ascii="Wingdings" w:hAnsi="Wingdings" w:hint="default"/>
        <w:color w:val="auto"/>
        <w:sz w:val="24"/>
        <w:szCs w:val="24"/>
      </w:rPr>
    </w:lvl>
    <w:lvl w:ilvl="1" w:tplc="04180003">
      <w:start w:val="1"/>
      <w:numFmt w:val="bullet"/>
      <w:lvlText w:val="o"/>
      <w:lvlJc w:val="left"/>
      <w:pPr>
        <w:tabs>
          <w:tab w:val="num" w:pos="2210"/>
        </w:tabs>
        <w:ind w:left="2210" w:hanging="360"/>
      </w:pPr>
      <w:rPr>
        <w:rFonts w:ascii="Courier New" w:hAnsi="Courier New" w:hint="default"/>
      </w:rPr>
    </w:lvl>
    <w:lvl w:ilvl="2" w:tplc="04180005" w:tentative="1">
      <w:start w:val="1"/>
      <w:numFmt w:val="bullet"/>
      <w:lvlText w:val=""/>
      <w:lvlJc w:val="left"/>
      <w:pPr>
        <w:tabs>
          <w:tab w:val="num" w:pos="2930"/>
        </w:tabs>
        <w:ind w:left="2930" w:hanging="360"/>
      </w:pPr>
      <w:rPr>
        <w:rFonts w:ascii="Wingdings" w:hAnsi="Wingdings" w:hint="default"/>
      </w:rPr>
    </w:lvl>
    <w:lvl w:ilvl="3" w:tplc="04180001" w:tentative="1">
      <w:start w:val="1"/>
      <w:numFmt w:val="bullet"/>
      <w:lvlText w:val=""/>
      <w:lvlJc w:val="left"/>
      <w:pPr>
        <w:tabs>
          <w:tab w:val="num" w:pos="3650"/>
        </w:tabs>
        <w:ind w:left="3650" w:hanging="360"/>
      </w:pPr>
      <w:rPr>
        <w:rFonts w:ascii="Symbol" w:hAnsi="Symbol" w:hint="default"/>
      </w:rPr>
    </w:lvl>
    <w:lvl w:ilvl="4" w:tplc="04180003" w:tentative="1">
      <w:start w:val="1"/>
      <w:numFmt w:val="bullet"/>
      <w:lvlText w:val="o"/>
      <w:lvlJc w:val="left"/>
      <w:pPr>
        <w:tabs>
          <w:tab w:val="num" w:pos="4370"/>
        </w:tabs>
        <w:ind w:left="4370" w:hanging="360"/>
      </w:pPr>
      <w:rPr>
        <w:rFonts w:ascii="Courier New" w:hAnsi="Courier New" w:hint="default"/>
      </w:rPr>
    </w:lvl>
    <w:lvl w:ilvl="5" w:tplc="04180005" w:tentative="1">
      <w:start w:val="1"/>
      <w:numFmt w:val="bullet"/>
      <w:lvlText w:val=""/>
      <w:lvlJc w:val="left"/>
      <w:pPr>
        <w:tabs>
          <w:tab w:val="num" w:pos="5090"/>
        </w:tabs>
        <w:ind w:left="5090" w:hanging="360"/>
      </w:pPr>
      <w:rPr>
        <w:rFonts w:ascii="Wingdings" w:hAnsi="Wingdings" w:hint="default"/>
      </w:rPr>
    </w:lvl>
    <w:lvl w:ilvl="6" w:tplc="04180001" w:tentative="1">
      <w:start w:val="1"/>
      <w:numFmt w:val="bullet"/>
      <w:lvlText w:val=""/>
      <w:lvlJc w:val="left"/>
      <w:pPr>
        <w:tabs>
          <w:tab w:val="num" w:pos="5810"/>
        </w:tabs>
        <w:ind w:left="5810" w:hanging="360"/>
      </w:pPr>
      <w:rPr>
        <w:rFonts w:ascii="Symbol" w:hAnsi="Symbol" w:hint="default"/>
      </w:rPr>
    </w:lvl>
    <w:lvl w:ilvl="7" w:tplc="04180003" w:tentative="1">
      <w:start w:val="1"/>
      <w:numFmt w:val="bullet"/>
      <w:lvlText w:val="o"/>
      <w:lvlJc w:val="left"/>
      <w:pPr>
        <w:tabs>
          <w:tab w:val="num" w:pos="6530"/>
        </w:tabs>
        <w:ind w:left="6530" w:hanging="360"/>
      </w:pPr>
      <w:rPr>
        <w:rFonts w:ascii="Courier New" w:hAnsi="Courier New" w:hint="default"/>
      </w:rPr>
    </w:lvl>
    <w:lvl w:ilvl="8" w:tplc="04180005" w:tentative="1">
      <w:start w:val="1"/>
      <w:numFmt w:val="bullet"/>
      <w:lvlText w:val=""/>
      <w:lvlJc w:val="left"/>
      <w:pPr>
        <w:tabs>
          <w:tab w:val="num" w:pos="7250"/>
        </w:tabs>
        <w:ind w:left="7250" w:hanging="360"/>
      </w:pPr>
      <w:rPr>
        <w:rFonts w:ascii="Wingdings" w:hAnsi="Wingdings" w:hint="default"/>
      </w:rPr>
    </w:lvl>
  </w:abstractNum>
  <w:abstractNum w:abstractNumId="57">
    <w:nsid w:val="4F8B4545"/>
    <w:multiLevelType w:val="hybridMultilevel"/>
    <w:tmpl w:val="591E69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50727174"/>
    <w:multiLevelType w:val="hybridMultilevel"/>
    <w:tmpl w:val="836648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51020E2F"/>
    <w:multiLevelType w:val="hybridMultilevel"/>
    <w:tmpl w:val="B39E3B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51FB4E48"/>
    <w:multiLevelType w:val="hybridMultilevel"/>
    <w:tmpl w:val="DD7C89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539B20D5"/>
    <w:multiLevelType w:val="hybridMultilevel"/>
    <w:tmpl w:val="6ABACD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56B05EB7"/>
    <w:multiLevelType w:val="hybridMultilevel"/>
    <w:tmpl w:val="CF2451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58C82A95"/>
    <w:multiLevelType w:val="hybridMultilevel"/>
    <w:tmpl w:val="A7E4517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4">
    <w:nsid w:val="5C100D7B"/>
    <w:multiLevelType w:val="hybridMultilevel"/>
    <w:tmpl w:val="D8A83F4A"/>
    <w:lvl w:ilvl="0" w:tplc="04180001">
      <w:start w:val="1"/>
      <w:numFmt w:val="bullet"/>
      <w:lvlText w:val=""/>
      <w:lvlJc w:val="left"/>
      <w:pPr>
        <w:tabs>
          <w:tab w:val="num" w:pos="2190"/>
        </w:tabs>
        <w:ind w:left="2190" w:hanging="360"/>
      </w:pPr>
      <w:rPr>
        <w:rFonts w:ascii="Symbol" w:hAnsi="Symbol" w:hint="default"/>
      </w:rPr>
    </w:lvl>
    <w:lvl w:ilvl="1" w:tplc="04180003" w:tentative="1">
      <w:start w:val="1"/>
      <w:numFmt w:val="bullet"/>
      <w:lvlText w:val="o"/>
      <w:lvlJc w:val="left"/>
      <w:pPr>
        <w:tabs>
          <w:tab w:val="num" w:pos="2910"/>
        </w:tabs>
        <w:ind w:left="2910" w:hanging="360"/>
      </w:pPr>
      <w:rPr>
        <w:rFonts w:ascii="Courier New" w:hAnsi="Courier New" w:cs="Courier New" w:hint="default"/>
      </w:rPr>
    </w:lvl>
    <w:lvl w:ilvl="2" w:tplc="04180005" w:tentative="1">
      <w:start w:val="1"/>
      <w:numFmt w:val="bullet"/>
      <w:lvlText w:val=""/>
      <w:lvlJc w:val="left"/>
      <w:pPr>
        <w:tabs>
          <w:tab w:val="num" w:pos="3630"/>
        </w:tabs>
        <w:ind w:left="3630" w:hanging="360"/>
      </w:pPr>
      <w:rPr>
        <w:rFonts w:ascii="Wingdings" w:hAnsi="Wingdings" w:hint="default"/>
      </w:rPr>
    </w:lvl>
    <w:lvl w:ilvl="3" w:tplc="04180001" w:tentative="1">
      <w:start w:val="1"/>
      <w:numFmt w:val="bullet"/>
      <w:lvlText w:val=""/>
      <w:lvlJc w:val="left"/>
      <w:pPr>
        <w:tabs>
          <w:tab w:val="num" w:pos="4350"/>
        </w:tabs>
        <w:ind w:left="4350" w:hanging="360"/>
      </w:pPr>
      <w:rPr>
        <w:rFonts w:ascii="Symbol" w:hAnsi="Symbol" w:hint="default"/>
      </w:rPr>
    </w:lvl>
    <w:lvl w:ilvl="4" w:tplc="04180003" w:tentative="1">
      <w:start w:val="1"/>
      <w:numFmt w:val="bullet"/>
      <w:lvlText w:val="o"/>
      <w:lvlJc w:val="left"/>
      <w:pPr>
        <w:tabs>
          <w:tab w:val="num" w:pos="5070"/>
        </w:tabs>
        <w:ind w:left="5070" w:hanging="360"/>
      </w:pPr>
      <w:rPr>
        <w:rFonts w:ascii="Courier New" w:hAnsi="Courier New" w:cs="Courier New" w:hint="default"/>
      </w:rPr>
    </w:lvl>
    <w:lvl w:ilvl="5" w:tplc="04180005" w:tentative="1">
      <w:start w:val="1"/>
      <w:numFmt w:val="bullet"/>
      <w:lvlText w:val=""/>
      <w:lvlJc w:val="left"/>
      <w:pPr>
        <w:tabs>
          <w:tab w:val="num" w:pos="5790"/>
        </w:tabs>
        <w:ind w:left="5790" w:hanging="360"/>
      </w:pPr>
      <w:rPr>
        <w:rFonts w:ascii="Wingdings" w:hAnsi="Wingdings" w:hint="default"/>
      </w:rPr>
    </w:lvl>
    <w:lvl w:ilvl="6" w:tplc="04180001" w:tentative="1">
      <w:start w:val="1"/>
      <w:numFmt w:val="bullet"/>
      <w:lvlText w:val=""/>
      <w:lvlJc w:val="left"/>
      <w:pPr>
        <w:tabs>
          <w:tab w:val="num" w:pos="6510"/>
        </w:tabs>
        <w:ind w:left="6510" w:hanging="360"/>
      </w:pPr>
      <w:rPr>
        <w:rFonts w:ascii="Symbol" w:hAnsi="Symbol" w:hint="default"/>
      </w:rPr>
    </w:lvl>
    <w:lvl w:ilvl="7" w:tplc="04180003" w:tentative="1">
      <w:start w:val="1"/>
      <w:numFmt w:val="bullet"/>
      <w:lvlText w:val="o"/>
      <w:lvlJc w:val="left"/>
      <w:pPr>
        <w:tabs>
          <w:tab w:val="num" w:pos="7230"/>
        </w:tabs>
        <w:ind w:left="7230" w:hanging="360"/>
      </w:pPr>
      <w:rPr>
        <w:rFonts w:ascii="Courier New" w:hAnsi="Courier New" w:cs="Courier New" w:hint="default"/>
      </w:rPr>
    </w:lvl>
    <w:lvl w:ilvl="8" w:tplc="04180005" w:tentative="1">
      <w:start w:val="1"/>
      <w:numFmt w:val="bullet"/>
      <w:lvlText w:val=""/>
      <w:lvlJc w:val="left"/>
      <w:pPr>
        <w:tabs>
          <w:tab w:val="num" w:pos="7950"/>
        </w:tabs>
        <w:ind w:left="7950" w:hanging="360"/>
      </w:pPr>
      <w:rPr>
        <w:rFonts w:ascii="Wingdings" w:hAnsi="Wingdings" w:hint="default"/>
      </w:rPr>
    </w:lvl>
  </w:abstractNum>
  <w:abstractNum w:abstractNumId="65">
    <w:nsid w:val="5CA8576A"/>
    <w:multiLevelType w:val="hybridMultilevel"/>
    <w:tmpl w:val="6846D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5DCA4762"/>
    <w:multiLevelType w:val="hybridMultilevel"/>
    <w:tmpl w:val="F53CA008"/>
    <w:lvl w:ilvl="0" w:tplc="DA26730C">
      <w:start w:val="2010"/>
      <w:numFmt w:val="bullet"/>
      <w:lvlText w:val="-"/>
      <w:lvlJc w:val="left"/>
      <w:pPr>
        <w:tabs>
          <w:tab w:val="num" w:pos="1068"/>
        </w:tabs>
        <w:ind w:left="1068" w:hanging="360"/>
      </w:pPr>
      <w:rPr>
        <w:rFonts w:ascii="Arial" w:eastAsia="Times New Roman" w:hAnsi="Arial" w:cs="Arial"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67">
    <w:nsid w:val="5EA356A8"/>
    <w:multiLevelType w:val="hybridMultilevel"/>
    <w:tmpl w:val="8AC63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5F8718A3"/>
    <w:multiLevelType w:val="hybridMultilevel"/>
    <w:tmpl w:val="9E6E7BBE"/>
    <w:lvl w:ilvl="0" w:tplc="D3CE15C0">
      <w:start w:val="9"/>
      <w:numFmt w:val="bullet"/>
      <w:lvlText w:val="-"/>
      <w:lvlJc w:val="left"/>
      <w:pPr>
        <w:ind w:left="720"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610E1C26"/>
    <w:multiLevelType w:val="hybridMultilevel"/>
    <w:tmpl w:val="36A81E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616407F9"/>
    <w:multiLevelType w:val="hybridMultilevel"/>
    <w:tmpl w:val="243EA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65AD62BE"/>
    <w:multiLevelType w:val="hybridMultilevel"/>
    <w:tmpl w:val="D4D6CB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65DE5091"/>
    <w:multiLevelType w:val="hybridMultilevel"/>
    <w:tmpl w:val="271E12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66CB46A0"/>
    <w:multiLevelType w:val="hybridMultilevel"/>
    <w:tmpl w:val="4E346F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77">
    <w:nsid w:val="6A772EF7"/>
    <w:multiLevelType w:val="hybridMultilevel"/>
    <w:tmpl w:val="DA06960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8B0786"/>
    <w:multiLevelType w:val="hybridMultilevel"/>
    <w:tmpl w:val="8C0C17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6EA050F0"/>
    <w:multiLevelType w:val="hybridMultilevel"/>
    <w:tmpl w:val="A872C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6FAB541B"/>
    <w:multiLevelType w:val="hybridMultilevel"/>
    <w:tmpl w:val="D2906F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70443E45"/>
    <w:multiLevelType w:val="hybridMultilevel"/>
    <w:tmpl w:val="3C224C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71076B60"/>
    <w:multiLevelType w:val="hybridMultilevel"/>
    <w:tmpl w:val="0FB60806"/>
    <w:lvl w:ilvl="0" w:tplc="DA26730C">
      <w:start w:val="2010"/>
      <w:numFmt w:val="bullet"/>
      <w:lvlText w:val="-"/>
      <w:lvlJc w:val="left"/>
      <w:pPr>
        <w:ind w:left="1428" w:hanging="360"/>
      </w:pPr>
      <w:rPr>
        <w:rFonts w:ascii="Arial" w:eastAsia="Times New Roman" w:hAnsi="Arial" w:cs="Aria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4">
    <w:nsid w:val="74953D61"/>
    <w:multiLevelType w:val="hybridMultilevel"/>
    <w:tmpl w:val="F52EAD62"/>
    <w:lvl w:ilvl="0" w:tplc="04180001">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nsid w:val="76794D47"/>
    <w:multiLevelType w:val="hybridMultilevel"/>
    <w:tmpl w:val="A80A281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nsid w:val="77F40ACC"/>
    <w:multiLevelType w:val="hybridMultilevel"/>
    <w:tmpl w:val="A67453F4"/>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7BC169F3"/>
    <w:multiLevelType w:val="hybridMultilevel"/>
    <w:tmpl w:val="D2B8603A"/>
    <w:lvl w:ilvl="0" w:tplc="28DCE51C">
      <w:start w:val="2"/>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7C2E56A8"/>
    <w:multiLevelType w:val="hybridMultilevel"/>
    <w:tmpl w:val="51826E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7D7B375F"/>
    <w:multiLevelType w:val="hybridMultilevel"/>
    <w:tmpl w:val="DDE8B64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7F7741FD"/>
    <w:multiLevelType w:val="hybridMultilevel"/>
    <w:tmpl w:val="B5983788"/>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68"/>
  </w:num>
  <w:num w:numId="4">
    <w:abstractNumId w:val="87"/>
  </w:num>
  <w:num w:numId="5">
    <w:abstractNumId w:val="0"/>
  </w:num>
  <w:num w:numId="6">
    <w:abstractNumId w:val="74"/>
  </w:num>
  <w:num w:numId="7">
    <w:abstractNumId w:val="42"/>
  </w:num>
  <w:num w:numId="8">
    <w:abstractNumId w:val="5"/>
  </w:num>
  <w:num w:numId="9">
    <w:abstractNumId w:val="3"/>
  </w:num>
  <w:num w:numId="10">
    <w:abstractNumId w:val="61"/>
  </w:num>
  <w:num w:numId="11">
    <w:abstractNumId w:val="81"/>
  </w:num>
  <w:num w:numId="12">
    <w:abstractNumId w:val="38"/>
  </w:num>
  <w:num w:numId="13">
    <w:abstractNumId w:val="36"/>
  </w:num>
  <w:num w:numId="14">
    <w:abstractNumId w:val="20"/>
  </w:num>
  <w:num w:numId="15">
    <w:abstractNumId w:val="54"/>
  </w:num>
  <w:num w:numId="16">
    <w:abstractNumId w:val="7"/>
  </w:num>
  <w:num w:numId="17">
    <w:abstractNumId w:val="59"/>
  </w:num>
  <w:num w:numId="18">
    <w:abstractNumId w:val="40"/>
  </w:num>
  <w:num w:numId="19">
    <w:abstractNumId w:val="52"/>
  </w:num>
  <w:num w:numId="20">
    <w:abstractNumId w:val="8"/>
  </w:num>
  <w:num w:numId="21">
    <w:abstractNumId w:val="14"/>
  </w:num>
  <w:num w:numId="22">
    <w:abstractNumId w:val="69"/>
  </w:num>
  <w:num w:numId="23">
    <w:abstractNumId w:val="1"/>
  </w:num>
  <w:num w:numId="24">
    <w:abstractNumId w:val="41"/>
  </w:num>
  <w:num w:numId="25">
    <w:abstractNumId w:val="49"/>
  </w:num>
  <w:num w:numId="26">
    <w:abstractNumId w:val="31"/>
  </w:num>
  <w:num w:numId="27">
    <w:abstractNumId w:val="25"/>
  </w:num>
  <w:num w:numId="28">
    <w:abstractNumId w:val="86"/>
  </w:num>
  <w:num w:numId="29">
    <w:abstractNumId w:val="91"/>
  </w:num>
  <w:num w:numId="30">
    <w:abstractNumId w:val="75"/>
  </w:num>
  <w:num w:numId="31">
    <w:abstractNumId w:val="57"/>
  </w:num>
  <w:num w:numId="32">
    <w:abstractNumId w:val="76"/>
  </w:num>
  <w:num w:numId="33">
    <w:abstractNumId w:val="66"/>
  </w:num>
  <w:num w:numId="34">
    <w:abstractNumId w:val="84"/>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2"/>
  </w:num>
  <w:num w:numId="43">
    <w:abstractNumId w:val="65"/>
  </w:num>
  <w:num w:numId="44">
    <w:abstractNumId w:val="71"/>
  </w:num>
  <w:num w:numId="45">
    <w:abstractNumId w:val="15"/>
  </w:num>
  <w:num w:numId="46">
    <w:abstractNumId w:val="23"/>
  </w:num>
  <w:num w:numId="47">
    <w:abstractNumId w:val="72"/>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78"/>
  </w:num>
  <w:num w:numId="50">
    <w:abstractNumId w:val="6"/>
  </w:num>
  <w:num w:numId="51">
    <w:abstractNumId w:val="9"/>
  </w:num>
  <w:num w:numId="52">
    <w:abstractNumId w:val="58"/>
  </w:num>
  <w:num w:numId="53">
    <w:abstractNumId w:val="37"/>
  </w:num>
  <w:num w:numId="54">
    <w:abstractNumId w:val="67"/>
  </w:num>
  <w:num w:numId="55">
    <w:abstractNumId w:val="34"/>
  </w:num>
  <w:num w:numId="56">
    <w:abstractNumId w:val="47"/>
  </w:num>
  <w:num w:numId="57">
    <w:abstractNumId w:val="33"/>
  </w:num>
  <w:num w:numId="58">
    <w:abstractNumId w:val="90"/>
  </w:num>
  <w:num w:numId="59">
    <w:abstractNumId w:val="62"/>
  </w:num>
  <w:num w:numId="60">
    <w:abstractNumId w:val="32"/>
  </w:num>
  <w:num w:numId="61">
    <w:abstractNumId w:val="85"/>
  </w:num>
  <w:num w:numId="62">
    <w:abstractNumId w:val="53"/>
  </w:num>
  <w:num w:numId="63">
    <w:abstractNumId w:val="82"/>
  </w:num>
  <w:num w:numId="64">
    <w:abstractNumId w:val="13"/>
  </w:num>
  <w:num w:numId="65">
    <w:abstractNumId w:val="80"/>
  </w:num>
  <w:num w:numId="66">
    <w:abstractNumId w:val="16"/>
  </w:num>
  <w:num w:numId="67">
    <w:abstractNumId w:val="73"/>
  </w:num>
  <w:num w:numId="68">
    <w:abstractNumId w:val="51"/>
  </w:num>
  <w:num w:numId="69">
    <w:abstractNumId w:val="77"/>
  </w:num>
  <w:num w:numId="70">
    <w:abstractNumId w:val="45"/>
  </w:num>
  <w:num w:numId="71">
    <w:abstractNumId w:val="70"/>
  </w:num>
  <w:num w:numId="72">
    <w:abstractNumId w:val="79"/>
  </w:num>
  <w:num w:numId="73">
    <w:abstractNumId w:val="89"/>
  </w:num>
  <w:num w:numId="74">
    <w:abstractNumId w:val="35"/>
  </w:num>
  <w:num w:numId="75">
    <w:abstractNumId w:val="4"/>
  </w:num>
  <w:num w:numId="76">
    <w:abstractNumId w:val="19"/>
  </w:num>
  <w:num w:numId="77">
    <w:abstractNumId w:val="22"/>
  </w:num>
  <w:num w:numId="78">
    <w:abstractNumId w:val="83"/>
  </w:num>
  <w:num w:numId="79">
    <w:abstractNumId w:val="18"/>
  </w:num>
  <w:num w:numId="80">
    <w:abstractNumId w:val="64"/>
  </w:num>
  <w:num w:numId="81">
    <w:abstractNumId w:val="56"/>
  </w:num>
  <w:num w:numId="82">
    <w:abstractNumId w:val="48"/>
  </w:num>
  <w:num w:numId="83">
    <w:abstractNumId w:val="43"/>
  </w:num>
  <w:num w:numId="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num>
  <w:num w:numId="87">
    <w:abstractNumId w:val="55"/>
  </w:num>
  <w:num w:numId="88">
    <w:abstractNumId w:val="2"/>
  </w:num>
  <w:num w:numId="89">
    <w:abstractNumId w:val="88"/>
  </w:num>
  <w:num w:numId="90">
    <w:abstractNumId w:val="30"/>
  </w:num>
  <w:num w:numId="91">
    <w:abstractNumId w:val="11"/>
  </w:num>
  <w:num w:numId="92">
    <w:abstractNumId w:val="60"/>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953D47"/>
    <w:rsid w:val="0002527B"/>
    <w:rsid w:val="00051F08"/>
    <w:rsid w:val="000529C6"/>
    <w:rsid w:val="00063AAD"/>
    <w:rsid w:val="000645BF"/>
    <w:rsid w:val="00083422"/>
    <w:rsid w:val="00130CCB"/>
    <w:rsid w:val="00160B9A"/>
    <w:rsid w:val="001A5CA3"/>
    <w:rsid w:val="001B622A"/>
    <w:rsid w:val="0022295F"/>
    <w:rsid w:val="002A3AAE"/>
    <w:rsid w:val="002C1759"/>
    <w:rsid w:val="00323029"/>
    <w:rsid w:val="00483E08"/>
    <w:rsid w:val="004E05AF"/>
    <w:rsid w:val="004E444C"/>
    <w:rsid w:val="005745BE"/>
    <w:rsid w:val="005D0BB6"/>
    <w:rsid w:val="005D400E"/>
    <w:rsid w:val="005F3EF8"/>
    <w:rsid w:val="006054F4"/>
    <w:rsid w:val="006125E1"/>
    <w:rsid w:val="00617B28"/>
    <w:rsid w:val="00670925"/>
    <w:rsid w:val="00676C5F"/>
    <w:rsid w:val="00690F32"/>
    <w:rsid w:val="006B2FD4"/>
    <w:rsid w:val="006D4E3D"/>
    <w:rsid w:val="00717002"/>
    <w:rsid w:val="007636E0"/>
    <w:rsid w:val="00776B0C"/>
    <w:rsid w:val="007A21BD"/>
    <w:rsid w:val="007B033C"/>
    <w:rsid w:val="007F6E99"/>
    <w:rsid w:val="00897685"/>
    <w:rsid w:val="008A27C0"/>
    <w:rsid w:val="008B01F9"/>
    <w:rsid w:val="008C6674"/>
    <w:rsid w:val="008D56C8"/>
    <w:rsid w:val="009173C4"/>
    <w:rsid w:val="00953D47"/>
    <w:rsid w:val="00984953"/>
    <w:rsid w:val="009E449D"/>
    <w:rsid w:val="00A82794"/>
    <w:rsid w:val="00AB3578"/>
    <w:rsid w:val="00B07C47"/>
    <w:rsid w:val="00B51C11"/>
    <w:rsid w:val="00B52589"/>
    <w:rsid w:val="00C019D0"/>
    <w:rsid w:val="00C62F50"/>
    <w:rsid w:val="00D05713"/>
    <w:rsid w:val="00D30F36"/>
    <w:rsid w:val="00D61BAB"/>
    <w:rsid w:val="00DA0508"/>
    <w:rsid w:val="00DE32CE"/>
    <w:rsid w:val="00E012F5"/>
    <w:rsid w:val="00E73ABB"/>
    <w:rsid w:val="00E927D6"/>
    <w:rsid w:val="00EE61EA"/>
    <w:rsid w:val="00EF3940"/>
    <w:rsid w:val="00EF7A62"/>
    <w:rsid w:val="00F170A7"/>
    <w:rsid w:val="00FE0C2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9D0"/>
  </w:style>
  <w:style w:type="paragraph" w:styleId="Heading1">
    <w:name w:val="heading 1"/>
    <w:basedOn w:val="Normal"/>
    <w:next w:val="Normal"/>
    <w:link w:val="Heading1Char"/>
    <w:qFormat/>
    <w:rsid w:val="000645BF"/>
    <w:pPr>
      <w:keepNext/>
      <w:spacing w:before="240" w:after="60" w:line="240" w:lineRule="auto"/>
      <w:outlineLvl w:val="0"/>
    </w:pPr>
    <w:rPr>
      <w:rFonts w:ascii="Arial" w:eastAsia="SimSun" w:hAnsi="Arial" w:cs="Arial"/>
      <w:b/>
      <w:bCs/>
      <w:kern w:val="32"/>
      <w:sz w:val="32"/>
      <w:szCs w:val="32"/>
      <w:lang w:val="en-GB" w:eastAsia="en-US"/>
    </w:rPr>
  </w:style>
  <w:style w:type="paragraph" w:styleId="Heading2">
    <w:name w:val="heading 2"/>
    <w:basedOn w:val="Normal"/>
    <w:next w:val="Normal"/>
    <w:link w:val="Heading2Char"/>
    <w:unhideWhenUsed/>
    <w:qFormat/>
    <w:rsid w:val="000645BF"/>
    <w:pPr>
      <w:keepNext/>
      <w:spacing w:before="240" w:after="60" w:line="240" w:lineRule="auto"/>
      <w:outlineLvl w:val="1"/>
    </w:pPr>
    <w:rPr>
      <w:rFonts w:ascii="Cambria" w:eastAsia="Times New Roman" w:hAnsi="Cambria" w:cs="Times New Roman"/>
      <w:b/>
      <w:bCs/>
      <w:i/>
      <w:iCs/>
      <w:sz w:val="28"/>
      <w:szCs w:val="28"/>
      <w:lang w:val="en-GB" w:eastAsia="en-US"/>
    </w:rPr>
  </w:style>
  <w:style w:type="paragraph" w:styleId="Heading3">
    <w:name w:val="heading 3"/>
    <w:basedOn w:val="Normal"/>
    <w:next w:val="Normal"/>
    <w:link w:val="Heading3Char"/>
    <w:unhideWhenUsed/>
    <w:qFormat/>
    <w:rsid w:val="000645BF"/>
    <w:pPr>
      <w:keepNext/>
      <w:spacing w:before="240" w:after="60" w:line="240" w:lineRule="auto"/>
      <w:outlineLvl w:val="2"/>
    </w:pPr>
    <w:rPr>
      <w:rFonts w:ascii="Cambria" w:eastAsia="Times New Roman" w:hAnsi="Cambria" w:cs="Times New Roman"/>
      <w:b/>
      <w:bCs/>
      <w:sz w:val="26"/>
      <w:szCs w:val="26"/>
      <w:lang w:val="en-GB" w:eastAsia="en-US"/>
    </w:rPr>
  </w:style>
  <w:style w:type="paragraph" w:styleId="Heading4">
    <w:name w:val="heading 4"/>
    <w:basedOn w:val="Normal"/>
    <w:next w:val="Normal"/>
    <w:link w:val="Heading4Char"/>
    <w:unhideWhenUsed/>
    <w:qFormat/>
    <w:rsid w:val="000645BF"/>
    <w:pPr>
      <w:keepNext/>
      <w:spacing w:before="240" w:after="60" w:line="240" w:lineRule="auto"/>
      <w:outlineLvl w:val="3"/>
    </w:pPr>
    <w:rPr>
      <w:rFonts w:ascii="Calibri" w:eastAsia="Times New Roman" w:hAnsi="Calibri" w:cs="Times New Roman"/>
      <w:b/>
      <w:bCs/>
      <w:sz w:val="28"/>
      <w:szCs w:val="28"/>
      <w:lang w:val="en-GB" w:eastAsia="en-US"/>
    </w:rPr>
  </w:style>
  <w:style w:type="paragraph" w:styleId="Heading5">
    <w:name w:val="heading 5"/>
    <w:basedOn w:val="Normal"/>
    <w:next w:val="Normal"/>
    <w:link w:val="Heading5Char"/>
    <w:uiPriority w:val="9"/>
    <w:qFormat/>
    <w:rsid w:val="000645BF"/>
    <w:pPr>
      <w:spacing w:before="240" w:after="60" w:line="240" w:lineRule="auto"/>
      <w:outlineLvl w:val="4"/>
    </w:pPr>
    <w:rPr>
      <w:rFonts w:ascii="Times New Roman" w:eastAsia="Times New Roman" w:hAnsi="Times New Roman" w:cs="Times New Roman"/>
      <w:b/>
      <w:bCs/>
      <w:i/>
      <w:iCs/>
      <w:sz w:val="26"/>
      <w:szCs w:val="26"/>
      <w:lang w:val="en-US" w:eastAsia="en-US"/>
    </w:rPr>
  </w:style>
  <w:style w:type="paragraph" w:styleId="Heading6">
    <w:name w:val="heading 6"/>
    <w:basedOn w:val="Normal"/>
    <w:next w:val="Normal"/>
    <w:link w:val="Heading6Char"/>
    <w:uiPriority w:val="9"/>
    <w:semiHidden/>
    <w:unhideWhenUsed/>
    <w:qFormat/>
    <w:rsid w:val="000645BF"/>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lang w:eastAsia="en-US"/>
    </w:rPr>
  </w:style>
  <w:style w:type="paragraph" w:styleId="Heading7">
    <w:name w:val="heading 7"/>
    <w:basedOn w:val="Normal"/>
    <w:next w:val="Normal"/>
    <w:link w:val="Heading7Char"/>
    <w:qFormat/>
    <w:rsid w:val="000645BF"/>
    <w:pPr>
      <w:spacing w:before="240" w:after="60" w:line="240" w:lineRule="auto"/>
      <w:outlineLvl w:val="6"/>
    </w:pPr>
    <w:rPr>
      <w:rFonts w:ascii="Times New Roman" w:eastAsia="Times New Roman" w:hAnsi="Times New Roman" w:cs="Times New Roman"/>
      <w:sz w:val="24"/>
      <w:szCs w:val="24"/>
      <w:lang w:val="en-US" w:eastAsia="en-US"/>
    </w:rPr>
  </w:style>
  <w:style w:type="paragraph" w:styleId="Heading8">
    <w:name w:val="heading 8"/>
    <w:basedOn w:val="Normal"/>
    <w:next w:val="Normal"/>
    <w:link w:val="Heading8Char"/>
    <w:uiPriority w:val="9"/>
    <w:semiHidden/>
    <w:unhideWhenUsed/>
    <w:qFormat/>
    <w:rsid w:val="000645BF"/>
    <w:pPr>
      <w:keepNext/>
      <w:keepLines/>
      <w:spacing w:before="80" w:after="0" w:line="240" w:lineRule="auto"/>
      <w:outlineLvl w:val="7"/>
    </w:pPr>
    <w:rPr>
      <w:rFonts w:asciiTheme="majorHAnsi" w:eastAsiaTheme="majorEastAsia" w:hAnsiTheme="majorHAnsi" w:cstheme="majorBidi"/>
      <w:color w:val="632423" w:themeColor="accent2" w:themeShade="80"/>
      <w:lang w:eastAsia="en-US"/>
    </w:rPr>
  </w:style>
  <w:style w:type="paragraph" w:styleId="Heading9">
    <w:name w:val="heading 9"/>
    <w:basedOn w:val="Normal"/>
    <w:next w:val="Normal"/>
    <w:link w:val="Heading9Char"/>
    <w:uiPriority w:val="9"/>
    <w:semiHidden/>
    <w:unhideWhenUsed/>
    <w:qFormat/>
    <w:rsid w:val="000645BF"/>
    <w:pPr>
      <w:keepNext/>
      <w:keepLines/>
      <w:spacing w:before="80" w:after="0" w:line="240" w:lineRule="auto"/>
      <w:outlineLvl w:val="8"/>
    </w:pPr>
    <w:rPr>
      <w:rFonts w:asciiTheme="majorHAnsi" w:eastAsiaTheme="majorEastAsia" w:hAnsiTheme="majorHAnsi" w:cstheme="majorBidi"/>
      <w:i/>
      <w:iCs/>
      <w:color w:val="632423" w:themeColor="accent2" w:themeShade="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7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927D6"/>
  </w:style>
  <w:style w:type="paragraph" w:styleId="Footer">
    <w:name w:val="footer"/>
    <w:basedOn w:val="Normal"/>
    <w:link w:val="FooterChar"/>
    <w:uiPriority w:val="99"/>
    <w:unhideWhenUsed/>
    <w:rsid w:val="00E927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927D6"/>
  </w:style>
  <w:style w:type="character" w:customStyle="1" w:styleId="Heading1Char">
    <w:name w:val="Heading 1 Char"/>
    <w:basedOn w:val="DefaultParagraphFont"/>
    <w:link w:val="Heading1"/>
    <w:rsid w:val="000645BF"/>
    <w:rPr>
      <w:rFonts w:ascii="Arial" w:eastAsia="SimSun" w:hAnsi="Arial" w:cs="Arial"/>
      <w:b/>
      <w:bCs/>
      <w:kern w:val="32"/>
      <w:sz w:val="32"/>
      <w:szCs w:val="32"/>
      <w:lang w:val="en-GB" w:eastAsia="en-US"/>
    </w:rPr>
  </w:style>
  <w:style w:type="character" w:customStyle="1" w:styleId="Heading2Char">
    <w:name w:val="Heading 2 Char"/>
    <w:basedOn w:val="DefaultParagraphFont"/>
    <w:link w:val="Heading2"/>
    <w:rsid w:val="000645BF"/>
    <w:rPr>
      <w:rFonts w:ascii="Cambria" w:eastAsia="Times New Roman" w:hAnsi="Cambria" w:cs="Times New Roman"/>
      <w:b/>
      <w:bCs/>
      <w:i/>
      <w:iCs/>
      <w:sz w:val="28"/>
      <w:szCs w:val="28"/>
      <w:lang w:val="en-GB" w:eastAsia="en-US"/>
    </w:rPr>
  </w:style>
  <w:style w:type="character" w:customStyle="1" w:styleId="Heading3Char">
    <w:name w:val="Heading 3 Char"/>
    <w:basedOn w:val="DefaultParagraphFont"/>
    <w:link w:val="Heading3"/>
    <w:rsid w:val="000645BF"/>
    <w:rPr>
      <w:rFonts w:ascii="Cambria" w:eastAsia="Times New Roman" w:hAnsi="Cambria" w:cs="Times New Roman"/>
      <w:b/>
      <w:bCs/>
      <w:sz w:val="26"/>
      <w:szCs w:val="26"/>
      <w:lang w:val="en-GB" w:eastAsia="en-US"/>
    </w:rPr>
  </w:style>
  <w:style w:type="character" w:customStyle="1" w:styleId="Heading4Char">
    <w:name w:val="Heading 4 Char"/>
    <w:basedOn w:val="DefaultParagraphFont"/>
    <w:link w:val="Heading4"/>
    <w:rsid w:val="000645BF"/>
    <w:rPr>
      <w:rFonts w:ascii="Calibri" w:eastAsia="Times New Roman" w:hAnsi="Calibri" w:cs="Times New Roman"/>
      <w:b/>
      <w:bCs/>
      <w:sz w:val="28"/>
      <w:szCs w:val="28"/>
      <w:lang w:val="en-GB" w:eastAsia="en-US"/>
    </w:rPr>
  </w:style>
  <w:style w:type="character" w:customStyle="1" w:styleId="Heading5Char">
    <w:name w:val="Heading 5 Char"/>
    <w:basedOn w:val="DefaultParagraphFont"/>
    <w:link w:val="Heading5"/>
    <w:uiPriority w:val="9"/>
    <w:rsid w:val="000645BF"/>
    <w:rPr>
      <w:rFonts w:ascii="Times New Roman" w:eastAsia="Times New Roman" w:hAnsi="Times New Roman" w:cs="Times New Roman"/>
      <w:b/>
      <w:bCs/>
      <w:i/>
      <w:iCs/>
      <w:sz w:val="26"/>
      <w:szCs w:val="26"/>
      <w:lang w:val="en-US" w:eastAsia="en-US"/>
    </w:rPr>
  </w:style>
  <w:style w:type="character" w:customStyle="1" w:styleId="Heading7Char">
    <w:name w:val="Heading 7 Char"/>
    <w:basedOn w:val="DefaultParagraphFont"/>
    <w:link w:val="Heading7"/>
    <w:rsid w:val="000645BF"/>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0645BF"/>
    <w:rPr>
      <w:b/>
      <w:bCs/>
    </w:rPr>
  </w:style>
  <w:style w:type="paragraph" w:customStyle="1" w:styleId="Listparagraf1">
    <w:name w:val="Listă paragraf1"/>
    <w:basedOn w:val="Normal"/>
    <w:link w:val="ListparagrafCaracter"/>
    <w:qFormat/>
    <w:rsid w:val="000645BF"/>
    <w:pPr>
      <w:ind w:left="720"/>
      <w:contextualSpacing/>
    </w:pPr>
    <w:rPr>
      <w:rFonts w:ascii="Calibri" w:eastAsia="Calibri" w:hAnsi="Calibri" w:cs="Times New Roman"/>
      <w:lang w:val="en-US" w:eastAsia="en-US"/>
    </w:rPr>
  </w:style>
  <w:style w:type="character" w:customStyle="1" w:styleId="ListparagrafCaracter">
    <w:name w:val="Listă paragraf Caracter"/>
    <w:basedOn w:val="DefaultParagraphFont"/>
    <w:link w:val="Listparagraf1"/>
    <w:rsid w:val="000645BF"/>
    <w:rPr>
      <w:rFonts w:ascii="Calibri" w:eastAsia="Calibri" w:hAnsi="Calibri" w:cs="Times New Roman"/>
      <w:lang w:val="en-US" w:eastAsia="en-US"/>
    </w:rPr>
  </w:style>
  <w:style w:type="paragraph" w:styleId="BalloonText">
    <w:name w:val="Balloon Text"/>
    <w:basedOn w:val="Normal"/>
    <w:link w:val="BalloonTextChar"/>
    <w:semiHidden/>
    <w:rsid w:val="000645BF"/>
    <w:pPr>
      <w:spacing w:after="0" w:line="240" w:lineRule="auto"/>
    </w:pPr>
    <w:rPr>
      <w:rFonts w:ascii="Tahoma" w:eastAsia="SimSun" w:hAnsi="Tahoma" w:cs="Tahoma"/>
      <w:sz w:val="16"/>
      <w:szCs w:val="16"/>
      <w:lang w:val="en-GB" w:eastAsia="en-US"/>
    </w:rPr>
  </w:style>
  <w:style w:type="character" w:customStyle="1" w:styleId="BalloonTextChar">
    <w:name w:val="Balloon Text Char"/>
    <w:basedOn w:val="DefaultParagraphFont"/>
    <w:link w:val="BalloonText"/>
    <w:semiHidden/>
    <w:rsid w:val="000645BF"/>
    <w:rPr>
      <w:rFonts w:ascii="Tahoma" w:eastAsia="SimSun" w:hAnsi="Tahoma" w:cs="Tahoma"/>
      <w:sz w:val="16"/>
      <w:szCs w:val="16"/>
      <w:lang w:val="en-GB" w:eastAsia="en-US"/>
    </w:rPr>
  </w:style>
  <w:style w:type="paragraph" w:styleId="BodyTextIndent">
    <w:name w:val="Body Text Indent"/>
    <w:basedOn w:val="Normal"/>
    <w:link w:val="BodyTextIndentChar"/>
    <w:rsid w:val="000645BF"/>
    <w:pPr>
      <w:spacing w:after="120"/>
      <w:ind w:left="283"/>
    </w:pPr>
    <w:rPr>
      <w:rFonts w:ascii="Calibri" w:eastAsia="Times New Roman" w:hAnsi="Calibri" w:cs="Times New Roman"/>
      <w:lang w:val="en-US" w:eastAsia="en-US"/>
    </w:rPr>
  </w:style>
  <w:style w:type="character" w:customStyle="1" w:styleId="BodyTextIndentChar">
    <w:name w:val="Body Text Indent Char"/>
    <w:basedOn w:val="DefaultParagraphFont"/>
    <w:link w:val="BodyTextIndent"/>
    <w:rsid w:val="000645BF"/>
    <w:rPr>
      <w:rFonts w:ascii="Calibri" w:eastAsia="Times New Roman" w:hAnsi="Calibri" w:cs="Times New Roman"/>
      <w:lang w:val="en-US" w:eastAsia="en-US"/>
    </w:rPr>
  </w:style>
  <w:style w:type="paragraph" w:styleId="BodyText">
    <w:name w:val="Body Text"/>
    <w:aliases w:val=" Caracter,Caracter"/>
    <w:basedOn w:val="Normal"/>
    <w:link w:val="BodyTextChar"/>
    <w:rsid w:val="000645BF"/>
    <w:pPr>
      <w:spacing w:after="120"/>
    </w:pPr>
    <w:rPr>
      <w:rFonts w:ascii="Calibri" w:eastAsia="Times New Roman" w:hAnsi="Calibri" w:cs="Times New Roman"/>
      <w:lang w:val="en-US" w:eastAsia="en-US"/>
    </w:rPr>
  </w:style>
  <w:style w:type="character" w:customStyle="1" w:styleId="BodyTextChar">
    <w:name w:val="Body Text Char"/>
    <w:aliases w:val=" Caracter Char1,Caracter Char1"/>
    <w:basedOn w:val="DefaultParagraphFont"/>
    <w:link w:val="BodyText"/>
    <w:rsid w:val="000645BF"/>
    <w:rPr>
      <w:rFonts w:ascii="Calibri" w:eastAsia="Times New Roman" w:hAnsi="Calibri" w:cs="Times New Roman"/>
      <w:lang w:val="en-US" w:eastAsia="en-US"/>
    </w:rPr>
  </w:style>
  <w:style w:type="paragraph" w:customStyle="1" w:styleId="Indentcorptext21">
    <w:name w:val="Indent corp text 21"/>
    <w:basedOn w:val="Normal"/>
    <w:rsid w:val="000645BF"/>
    <w:pPr>
      <w:suppressAutoHyphens/>
      <w:spacing w:after="0" w:line="240" w:lineRule="auto"/>
      <w:ind w:firstLine="720"/>
      <w:jc w:val="both"/>
    </w:pPr>
    <w:rPr>
      <w:rFonts w:ascii="Times New Roman" w:eastAsia="Times New Roman" w:hAnsi="Times New Roman" w:cs="Times New Roman"/>
      <w:szCs w:val="20"/>
      <w:lang w:val="en-US" w:eastAsia="ar-SA"/>
    </w:rPr>
  </w:style>
  <w:style w:type="paragraph" w:styleId="NormalWeb">
    <w:name w:val="Normal (Web)"/>
    <w:basedOn w:val="Normal"/>
    <w:link w:val="NormalWebChar"/>
    <w:rsid w:val="000645BF"/>
    <w:pPr>
      <w:spacing w:before="100" w:beforeAutospacing="1" w:after="0" w:line="240" w:lineRule="auto"/>
      <w:jc w:val="both"/>
    </w:pPr>
    <w:rPr>
      <w:rFonts w:ascii="Times New Roman" w:eastAsia="Times New Roman" w:hAnsi="Times New Roman" w:cs="Times New Roman"/>
      <w:color w:val="000000"/>
      <w:sz w:val="24"/>
      <w:szCs w:val="24"/>
      <w:lang w:val="en-US" w:eastAsia="en-US"/>
    </w:rPr>
  </w:style>
  <w:style w:type="character" w:customStyle="1" w:styleId="NormalWebChar">
    <w:name w:val="Normal (Web) Char"/>
    <w:basedOn w:val="DefaultParagraphFont"/>
    <w:link w:val="NormalWeb"/>
    <w:rsid w:val="000645BF"/>
    <w:rPr>
      <w:rFonts w:ascii="Times New Roman" w:eastAsia="Times New Roman" w:hAnsi="Times New Roman" w:cs="Times New Roman"/>
      <w:color w:val="000000"/>
      <w:sz w:val="24"/>
      <w:szCs w:val="24"/>
      <w:lang w:val="en-US" w:eastAsia="en-US"/>
    </w:rPr>
  </w:style>
  <w:style w:type="paragraph" w:customStyle="1" w:styleId="TableContents">
    <w:name w:val="Table Contents"/>
    <w:basedOn w:val="Normal"/>
    <w:rsid w:val="000645BF"/>
    <w:pPr>
      <w:widowControl w:val="0"/>
      <w:suppressLineNumbers/>
      <w:suppressAutoHyphens/>
      <w:spacing w:after="0" w:line="240" w:lineRule="auto"/>
    </w:pPr>
    <w:rPr>
      <w:rFonts w:ascii="Times New Roman" w:eastAsia="SimSun" w:hAnsi="Times New Roman" w:cs="Mangal"/>
      <w:kern w:val="1"/>
      <w:sz w:val="24"/>
      <w:szCs w:val="24"/>
      <w:lang w:val="en-US" w:eastAsia="hi-IN" w:bidi="hi-IN"/>
    </w:rPr>
  </w:style>
  <w:style w:type="paragraph" w:styleId="Title">
    <w:name w:val="Title"/>
    <w:basedOn w:val="Normal"/>
    <w:link w:val="TitleChar"/>
    <w:qFormat/>
    <w:rsid w:val="000645B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0645BF"/>
    <w:rPr>
      <w:rFonts w:ascii="Times New Roman" w:eastAsia="Times New Roman" w:hAnsi="Times New Roman" w:cs="Times New Roman"/>
      <w:b/>
      <w:bCs/>
      <w:sz w:val="24"/>
      <w:szCs w:val="24"/>
      <w:lang w:val="en-US" w:eastAsia="en-US"/>
    </w:rPr>
  </w:style>
  <w:style w:type="paragraph" w:styleId="ListParagraph">
    <w:name w:val="List Paragraph"/>
    <w:aliases w:val="body 2,lp1,Heading x1,Lista 1,lp11,Lettre d'introduction,1st level - Bullet List Paragraph,Paragrafo elenco,List Paragraph11,Heading 2_sj"/>
    <w:basedOn w:val="Normal"/>
    <w:link w:val="ListParagraphChar"/>
    <w:uiPriority w:val="34"/>
    <w:qFormat/>
    <w:rsid w:val="000645BF"/>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BodyText21">
    <w:name w:val="Body Text 21"/>
    <w:basedOn w:val="Normal"/>
    <w:rsid w:val="000645BF"/>
    <w:pPr>
      <w:widowControl w:val="0"/>
      <w:spacing w:after="0" w:line="240" w:lineRule="auto"/>
      <w:jc w:val="both"/>
    </w:pPr>
    <w:rPr>
      <w:rFonts w:ascii="Times New Roman" w:eastAsia="Times New Roman" w:hAnsi="Times New Roman" w:cs="Times New Roman"/>
      <w:snapToGrid w:val="0"/>
      <w:sz w:val="24"/>
      <w:szCs w:val="24"/>
      <w:lang w:val="en-US" w:eastAsia="en-US"/>
    </w:rPr>
  </w:style>
  <w:style w:type="paragraph" w:customStyle="1" w:styleId="CaracterCaracterCharCharCaracterCaracterCharCharCaracterCaracter">
    <w:name w:val="Caracter Caracter Char Char Caracter Caracter Char Char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0645BF"/>
    <w:pPr>
      <w:spacing w:after="120" w:line="240" w:lineRule="auto"/>
    </w:pPr>
    <w:rPr>
      <w:rFonts w:ascii="Times New Roman" w:eastAsia="Times New Roman" w:hAnsi="Times New Roman" w:cs="Times New Roman"/>
      <w:sz w:val="16"/>
      <w:szCs w:val="16"/>
      <w:lang w:val="en-AU" w:eastAsia="en-US"/>
    </w:rPr>
  </w:style>
  <w:style w:type="character" w:customStyle="1" w:styleId="BodyText3Char">
    <w:name w:val="Body Text 3 Char"/>
    <w:basedOn w:val="DefaultParagraphFont"/>
    <w:link w:val="BodyText3"/>
    <w:rsid w:val="000645BF"/>
    <w:rPr>
      <w:rFonts w:ascii="Times New Roman" w:eastAsia="Times New Roman" w:hAnsi="Times New Roman" w:cs="Times New Roman"/>
      <w:sz w:val="16"/>
      <w:szCs w:val="16"/>
      <w:lang w:val="en-AU" w:eastAsia="en-US"/>
    </w:rPr>
  </w:style>
  <w:style w:type="paragraph" w:styleId="BodyTextIndent2">
    <w:name w:val="Body Text Indent 2"/>
    <w:aliases w:val="Body Text Indent 2 Char Char Char"/>
    <w:basedOn w:val="Normal"/>
    <w:link w:val="BodyTextIndent2Char"/>
    <w:rsid w:val="000645BF"/>
    <w:pPr>
      <w:spacing w:after="120" w:line="480" w:lineRule="auto"/>
      <w:ind w:left="283"/>
    </w:pPr>
    <w:rPr>
      <w:rFonts w:ascii="Times New Roman" w:eastAsia="SimSun" w:hAnsi="Times New Roman" w:cs="Times New Roman"/>
      <w:sz w:val="24"/>
      <w:szCs w:val="24"/>
      <w:lang w:val="en-GB" w:eastAsia="en-US"/>
    </w:rPr>
  </w:style>
  <w:style w:type="character" w:customStyle="1" w:styleId="BodyTextIndent2Char">
    <w:name w:val="Body Text Indent 2 Char"/>
    <w:aliases w:val="Body Text Indent 2 Char Char Char Char1"/>
    <w:basedOn w:val="DefaultParagraphFont"/>
    <w:link w:val="BodyTextIndent2"/>
    <w:rsid w:val="000645BF"/>
    <w:rPr>
      <w:rFonts w:ascii="Times New Roman" w:eastAsia="SimSun" w:hAnsi="Times New Roman" w:cs="Times New Roman"/>
      <w:sz w:val="24"/>
      <w:szCs w:val="24"/>
      <w:lang w:val="en-GB" w:eastAsia="en-US"/>
    </w:rPr>
  </w:style>
  <w:style w:type="paragraph" w:styleId="BodyText2">
    <w:name w:val="Body Text 2"/>
    <w:aliases w:val="Body Text Numbered"/>
    <w:basedOn w:val="Normal"/>
    <w:link w:val="BodyText2Char"/>
    <w:rsid w:val="000645BF"/>
    <w:pPr>
      <w:spacing w:after="120" w:line="480" w:lineRule="auto"/>
    </w:pPr>
    <w:rPr>
      <w:rFonts w:ascii="Times New Roman" w:eastAsia="SimSun" w:hAnsi="Times New Roman" w:cs="Times New Roman"/>
      <w:sz w:val="24"/>
      <w:szCs w:val="24"/>
      <w:lang w:val="en-GB" w:eastAsia="en-US"/>
    </w:rPr>
  </w:style>
  <w:style w:type="character" w:customStyle="1" w:styleId="BodyText2Char">
    <w:name w:val="Body Text 2 Char"/>
    <w:aliases w:val="Body Text Numbered Char"/>
    <w:basedOn w:val="DefaultParagraphFont"/>
    <w:link w:val="BodyText2"/>
    <w:rsid w:val="000645BF"/>
    <w:rPr>
      <w:rFonts w:ascii="Times New Roman" w:eastAsia="SimSun" w:hAnsi="Times New Roman" w:cs="Times New Roman"/>
      <w:sz w:val="24"/>
      <w:szCs w:val="24"/>
      <w:lang w:val="en-GB" w:eastAsia="en-US"/>
    </w:rPr>
  </w:style>
  <w:style w:type="character" w:customStyle="1" w:styleId="content">
    <w:name w:val="content"/>
    <w:basedOn w:val="DefaultParagraphFont"/>
    <w:rsid w:val="000645BF"/>
  </w:style>
  <w:style w:type="paragraph" w:customStyle="1" w:styleId="Level1">
    <w:name w:val="Level 1"/>
    <w:basedOn w:val="Normal"/>
    <w:rsid w:val="000645BF"/>
    <w:pPr>
      <w:widowControl w:val="0"/>
      <w:spacing w:after="0" w:line="240" w:lineRule="auto"/>
    </w:pPr>
    <w:rPr>
      <w:rFonts w:ascii="Times New Roman" w:eastAsia="Times New Roman" w:hAnsi="Times New Roman" w:cs="Times New Roman"/>
      <w:snapToGrid w:val="0"/>
      <w:sz w:val="24"/>
      <w:szCs w:val="20"/>
      <w:lang w:val="en-US" w:eastAsia="en-US"/>
    </w:rPr>
  </w:style>
  <w:style w:type="character" w:customStyle="1" w:styleId="tpt1">
    <w:name w:val="tpt1"/>
    <w:basedOn w:val="DefaultParagraphFont"/>
    <w:rsid w:val="000645BF"/>
  </w:style>
  <w:style w:type="character" w:customStyle="1" w:styleId="do1">
    <w:name w:val="do1"/>
    <w:basedOn w:val="DefaultParagraphFont"/>
    <w:rsid w:val="000645BF"/>
    <w:rPr>
      <w:b/>
      <w:bCs/>
      <w:sz w:val="26"/>
      <w:szCs w:val="26"/>
    </w:rPr>
  </w:style>
  <w:style w:type="character" w:customStyle="1" w:styleId="tli1">
    <w:name w:val="tli1"/>
    <w:basedOn w:val="DefaultParagraphFont"/>
    <w:rsid w:val="000645BF"/>
  </w:style>
  <w:style w:type="character" w:customStyle="1" w:styleId="li1">
    <w:name w:val="li1"/>
    <w:basedOn w:val="DefaultParagraphFont"/>
    <w:rsid w:val="000645BF"/>
    <w:rPr>
      <w:b/>
      <w:bCs/>
      <w:color w:val="8F0000"/>
    </w:rPr>
  </w:style>
  <w:style w:type="paragraph" w:customStyle="1" w:styleId="Default">
    <w:name w:val="Default"/>
    <w:rsid w:val="000645BF"/>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tal1">
    <w:name w:val="tal1"/>
    <w:basedOn w:val="DefaultParagraphFont"/>
    <w:rsid w:val="000645BF"/>
  </w:style>
  <w:style w:type="character" w:styleId="Hyperlink">
    <w:name w:val="Hyperlink"/>
    <w:basedOn w:val="DefaultParagraphFont"/>
    <w:rsid w:val="000645BF"/>
    <w:rPr>
      <w:color w:val="0000FF"/>
      <w:u w:val="single"/>
    </w:rPr>
  </w:style>
  <w:style w:type="character" w:customStyle="1" w:styleId="tpa1">
    <w:name w:val="tpa1"/>
    <w:basedOn w:val="DefaultParagraphFont"/>
    <w:rsid w:val="000645BF"/>
  </w:style>
  <w:style w:type="character" w:styleId="HTMLTypewriter">
    <w:name w:val="HTML Typewriter"/>
    <w:basedOn w:val="DefaultParagraphFont"/>
    <w:rsid w:val="000645BF"/>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0645BF"/>
    <w:pPr>
      <w:spacing w:after="0" w:line="240" w:lineRule="auto"/>
      <w:ind w:left="1843"/>
      <w:jc w:val="both"/>
    </w:pPr>
    <w:rPr>
      <w:rFonts w:ascii="Times New Roman" w:eastAsia="Times New Roman" w:hAnsi="Times New Roman" w:cs="Times New Roman"/>
      <w:sz w:val="20"/>
      <w:szCs w:val="20"/>
      <w:lang w:val="en-US" w:eastAsia="en-US"/>
    </w:rPr>
  </w:style>
  <w:style w:type="paragraph" w:customStyle="1" w:styleId="CharCaracterCaracterChar">
    <w:name w:val="Char Caracter Caracter Cha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Caption">
    <w:name w:val="caption"/>
    <w:basedOn w:val="Normal"/>
    <w:next w:val="Normal"/>
    <w:unhideWhenUsed/>
    <w:qFormat/>
    <w:rsid w:val="000645BF"/>
    <w:pPr>
      <w:spacing w:after="0" w:line="240" w:lineRule="auto"/>
    </w:pPr>
    <w:rPr>
      <w:rFonts w:ascii="Times New Roman" w:eastAsia="SimSun" w:hAnsi="Times New Roman" w:cs="Times New Roman"/>
      <w:b/>
      <w:bCs/>
      <w:sz w:val="20"/>
      <w:szCs w:val="20"/>
      <w:lang w:val="en-GB" w:eastAsia="en-US"/>
    </w:rPr>
  </w:style>
  <w:style w:type="paragraph" w:customStyle="1" w:styleId="CharChar1">
    <w:name w:val="Char Char1"/>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Pa4">
    <w:name w:val="Pa4"/>
    <w:basedOn w:val="Normal"/>
    <w:next w:val="Normal"/>
    <w:rsid w:val="000645BF"/>
    <w:pPr>
      <w:autoSpaceDE w:val="0"/>
      <w:autoSpaceDN w:val="0"/>
      <w:adjustRightInd w:val="0"/>
      <w:spacing w:after="0" w:line="201" w:lineRule="atLeast"/>
    </w:pPr>
    <w:rPr>
      <w:rFonts w:ascii="Times New Roman" w:eastAsia="Times New Roman" w:hAnsi="Times New Roman" w:cs="Times New Roman"/>
      <w:sz w:val="24"/>
      <w:szCs w:val="24"/>
      <w:lang w:val="en-US" w:eastAsia="en-US"/>
    </w:rPr>
  </w:style>
  <w:style w:type="character" w:customStyle="1" w:styleId="text1">
    <w:name w:val="text1"/>
    <w:basedOn w:val="DefaultParagraphFont"/>
    <w:rsid w:val="000645BF"/>
    <w:rPr>
      <w:rFonts w:ascii="Verdana" w:hAnsi="Verdana" w:hint="default"/>
      <w:sz w:val="18"/>
      <w:szCs w:val="18"/>
    </w:rPr>
  </w:style>
  <w:style w:type="paragraph" w:customStyle="1" w:styleId="Char">
    <w:name w:val="Cha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NormalWeb3">
    <w:name w:val="Normal (Web)3"/>
    <w:basedOn w:val="Default"/>
    <w:next w:val="Default"/>
    <w:rsid w:val="000645BF"/>
    <w:pPr>
      <w:spacing w:before="100" w:after="100"/>
    </w:pPr>
    <w:rPr>
      <w:rFonts w:ascii="Arial" w:hAnsi="Arial"/>
      <w:color w:val="auto"/>
    </w:rPr>
  </w:style>
  <w:style w:type="paragraph" w:styleId="DocumentMap">
    <w:name w:val="Document Map"/>
    <w:basedOn w:val="Normal"/>
    <w:link w:val="DocumentMapChar"/>
    <w:rsid w:val="000645BF"/>
    <w:pPr>
      <w:shd w:val="clear" w:color="auto" w:fill="000080"/>
      <w:spacing w:after="0" w:line="240" w:lineRule="auto"/>
    </w:pPr>
    <w:rPr>
      <w:rFonts w:ascii="Tahoma" w:eastAsia="Times New Roman" w:hAnsi="Tahoma" w:cs="Tahoma"/>
      <w:sz w:val="20"/>
      <w:szCs w:val="20"/>
      <w:lang w:val="en-US" w:eastAsia="en-US"/>
    </w:rPr>
  </w:style>
  <w:style w:type="character" w:customStyle="1" w:styleId="DocumentMapChar">
    <w:name w:val="Document Map Char"/>
    <w:basedOn w:val="DefaultParagraphFont"/>
    <w:link w:val="DocumentMap"/>
    <w:rsid w:val="000645BF"/>
    <w:rPr>
      <w:rFonts w:ascii="Tahoma" w:eastAsia="Times New Roman" w:hAnsi="Tahoma" w:cs="Tahoma"/>
      <w:sz w:val="20"/>
      <w:szCs w:val="20"/>
      <w:shd w:val="clear" w:color="auto" w:fill="000080"/>
      <w:lang w:val="en-US" w:eastAsia="en-US"/>
    </w:rPr>
  </w:style>
  <w:style w:type="character" w:customStyle="1" w:styleId="articlenormal1">
    <w:name w:val="articlenormal1"/>
    <w:basedOn w:val="DefaultParagraphFont"/>
    <w:rsid w:val="000645BF"/>
    <w:rPr>
      <w:color w:val="000000"/>
      <w:sz w:val="19"/>
      <w:szCs w:val="19"/>
      <w:shd w:val="clear" w:color="auto" w:fill="auto"/>
    </w:rPr>
  </w:style>
  <w:style w:type="character" w:customStyle="1" w:styleId="BodyTextChar1">
    <w:name w:val="Body Text Char1"/>
    <w:aliases w:val="Body Text Char Char, Caracter Char,Caracter Char"/>
    <w:basedOn w:val="DefaultParagraphFont"/>
    <w:rsid w:val="000645BF"/>
    <w:rPr>
      <w:sz w:val="24"/>
      <w:szCs w:val="24"/>
      <w:lang w:val="ro-RO" w:eastAsia="en-US" w:bidi="ar-SA"/>
    </w:rPr>
  </w:style>
  <w:style w:type="character" w:customStyle="1" w:styleId="a">
    <w:name w:val="a"/>
    <w:basedOn w:val="DefaultParagraphFont"/>
    <w:rsid w:val="000645BF"/>
  </w:style>
  <w:style w:type="paragraph" w:styleId="BodyTextIndent3">
    <w:name w:val="Body Text Indent 3"/>
    <w:basedOn w:val="Normal"/>
    <w:link w:val="BodyTextIndent3Char"/>
    <w:rsid w:val="000645BF"/>
    <w:pPr>
      <w:spacing w:after="120" w:line="240" w:lineRule="auto"/>
      <w:ind w:left="283"/>
    </w:pPr>
    <w:rPr>
      <w:rFonts w:ascii="Times New Roman" w:eastAsia="SimSun" w:hAnsi="Times New Roman" w:cs="Times New Roman"/>
      <w:sz w:val="16"/>
      <w:szCs w:val="16"/>
      <w:lang w:val="en-GB" w:eastAsia="en-US"/>
    </w:rPr>
  </w:style>
  <w:style w:type="character" w:customStyle="1" w:styleId="BodyTextIndent3Char">
    <w:name w:val="Body Text Indent 3 Char"/>
    <w:basedOn w:val="DefaultParagraphFont"/>
    <w:link w:val="BodyTextIndent3"/>
    <w:rsid w:val="000645BF"/>
    <w:rPr>
      <w:rFonts w:ascii="Times New Roman" w:eastAsia="SimSun" w:hAnsi="Times New Roman" w:cs="Times New Roman"/>
      <w:sz w:val="16"/>
      <w:szCs w:val="16"/>
      <w:lang w:val="en-GB" w:eastAsia="en-US"/>
    </w:rPr>
  </w:style>
  <w:style w:type="paragraph" w:customStyle="1" w:styleId="CharCaracterCharCharCharCaracter">
    <w:name w:val="Char Caracter Char Char Cha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0645BF"/>
    <w:pPr>
      <w:spacing w:after="0"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rsid w:val="000645BF"/>
  </w:style>
  <w:style w:type="character" w:customStyle="1" w:styleId="ar1">
    <w:name w:val="ar1"/>
    <w:basedOn w:val="DefaultParagraphFont"/>
    <w:rsid w:val="000645BF"/>
    <w:rPr>
      <w:b/>
      <w:bCs/>
      <w:color w:val="0000AF"/>
      <w:sz w:val="22"/>
      <w:szCs w:val="22"/>
    </w:rPr>
  </w:style>
  <w:style w:type="character" w:customStyle="1" w:styleId="CharChar15">
    <w:name w:val="Char Char15"/>
    <w:basedOn w:val="DefaultParagraphFont"/>
    <w:rsid w:val="000645BF"/>
    <w:rPr>
      <w:rFonts w:ascii="Arial" w:eastAsia="SimSun" w:hAnsi="Arial" w:cs="Arial"/>
      <w:b/>
      <w:bCs/>
      <w:kern w:val="32"/>
      <w:sz w:val="32"/>
      <w:szCs w:val="32"/>
      <w:lang w:val="en-GB" w:eastAsia="en-US" w:bidi="ar-SA"/>
    </w:rPr>
  </w:style>
  <w:style w:type="character" w:customStyle="1" w:styleId="CharChar7">
    <w:name w:val="Char Char7"/>
    <w:basedOn w:val="DefaultParagraphFont"/>
    <w:rsid w:val="000645BF"/>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DefaultParagraphFont"/>
    <w:rsid w:val="000645BF"/>
    <w:rPr>
      <w:rFonts w:eastAsia="SimSun"/>
      <w:sz w:val="24"/>
      <w:szCs w:val="24"/>
      <w:lang w:val="en-GB" w:eastAsia="en-US" w:bidi="ar-SA"/>
    </w:rPr>
  </w:style>
  <w:style w:type="character" w:customStyle="1" w:styleId="al1">
    <w:name w:val="al1"/>
    <w:basedOn w:val="DefaultParagraphFont"/>
    <w:rsid w:val="000645BF"/>
    <w:rPr>
      <w:b/>
      <w:bCs/>
      <w:color w:val="008F00"/>
    </w:rPr>
  </w:style>
  <w:style w:type="character" w:customStyle="1" w:styleId="pt1">
    <w:name w:val="pt1"/>
    <w:basedOn w:val="DefaultParagraphFont"/>
    <w:rsid w:val="000645BF"/>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0645BF"/>
    <w:pPr>
      <w:spacing w:after="0" w:line="240" w:lineRule="auto"/>
    </w:pPr>
    <w:rPr>
      <w:rFonts w:ascii="Times New Roman" w:eastAsia="Times New Roman" w:hAnsi="Times New Roman" w:cs="Times New Roman"/>
      <w:sz w:val="24"/>
      <w:szCs w:val="24"/>
      <w:lang w:val="pl-PL" w:eastAsia="pl-PL"/>
    </w:rPr>
  </w:style>
  <w:style w:type="character" w:styleId="FollowedHyperlink">
    <w:name w:val="FollowedHyperlink"/>
    <w:basedOn w:val="DefaultParagraphFont"/>
    <w:rsid w:val="000645BF"/>
    <w:rPr>
      <w:color w:val="800080"/>
      <w:u w:val="single"/>
    </w:rPr>
  </w:style>
  <w:style w:type="character" w:styleId="Emphasis">
    <w:name w:val="Emphasis"/>
    <w:basedOn w:val="DefaultParagraphFont"/>
    <w:qFormat/>
    <w:rsid w:val="000645BF"/>
    <w:rPr>
      <w:i/>
      <w:iCs/>
    </w:rPr>
  </w:style>
  <w:style w:type="table" w:styleId="TableGrid">
    <w:name w:val="Table Grid"/>
    <w:basedOn w:val="TableNormal"/>
    <w:uiPriority w:val="59"/>
    <w:rsid w:val="000645B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rsid w:val="000645BF"/>
    <w:pPr>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mplicit">
    <w:name w:val="Implicit"/>
    <w:rsid w:val="000645BF"/>
    <w:pPr>
      <w:tabs>
        <w:tab w:val="left" w:pos="720"/>
      </w:tabs>
      <w:suppressAutoHyphens/>
    </w:pPr>
    <w:rPr>
      <w:rFonts w:ascii="Times New Roman" w:eastAsia="Times New Roman" w:hAnsi="Times New Roman" w:cs="Times New Roman"/>
      <w:color w:val="00000A"/>
      <w:sz w:val="24"/>
      <w:szCs w:val="24"/>
      <w:lang w:val="en-US" w:eastAsia="en-US"/>
    </w:rPr>
  </w:style>
  <w:style w:type="paragraph" w:customStyle="1" w:styleId="Char1CharChar1Char">
    <w:name w:val="Char1 Char Char1 Char"/>
    <w:basedOn w:val="Normal"/>
    <w:uiPriority w:val="99"/>
    <w:rsid w:val="000645BF"/>
    <w:pPr>
      <w:tabs>
        <w:tab w:val="left" w:pos="709"/>
      </w:tabs>
      <w:overflowPunct w:val="0"/>
      <w:autoSpaceDE w:val="0"/>
      <w:autoSpaceDN w:val="0"/>
      <w:adjustRightInd w:val="0"/>
      <w:spacing w:after="0" w:line="264" w:lineRule="auto"/>
      <w:textAlignment w:val="baseline"/>
    </w:pPr>
    <w:rPr>
      <w:rFonts w:ascii="Tahoma" w:eastAsia="Times New Roman" w:hAnsi="Tahoma" w:cs="Tahoma"/>
      <w:lang w:val="pl-PL" w:eastAsia="pl-PL"/>
    </w:rPr>
  </w:style>
  <w:style w:type="paragraph" w:customStyle="1" w:styleId="externalclass684e6937532b40bc957069edaade015e">
    <w:name w:val="externalclass684e6937532b40bc957069edaade015e"/>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span-24column">
    <w:name w:val="span-24  column"/>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span-24column0">
    <w:name w:val="span-24 column"/>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character" w:customStyle="1" w:styleId="stire">
    <w:name w:val="stire"/>
    <w:basedOn w:val="DefaultParagraphFont"/>
    <w:uiPriority w:val="99"/>
    <w:rsid w:val="000645BF"/>
  </w:style>
  <w:style w:type="table" w:styleId="LightShading-Accent5">
    <w:name w:val="Light Shading Accent 5"/>
    <w:basedOn w:val="TableNormal"/>
    <w:uiPriority w:val="99"/>
    <w:rsid w:val="000645BF"/>
    <w:pPr>
      <w:spacing w:after="0" w:line="240" w:lineRule="auto"/>
    </w:pPr>
    <w:rPr>
      <w:rFonts w:ascii="Calibri" w:eastAsia="Times New Roman" w:hAnsi="Calibri" w:cs="Calibri"/>
      <w:color w:val="31849B"/>
      <w:sz w:val="20"/>
      <w:szCs w:val="20"/>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uiPriority w:val="99"/>
    <w:rsid w:val="000645BF"/>
    <w:pPr>
      <w:spacing w:after="0" w:line="240" w:lineRule="auto"/>
    </w:pPr>
    <w:rPr>
      <w:rFonts w:ascii="Calibri" w:eastAsia="Times New Roman" w:hAnsi="Calibri"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8">
    <w:name w:val="Style8"/>
    <w:basedOn w:val="Normal"/>
    <w:rsid w:val="000645BF"/>
    <w:pPr>
      <w:widowControl w:val="0"/>
      <w:autoSpaceDE w:val="0"/>
      <w:autoSpaceDN w:val="0"/>
      <w:adjustRightInd w:val="0"/>
      <w:spacing w:after="0" w:line="300" w:lineRule="exact"/>
      <w:ind w:firstLine="706"/>
      <w:jc w:val="both"/>
    </w:pPr>
    <w:rPr>
      <w:rFonts w:ascii="Times New Roman" w:eastAsia="Times New Roman" w:hAnsi="Times New Roman" w:cs="Times New Roman"/>
      <w:sz w:val="24"/>
      <w:szCs w:val="24"/>
      <w:lang w:val="en-US" w:eastAsia="en-US"/>
    </w:rPr>
  </w:style>
  <w:style w:type="character" w:customStyle="1" w:styleId="FontStyle22">
    <w:name w:val="Font Style22"/>
    <w:basedOn w:val="DefaultParagraphFont"/>
    <w:rsid w:val="000645BF"/>
    <w:rPr>
      <w:rFonts w:ascii="Times New Roman" w:hAnsi="Times New Roman" w:cs="Times New Roman"/>
      <w:sz w:val="24"/>
      <w:szCs w:val="24"/>
    </w:rPr>
  </w:style>
  <w:style w:type="paragraph" w:customStyle="1" w:styleId="x95">
    <w:name w:val="x95"/>
    <w:basedOn w:val="Normal"/>
    <w:rsid w:val="000645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f">
    <w:name w:val="Listă paragraf"/>
    <w:basedOn w:val="Normal"/>
    <w:qFormat/>
    <w:rsid w:val="000645BF"/>
    <w:pPr>
      <w:ind w:left="720"/>
      <w:contextualSpacing/>
    </w:pPr>
    <w:rPr>
      <w:rFonts w:ascii="Calibri" w:eastAsia="Calibri" w:hAnsi="Calibri" w:cs="Times New Roman"/>
      <w:lang w:val="en-US" w:eastAsia="en-US"/>
    </w:rPr>
  </w:style>
  <w:style w:type="paragraph" w:styleId="FootnoteText">
    <w:name w:val="footnote text"/>
    <w:basedOn w:val="Normal"/>
    <w:link w:val="FootnoteTextChar"/>
    <w:uiPriority w:val="99"/>
    <w:rsid w:val="000645BF"/>
    <w:pPr>
      <w:spacing w:after="0" w:line="240" w:lineRule="auto"/>
    </w:pPr>
    <w:rPr>
      <w:rFonts w:ascii="Univers Cd (WE)" w:eastAsia="Univers Cd (WE)" w:hAnsi="Univers Cd (WE)" w:cs="Times New Roman"/>
      <w:kern w:val="16"/>
      <w:sz w:val="20"/>
      <w:szCs w:val="20"/>
      <w:lang w:val="en-US" w:eastAsia="en-US"/>
    </w:rPr>
  </w:style>
  <w:style w:type="character" w:customStyle="1" w:styleId="FootnoteTextChar">
    <w:name w:val="Footnote Text Char"/>
    <w:basedOn w:val="DefaultParagraphFont"/>
    <w:link w:val="FootnoteText"/>
    <w:uiPriority w:val="99"/>
    <w:rsid w:val="000645BF"/>
    <w:rPr>
      <w:rFonts w:ascii="Univers Cd (WE)" w:eastAsia="Univers Cd (WE)" w:hAnsi="Univers Cd (WE)" w:cs="Times New Roman"/>
      <w:kern w:val="16"/>
      <w:sz w:val="20"/>
      <w:szCs w:val="20"/>
      <w:lang w:val="en-US" w:eastAsia="en-US"/>
    </w:rPr>
  </w:style>
  <w:style w:type="character" w:styleId="FootnoteReference">
    <w:name w:val="footnote reference"/>
    <w:basedOn w:val="DefaultParagraphFont"/>
    <w:uiPriority w:val="99"/>
    <w:rsid w:val="000645BF"/>
    <w:rPr>
      <w:vertAlign w:val="superscript"/>
    </w:rPr>
  </w:style>
  <w:style w:type="character" w:customStyle="1" w:styleId="partttl">
    <w:name w:val="p_art_ttl"/>
    <w:basedOn w:val="DefaultParagraphFont"/>
    <w:rsid w:val="000645BF"/>
    <w:rPr>
      <w:b/>
      <w:bCs/>
      <w:vanish w:val="0"/>
      <w:webHidden w:val="0"/>
      <w:sz w:val="16"/>
      <w:szCs w:val="16"/>
      <w:specVanish w:val="0"/>
    </w:rPr>
  </w:style>
  <w:style w:type="character" w:customStyle="1" w:styleId="part">
    <w:name w:val="p_art"/>
    <w:basedOn w:val="DefaultParagraphFont"/>
    <w:rsid w:val="000645BF"/>
    <w:rPr>
      <w:vanish w:val="0"/>
      <w:webHidden w:val="0"/>
      <w:specVanish w:val="0"/>
    </w:rPr>
  </w:style>
  <w:style w:type="character" w:customStyle="1" w:styleId="sttlitera">
    <w:name w:val="st_tlitera"/>
    <w:basedOn w:val="DefaultParagraphFont"/>
    <w:rsid w:val="000645BF"/>
  </w:style>
  <w:style w:type="paragraph" w:customStyle="1" w:styleId="CM4">
    <w:name w:val="CM4"/>
    <w:basedOn w:val="Default"/>
    <w:next w:val="Default"/>
    <w:uiPriority w:val="99"/>
    <w:rsid w:val="000645BF"/>
    <w:pPr>
      <w:spacing w:before="60" w:after="60"/>
    </w:pPr>
    <w:rPr>
      <w:rFonts w:ascii="EU Albertina" w:hAnsi="EU Albertina"/>
      <w:color w:val="auto"/>
      <w:lang w:val="ro-RO" w:eastAsia="ro-RO"/>
    </w:rPr>
  </w:style>
  <w:style w:type="paragraph" w:customStyle="1" w:styleId="CM1">
    <w:name w:val="CM1"/>
    <w:basedOn w:val="Default"/>
    <w:next w:val="Default"/>
    <w:uiPriority w:val="99"/>
    <w:rsid w:val="000645BF"/>
    <w:pPr>
      <w:spacing w:before="200" w:after="200"/>
    </w:pPr>
    <w:rPr>
      <w:rFonts w:ascii="EU Albertina" w:hAnsi="EU Albertina"/>
      <w:color w:val="auto"/>
      <w:lang w:val="ro-RO" w:eastAsia="ro-RO"/>
    </w:rPr>
  </w:style>
  <w:style w:type="paragraph" w:customStyle="1" w:styleId="titlu">
    <w:name w:val="titlu"/>
    <w:basedOn w:val="Normal"/>
    <w:rsid w:val="000645BF"/>
    <w:pPr>
      <w:spacing w:after="0" w:line="360" w:lineRule="atLeast"/>
      <w:jc w:val="both"/>
    </w:pPr>
    <w:rPr>
      <w:rFonts w:ascii="Tahoma" w:eastAsia="Times New Roman" w:hAnsi="Tahoma" w:cs="Tahoma"/>
      <w:b/>
      <w:bCs/>
      <w:color w:val="0099CC"/>
      <w:sz w:val="21"/>
      <w:szCs w:val="21"/>
      <w:lang w:val="en-US"/>
    </w:rPr>
  </w:style>
  <w:style w:type="paragraph" w:customStyle="1" w:styleId="CM3">
    <w:name w:val="CM3"/>
    <w:basedOn w:val="Default"/>
    <w:next w:val="Default"/>
    <w:uiPriority w:val="99"/>
    <w:rsid w:val="000645BF"/>
    <w:rPr>
      <w:rFonts w:ascii="EUAlbertina" w:hAnsi="EUAlbertina"/>
      <w:color w:val="auto"/>
      <w:lang w:val="ro-RO" w:eastAsia="ro-RO"/>
    </w:rPr>
  </w:style>
  <w:style w:type="paragraph" w:styleId="NoSpacing">
    <w:name w:val="No Spacing"/>
    <w:link w:val="NoSpacingChar"/>
    <w:uiPriority w:val="1"/>
    <w:qFormat/>
    <w:rsid w:val="000645BF"/>
    <w:pPr>
      <w:spacing w:after="0" w:line="240" w:lineRule="auto"/>
    </w:pPr>
    <w:rPr>
      <w:rFonts w:ascii="Calibri" w:eastAsia="Calibri" w:hAnsi="Calibri" w:cs="Times New Roman"/>
      <w:lang w:val="en-US" w:eastAsia="en-US"/>
    </w:rPr>
  </w:style>
  <w:style w:type="paragraph" w:customStyle="1" w:styleId="Corptext">
    <w:name w:val="Corp text"/>
    <w:basedOn w:val="Implicit"/>
    <w:rsid w:val="000645BF"/>
    <w:pPr>
      <w:tabs>
        <w:tab w:val="left" w:pos="1677"/>
      </w:tabs>
      <w:spacing w:after="120" w:line="360" w:lineRule="auto"/>
      <w:jc w:val="both"/>
    </w:pPr>
    <w:rPr>
      <w:rFonts w:ascii="Arial" w:hAnsi="Arial" w:cs="Arial"/>
      <w:sz w:val="20"/>
      <w:szCs w:val="20"/>
      <w:lang w:val="it-IT"/>
    </w:rPr>
  </w:style>
  <w:style w:type="character" w:customStyle="1" w:styleId="ListParagraphChar">
    <w:name w:val="List Paragraph Char"/>
    <w:aliases w:val="body 2 Char,lp1 Char,Heading x1 Char,Lista 1 Char,lp11 Char,Lettre d'introduction Char,1st level - Bullet List Paragraph Char,Paragrafo elenco Char,List Paragraph11 Char,Heading 2_sj Char"/>
    <w:link w:val="ListParagraph"/>
    <w:uiPriority w:val="34"/>
    <w:rsid w:val="000645BF"/>
    <w:rPr>
      <w:rFonts w:ascii="Times New Roman" w:eastAsia="Times New Roman" w:hAnsi="Times New Roman" w:cs="Times New Roman"/>
      <w:sz w:val="24"/>
      <w:szCs w:val="24"/>
      <w:lang w:val="en-US"/>
    </w:rPr>
  </w:style>
  <w:style w:type="numbering" w:styleId="111111">
    <w:name w:val="Outline List 2"/>
    <w:basedOn w:val="NoList"/>
    <w:rsid w:val="000645BF"/>
    <w:pPr>
      <w:numPr>
        <w:numId w:val="3"/>
      </w:numPr>
    </w:pPr>
  </w:style>
  <w:style w:type="numbering" w:customStyle="1" w:styleId="Listacurent1">
    <w:name w:val="Lista curentă1"/>
    <w:rsid w:val="000645BF"/>
    <w:pPr>
      <w:numPr>
        <w:numId w:val="4"/>
      </w:numPr>
    </w:pPr>
  </w:style>
  <w:style w:type="paragraph" w:styleId="TOCHeading">
    <w:name w:val="TOC Heading"/>
    <w:basedOn w:val="Heading1"/>
    <w:next w:val="Normal"/>
    <w:uiPriority w:val="39"/>
    <w:semiHidden/>
    <w:unhideWhenUsed/>
    <w:qFormat/>
    <w:rsid w:val="000645BF"/>
    <w:pPr>
      <w:keepLines/>
      <w:spacing w:before="480" w:after="0" w:line="276" w:lineRule="auto"/>
      <w:outlineLvl w:val="9"/>
    </w:pPr>
    <w:rPr>
      <w:rFonts w:ascii="Cambria" w:eastAsia="Times New Roman" w:hAnsi="Cambria" w:cs="Times New Roman"/>
      <w:color w:val="365F91"/>
      <w:kern w:val="0"/>
      <w:sz w:val="28"/>
      <w:szCs w:val="28"/>
      <w:lang w:val="ro-RO" w:eastAsia="ro-RO"/>
    </w:rPr>
  </w:style>
  <w:style w:type="paragraph" w:customStyle="1" w:styleId="Paragraf">
    <w:name w:val="Paragraf"/>
    <w:basedOn w:val="Normal"/>
    <w:rsid w:val="000645BF"/>
    <w:pPr>
      <w:tabs>
        <w:tab w:val="left" w:pos="851"/>
        <w:tab w:val="left" w:pos="1418"/>
        <w:tab w:val="num" w:pos="2160"/>
      </w:tabs>
      <w:spacing w:before="40" w:after="40" w:line="240" w:lineRule="auto"/>
      <w:ind w:left="2160" w:hanging="180"/>
      <w:jc w:val="both"/>
    </w:pPr>
    <w:rPr>
      <w:rFonts w:ascii="Arial" w:eastAsia="Times New Roman" w:hAnsi="Arial" w:cs="Times New Roman"/>
      <w:sz w:val="24"/>
      <w:szCs w:val="20"/>
      <w:lang w:val="en-US" w:eastAsia="en-US"/>
    </w:rPr>
  </w:style>
  <w:style w:type="paragraph" w:styleId="TOC1">
    <w:name w:val="toc 1"/>
    <w:basedOn w:val="Normal"/>
    <w:next w:val="Normal"/>
    <w:autoRedefine/>
    <w:rsid w:val="000645BF"/>
    <w:pPr>
      <w:spacing w:after="100" w:line="240" w:lineRule="auto"/>
    </w:pPr>
    <w:rPr>
      <w:rFonts w:ascii="Times New Roman" w:eastAsia="SimSun" w:hAnsi="Times New Roman" w:cs="Times New Roman"/>
      <w:sz w:val="24"/>
      <w:szCs w:val="24"/>
      <w:lang w:val="en-GB" w:eastAsia="en-US"/>
    </w:rPr>
  </w:style>
  <w:style w:type="paragraph" w:styleId="TOC2">
    <w:name w:val="toc 2"/>
    <w:basedOn w:val="Normal"/>
    <w:next w:val="Normal"/>
    <w:autoRedefine/>
    <w:rsid w:val="000645BF"/>
    <w:pPr>
      <w:spacing w:after="100" w:line="240" w:lineRule="auto"/>
      <w:ind w:left="240"/>
    </w:pPr>
    <w:rPr>
      <w:rFonts w:ascii="Times New Roman" w:eastAsia="SimSun" w:hAnsi="Times New Roman" w:cs="Times New Roman"/>
      <w:sz w:val="24"/>
      <w:szCs w:val="24"/>
      <w:lang w:val="en-GB" w:eastAsia="en-US"/>
    </w:rPr>
  </w:style>
  <w:style w:type="paragraph" w:styleId="TOC3">
    <w:name w:val="toc 3"/>
    <w:basedOn w:val="Normal"/>
    <w:next w:val="Normal"/>
    <w:autoRedefine/>
    <w:rsid w:val="000645BF"/>
    <w:pPr>
      <w:spacing w:after="100" w:line="240" w:lineRule="auto"/>
      <w:ind w:left="480"/>
    </w:pPr>
    <w:rPr>
      <w:rFonts w:ascii="Times New Roman" w:eastAsia="SimSun" w:hAnsi="Times New Roman" w:cs="Times New Roman"/>
      <w:sz w:val="24"/>
      <w:szCs w:val="24"/>
      <w:lang w:val="en-GB" w:eastAsia="en-US"/>
    </w:rPr>
  </w:style>
  <w:style w:type="paragraph" w:styleId="TOC4">
    <w:name w:val="toc 4"/>
    <w:basedOn w:val="Normal"/>
    <w:next w:val="Normal"/>
    <w:autoRedefine/>
    <w:rsid w:val="000645BF"/>
    <w:pPr>
      <w:spacing w:after="100" w:line="240" w:lineRule="auto"/>
      <w:ind w:left="720"/>
    </w:pPr>
    <w:rPr>
      <w:rFonts w:ascii="Times New Roman" w:eastAsia="SimSun" w:hAnsi="Times New Roman" w:cs="Times New Roman"/>
      <w:sz w:val="24"/>
      <w:szCs w:val="24"/>
      <w:lang w:val="en-GB" w:eastAsia="en-US"/>
    </w:rPr>
  </w:style>
  <w:style w:type="paragraph" w:styleId="TOC5">
    <w:name w:val="toc 5"/>
    <w:basedOn w:val="Normal"/>
    <w:next w:val="Normal"/>
    <w:autoRedefine/>
    <w:rsid w:val="000645BF"/>
    <w:pPr>
      <w:spacing w:after="100" w:line="240" w:lineRule="auto"/>
      <w:ind w:left="960"/>
    </w:pPr>
    <w:rPr>
      <w:rFonts w:ascii="Times New Roman" w:eastAsia="SimSun" w:hAnsi="Times New Roman" w:cs="Times New Roman"/>
      <w:sz w:val="24"/>
      <w:szCs w:val="24"/>
      <w:lang w:val="en-GB" w:eastAsia="en-US"/>
    </w:rPr>
  </w:style>
  <w:style w:type="paragraph" w:styleId="TOC6">
    <w:name w:val="toc 6"/>
    <w:basedOn w:val="Normal"/>
    <w:next w:val="Normal"/>
    <w:autoRedefine/>
    <w:rsid w:val="000645BF"/>
    <w:pPr>
      <w:spacing w:after="100" w:line="240" w:lineRule="auto"/>
      <w:ind w:left="1200"/>
    </w:pPr>
    <w:rPr>
      <w:rFonts w:ascii="Times New Roman" w:eastAsia="SimSun" w:hAnsi="Times New Roman" w:cs="Times New Roman"/>
      <w:sz w:val="24"/>
      <w:szCs w:val="24"/>
      <w:lang w:val="en-GB" w:eastAsia="en-US"/>
    </w:rPr>
  </w:style>
  <w:style w:type="paragraph" w:styleId="TOC7">
    <w:name w:val="toc 7"/>
    <w:basedOn w:val="Normal"/>
    <w:next w:val="Normal"/>
    <w:autoRedefine/>
    <w:rsid w:val="000645BF"/>
    <w:pPr>
      <w:spacing w:after="100" w:line="240" w:lineRule="auto"/>
      <w:ind w:left="1440"/>
    </w:pPr>
    <w:rPr>
      <w:rFonts w:ascii="Times New Roman" w:eastAsia="SimSun" w:hAnsi="Times New Roman" w:cs="Times New Roman"/>
      <w:sz w:val="24"/>
      <w:szCs w:val="24"/>
      <w:lang w:val="en-GB" w:eastAsia="en-US"/>
    </w:rPr>
  </w:style>
  <w:style w:type="character" w:customStyle="1" w:styleId="apple-converted-space">
    <w:name w:val="apple-converted-space"/>
    <w:basedOn w:val="DefaultParagraphFont"/>
    <w:rsid w:val="000645BF"/>
  </w:style>
  <w:style w:type="character" w:customStyle="1" w:styleId="sttart">
    <w:name w:val="st_tart"/>
    <w:basedOn w:val="DefaultParagraphFont"/>
    <w:rsid w:val="000645BF"/>
  </w:style>
  <w:style w:type="paragraph" w:customStyle="1" w:styleId="meta">
    <w:name w:val="meta"/>
    <w:basedOn w:val="Normal"/>
    <w:rsid w:val="000645B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harChar1CaracterCaracter">
    <w:name w:val="Char Char1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BlockText">
    <w:name w:val="Block Text"/>
    <w:basedOn w:val="Normal"/>
    <w:rsid w:val="000645BF"/>
    <w:pPr>
      <w:spacing w:after="0" w:line="240" w:lineRule="auto"/>
      <w:ind w:left="-851" w:right="-1283" w:firstLine="851"/>
      <w:jc w:val="both"/>
    </w:pPr>
    <w:rPr>
      <w:rFonts w:ascii="Ro Times New Roman" w:eastAsia="Times New Roman" w:hAnsi="Ro Times New Roman" w:cs="Times New Roman"/>
      <w:sz w:val="28"/>
      <w:szCs w:val="20"/>
      <w:lang w:val="en-US" w:eastAsia="en-US"/>
    </w:rPr>
  </w:style>
  <w:style w:type="paragraph" w:customStyle="1" w:styleId="1">
    <w:name w:val="1"/>
    <w:basedOn w:val="Normal"/>
    <w:rsid w:val="000645BF"/>
    <w:pPr>
      <w:spacing w:after="160" w:line="240" w:lineRule="exact"/>
    </w:pPr>
    <w:rPr>
      <w:rFonts w:ascii="Verdana" w:eastAsia="Times New Roman" w:hAnsi="Verdana" w:cs="Times New Roman"/>
      <w:sz w:val="20"/>
      <w:szCs w:val="20"/>
      <w:lang w:val="en-US" w:eastAsia="en-US"/>
    </w:rPr>
  </w:style>
  <w:style w:type="paragraph" w:customStyle="1" w:styleId="Textdetabel">
    <w:name w:val="Text de tabel"/>
    <w:basedOn w:val="Normal"/>
    <w:rsid w:val="000645BF"/>
    <w:pPr>
      <w:spacing w:after="0" w:line="240" w:lineRule="auto"/>
      <w:jc w:val="center"/>
    </w:pPr>
    <w:rPr>
      <w:rFonts w:ascii="Times New Roman" w:eastAsia="Times New Roman" w:hAnsi="Times New Roman" w:cs="Times New Roman"/>
      <w:sz w:val="18"/>
      <w:szCs w:val="20"/>
      <w:lang w:val="en-US" w:eastAsia="en-US"/>
    </w:rPr>
  </w:style>
  <w:style w:type="paragraph" w:customStyle="1" w:styleId="CaracterCaracterCharCharCaracterCaracterCaracterCaracter">
    <w:name w:val="Caracter Caracter Char Char Caracter Caracter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1text2">
    <w:name w:val="1 text 2"/>
    <w:basedOn w:val="Normal"/>
    <w:qFormat/>
    <w:rsid w:val="000645BF"/>
    <w:pPr>
      <w:spacing w:before="240" w:after="0" w:line="240" w:lineRule="auto"/>
      <w:jc w:val="both"/>
    </w:pPr>
    <w:rPr>
      <w:rFonts w:ascii="Arial" w:eastAsia="Calibri" w:hAnsi="Arial" w:cs="Times New Roman"/>
      <w:iCs/>
      <w:sz w:val="24"/>
      <w:szCs w:val="24"/>
      <w:lang w:val="en-US" w:eastAsia="en-US"/>
    </w:rPr>
  </w:style>
  <w:style w:type="paragraph" w:customStyle="1" w:styleId="1tabeltitlu">
    <w:name w:val="1 tabel titlu"/>
    <w:basedOn w:val="Normal"/>
    <w:qFormat/>
    <w:rsid w:val="000645BF"/>
    <w:pPr>
      <w:spacing w:before="240" w:after="120" w:line="240" w:lineRule="auto"/>
      <w:jc w:val="center"/>
    </w:pPr>
    <w:rPr>
      <w:rFonts w:ascii="Arial" w:eastAsia="Times New Roman" w:hAnsi="Arial" w:cs="Arial"/>
      <w:b/>
      <w:szCs w:val="24"/>
      <w:lang w:val="en-US"/>
    </w:rPr>
  </w:style>
  <w:style w:type="paragraph" w:styleId="TableofFigures">
    <w:name w:val="table of figures"/>
    <w:basedOn w:val="Normal"/>
    <w:next w:val="Normal"/>
    <w:uiPriority w:val="99"/>
    <w:unhideWhenUsed/>
    <w:rsid w:val="000645BF"/>
    <w:pPr>
      <w:spacing w:after="0"/>
      <w:ind w:left="440" w:hanging="440"/>
      <w:jc w:val="center"/>
    </w:pPr>
    <w:rPr>
      <w:rFonts w:ascii="Calibri" w:eastAsia="Times New Roman" w:hAnsi="Calibri" w:cs="Times New Roman"/>
      <w:b/>
      <w:bCs/>
      <w:i/>
      <w:iCs/>
      <w:sz w:val="20"/>
      <w:szCs w:val="20"/>
      <w:lang w:val="en-US"/>
    </w:rPr>
  </w:style>
  <w:style w:type="character" w:customStyle="1" w:styleId="FootnoteTextChar1">
    <w:name w:val="Footnote Text Char1"/>
    <w:semiHidden/>
    <w:locked/>
    <w:rsid w:val="000645BF"/>
    <w:rPr>
      <w:lang w:val="ro-RO" w:eastAsia="en-US" w:bidi="ar-SA"/>
    </w:rPr>
  </w:style>
  <w:style w:type="paragraph" w:styleId="Subtitle">
    <w:name w:val="Subtitle"/>
    <w:basedOn w:val="Normal"/>
    <w:link w:val="SubtitleChar"/>
    <w:uiPriority w:val="11"/>
    <w:qFormat/>
    <w:rsid w:val="000645BF"/>
    <w:pPr>
      <w:spacing w:after="0" w:line="240" w:lineRule="auto"/>
      <w:jc w:val="center"/>
      <w:outlineLvl w:val="0"/>
    </w:pPr>
    <w:rPr>
      <w:rFonts w:ascii="Arial" w:eastAsia="Times New Roman" w:hAnsi="Arial" w:cs="Arial"/>
      <w:b/>
      <w:caps/>
      <w:sz w:val="24"/>
      <w:szCs w:val="24"/>
      <w:lang w:val="en-US" w:eastAsia="en-US"/>
    </w:rPr>
  </w:style>
  <w:style w:type="character" w:customStyle="1" w:styleId="SubtitleChar">
    <w:name w:val="Subtitle Char"/>
    <w:basedOn w:val="DefaultParagraphFont"/>
    <w:link w:val="Subtitle"/>
    <w:uiPriority w:val="11"/>
    <w:rsid w:val="000645BF"/>
    <w:rPr>
      <w:rFonts w:ascii="Arial" w:eastAsia="Times New Roman" w:hAnsi="Arial" w:cs="Arial"/>
      <w:b/>
      <w:caps/>
      <w:sz w:val="24"/>
      <w:szCs w:val="24"/>
      <w:lang w:val="en-US" w:eastAsia="en-US"/>
    </w:rPr>
  </w:style>
  <w:style w:type="paragraph" w:customStyle="1" w:styleId="xl36">
    <w:name w:val="xl36"/>
    <w:basedOn w:val="Normal"/>
    <w:rsid w:val="000645BF"/>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character" w:customStyle="1" w:styleId="Heading6Char">
    <w:name w:val="Heading 6 Char"/>
    <w:basedOn w:val="DefaultParagraphFont"/>
    <w:link w:val="Heading6"/>
    <w:uiPriority w:val="9"/>
    <w:semiHidden/>
    <w:rsid w:val="000645BF"/>
    <w:rPr>
      <w:rFonts w:asciiTheme="majorHAnsi" w:eastAsiaTheme="majorEastAsia" w:hAnsiTheme="majorHAnsi" w:cstheme="majorBidi"/>
      <w:i/>
      <w:iCs/>
      <w:color w:val="632423" w:themeColor="accent2" w:themeShade="80"/>
      <w:sz w:val="24"/>
      <w:szCs w:val="24"/>
      <w:lang w:eastAsia="en-US"/>
    </w:rPr>
  </w:style>
  <w:style w:type="character" w:customStyle="1" w:styleId="Heading8Char">
    <w:name w:val="Heading 8 Char"/>
    <w:basedOn w:val="DefaultParagraphFont"/>
    <w:link w:val="Heading8"/>
    <w:uiPriority w:val="9"/>
    <w:semiHidden/>
    <w:rsid w:val="000645BF"/>
    <w:rPr>
      <w:rFonts w:asciiTheme="majorHAnsi" w:eastAsiaTheme="majorEastAsia" w:hAnsiTheme="majorHAnsi" w:cstheme="majorBidi"/>
      <w:color w:val="632423" w:themeColor="accent2" w:themeShade="80"/>
      <w:lang w:eastAsia="en-US"/>
    </w:rPr>
  </w:style>
  <w:style w:type="character" w:customStyle="1" w:styleId="Heading9Char">
    <w:name w:val="Heading 9 Char"/>
    <w:basedOn w:val="DefaultParagraphFont"/>
    <w:link w:val="Heading9"/>
    <w:uiPriority w:val="9"/>
    <w:semiHidden/>
    <w:rsid w:val="000645BF"/>
    <w:rPr>
      <w:rFonts w:asciiTheme="majorHAnsi" w:eastAsiaTheme="majorEastAsia" w:hAnsiTheme="majorHAnsi" w:cstheme="majorBidi"/>
      <w:i/>
      <w:iCs/>
      <w:color w:val="632423" w:themeColor="accent2" w:themeShade="80"/>
      <w:lang w:eastAsia="en-US"/>
    </w:rPr>
  </w:style>
  <w:style w:type="character" w:styleId="SubtleEmphasis">
    <w:name w:val="Subtle Emphasis"/>
    <w:basedOn w:val="DefaultParagraphFont"/>
    <w:uiPriority w:val="19"/>
    <w:qFormat/>
    <w:rsid w:val="000645BF"/>
    <w:rPr>
      <w:i/>
      <w:iCs/>
      <w:color w:val="595959" w:themeColor="text1" w:themeTint="A6"/>
    </w:rPr>
  </w:style>
  <w:style w:type="character" w:styleId="IntenseEmphasis">
    <w:name w:val="Intense Emphasis"/>
    <w:basedOn w:val="DefaultParagraphFont"/>
    <w:uiPriority w:val="21"/>
    <w:qFormat/>
    <w:rsid w:val="000645BF"/>
    <w:rPr>
      <w:b/>
      <w:bCs/>
      <w:i/>
      <w:iCs/>
      <w:caps w:val="0"/>
      <w:smallCaps w:val="0"/>
      <w:strike w:val="0"/>
      <w:dstrike w:val="0"/>
      <w:color w:val="C0504D" w:themeColor="accent2"/>
    </w:rPr>
  </w:style>
  <w:style w:type="paragraph" w:styleId="Quote">
    <w:name w:val="Quote"/>
    <w:basedOn w:val="Normal"/>
    <w:next w:val="Normal"/>
    <w:link w:val="QuoteChar"/>
    <w:uiPriority w:val="29"/>
    <w:qFormat/>
    <w:rsid w:val="000645BF"/>
    <w:pPr>
      <w:spacing w:before="160" w:after="160"/>
      <w:ind w:left="720" w:right="720"/>
      <w:jc w:val="center"/>
    </w:pPr>
    <w:rPr>
      <w:rFonts w:asciiTheme="majorHAnsi" w:eastAsiaTheme="majorEastAsia" w:hAnsiTheme="majorHAnsi" w:cstheme="majorBidi"/>
      <w:color w:val="000000" w:themeColor="text1"/>
      <w:sz w:val="24"/>
      <w:szCs w:val="24"/>
      <w:lang w:eastAsia="en-US"/>
    </w:rPr>
  </w:style>
  <w:style w:type="character" w:customStyle="1" w:styleId="QuoteChar">
    <w:name w:val="Quote Char"/>
    <w:basedOn w:val="DefaultParagraphFont"/>
    <w:link w:val="Quote"/>
    <w:uiPriority w:val="29"/>
    <w:rsid w:val="000645BF"/>
    <w:rPr>
      <w:rFonts w:asciiTheme="majorHAnsi" w:eastAsiaTheme="majorEastAsia" w:hAnsiTheme="majorHAnsi" w:cstheme="majorBidi"/>
      <w:color w:val="000000" w:themeColor="text1"/>
      <w:sz w:val="24"/>
      <w:szCs w:val="24"/>
      <w:lang w:eastAsia="en-US"/>
    </w:rPr>
  </w:style>
  <w:style w:type="paragraph" w:styleId="IntenseQuote">
    <w:name w:val="Intense Quote"/>
    <w:basedOn w:val="Normal"/>
    <w:next w:val="Normal"/>
    <w:link w:val="IntenseQuoteChar"/>
    <w:uiPriority w:val="30"/>
    <w:qFormat/>
    <w:rsid w:val="000645BF"/>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lang w:eastAsia="en-US"/>
    </w:rPr>
  </w:style>
  <w:style w:type="character" w:customStyle="1" w:styleId="IntenseQuoteChar">
    <w:name w:val="Intense Quote Char"/>
    <w:basedOn w:val="DefaultParagraphFont"/>
    <w:link w:val="IntenseQuote"/>
    <w:uiPriority w:val="30"/>
    <w:rsid w:val="000645BF"/>
    <w:rPr>
      <w:rFonts w:asciiTheme="majorHAnsi" w:eastAsiaTheme="majorEastAsia" w:hAnsiTheme="majorHAnsi" w:cstheme="majorBidi"/>
      <w:sz w:val="24"/>
      <w:szCs w:val="24"/>
      <w:lang w:eastAsia="en-US"/>
    </w:rPr>
  </w:style>
  <w:style w:type="character" w:styleId="SubtleReference">
    <w:name w:val="Subtle Reference"/>
    <w:basedOn w:val="DefaultParagraphFont"/>
    <w:uiPriority w:val="31"/>
    <w:qFormat/>
    <w:rsid w:val="000645B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645BF"/>
    <w:rPr>
      <w:b/>
      <w:bCs/>
      <w:caps w:val="0"/>
      <w:smallCaps/>
      <w:color w:val="auto"/>
      <w:spacing w:val="0"/>
      <w:u w:val="single"/>
    </w:rPr>
  </w:style>
  <w:style w:type="character" w:styleId="BookTitle">
    <w:name w:val="Book Title"/>
    <w:basedOn w:val="DefaultParagraphFont"/>
    <w:uiPriority w:val="33"/>
    <w:qFormat/>
    <w:rsid w:val="000645BF"/>
    <w:rPr>
      <w:b/>
      <w:bCs/>
      <w:caps w:val="0"/>
      <w:smallCaps/>
      <w:spacing w:val="0"/>
    </w:rPr>
  </w:style>
  <w:style w:type="character" w:customStyle="1" w:styleId="font331">
    <w:name w:val="font331"/>
    <w:basedOn w:val="DefaultParagraphFon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371">
    <w:name w:val="font371"/>
    <w:basedOn w:val="DefaultParagraphFont"/>
    <w:rsid w:val="000645BF"/>
    <w:rPr>
      <w:rFonts w:ascii="Calibri" w:hAnsi="Calibri" w:cs="Calibri" w:hint="default"/>
      <w:b/>
      <w:bCs/>
      <w:i w:val="0"/>
      <w:iCs w:val="0"/>
      <w:strike w:val="0"/>
      <w:dstrike w:val="0"/>
      <w:color w:val="000000"/>
      <w:sz w:val="22"/>
      <w:szCs w:val="22"/>
      <w:u w:val="none"/>
      <w:effect w:val="none"/>
    </w:rPr>
  </w:style>
  <w:style w:type="character" w:customStyle="1" w:styleId="font141">
    <w:name w:val="font141"/>
    <w:basedOn w:val="DefaultParagraphFont"/>
    <w:rsid w:val="000645BF"/>
    <w:rPr>
      <w:rFonts w:ascii="Calibri" w:hAnsi="Calibri" w:cs="Calibri" w:hint="default"/>
      <w:b/>
      <w:bCs/>
      <w:i w:val="0"/>
      <w:iCs w:val="0"/>
      <w:strike w:val="0"/>
      <w:dstrike w:val="0"/>
      <w:color w:val="000000"/>
      <w:sz w:val="22"/>
      <w:szCs w:val="22"/>
      <w:u w:val="none"/>
      <w:effect w:val="none"/>
    </w:rPr>
  </w:style>
  <w:style w:type="character" w:customStyle="1" w:styleId="font361">
    <w:name w:val="font361"/>
    <w:basedOn w:val="DefaultParagraphFont"/>
    <w:rsid w:val="000645BF"/>
    <w:rPr>
      <w:rFonts w:ascii="Calibri" w:hAnsi="Calibri" w:cs="Calibri" w:hint="default"/>
      <w:b/>
      <w:bCs/>
      <w:i w:val="0"/>
      <w:iCs w:val="0"/>
      <w:strike w:val="0"/>
      <w:dstrike w:val="0"/>
      <w:color w:val="000000"/>
      <w:sz w:val="22"/>
      <w:szCs w:val="22"/>
      <w:u w:val="none"/>
      <w:effect w:val="none"/>
    </w:rPr>
  </w:style>
  <w:style w:type="character" w:customStyle="1" w:styleId="font391">
    <w:name w:val="font391"/>
    <w:basedOn w:val="DefaultParagraphFon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11">
    <w:name w:val="font11"/>
    <w:basedOn w:val="DefaultParagraphFon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351">
    <w:name w:val="font351"/>
    <w:basedOn w:val="DefaultParagraphFont"/>
    <w:rsid w:val="000645BF"/>
    <w:rPr>
      <w:rFonts w:ascii="Calibri" w:hAnsi="Calibri" w:cs="Calibri" w:hint="default"/>
      <w:b/>
      <w:bCs/>
      <w:i w:val="0"/>
      <w:iCs w:val="0"/>
      <w:strike w:val="0"/>
      <w:dstrike w:val="0"/>
      <w:color w:val="16365C"/>
      <w:sz w:val="22"/>
      <w:szCs w:val="22"/>
      <w:u w:val="none"/>
      <w:effect w:val="none"/>
    </w:rPr>
  </w:style>
  <w:style w:type="character" w:customStyle="1" w:styleId="NoSpacingChar">
    <w:name w:val="No Spacing Char"/>
    <w:basedOn w:val="DefaultParagraphFont"/>
    <w:link w:val="NoSpacing"/>
    <w:uiPriority w:val="1"/>
    <w:rsid w:val="000645BF"/>
    <w:rPr>
      <w:rFonts w:ascii="Calibri" w:eastAsia="Calibri" w:hAnsi="Calibri" w:cs="Times New Roman"/>
      <w:lang w:val="en-US" w:eastAsia="en-US"/>
    </w:rPr>
  </w:style>
  <w:style w:type="paragraph" w:customStyle="1" w:styleId="TableParagraph">
    <w:name w:val="Table Paragraph"/>
    <w:basedOn w:val="Normal"/>
    <w:uiPriority w:val="1"/>
    <w:qFormat/>
    <w:rsid w:val="000645BF"/>
    <w:pPr>
      <w:widowControl w:val="0"/>
      <w:spacing w:after="0" w:line="240" w:lineRule="auto"/>
    </w:pPr>
    <w:rPr>
      <w:rFonts w:ascii="Calibri" w:eastAsia="Calibri" w:hAnsi="Calibri" w:cs="Times New Roman"/>
      <w:lang w:val="en-US" w:eastAsia="en-US"/>
    </w:rPr>
  </w:style>
  <w:style w:type="paragraph" w:customStyle="1" w:styleId="spar">
    <w:name w:val="s_par"/>
    <w:basedOn w:val="Normal"/>
    <w:rsid w:val="007A21BD"/>
    <w:pPr>
      <w:spacing w:after="0" w:line="240" w:lineRule="auto"/>
      <w:ind w:left="225"/>
    </w:pPr>
    <w:rPr>
      <w:rFonts w:ascii="Times New Roman" w:hAnsi="Times New Roman" w:cs="Times New Roman"/>
      <w:sz w:val="24"/>
      <w:szCs w:val="24"/>
    </w:rPr>
  </w:style>
  <w:style w:type="character" w:customStyle="1" w:styleId="salnbdy">
    <w:name w:val="s_aln_bdy"/>
    <w:basedOn w:val="DefaultParagraphFont"/>
    <w:rsid w:val="007A21BD"/>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125705189">
      <w:bodyDiv w:val="1"/>
      <w:marLeft w:val="0"/>
      <w:marRight w:val="0"/>
      <w:marTop w:val="0"/>
      <w:marBottom w:val="0"/>
      <w:divBdr>
        <w:top w:val="none" w:sz="0" w:space="0" w:color="auto"/>
        <w:left w:val="none" w:sz="0" w:space="0" w:color="auto"/>
        <w:bottom w:val="none" w:sz="0" w:space="0" w:color="auto"/>
        <w:right w:val="none" w:sz="0" w:space="0" w:color="auto"/>
      </w:divBdr>
    </w:div>
    <w:div w:id="29244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91.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image" Target="media/image4.jpeg"/><Relationship Id="rId68" Type="http://schemas.openxmlformats.org/officeDocument/2006/relationships/chart" Target="charts/chart57.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chart" Target="charts/chart86.xml"/><Relationship Id="rId133" Type="http://schemas.openxmlformats.org/officeDocument/2006/relationships/hyperlink" Target="file:///C:\Documents%20and%20Settings\Administrator\Sintact%202.0\cache\Legislatie\temp\00144158.HTM" TargetMode="External"/><Relationship Id="rId138" Type="http://schemas.openxmlformats.org/officeDocument/2006/relationships/chart" Target="charts/chart106.xml"/><Relationship Id="rId154" Type="http://schemas.openxmlformats.org/officeDocument/2006/relationships/chart" Target="charts/chart122.xml"/><Relationship Id="rId159" Type="http://schemas.openxmlformats.org/officeDocument/2006/relationships/chart" Target="charts/chart127.xml"/><Relationship Id="rId16" Type="http://schemas.openxmlformats.org/officeDocument/2006/relationships/chart" Target="charts/chart9.xml"/><Relationship Id="rId107" Type="http://schemas.openxmlformats.org/officeDocument/2006/relationships/chart" Target="charts/chart84.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3.xml"/><Relationship Id="rId79" Type="http://schemas.openxmlformats.org/officeDocument/2006/relationships/image" Target="media/image11.png"/><Relationship Id="rId102" Type="http://schemas.openxmlformats.org/officeDocument/2006/relationships/chart" Target="charts/chart81.xml"/><Relationship Id="rId123" Type="http://schemas.openxmlformats.org/officeDocument/2006/relationships/chart" Target="charts/chart96.xml"/><Relationship Id="rId128" Type="http://schemas.openxmlformats.org/officeDocument/2006/relationships/chart" Target="charts/chart101.xml"/><Relationship Id="rId144" Type="http://schemas.openxmlformats.org/officeDocument/2006/relationships/chart" Target="charts/chart112.xml"/><Relationship Id="rId149" Type="http://schemas.openxmlformats.org/officeDocument/2006/relationships/chart" Target="charts/chart117.xml"/><Relationship Id="rId5" Type="http://schemas.openxmlformats.org/officeDocument/2006/relationships/footnotes" Target="footnotes.xml"/><Relationship Id="rId90" Type="http://schemas.openxmlformats.org/officeDocument/2006/relationships/chart" Target="charts/chart70.xml"/><Relationship Id="rId95" Type="http://schemas.openxmlformats.org/officeDocument/2006/relationships/chart" Target="charts/chart75.xml"/><Relationship Id="rId160" Type="http://schemas.openxmlformats.org/officeDocument/2006/relationships/chart" Target="charts/chart128.xml"/><Relationship Id="rId165" Type="http://schemas.openxmlformats.org/officeDocument/2006/relationships/theme" Target="theme/theme1.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5.xml"/><Relationship Id="rId69" Type="http://schemas.openxmlformats.org/officeDocument/2006/relationships/chart" Target="charts/chart58.xml"/><Relationship Id="rId113" Type="http://schemas.openxmlformats.org/officeDocument/2006/relationships/chart" Target="charts/chart87.xml"/><Relationship Id="rId118" Type="http://schemas.openxmlformats.org/officeDocument/2006/relationships/chart" Target="charts/chart92.xml"/><Relationship Id="rId134" Type="http://schemas.openxmlformats.org/officeDocument/2006/relationships/hyperlink" Target="file:///C:\Documents%20and%20Settings\Administrator\Sintact%202.0\cache\Legislatie\temp\00144158.HTM" TargetMode="External"/><Relationship Id="rId139" Type="http://schemas.openxmlformats.org/officeDocument/2006/relationships/chart" Target="charts/chart107.xml"/><Relationship Id="rId80" Type="http://schemas.openxmlformats.org/officeDocument/2006/relationships/image" Target="media/image12.png"/><Relationship Id="rId85" Type="http://schemas.openxmlformats.org/officeDocument/2006/relationships/chart" Target="charts/chart65.xml"/><Relationship Id="rId150" Type="http://schemas.openxmlformats.org/officeDocument/2006/relationships/chart" Target="charts/chart118.xml"/><Relationship Id="rId155" Type="http://schemas.openxmlformats.org/officeDocument/2006/relationships/chart" Target="charts/chart123.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82.xml"/><Relationship Id="rId108" Type="http://schemas.openxmlformats.org/officeDocument/2006/relationships/chart" Target="charts/chart85.xml"/><Relationship Id="rId124" Type="http://schemas.openxmlformats.org/officeDocument/2006/relationships/chart" Target="charts/chart97.xml"/><Relationship Id="rId129" Type="http://schemas.openxmlformats.org/officeDocument/2006/relationships/chart" Target="charts/chart102.xml"/><Relationship Id="rId54" Type="http://schemas.openxmlformats.org/officeDocument/2006/relationships/chart" Target="charts/chart47.xml"/><Relationship Id="rId70" Type="http://schemas.openxmlformats.org/officeDocument/2006/relationships/chart" Target="charts/chart59.xml"/><Relationship Id="rId75" Type="http://schemas.openxmlformats.org/officeDocument/2006/relationships/image" Target="media/image7.png"/><Relationship Id="rId91" Type="http://schemas.openxmlformats.org/officeDocument/2006/relationships/chart" Target="charts/chart71.xml"/><Relationship Id="rId96" Type="http://schemas.openxmlformats.org/officeDocument/2006/relationships/chart" Target="charts/chart76.xml"/><Relationship Id="rId140" Type="http://schemas.openxmlformats.org/officeDocument/2006/relationships/chart" Target="charts/chart108.xml"/><Relationship Id="rId145" Type="http://schemas.openxmlformats.org/officeDocument/2006/relationships/chart" Target="charts/chart113.xml"/><Relationship Id="rId161" Type="http://schemas.openxmlformats.org/officeDocument/2006/relationships/chart" Target="charts/chart1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83.xml"/><Relationship Id="rId114" Type="http://schemas.openxmlformats.org/officeDocument/2006/relationships/chart" Target="charts/chart88.xml"/><Relationship Id="rId119" Type="http://schemas.openxmlformats.org/officeDocument/2006/relationships/chart" Target="charts/chart93.xml"/><Relationship Id="rId127" Type="http://schemas.openxmlformats.org/officeDocument/2006/relationships/chart" Target="charts/chart10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image" Target="media/image5.png"/><Relationship Id="rId73" Type="http://schemas.openxmlformats.org/officeDocument/2006/relationships/chart" Target="charts/chart62.xm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0.xml"/><Relationship Id="rId122" Type="http://schemas.openxmlformats.org/officeDocument/2006/relationships/image" Target="media/image18.emf"/><Relationship Id="rId130" Type="http://schemas.openxmlformats.org/officeDocument/2006/relationships/chart" Target="charts/chart103.xml"/><Relationship Id="rId135" Type="http://schemas.openxmlformats.org/officeDocument/2006/relationships/hyperlink" Target="file:///C:\Documents%20and%20Settings\Administrator\Sintact%202.0\cache\Legislatie\temp\00144158.HTM" TargetMode="External"/><Relationship Id="rId143" Type="http://schemas.openxmlformats.org/officeDocument/2006/relationships/chart" Target="charts/chart111.xml"/><Relationship Id="rId148" Type="http://schemas.openxmlformats.org/officeDocument/2006/relationships/chart" Target="charts/chart116.xml"/><Relationship Id="rId151" Type="http://schemas.openxmlformats.org/officeDocument/2006/relationships/chart" Target="charts/chart119.xml"/><Relationship Id="rId156" Type="http://schemas.openxmlformats.org/officeDocument/2006/relationships/chart" Target="charts/chart124.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hyperlink" Target="https://ro.wikipedia.org/wiki/P%C4%83s%C4%83ri_migratoare" TargetMode="Externa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image" Target="media/image8.png"/><Relationship Id="rId97" Type="http://schemas.openxmlformats.org/officeDocument/2006/relationships/chart" Target="charts/chart77.xml"/><Relationship Id="rId104" Type="http://schemas.openxmlformats.org/officeDocument/2006/relationships/image" Target="media/image17.emf"/><Relationship Id="rId120" Type="http://schemas.openxmlformats.org/officeDocument/2006/relationships/chart" Target="charts/chart94.xml"/><Relationship Id="rId125" Type="http://schemas.openxmlformats.org/officeDocument/2006/relationships/chart" Target="charts/chart98.xml"/><Relationship Id="rId141" Type="http://schemas.openxmlformats.org/officeDocument/2006/relationships/chart" Target="charts/chart109.xml"/><Relationship Id="rId146" Type="http://schemas.openxmlformats.org/officeDocument/2006/relationships/chart" Target="charts/chart114.xml"/><Relationship Id="rId7" Type="http://schemas.openxmlformats.org/officeDocument/2006/relationships/image" Target="media/image1.jpeg"/><Relationship Id="rId71" Type="http://schemas.openxmlformats.org/officeDocument/2006/relationships/chart" Target="charts/chart60.xml"/><Relationship Id="rId92" Type="http://schemas.openxmlformats.org/officeDocument/2006/relationships/chart" Target="charts/chart72.xml"/><Relationship Id="rId162" Type="http://schemas.openxmlformats.org/officeDocument/2006/relationships/chart" Target="charts/chart130.xml"/><Relationship Id="rId2" Type="http://schemas.openxmlformats.org/officeDocument/2006/relationships/styles" Target="styles.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image" Target="media/image6.emf"/><Relationship Id="rId87" Type="http://schemas.openxmlformats.org/officeDocument/2006/relationships/chart" Target="charts/chart67.xml"/><Relationship Id="rId110" Type="http://schemas.openxmlformats.org/officeDocument/2006/relationships/hyperlink" Target="file:///C:\Documents%20and%20Settings\Administrator\sintact%203.0\cache\Legislatie\temp13108442\00157254.htm" TargetMode="External"/><Relationship Id="rId115" Type="http://schemas.openxmlformats.org/officeDocument/2006/relationships/chart" Target="charts/chart89.xml"/><Relationship Id="rId131" Type="http://schemas.openxmlformats.org/officeDocument/2006/relationships/chart" Target="charts/chart104.xml"/><Relationship Id="rId136" Type="http://schemas.openxmlformats.org/officeDocument/2006/relationships/hyperlink" Target="file:///C:\Documents%20and%20Settings\Administrator\Sintact%202.0\cache\Legislatie\temp\00144158.HTM" TargetMode="External"/><Relationship Id="rId157" Type="http://schemas.openxmlformats.org/officeDocument/2006/relationships/chart" Target="charts/chart125.xml"/><Relationship Id="rId61" Type="http://schemas.openxmlformats.org/officeDocument/2006/relationships/chart" Target="charts/chart54.xml"/><Relationship Id="rId82" Type="http://schemas.openxmlformats.org/officeDocument/2006/relationships/image" Target="media/image14.png"/><Relationship Id="rId152" Type="http://schemas.openxmlformats.org/officeDocument/2006/relationships/chart" Target="charts/chart120.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image" Target="media/image9.png"/><Relationship Id="rId100" Type="http://schemas.openxmlformats.org/officeDocument/2006/relationships/image" Target="media/image16.png"/><Relationship Id="rId105" Type="http://schemas.openxmlformats.org/officeDocument/2006/relationships/hyperlink" Target="http://www.europe-aliens.org/" TargetMode="External"/><Relationship Id="rId126" Type="http://schemas.openxmlformats.org/officeDocument/2006/relationships/chart" Target="charts/chart99.xml"/><Relationship Id="rId147" Type="http://schemas.openxmlformats.org/officeDocument/2006/relationships/chart" Target="charts/chart115.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1.xml"/><Relationship Id="rId93" Type="http://schemas.openxmlformats.org/officeDocument/2006/relationships/chart" Target="charts/chart73.xml"/><Relationship Id="rId98" Type="http://schemas.openxmlformats.org/officeDocument/2006/relationships/chart" Target="charts/chart78.xml"/><Relationship Id="rId121" Type="http://schemas.openxmlformats.org/officeDocument/2006/relationships/chart" Target="charts/chart95.xml"/><Relationship Id="rId142" Type="http://schemas.openxmlformats.org/officeDocument/2006/relationships/chart" Target="charts/chart110.xm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56.xml"/><Relationship Id="rId116" Type="http://schemas.openxmlformats.org/officeDocument/2006/relationships/chart" Target="charts/chart90.xml"/><Relationship Id="rId137" Type="http://schemas.openxmlformats.org/officeDocument/2006/relationships/hyperlink" Target="file:///C:\Documents%20and%20Settings\Administrator\Sintact%202.0\cache\Legislatie\temp\00144158.HTM" TargetMode="External"/><Relationship Id="rId158" Type="http://schemas.openxmlformats.org/officeDocument/2006/relationships/chart" Target="charts/chart126.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image" Target="media/image3.jpeg"/><Relationship Id="rId83" Type="http://schemas.openxmlformats.org/officeDocument/2006/relationships/image" Target="media/image15.emf"/><Relationship Id="rId88" Type="http://schemas.openxmlformats.org/officeDocument/2006/relationships/chart" Target="charts/chart68.xml"/><Relationship Id="rId111" Type="http://schemas.openxmlformats.org/officeDocument/2006/relationships/hyperlink" Target="http://www.mmediu.ro/beta/wp-content/uploads/2013/07/2013-07-23_Ordin_custodie_1470-2013.pdf" TargetMode="External"/><Relationship Id="rId132" Type="http://schemas.openxmlformats.org/officeDocument/2006/relationships/chart" Target="charts/chart105.xml"/><Relationship Id="rId153" Type="http://schemas.openxmlformats.org/officeDocument/2006/relationships/chart" Target="charts/chart1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2.jpeg"/></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Office_Excel_Worksheet9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Office_Excel_Worksheet9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Office_Excel_Worksheet93.xlsx"/></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12.xml"/></Relationships>
</file>

<file path=word/charts/_rels/chart10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13.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14.xml"/></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Office_Excel_Worksheet97.xlsx"/></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Office_Excel_Worksheet98.xlsx"/><Relationship Id="rId2" Type="http://schemas.openxmlformats.org/officeDocument/2006/relationships/image" Target="../media/image19.jpeg"/><Relationship Id="rId1" Type="http://schemas.openxmlformats.org/officeDocument/2006/relationships/themeOverride" Target="../theme/themeOverride1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Office_Excel_Worksheet99.xlsx"/></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16.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17.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18.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19.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20.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21.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22.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23.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2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25.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26.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27.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28.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Office_Excel_Worksheet113.xlsx"/><Relationship Id="rId1" Type="http://schemas.openxmlformats.org/officeDocument/2006/relationships/themeOverride" Target="../theme/themeOverride29.xml"/></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Office_Excel_Worksheet114.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15.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Office_Excel_Worksheet116.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Office_Excel_Worksheet117.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Resursa%20de%20apa\2017_minister\fise%20de%20debite%20medii.xls" TargetMode="Externa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3.xml"/></Relationships>
</file>

<file path=word/charts/_rels/chart56.xml.rels><?xml version="1.0" encoding="UTF-8" standalone="yes"?>
<Relationships xmlns="http://schemas.openxmlformats.org/package/2006/relationships"><Relationship Id="rId1" Type="http://schemas.openxmlformats.org/officeDocument/2006/relationships/oleObject" Target="file:///D:\seceta\grafic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elu.sevagalov\Desktop\New%20Microsoft%20Office%20Excel%20Worksheet.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62.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4.xml"/></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54.xlsx"/><Relationship Id="rId1" Type="http://schemas.openxmlformats.org/officeDocument/2006/relationships/themeOverride" Target="../theme/themeOverride5.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60.xlsx"/><Relationship Id="rId1" Type="http://schemas.openxmlformats.org/officeDocument/2006/relationships/themeOverride" Target="../theme/themeOverride7.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61.xlsx"/><Relationship Id="rId1" Type="http://schemas.openxmlformats.org/officeDocument/2006/relationships/themeOverride" Target="../theme/themeOverride8.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Worksheet62.xlsx"/><Relationship Id="rId1" Type="http://schemas.openxmlformats.org/officeDocument/2006/relationships/themeOverride" Target="../theme/themeOverride9.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10.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11.xml"/></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7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7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7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1.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8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Office_Excel_Worksheet8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68E-2"/>
          <c:w val="0.65904761904762565"/>
          <c:h val="0.70892018779342725"/>
        </c:manualLayout>
      </c:layout>
      <c:barChart>
        <c:barDir val="col"/>
        <c:grouping val="clustered"/>
        <c:ser>
          <c:idx val="7"/>
          <c:order val="0"/>
          <c:tx>
            <c:strRef>
              <c:f>Sheet1!$A$2</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0">
                  <c:v>26.25</c:v>
                </c:pt>
                <c:pt idx="1">
                  <c:v>17.170000000000005</c:v>
                </c:pt>
                <c:pt idx="2">
                  <c:v>12.129999999999999</c:v>
                </c:pt>
                <c:pt idx="3">
                  <c:v>11.05</c:v>
                </c:pt>
                <c:pt idx="4">
                  <c:v>10.75</c:v>
                </c:pt>
              </c:numCache>
            </c:numRef>
          </c:val>
        </c:ser>
        <c:axId val="222548352"/>
        <c:axId val="222551424"/>
      </c:barChart>
      <c:catAx>
        <c:axId val="2225483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2551424"/>
        <c:crosses val="autoZero"/>
        <c:auto val="1"/>
        <c:lblAlgn val="ctr"/>
        <c:lblOffset val="100"/>
        <c:tickLblSkip val="1"/>
        <c:tickMarkSkip val="1"/>
      </c:catAx>
      <c:valAx>
        <c:axId val="222551424"/>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878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2548352"/>
        <c:crosses val="autoZero"/>
        <c:crossBetween val="between"/>
      </c:valAx>
      <c:spPr>
        <a:solidFill>
          <a:srgbClr val="FFFFCC"/>
        </a:solidFill>
        <a:ln w="12700">
          <a:solidFill>
            <a:srgbClr val="000000"/>
          </a:solidFill>
          <a:prstDash val="solid"/>
        </a:ln>
      </c:spPr>
    </c:plotArea>
    <c:legend>
      <c:legendPos val="r"/>
      <c:layout>
        <c:manualLayout>
          <c:xMode val="edge"/>
          <c:yMode val="edge"/>
          <c:x val="0.77944175943524363"/>
          <c:y val="0.40649270859079834"/>
          <c:w val="0.19978966422300667"/>
          <c:h val="9.6036156915363227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00" b="1" i="0" u="none" strike="noStrike" baseline="0">
                <a:solidFill>
                  <a:srgbClr val="000000"/>
                </a:solidFill>
                <a:latin typeface="Arial"/>
                <a:ea typeface="Arial"/>
                <a:cs typeface="Arial"/>
              </a:defRPr>
            </a:pPr>
            <a:r>
              <a:rPr lang="vi-VN"/>
              <a:t>Calitatea precipitaţiilor - municipiul B</a:t>
            </a:r>
            <a:r>
              <a:rPr lang="ro-RO"/>
              <a:t>răila</a:t>
            </a:r>
            <a:r>
              <a:rPr lang="vi-VN"/>
              <a:t>  
media şi minima pH-ului - anul 201</a:t>
            </a:r>
            <a:r>
              <a:rPr lang="ro-RO"/>
              <a:t>7</a:t>
            </a:r>
            <a:endParaRPr lang="vi-VN"/>
          </a:p>
        </c:rich>
      </c:tx>
      <c:layout>
        <c:manualLayout>
          <c:xMode val="edge"/>
          <c:yMode val="edge"/>
          <c:x val="0.28008615465136277"/>
          <c:y val="7.21811257272367E-2"/>
        </c:manualLayout>
      </c:layout>
      <c:spPr>
        <a:noFill/>
        <a:ln w="25401">
          <a:noFill/>
        </a:ln>
      </c:spPr>
    </c:title>
    <c:plotArea>
      <c:layout>
        <c:manualLayout>
          <c:layoutTarget val="inner"/>
          <c:xMode val="edge"/>
          <c:yMode val="edge"/>
          <c:x val="0.12025316455696212"/>
          <c:y val="0.29045643153527106"/>
          <c:w val="0.85864978902953881"/>
          <c:h val="0.44813278008298785"/>
        </c:manualLayout>
      </c:layout>
      <c:barChart>
        <c:barDir val="col"/>
        <c:grouping val="clustered"/>
        <c:ser>
          <c:idx val="0"/>
          <c:order val="0"/>
          <c:tx>
            <c:strRef>
              <c:f>Sheet1!$A$5</c:f>
              <c:strCache>
                <c:ptCount val="1"/>
                <c:pt idx="0">
                  <c:v>pH-valoarea medie</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cat>
            <c:strRef>
              <c:f>Sheet1!$B$4:$M$4</c:f>
              <c:strCache>
                <c:ptCount val="12"/>
                <c:pt idx="0">
                  <c:v>ian.</c:v>
                </c:pt>
                <c:pt idx="1">
                  <c:v>feb.</c:v>
                </c:pt>
                <c:pt idx="2">
                  <c:v>mart.</c:v>
                </c:pt>
                <c:pt idx="3">
                  <c:v>apr.</c:v>
                </c:pt>
                <c:pt idx="4">
                  <c:v>mai</c:v>
                </c:pt>
                <c:pt idx="5">
                  <c:v>iunie</c:v>
                </c:pt>
                <c:pt idx="6">
                  <c:v>iulie</c:v>
                </c:pt>
                <c:pt idx="7">
                  <c:v>aug.</c:v>
                </c:pt>
                <c:pt idx="8">
                  <c:v>sept.</c:v>
                </c:pt>
                <c:pt idx="9">
                  <c:v>oct.</c:v>
                </c:pt>
                <c:pt idx="10">
                  <c:v>nov.</c:v>
                </c:pt>
                <c:pt idx="11">
                  <c:v>dec.</c:v>
                </c:pt>
              </c:strCache>
            </c:strRef>
          </c:cat>
          <c:val>
            <c:numRef>
              <c:f>Sheet1!$B$5:$M$5</c:f>
              <c:numCache>
                <c:formatCode>General</c:formatCode>
                <c:ptCount val="12"/>
                <c:pt idx="0">
                  <c:v>6.51</c:v>
                </c:pt>
                <c:pt idx="1">
                  <c:v>6.92</c:v>
                </c:pt>
                <c:pt idx="2">
                  <c:v>7.53</c:v>
                </c:pt>
                <c:pt idx="3" formatCode="0.00">
                  <c:v>7.4</c:v>
                </c:pt>
                <c:pt idx="4">
                  <c:v>7.4300000000000024</c:v>
                </c:pt>
                <c:pt idx="5">
                  <c:v>7.37</c:v>
                </c:pt>
                <c:pt idx="6">
                  <c:v>7.3199999999999985</c:v>
                </c:pt>
                <c:pt idx="7">
                  <c:v>0</c:v>
                </c:pt>
                <c:pt idx="8">
                  <c:v>7.22</c:v>
                </c:pt>
                <c:pt idx="9">
                  <c:v>7.53</c:v>
                </c:pt>
                <c:pt idx="10">
                  <c:v>7.78</c:v>
                </c:pt>
                <c:pt idx="11">
                  <c:v>7.58</c:v>
                </c:pt>
              </c:numCache>
            </c:numRef>
          </c:val>
        </c:ser>
        <c:ser>
          <c:idx val="1"/>
          <c:order val="1"/>
          <c:tx>
            <c:strRef>
              <c:f>Sheet1!$A$6</c:f>
              <c:strCache>
                <c:ptCount val="1"/>
                <c:pt idx="0">
                  <c:v>pH- valoarea minimă</c:v>
                </c:pt>
              </c:strCache>
            </c:strRef>
          </c:tx>
          <c:spPr>
            <a:pattFill prst="pct10">
              <a:fgClr>
                <a:srgbClr val="FF0000"/>
              </a:fgClr>
              <a:bgClr>
                <a:srgbClr val="FF0000"/>
              </a:bgClr>
            </a:pattFill>
            <a:ln w="12700">
              <a:solidFill>
                <a:srgbClr val="000000"/>
              </a:solidFill>
              <a:prstDash val="solid"/>
            </a:ln>
          </c:spPr>
          <c:cat>
            <c:strRef>
              <c:f>Sheet1!$B$4:$M$4</c:f>
              <c:strCache>
                <c:ptCount val="12"/>
                <c:pt idx="0">
                  <c:v>ian.</c:v>
                </c:pt>
                <c:pt idx="1">
                  <c:v>feb.</c:v>
                </c:pt>
                <c:pt idx="2">
                  <c:v>mart.</c:v>
                </c:pt>
                <c:pt idx="3">
                  <c:v>apr.</c:v>
                </c:pt>
                <c:pt idx="4">
                  <c:v>mai</c:v>
                </c:pt>
                <c:pt idx="5">
                  <c:v>iunie</c:v>
                </c:pt>
                <c:pt idx="6">
                  <c:v>iulie</c:v>
                </c:pt>
                <c:pt idx="7">
                  <c:v>aug.</c:v>
                </c:pt>
                <c:pt idx="8">
                  <c:v>sept.</c:v>
                </c:pt>
                <c:pt idx="9">
                  <c:v>oct.</c:v>
                </c:pt>
                <c:pt idx="10">
                  <c:v>nov.</c:v>
                </c:pt>
                <c:pt idx="11">
                  <c:v>dec.</c:v>
                </c:pt>
              </c:strCache>
            </c:strRef>
          </c:cat>
          <c:val>
            <c:numRef>
              <c:f>Sheet1!$B$6:$M$6</c:f>
              <c:numCache>
                <c:formatCode>General</c:formatCode>
                <c:ptCount val="12"/>
                <c:pt idx="0">
                  <c:v>6.1899999999999995</c:v>
                </c:pt>
                <c:pt idx="1">
                  <c:v>6.64</c:v>
                </c:pt>
                <c:pt idx="2">
                  <c:v>7.44</c:v>
                </c:pt>
                <c:pt idx="3">
                  <c:v>7.09</c:v>
                </c:pt>
                <c:pt idx="4">
                  <c:v>7.05</c:v>
                </c:pt>
                <c:pt idx="5">
                  <c:v>7.01</c:v>
                </c:pt>
                <c:pt idx="6" formatCode="0.00">
                  <c:v>7</c:v>
                </c:pt>
                <c:pt idx="7">
                  <c:v>0</c:v>
                </c:pt>
                <c:pt idx="8">
                  <c:v>7.09</c:v>
                </c:pt>
                <c:pt idx="9">
                  <c:v>7.13</c:v>
                </c:pt>
                <c:pt idx="10">
                  <c:v>7.6199999999999966</c:v>
                </c:pt>
                <c:pt idx="11">
                  <c:v>7.42</c:v>
                </c:pt>
              </c:numCache>
            </c:numRef>
          </c:val>
        </c:ser>
        <c:axId val="216251392"/>
        <c:axId val="190702336"/>
      </c:barChart>
      <c:catAx>
        <c:axId val="21625139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190702336"/>
        <c:crosses val="autoZero"/>
        <c:auto val="1"/>
        <c:lblAlgn val="ctr"/>
        <c:lblOffset val="100"/>
        <c:tickLblSkip val="1"/>
        <c:tickMarkSkip val="1"/>
      </c:catAx>
      <c:valAx>
        <c:axId val="190702336"/>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upH</a:t>
                </a:r>
              </a:p>
            </c:rich>
          </c:tx>
          <c:layout>
            <c:manualLayout>
              <c:xMode val="edge"/>
              <c:yMode val="edge"/>
              <c:x val="1.0548523206751122E-2"/>
              <c:y val="0.47717842323651488"/>
            </c:manualLayout>
          </c:layout>
          <c:spPr>
            <a:noFill/>
            <a:ln w="25401">
              <a:noFill/>
            </a:ln>
          </c:spPr>
        </c:title>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216251392"/>
        <c:crosses val="autoZero"/>
        <c:crossBetween val="between"/>
      </c:valAx>
      <c:spPr>
        <a:gradFill rotWithShape="0">
          <a:gsLst>
            <a:gs pos="0">
              <a:srgbClr val="FFFFCC"/>
            </a:gs>
            <a:gs pos="100000">
              <a:srgbClr val="CCCCFF"/>
            </a:gs>
          </a:gsLst>
          <a:lin ang="5400000" scaled="1"/>
        </a:gradFill>
        <a:ln w="12700">
          <a:solidFill>
            <a:srgbClr val="808080"/>
          </a:solidFill>
          <a:prstDash val="solid"/>
        </a:ln>
      </c:spPr>
    </c:plotArea>
    <c:legend>
      <c:legendPos val="b"/>
      <c:layout>
        <c:manualLayout>
          <c:xMode val="edge"/>
          <c:yMode val="edge"/>
          <c:x val="0.21729957805907174"/>
          <c:y val="0.89626556016597458"/>
          <c:w val="0.64767932489451818"/>
          <c:h val="9.1286307053941779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ro-RO"/>
    </a:p>
  </c:txPr>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9.0434782608695655E-2"/>
          <c:y val="5.5408970976253323E-2"/>
          <c:w val="0.76521739130434752"/>
          <c:h val="0.83905013192612132"/>
        </c:manualLayout>
      </c:layout>
      <c:lineChart>
        <c:grouping val="standard"/>
        <c:ser>
          <c:idx val="0"/>
          <c:order val="0"/>
          <c:tx>
            <c:strRef>
              <c:f>Sheet1!$A$2</c:f>
              <c:strCache>
                <c:ptCount val="1"/>
                <c:pt idx="0">
                  <c:v>total</c:v>
                </c:pt>
              </c:strCache>
            </c:strRef>
          </c:tx>
          <c:spPr>
            <a:ln w="25409">
              <a:solidFill>
                <a:srgbClr val="000080"/>
              </a:solidFill>
              <a:prstDash val="solid"/>
            </a:ln>
          </c:spPr>
          <c:marker>
            <c:symbol val="diamond"/>
            <c:size val="7"/>
            <c:spPr>
              <a:solidFill>
                <a:srgbClr val="000080"/>
              </a:solidFill>
              <a:ln>
                <a:solidFill>
                  <a:srgbClr val="000080"/>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Sheet1!$B$2:$I$2</c:f>
              <c:numCache>
                <c:formatCode>General</c:formatCode>
                <c:ptCount val="8"/>
                <c:pt idx="0">
                  <c:v>39928</c:v>
                </c:pt>
                <c:pt idx="1">
                  <c:v>35902</c:v>
                </c:pt>
                <c:pt idx="2">
                  <c:v>22718</c:v>
                </c:pt>
                <c:pt idx="3">
                  <c:v>25445</c:v>
                </c:pt>
                <c:pt idx="4">
                  <c:v>23348</c:v>
                </c:pt>
                <c:pt idx="5">
                  <c:v>10113</c:v>
                </c:pt>
                <c:pt idx="6">
                  <c:v>12439</c:v>
                </c:pt>
                <c:pt idx="7">
                  <c:v>11460</c:v>
                </c:pt>
              </c:numCache>
            </c:numRef>
          </c:val>
        </c:ser>
        <c:ser>
          <c:idx val="1"/>
          <c:order val="1"/>
          <c:tx>
            <c:strRef>
              <c:f>Sheet1!$A$3</c:f>
              <c:strCache>
                <c:ptCount val="1"/>
                <c:pt idx="0">
                  <c:v>urban</c:v>
                </c:pt>
              </c:strCache>
            </c:strRef>
          </c:tx>
          <c:spPr>
            <a:ln w="25409">
              <a:solidFill>
                <a:srgbClr val="FF00FF"/>
              </a:solidFill>
              <a:prstDash val="solid"/>
            </a:ln>
          </c:spPr>
          <c:marker>
            <c:symbol val="square"/>
            <c:size val="7"/>
            <c:spPr>
              <a:solidFill>
                <a:srgbClr val="FF00FF"/>
              </a:solidFill>
              <a:ln>
                <a:solidFill>
                  <a:srgbClr val="FF00FF"/>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Sheet1!$B$3:$I$3</c:f>
              <c:numCache>
                <c:formatCode>General</c:formatCode>
                <c:ptCount val="8"/>
                <c:pt idx="0">
                  <c:v>23718</c:v>
                </c:pt>
                <c:pt idx="1">
                  <c:v>24976</c:v>
                </c:pt>
                <c:pt idx="2">
                  <c:v>22445</c:v>
                </c:pt>
                <c:pt idx="3">
                  <c:v>24896</c:v>
                </c:pt>
                <c:pt idx="4">
                  <c:v>22798</c:v>
                </c:pt>
                <c:pt idx="5">
                  <c:v>7695</c:v>
                </c:pt>
                <c:pt idx="6">
                  <c:v>12230</c:v>
                </c:pt>
                <c:pt idx="7">
                  <c:v>11253</c:v>
                </c:pt>
              </c:numCache>
            </c:numRef>
          </c:val>
        </c:ser>
        <c:ser>
          <c:idx val="2"/>
          <c:order val="2"/>
          <c:tx>
            <c:strRef>
              <c:f>Sheet1!$A$4</c:f>
              <c:strCache>
                <c:ptCount val="1"/>
                <c:pt idx="0">
                  <c:v>rural</c:v>
                </c:pt>
              </c:strCache>
            </c:strRef>
          </c:tx>
          <c:spPr>
            <a:ln w="25409">
              <a:solidFill>
                <a:srgbClr val="339966"/>
              </a:solidFill>
              <a:prstDash val="solid"/>
            </a:ln>
          </c:spPr>
          <c:marker>
            <c:symbol val="triangle"/>
            <c:size val="9"/>
            <c:spPr>
              <a:solidFill>
                <a:srgbClr val="339966"/>
              </a:solidFill>
              <a:ln>
                <a:solidFill>
                  <a:srgbClr val="339966"/>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Sheet1!$B$4:$I$4</c:f>
              <c:numCache>
                <c:formatCode>General</c:formatCode>
                <c:ptCount val="8"/>
                <c:pt idx="0">
                  <c:v>16209</c:v>
                </c:pt>
                <c:pt idx="1">
                  <c:v>10926</c:v>
                </c:pt>
                <c:pt idx="2">
                  <c:v>272</c:v>
                </c:pt>
                <c:pt idx="3">
                  <c:v>549</c:v>
                </c:pt>
                <c:pt idx="4">
                  <c:v>550</c:v>
                </c:pt>
                <c:pt idx="5">
                  <c:v>2418</c:v>
                </c:pt>
                <c:pt idx="6">
                  <c:v>209</c:v>
                </c:pt>
                <c:pt idx="7">
                  <c:v>207</c:v>
                </c:pt>
              </c:numCache>
            </c:numRef>
          </c:val>
        </c:ser>
        <c:marker val="1"/>
        <c:axId val="249641984"/>
        <c:axId val="249701504"/>
      </c:lineChart>
      <c:catAx>
        <c:axId val="249641984"/>
        <c:scaling>
          <c:orientation val="minMax"/>
        </c:scaling>
        <c:axPos val="b"/>
        <c:numFmt formatCode="General" sourceLinked="1"/>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49701504"/>
        <c:crosses val="autoZero"/>
        <c:auto val="1"/>
        <c:lblAlgn val="ctr"/>
        <c:lblOffset val="100"/>
        <c:tickLblSkip val="1"/>
        <c:tickMarkSkip val="1"/>
      </c:catAx>
      <c:valAx>
        <c:axId val="249701504"/>
        <c:scaling>
          <c:orientation val="minMax"/>
        </c:scaling>
        <c:axPos val="l"/>
        <c:numFmt formatCode="General" sourceLinked="1"/>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49641984"/>
        <c:crosses val="autoZero"/>
        <c:crossBetween val="between"/>
      </c:valAx>
      <c:spPr>
        <a:gradFill rotWithShape="0">
          <a:gsLst>
            <a:gs pos="0">
              <a:srgbClr val="FFFFFF">
                <a:gamma/>
                <a:shade val="46275"/>
                <a:invGamma/>
              </a:srgbClr>
            </a:gs>
            <a:gs pos="100000">
              <a:srgbClr val="FFFFFF"/>
            </a:gs>
          </a:gsLst>
          <a:lin ang="5400000" scaled="1"/>
        </a:gradFill>
        <a:ln w="25409">
          <a:noFill/>
        </a:ln>
      </c:spPr>
    </c:plotArea>
    <c:legend>
      <c:legendPos val="r"/>
      <c:layout>
        <c:manualLayout>
          <c:xMode val="edge"/>
          <c:yMode val="edge"/>
          <c:x val="0.87478260869565261"/>
          <c:y val="0.39577836411609651"/>
          <c:w val="0.11826086956521772"/>
          <c:h val="0.1609498680738787"/>
        </c:manualLayout>
      </c:layout>
      <c:spPr>
        <a:noFill/>
        <a:ln w="3176">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851" b="1" i="0" u="none" strike="noStrike" baseline="0">
          <a:solidFill>
            <a:srgbClr val="000000"/>
          </a:solidFill>
          <a:latin typeface="Calibri"/>
          <a:ea typeface="Calibri"/>
          <a:cs typeface="Calibri"/>
        </a:defRPr>
      </a:pPr>
      <a:endParaRPr lang="ro-RO"/>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5.8914728682170542E-2"/>
          <c:y val="7.3800738007380073E-2"/>
          <c:w val="0.78914728682170543"/>
          <c:h val="0.78966789667896675"/>
        </c:manualLayout>
      </c:layout>
      <c:lineChart>
        <c:grouping val="standard"/>
        <c:ser>
          <c:idx val="0"/>
          <c:order val="0"/>
          <c:tx>
            <c:strRef>
              <c:f>Sheet1!$A$2</c:f>
              <c:strCache>
                <c:ptCount val="1"/>
                <c:pt idx="0">
                  <c:v>total [%]</c:v>
                </c:pt>
              </c:strCache>
            </c:strRef>
          </c:tx>
          <c:spPr>
            <a:ln w="25404">
              <a:solidFill>
                <a:srgbClr val="000080"/>
              </a:solidFill>
              <a:prstDash val="solid"/>
            </a:ln>
          </c:spPr>
          <c:marker>
            <c:symbol val="diamond"/>
            <c:size val="7"/>
            <c:spPr>
              <a:solidFill>
                <a:srgbClr val="000080"/>
              </a:solidFill>
              <a:ln>
                <a:solidFill>
                  <a:srgbClr val="000080"/>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Sheet1!$B$2:$I$2</c:f>
              <c:numCache>
                <c:formatCode>General</c:formatCode>
                <c:ptCount val="8"/>
                <c:pt idx="0">
                  <c:v>49.13</c:v>
                </c:pt>
                <c:pt idx="1">
                  <c:v>58.260000000000012</c:v>
                </c:pt>
                <c:pt idx="2">
                  <c:v>80.239999999999995</c:v>
                </c:pt>
                <c:pt idx="3">
                  <c:v>93.669999999999987</c:v>
                </c:pt>
                <c:pt idx="4">
                  <c:v>92.26</c:v>
                </c:pt>
                <c:pt idx="5">
                  <c:v>87.1</c:v>
                </c:pt>
                <c:pt idx="6">
                  <c:v>87.45</c:v>
                </c:pt>
                <c:pt idx="7">
                  <c:v>88.25</c:v>
                </c:pt>
              </c:numCache>
            </c:numRef>
          </c:val>
        </c:ser>
        <c:ser>
          <c:idx val="1"/>
          <c:order val="1"/>
          <c:tx>
            <c:strRef>
              <c:f>Sheet1!$A$3</c:f>
              <c:strCache>
                <c:ptCount val="1"/>
                <c:pt idx="0">
                  <c:v>urban [%]</c:v>
                </c:pt>
              </c:strCache>
            </c:strRef>
          </c:tx>
          <c:spPr>
            <a:ln w="25404">
              <a:solidFill>
                <a:srgbClr val="FF00FF"/>
              </a:solidFill>
              <a:prstDash val="solid"/>
            </a:ln>
          </c:spPr>
          <c:marker>
            <c:symbol val="square"/>
            <c:size val="7"/>
            <c:spPr>
              <a:solidFill>
                <a:srgbClr val="FF00FF"/>
              </a:solidFill>
              <a:ln>
                <a:solidFill>
                  <a:srgbClr val="FF00FF"/>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Sheet1!$B$3:$I$3</c:f>
              <c:numCache>
                <c:formatCode>General</c:formatCode>
                <c:ptCount val="8"/>
                <c:pt idx="0">
                  <c:v>69.169999999999987</c:v>
                </c:pt>
                <c:pt idx="1">
                  <c:v>67.63</c:v>
                </c:pt>
                <c:pt idx="2">
                  <c:v>70.36</c:v>
                </c:pt>
                <c:pt idx="3">
                  <c:v>91.88</c:v>
                </c:pt>
                <c:pt idx="4">
                  <c:v>88.75</c:v>
                </c:pt>
                <c:pt idx="5">
                  <c:v>87.9</c:v>
                </c:pt>
                <c:pt idx="6">
                  <c:v>80.53</c:v>
                </c:pt>
                <c:pt idx="7">
                  <c:v>81.77</c:v>
                </c:pt>
              </c:numCache>
            </c:numRef>
          </c:val>
        </c:ser>
        <c:ser>
          <c:idx val="2"/>
          <c:order val="2"/>
          <c:tx>
            <c:strRef>
              <c:f>Sheet1!$A$4</c:f>
              <c:strCache>
                <c:ptCount val="1"/>
                <c:pt idx="0">
                  <c:v>rural [%]</c:v>
                </c:pt>
              </c:strCache>
            </c:strRef>
          </c:tx>
          <c:spPr>
            <a:ln w="25404">
              <a:solidFill>
                <a:srgbClr val="FF6600"/>
              </a:solidFill>
              <a:prstDash val="solid"/>
            </a:ln>
          </c:spPr>
          <c:marker>
            <c:symbol val="triangle"/>
            <c:size val="7"/>
            <c:spPr>
              <a:solidFill>
                <a:srgbClr val="FFFF00"/>
              </a:solidFill>
              <a:ln>
                <a:solidFill>
                  <a:srgbClr val="FFFF00"/>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Sheet1!$B$4:$I$4</c:f>
              <c:numCache>
                <c:formatCode>General</c:formatCode>
                <c:ptCount val="8"/>
                <c:pt idx="0">
                  <c:v>11.9</c:v>
                </c:pt>
                <c:pt idx="1">
                  <c:v>40.85</c:v>
                </c:pt>
                <c:pt idx="2">
                  <c:v>96.6</c:v>
                </c:pt>
                <c:pt idx="3">
                  <c:v>96.960000000000022</c:v>
                </c:pt>
                <c:pt idx="4">
                  <c:v>98.7</c:v>
                </c:pt>
                <c:pt idx="5">
                  <c:v>85.9</c:v>
                </c:pt>
                <c:pt idx="6">
                  <c:v>98.77</c:v>
                </c:pt>
                <c:pt idx="7">
                  <c:v>98.77</c:v>
                </c:pt>
              </c:numCache>
            </c:numRef>
          </c:val>
        </c:ser>
        <c:marker val="1"/>
        <c:axId val="249738752"/>
        <c:axId val="249740672"/>
      </c:lineChart>
      <c:catAx>
        <c:axId val="249738752"/>
        <c:scaling>
          <c:orientation val="minMax"/>
        </c:scaling>
        <c:axPos val="b"/>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9740672"/>
        <c:crosses val="autoZero"/>
        <c:auto val="1"/>
        <c:lblAlgn val="ctr"/>
        <c:lblOffset val="100"/>
        <c:tickLblSkip val="1"/>
        <c:tickMarkSkip val="1"/>
      </c:catAx>
      <c:valAx>
        <c:axId val="249740672"/>
        <c:scaling>
          <c:orientation val="minMax"/>
        </c:scaling>
        <c:axPos val="l"/>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9738752"/>
        <c:crosses val="autoZero"/>
        <c:crossBetween val="between"/>
      </c:valAx>
      <c:spPr>
        <a:gradFill rotWithShape="0">
          <a:gsLst>
            <a:gs pos="0">
              <a:srgbClr val="FFFFFF">
                <a:gamma/>
                <a:shade val="46275"/>
                <a:invGamma/>
              </a:srgbClr>
            </a:gs>
            <a:gs pos="100000">
              <a:srgbClr val="FFFFFF"/>
            </a:gs>
          </a:gsLst>
          <a:lin ang="5400000" scaled="1"/>
        </a:gradFill>
        <a:ln w="25404">
          <a:noFill/>
        </a:ln>
      </c:spPr>
    </c:plotArea>
    <c:legend>
      <c:legendPos val="r"/>
      <c:layout>
        <c:manualLayout>
          <c:xMode val="edge"/>
          <c:yMode val="edge"/>
          <c:x val="0.8651162790697674"/>
          <c:y val="0.36162361623616235"/>
          <c:w val="0.1286821705426357"/>
          <c:h val="0.21402214022140292"/>
        </c:manualLayout>
      </c:layout>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o-RO"/>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2888198757763991"/>
          <c:y val="0.23863636363636431"/>
          <c:w val="0.73602484472049934"/>
          <c:h val="0.51893939393939392"/>
        </c:manualLayout>
      </c:layout>
      <c:lineChart>
        <c:grouping val="standard"/>
        <c:ser>
          <c:idx val="0"/>
          <c:order val="0"/>
          <c:tx>
            <c:strRef>
              <c:f>Sheet1!$A$2</c:f>
              <c:strCache>
                <c:ptCount val="1"/>
                <c:pt idx="0">
                  <c:v>tone</c:v>
                </c:pt>
              </c:strCache>
            </c:strRef>
          </c:tx>
          <c:spPr>
            <a:ln w="38128">
              <a:solidFill>
                <a:srgbClr val="000080"/>
              </a:solidFill>
              <a:prstDash val="solid"/>
            </a:ln>
          </c:spPr>
          <c:marker>
            <c:symbol val="diamond"/>
            <c:size val="9"/>
            <c:spPr>
              <a:solidFill>
                <a:srgbClr val="000080"/>
              </a:solidFill>
              <a:ln>
                <a:solidFill>
                  <a:srgbClr val="000080"/>
                </a:solidFill>
                <a:prstDash val="solid"/>
              </a:ln>
            </c:spPr>
          </c:marker>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62246</c:v>
                </c:pt>
                <c:pt idx="1">
                  <c:v>62837</c:v>
                </c:pt>
                <c:pt idx="2">
                  <c:v>72687</c:v>
                </c:pt>
                <c:pt idx="3">
                  <c:v>80642</c:v>
                </c:pt>
                <c:pt idx="4">
                  <c:v>76870</c:v>
                </c:pt>
                <c:pt idx="5">
                  <c:v>84330</c:v>
                </c:pt>
                <c:pt idx="6">
                  <c:v>97788</c:v>
                </c:pt>
              </c:numCache>
            </c:numRef>
          </c:val>
        </c:ser>
        <c:marker val="1"/>
        <c:axId val="249825536"/>
        <c:axId val="249827712"/>
      </c:lineChart>
      <c:catAx>
        <c:axId val="249825536"/>
        <c:scaling>
          <c:orientation val="minMax"/>
        </c:scaling>
        <c:axPos val="b"/>
        <c:numFmt formatCode="General" sourceLinked="1"/>
        <c:tickLblPos val="nextTo"/>
        <c:spPr>
          <a:ln w="3177">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ro-RO"/>
          </a:p>
        </c:txPr>
        <c:crossAx val="249827712"/>
        <c:crosses val="autoZero"/>
        <c:auto val="1"/>
        <c:lblAlgn val="ctr"/>
        <c:lblOffset val="100"/>
        <c:tickMarkSkip val="1"/>
      </c:catAx>
      <c:valAx>
        <c:axId val="249827712"/>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ro-RO"/>
          </a:p>
        </c:txPr>
        <c:crossAx val="249825536"/>
        <c:crosses val="autoZero"/>
        <c:crossBetween val="midCat"/>
      </c:valAx>
      <c:dTable>
        <c:showHorzBorder val="1"/>
        <c:showVertBorder val="1"/>
        <c:showOutline val="1"/>
        <c:showKeys val="1"/>
        <c:spPr>
          <a:ln w="3177">
            <a:solidFill>
              <a:srgbClr val="000000"/>
            </a:solidFill>
            <a:prstDash val="solid"/>
          </a:ln>
        </c:spPr>
        <c:txPr>
          <a:bodyPr/>
          <a:lstStyle/>
          <a:p>
            <a:pPr rtl="0">
              <a:defRPr sz="1151"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9">
          <a:solidFill>
            <a:srgbClr val="808080"/>
          </a:solidFill>
          <a:prstDash val="solid"/>
        </a:ln>
      </c:spPr>
    </c:plotArea>
    <c:legend>
      <c:legendPos val="r"/>
      <c:layout>
        <c:manualLayout>
          <c:xMode val="edge"/>
          <c:yMode val="edge"/>
          <c:x val="0.88198757763975155"/>
          <c:y val="0.45454545454545453"/>
          <c:w val="0.11180124223602515"/>
          <c:h val="9.0909090909091064E-2"/>
        </c:manualLayout>
      </c:layout>
      <c:spPr>
        <a:noFill/>
        <a:ln w="3177">
          <a:solidFill>
            <a:srgbClr val="000000"/>
          </a:solidFill>
          <a:prstDash val="solid"/>
        </a:ln>
      </c:spPr>
      <c:txPr>
        <a:bodyPr/>
        <a:lstStyle/>
        <a:p>
          <a:pPr>
            <a:defRPr sz="1056"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151" b="1" i="0" u="none" strike="noStrike" baseline="0">
          <a:solidFill>
            <a:srgbClr val="000000"/>
          </a:solidFill>
          <a:latin typeface="Calibri"/>
          <a:ea typeface="Calibri"/>
          <a:cs typeface="Calibri"/>
        </a:defRPr>
      </a:pPr>
      <a:endParaRPr lang="ro-RO"/>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Calibri"/>
                <a:ea typeface="Calibri"/>
                <a:cs typeface="Calibri"/>
              </a:defRPr>
            </a:pPr>
            <a:r>
              <a:rPr lang="ro-RO"/>
              <a:t>Deşeuri municipale depozitate în depozite urbane neconforme </a:t>
            </a:r>
          </a:p>
        </c:rich>
      </c:tx>
      <c:layout>
        <c:manualLayout>
          <c:xMode val="edge"/>
          <c:yMode val="edge"/>
          <c:x val="0.2057057057057057"/>
          <c:y val="1.9417475728155439E-2"/>
        </c:manualLayout>
      </c:layout>
      <c:spPr>
        <a:noFill/>
        <a:ln w="25408">
          <a:noFill/>
        </a:ln>
      </c:spPr>
    </c:title>
    <c:plotArea>
      <c:layout>
        <c:manualLayout>
          <c:layoutTarget val="inner"/>
          <c:xMode val="edge"/>
          <c:yMode val="edge"/>
          <c:x val="0.10960960960960962"/>
          <c:y val="0.27669902912621325"/>
          <c:w val="0.77477477477477796"/>
          <c:h val="0.46116504854368923"/>
        </c:manualLayout>
      </c:layout>
      <c:lineChart>
        <c:grouping val="standard"/>
        <c:ser>
          <c:idx val="0"/>
          <c:order val="0"/>
          <c:tx>
            <c:strRef>
              <c:f>Sheet1!$A$2</c:f>
              <c:strCache>
                <c:ptCount val="1"/>
                <c:pt idx="0">
                  <c:v>tone</c:v>
                </c:pt>
              </c:strCache>
            </c:strRef>
          </c:tx>
          <c:spPr>
            <a:ln w="38112">
              <a:solidFill>
                <a:srgbClr val="000080"/>
              </a:solidFill>
              <a:prstDash val="solid"/>
            </a:ln>
          </c:spPr>
          <c:marker>
            <c:symbol val="diamond"/>
            <c:size val="9"/>
            <c:spPr>
              <a:solidFill>
                <a:srgbClr val="000080"/>
              </a:solidFill>
              <a:ln>
                <a:solidFill>
                  <a:srgbClr val="000080"/>
                </a:solidFill>
                <a:prstDash val="solid"/>
              </a:ln>
            </c:spPr>
          </c:marker>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627</c:v>
                </c:pt>
                <c:pt idx="1">
                  <c:v>295</c:v>
                </c:pt>
                <c:pt idx="2">
                  <c:v>128</c:v>
                </c:pt>
                <c:pt idx="3">
                  <c:v>120</c:v>
                </c:pt>
                <c:pt idx="4">
                  <c:v>138.15</c:v>
                </c:pt>
                <c:pt idx="5">
                  <c:v>97.43</c:v>
                </c:pt>
              </c:numCache>
            </c:numRef>
          </c:val>
        </c:ser>
        <c:marker val="1"/>
        <c:axId val="249959168"/>
        <c:axId val="249961088"/>
      </c:lineChart>
      <c:catAx>
        <c:axId val="249959168"/>
        <c:scaling>
          <c:orientation val="minMax"/>
        </c:scaling>
        <c:axPos val="b"/>
        <c:numFmt formatCode="General" sourceLinked="1"/>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49961088"/>
        <c:crosses val="autoZero"/>
        <c:auto val="1"/>
        <c:lblAlgn val="ctr"/>
        <c:lblOffset val="100"/>
        <c:tickMarkSkip val="1"/>
      </c:catAx>
      <c:valAx>
        <c:axId val="24996108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49959168"/>
        <c:crosses val="autoZero"/>
        <c:crossBetween val="between"/>
      </c:valAx>
      <c:dTable>
        <c:showHorzBorder val="1"/>
        <c:showVertBorder val="1"/>
        <c:showOutline val="1"/>
        <c:showKeys val="1"/>
        <c:spPr>
          <a:ln w="3176">
            <a:solidFill>
              <a:srgbClr val="000000"/>
            </a:solidFill>
            <a:prstDash val="solid"/>
          </a:ln>
        </c:spPr>
        <c:txPr>
          <a:bodyPr/>
          <a:lstStyle/>
          <a:p>
            <a:pPr rtl="0">
              <a:defRPr sz="900"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4">
          <a:solidFill>
            <a:srgbClr val="808080"/>
          </a:solidFill>
          <a:prstDash val="solid"/>
        </a:ln>
      </c:spPr>
    </c:plotArea>
    <c:legend>
      <c:legendPos val="r"/>
      <c:layout>
        <c:manualLayout>
          <c:xMode val="edge"/>
          <c:yMode val="edge"/>
          <c:x val="0.90090090090090058"/>
          <c:y val="0.456310679611653"/>
          <c:w val="9.3093093093093757E-2"/>
          <c:h val="0.10194174757281572"/>
        </c:manualLayout>
      </c:layout>
      <c:spPr>
        <a:solidFill>
          <a:srgbClr val="FFFFFF"/>
        </a:solidFill>
        <a:ln w="3176">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o-RO"/>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6"/>
          <c:w val="0.67102401088753916"/>
          <c:h val="0.64508116421753015"/>
        </c:manualLayout>
      </c:layout>
      <c:barChart>
        <c:barDir val="col"/>
        <c:grouping val="clustered"/>
        <c:ser>
          <c:idx val="0"/>
          <c:order val="0"/>
          <c:tx>
            <c:strRef>
              <c:f>Sheet1!$B$1</c:f>
              <c:strCache>
                <c:ptCount val="1"/>
                <c:pt idx="0">
                  <c:v>2013</c:v>
                </c:pt>
              </c:strCache>
            </c:strRef>
          </c:tx>
          <c:cat>
            <c:strRef>
              <c:f>Sheet1!$A$2</c:f>
              <c:strCache>
                <c:ptCount val="1"/>
                <c:pt idx="0">
                  <c:v>Cantități DEEE colectate</c:v>
                </c:pt>
              </c:strCache>
            </c:strRef>
          </c:cat>
          <c:val>
            <c:numRef>
              <c:f>Sheet1!$B$2</c:f>
              <c:numCache>
                <c:formatCode>General</c:formatCode>
                <c:ptCount val="1"/>
                <c:pt idx="0">
                  <c:v>30.75</c:v>
                </c:pt>
              </c:numCache>
            </c:numRef>
          </c:val>
        </c:ser>
        <c:ser>
          <c:idx val="1"/>
          <c:order val="1"/>
          <c:tx>
            <c:strRef>
              <c:f>Sheet1!$C$1</c:f>
              <c:strCache>
                <c:ptCount val="1"/>
                <c:pt idx="0">
                  <c:v>2014</c:v>
                </c:pt>
              </c:strCache>
            </c:strRef>
          </c:tx>
          <c:cat>
            <c:strRef>
              <c:f>Sheet1!$A$2</c:f>
              <c:strCache>
                <c:ptCount val="1"/>
                <c:pt idx="0">
                  <c:v>Cantități DEEE colectate</c:v>
                </c:pt>
              </c:strCache>
            </c:strRef>
          </c:cat>
          <c:val>
            <c:numRef>
              <c:f>Sheet1!$C$2</c:f>
              <c:numCache>
                <c:formatCode>General</c:formatCode>
                <c:ptCount val="1"/>
                <c:pt idx="0">
                  <c:v>106.75</c:v>
                </c:pt>
              </c:numCache>
            </c:numRef>
          </c:val>
        </c:ser>
        <c:ser>
          <c:idx val="2"/>
          <c:order val="2"/>
          <c:tx>
            <c:strRef>
              <c:f>Sheet1!$D$1</c:f>
              <c:strCache>
                <c:ptCount val="1"/>
                <c:pt idx="0">
                  <c:v>2015</c:v>
                </c:pt>
              </c:strCache>
            </c:strRef>
          </c:tx>
          <c:cat>
            <c:strRef>
              <c:f>Sheet1!$A$2</c:f>
              <c:strCache>
                <c:ptCount val="1"/>
                <c:pt idx="0">
                  <c:v>Cantități DEEE colectate</c:v>
                </c:pt>
              </c:strCache>
            </c:strRef>
          </c:cat>
          <c:val>
            <c:numRef>
              <c:f>Sheet1!$D$2</c:f>
              <c:numCache>
                <c:formatCode>General</c:formatCode>
                <c:ptCount val="1"/>
                <c:pt idx="0">
                  <c:v>288.8</c:v>
                </c:pt>
              </c:numCache>
            </c:numRef>
          </c:val>
        </c:ser>
        <c:ser>
          <c:idx val="3"/>
          <c:order val="3"/>
          <c:tx>
            <c:strRef>
              <c:f>Sheet1!$E$1</c:f>
              <c:strCache>
                <c:ptCount val="1"/>
                <c:pt idx="0">
                  <c:v>2016</c:v>
                </c:pt>
              </c:strCache>
            </c:strRef>
          </c:tx>
          <c:cat>
            <c:strRef>
              <c:f>Sheet1!$A$2</c:f>
              <c:strCache>
                <c:ptCount val="1"/>
                <c:pt idx="0">
                  <c:v>Cantități DEEE colectate</c:v>
                </c:pt>
              </c:strCache>
            </c:strRef>
          </c:cat>
          <c:val>
            <c:numRef>
              <c:f>Sheet1!$E$2</c:f>
              <c:numCache>
                <c:formatCode>General</c:formatCode>
                <c:ptCount val="1"/>
                <c:pt idx="0">
                  <c:v>375.19</c:v>
                </c:pt>
              </c:numCache>
            </c:numRef>
          </c:val>
        </c:ser>
        <c:ser>
          <c:idx val="4"/>
          <c:order val="4"/>
          <c:tx>
            <c:strRef>
              <c:f>Sheet1!$F$1</c:f>
              <c:strCache>
                <c:ptCount val="1"/>
                <c:pt idx="0">
                  <c:v>2017</c:v>
                </c:pt>
              </c:strCache>
            </c:strRef>
          </c:tx>
          <c:cat>
            <c:strRef>
              <c:f>Sheet1!$A$2</c:f>
              <c:strCache>
                <c:ptCount val="1"/>
                <c:pt idx="0">
                  <c:v>Cantități DEEE colectate</c:v>
                </c:pt>
              </c:strCache>
            </c:strRef>
          </c:cat>
          <c:val>
            <c:numRef>
              <c:f>Sheet1!$F$2</c:f>
              <c:numCache>
                <c:formatCode>General</c:formatCode>
                <c:ptCount val="1"/>
                <c:pt idx="0">
                  <c:v>74.995999999999995</c:v>
                </c:pt>
              </c:numCache>
            </c:numRef>
          </c:val>
        </c:ser>
        <c:ser>
          <c:idx val="5"/>
          <c:order val="5"/>
          <c:tx>
            <c:strRef>
              <c:f>Sheet1!$G$1</c:f>
              <c:strCache>
                <c:ptCount val="1"/>
                <c:pt idx="0">
                  <c:v>Column1</c:v>
                </c:pt>
              </c:strCache>
            </c:strRef>
          </c:tx>
          <c:cat>
            <c:strRef>
              <c:f>Sheet1!$A$2</c:f>
              <c:strCache>
                <c:ptCount val="1"/>
                <c:pt idx="0">
                  <c:v>Cantități DEEE colectate</c:v>
                </c:pt>
              </c:strCache>
            </c:strRef>
          </c:cat>
          <c:val>
            <c:numRef>
              <c:f>Sheet1!$G$2</c:f>
              <c:numCache>
                <c:formatCode>General</c:formatCode>
                <c:ptCount val="1"/>
              </c:numCache>
            </c:numRef>
          </c:val>
        </c:ser>
        <c:axId val="249991168"/>
        <c:axId val="249992704"/>
      </c:barChart>
      <c:catAx>
        <c:axId val="249991168"/>
        <c:scaling>
          <c:orientation val="minMax"/>
        </c:scaling>
        <c:axPos val="b"/>
        <c:numFmt formatCode="General" sourceLinked="1"/>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249992704"/>
        <c:crosses val="autoZero"/>
        <c:auto val="1"/>
        <c:lblAlgn val="ctr"/>
        <c:lblOffset val="100"/>
      </c:catAx>
      <c:valAx>
        <c:axId val="249992704"/>
        <c:scaling>
          <c:orientation val="minMax"/>
        </c:scaling>
        <c:axPos val="l"/>
        <c:majorGridlines/>
        <c:numFmt formatCode="General" sourceLinked="1"/>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249991168"/>
        <c:crosses val="autoZero"/>
        <c:crossBetween val="between"/>
      </c:valAx>
    </c:plotArea>
    <c:legend>
      <c:legendPos val="r"/>
      <c:txPr>
        <a:bodyPr/>
        <a:lstStyle/>
        <a:p>
          <a:pPr>
            <a:defRPr lang="ro-RO" sz="918" b="0" i="0" u="none" strike="noStrike" baseline="0">
              <a:solidFill>
                <a:srgbClr val="000000"/>
              </a:solidFill>
              <a:latin typeface="Calibri"/>
              <a:ea typeface="Calibri"/>
              <a:cs typeface="Calibri"/>
            </a:defRPr>
          </a:pPr>
          <a:endParaRPr lang="ro-RO"/>
        </a:p>
      </c:txPr>
    </c:legend>
    <c:plotVisOnly val="1"/>
    <c:dispBlanksAs val="gap"/>
  </c:chart>
  <c:spPr>
    <a:solidFill>
      <a:srgbClr val="EEECE1"/>
    </a:solidFill>
  </c:spPr>
  <c:txPr>
    <a:bodyPr/>
    <a:lstStyle/>
    <a:p>
      <a:pPr>
        <a:defRPr sz="998" b="0" i="0" u="none" strike="noStrike" baseline="0">
          <a:solidFill>
            <a:srgbClr val="000000"/>
          </a:solidFill>
          <a:latin typeface="Calibri"/>
          <a:ea typeface="Calibri"/>
          <a:cs typeface="Calibri"/>
        </a:defRPr>
      </a:pPr>
      <a:endParaRPr lang="ro-RO"/>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a:pPr>
            <a:r>
              <a:rPr lang="ro-RO"/>
              <a:t>VSU</a:t>
            </a:r>
            <a:r>
              <a:rPr lang="en-US"/>
              <a:t> colectate </a:t>
            </a:r>
            <a:r>
              <a:rPr lang="ro-RO"/>
              <a:t>ș</a:t>
            </a:r>
            <a:r>
              <a:rPr lang="en-US"/>
              <a:t>i tratate </a:t>
            </a:r>
          </a:p>
        </c:rich>
      </c:tx>
    </c:title>
    <c:view3D>
      <c:rAngAx val="1"/>
    </c:view3D>
    <c:sideWall>
      <c:spPr>
        <a:solidFill>
          <a:srgbClr val="FFFF00"/>
        </a:solidFill>
      </c:spPr>
    </c:sideWall>
    <c:backWall>
      <c:spPr>
        <a:solidFill>
          <a:srgbClr val="FFFF00"/>
        </a:solidFill>
      </c:spPr>
    </c:backWall>
    <c:plotArea>
      <c:layout/>
      <c:bar3DChart>
        <c:barDir val="col"/>
        <c:grouping val="clustered"/>
        <c:ser>
          <c:idx val="0"/>
          <c:order val="0"/>
          <c:tx>
            <c:strRef>
              <c:f>Sheet1!$A$2</c:f>
              <c:strCache>
                <c:ptCount val="1"/>
                <c:pt idx="0">
                  <c:v>vsu colectate si tratate </c:v>
                </c:pt>
              </c:strCache>
            </c:strRef>
          </c:tx>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pt idx="0">
                  <c:v>134</c:v>
                </c:pt>
                <c:pt idx="1">
                  <c:v>238</c:v>
                </c:pt>
                <c:pt idx="2">
                  <c:v>391</c:v>
                </c:pt>
                <c:pt idx="3">
                  <c:v>508</c:v>
                </c:pt>
                <c:pt idx="4">
                  <c:v>485</c:v>
                </c:pt>
                <c:pt idx="5">
                  <c:v>2376</c:v>
                </c:pt>
                <c:pt idx="6">
                  <c:v>1838</c:v>
                </c:pt>
                <c:pt idx="7">
                  <c:v>607</c:v>
                </c:pt>
                <c:pt idx="8">
                  <c:v>98</c:v>
                </c:pt>
                <c:pt idx="9">
                  <c:v>290</c:v>
                </c:pt>
              </c:numCache>
            </c:numRef>
          </c:val>
        </c:ser>
        <c:shape val="cylinder"/>
        <c:axId val="250507264"/>
        <c:axId val="250508800"/>
        <c:axId val="0"/>
      </c:bar3DChart>
      <c:catAx>
        <c:axId val="250507264"/>
        <c:scaling>
          <c:orientation val="minMax"/>
        </c:scaling>
        <c:axPos val="b"/>
        <c:numFmt formatCode="General" sourceLinked="1"/>
        <c:tickLblPos val="nextTo"/>
        <c:crossAx val="250508800"/>
        <c:crosses val="autoZero"/>
        <c:auto val="1"/>
        <c:lblAlgn val="ctr"/>
        <c:lblOffset val="100"/>
      </c:catAx>
      <c:valAx>
        <c:axId val="250508800"/>
        <c:scaling>
          <c:orientation val="minMax"/>
        </c:scaling>
        <c:axPos val="l"/>
        <c:majorGridlines/>
        <c:numFmt formatCode="General" sourceLinked="1"/>
        <c:tickLblPos val="nextTo"/>
        <c:crossAx val="250507264"/>
        <c:crosses val="autoZero"/>
        <c:crossBetween val="between"/>
      </c:valAx>
    </c:plotArea>
    <c:legend>
      <c:legendPos val="r"/>
    </c:legend>
    <c:plotVisOnly val="1"/>
  </c:chart>
  <c:spPr>
    <a:solidFill>
      <a:srgbClr val="FFFF00"/>
    </a:solidFill>
  </c:sp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529126567512441"/>
          <c:y val="0.24020054768695709"/>
          <c:w val="0.45624234470690972"/>
          <c:h val="0.51851286087905268"/>
        </c:manualLayout>
      </c:layout>
      <c:bar3DChart>
        <c:barDir val="col"/>
        <c:grouping val="clustered"/>
        <c:ser>
          <c:idx val="0"/>
          <c:order val="0"/>
          <c:tx>
            <c:strRef>
              <c:f>Sheet1!$B$3</c:f>
              <c:strCache>
                <c:ptCount val="1"/>
                <c:pt idx="0">
                  <c:v>Mortalitate generală/din care</c:v>
                </c:pt>
              </c:strCache>
            </c:strRef>
          </c:tx>
          <c:cat>
            <c:numRef>
              <c:f>Sheet1!$A$4:$A$8</c:f>
              <c:numCache>
                <c:formatCode>General</c:formatCode>
                <c:ptCount val="5"/>
                <c:pt idx="0">
                  <c:v>2013</c:v>
                </c:pt>
                <c:pt idx="1">
                  <c:v>2014</c:v>
                </c:pt>
                <c:pt idx="2">
                  <c:v>2015</c:v>
                </c:pt>
                <c:pt idx="3">
                  <c:v>2016</c:v>
                </c:pt>
                <c:pt idx="4">
                  <c:v>2017</c:v>
                </c:pt>
              </c:numCache>
            </c:numRef>
          </c:cat>
          <c:val>
            <c:numRef>
              <c:f>Sheet1!$B$4:$B$8</c:f>
              <c:numCache>
                <c:formatCode>General</c:formatCode>
                <c:ptCount val="5"/>
                <c:pt idx="0">
                  <c:v>4464</c:v>
                </c:pt>
                <c:pt idx="1">
                  <c:v>4455</c:v>
                </c:pt>
                <c:pt idx="2">
                  <c:v>12210</c:v>
                </c:pt>
                <c:pt idx="3">
                  <c:v>4613</c:v>
                </c:pt>
                <c:pt idx="4">
                  <c:v>4574</c:v>
                </c:pt>
              </c:numCache>
            </c:numRef>
          </c:val>
        </c:ser>
        <c:ser>
          <c:idx val="1"/>
          <c:order val="1"/>
          <c:tx>
            <c:strRef>
              <c:f>Sheet1!$C$3</c:f>
              <c:strCache>
                <c:ptCount val="1"/>
                <c:pt idx="0">
                  <c:v>Boli ale aparatului circulator (număr cazuri)</c:v>
                </c:pt>
              </c:strCache>
            </c:strRef>
          </c:tx>
          <c:cat>
            <c:numRef>
              <c:f>Sheet1!$A$4:$A$8</c:f>
              <c:numCache>
                <c:formatCode>General</c:formatCode>
                <c:ptCount val="5"/>
                <c:pt idx="0">
                  <c:v>2013</c:v>
                </c:pt>
                <c:pt idx="1">
                  <c:v>2014</c:v>
                </c:pt>
                <c:pt idx="2">
                  <c:v>2015</c:v>
                </c:pt>
                <c:pt idx="3">
                  <c:v>2016</c:v>
                </c:pt>
                <c:pt idx="4">
                  <c:v>2017</c:v>
                </c:pt>
              </c:numCache>
            </c:numRef>
          </c:cat>
          <c:val>
            <c:numRef>
              <c:f>Sheet1!$C$4:$C$8</c:f>
              <c:numCache>
                <c:formatCode>General</c:formatCode>
                <c:ptCount val="5"/>
                <c:pt idx="0">
                  <c:v>2560</c:v>
                </c:pt>
                <c:pt idx="1">
                  <c:v>2484</c:v>
                </c:pt>
                <c:pt idx="2">
                  <c:v>2660</c:v>
                </c:pt>
                <c:pt idx="3">
                  <c:v>2694</c:v>
                </c:pt>
                <c:pt idx="4">
                  <c:v>2720</c:v>
                </c:pt>
              </c:numCache>
            </c:numRef>
          </c:val>
        </c:ser>
        <c:ser>
          <c:idx val="2"/>
          <c:order val="2"/>
          <c:tx>
            <c:strRef>
              <c:f>Sheet1!$D$3</c:f>
              <c:strCache>
                <c:ptCount val="1"/>
                <c:pt idx="0">
                  <c:v>Boală ischemică a inimii (număr cazuri)</c:v>
                </c:pt>
              </c:strCache>
            </c:strRef>
          </c:tx>
          <c:cat>
            <c:numRef>
              <c:f>Sheet1!$A$4:$A$8</c:f>
              <c:numCache>
                <c:formatCode>General</c:formatCode>
                <c:ptCount val="5"/>
                <c:pt idx="0">
                  <c:v>2013</c:v>
                </c:pt>
                <c:pt idx="1">
                  <c:v>2014</c:v>
                </c:pt>
                <c:pt idx="2">
                  <c:v>2015</c:v>
                </c:pt>
                <c:pt idx="3">
                  <c:v>2016</c:v>
                </c:pt>
                <c:pt idx="4">
                  <c:v>2017</c:v>
                </c:pt>
              </c:numCache>
            </c:numRef>
          </c:cat>
          <c:val>
            <c:numRef>
              <c:f>Sheet1!$D$4:$D$8</c:f>
              <c:numCache>
                <c:formatCode>General</c:formatCode>
                <c:ptCount val="5"/>
                <c:pt idx="0">
                  <c:v>367</c:v>
                </c:pt>
                <c:pt idx="1">
                  <c:v>353</c:v>
                </c:pt>
                <c:pt idx="2">
                  <c:v>345</c:v>
                </c:pt>
                <c:pt idx="3">
                  <c:v>594</c:v>
                </c:pt>
                <c:pt idx="4">
                  <c:v>593</c:v>
                </c:pt>
              </c:numCache>
            </c:numRef>
          </c:val>
        </c:ser>
        <c:ser>
          <c:idx val="3"/>
          <c:order val="3"/>
          <c:tx>
            <c:strRef>
              <c:f>Sheet1!$E$3</c:f>
              <c:strCache>
                <c:ptCount val="1"/>
                <c:pt idx="0">
                  <c:v>Boli respiratorii (număr cazuri)</c:v>
                </c:pt>
              </c:strCache>
            </c:strRef>
          </c:tx>
          <c:cat>
            <c:numRef>
              <c:f>Sheet1!$A$4:$A$8</c:f>
              <c:numCache>
                <c:formatCode>General</c:formatCode>
                <c:ptCount val="5"/>
                <c:pt idx="0">
                  <c:v>2013</c:v>
                </c:pt>
                <c:pt idx="1">
                  <c:v>2014</c:v>
                </c:pt>
                <c:pt idx="2">
                  <c:v>2015</c:v>
                </c:pt>
                <c:pt idx="3">
                  <c:v>2016</c:v>
                </c:pt>
                <c:pt idx="4">
                  <c:v>2017</c:v>
                </c:pt>
              </c:numCache>
            </c:numRef>
          </c:cat>
          <c:val>
            <c:numRef>
              <c:f>Sheet1!$E$4:$E$8</c:f>
              <c:numCache>
                <c:formatCode>General</c:formatCode>
                <c:ptCount val="5"/>
                <c:pt idx="0">
                  <c:v>237</c:v>
                </c:pt>
                <c:pt idx="1">
                  <c:v>260</c:v>
                </c:pt>
                <c:pt idx="2">
                  <c:v>261</c:v>
                </c:pt>
                <c:pt idx="3">
                  <c:v>222</c:v>
                </c:pt>
                <c:pt idx="4">
                  <c:v>319</c:v>
                </c:pt>
              </c:numCache>
            </c:numRef>
          </c:val>
        </c:ser>
        <c:gapWidth val="102"/>
        <c:gapDepth val="102"/>
        <c:shape val="cylinder"/>
        <c:axId val="250615296"/>
        <c:axId val="250619392"/>
        <c:axId val="0"/>
      </c:bar3DChart>
      <c:catAx>
        <c:axId val="250615296"/>
        <c:scaling>
          <c:orientation val="minMax"/>
        </c:scaling>
        <c:axPos val="b"/>
        <c:title>
          <c:tx>
            <c:rich>
              <a:bodyPr/>
              <a:lstStyle/>
              <a:p>
                <a:pPr>
                  <a:defRPr sz="999" b="1" i="0" u="none" strike="noStrike" baseline="0">
                    <a:solidFill>
                      <a:srgbClr val="000000"/>
                    </a:solidFill>
                    <a:latin typeface="Arial"/>
                    <a:ea typeface="Arial"/>
                    <a:cs typeface="Arial"/>
                  </a:defRPr>
                </a:pPr>
                <a:r>
                  <a:rPr lang="vi-VN"/>
                  <a:t>Figura nr.VIII.1.1.1. - 1. - Mortalitatea generală, la nivelul județului Brăila, cea datorată afecțiunilor respiratorii și cea prin afecțiuni cardiovasculare în perioada 201</a:t>
                </a:r>
                <a:r>
                  <a:rPr lang="ro-RO"/>
                  <a:t>3</a:t>
                </a:r>
                <a:r>
                  <a:rPr lang="vi-VN"/>
                  <a:t> - 201</a:t>
                </a:r>
                <a:r>
                  <a:rPr lang="ro-RO"/>
                  <a:t>7</a:t>
                </a:r>
                <a:endParaRPr lang="vi-VN"/>
              </a:p>
            </c:rich>
          </c:tx>
          <c:layout>
            <c:manualLayout>
              <c:xMode val="edge"/>
              <c:yMode val="edge"/>
              <c:x val="0.18316166309599993"/>
              <c:y val="1.9159566592637501E-2"/>
            </c:manualLayout>
          </c:layout>
        </c:title>
        <c:numFmt formatCode="General" sourceLinked="1"/>
        <c:tickLblPos val="nextTo"/>
        <c:crossAx val="250619392"/>
        <c:crosses val="autoZero"/>
        <c:auto val="1"/>
        <c:lblAlgn val="ctr"/>
        <c:lblOffset val="100"/>
      </c:catAx>
      <c:valAx>
        <c:axId val="250619392"/>
        <c:scaling>
          <c:orientation val="minMax"/>
        </c:scaling>
        <c:axPos val="l"/>
        <c:majorGridlines/>
        <c:numFmt formatCode="General" sourceLinked="1"/>
        <c:tickLblPos val="nextTo"/>
        <c:crossAx val="250615296"/>
        <c:crosses val="autoZero"/>
        <c:crossBetween val="between"/>
      </c:valAx>
      <c:spPr>
        <a:noFill/>
        <a:ln w="25385">
          <a:noFill/>
        </a:ln>
      </c:spPr>
    </c:plotArea>
    <c:legend>
      <c:legendPos val="r"/>
      <c:layout>
        <c:manualLayout>
          <c:xMode val="edge"/>
          <c:yMode val="edge"/>
          <c:x val="0.63014477430604243"/>
          <c:y val="0.35487906319402807"/>
          <c:w val="0.35596635226250622"/>
          <c:h val="0.29024187361195258"/>
        </c:manualLayout>
      </c:layout>
      <c:txPr>
        <a:bodyPr/>
        <a:lstStyle/>
        <a:p>
          <a:pPr>
            <a:defRPr>
              <a:latin typeface="Arial" pitchFamily="34" charset="0"/>
              <a:cs typeface="Arial" pitchFamily="34" charset="0"/>
            </a:defRPr>
          </a:pPr>
          <a:endParaRPr lang="ro-RO"/>
        </a:p>
      </c:txPr>
    </c:legend>
    <c:plotVisOnly val="1"/>
    <c:dispBlanksAs val="gap"/>
  </c:chart>
  <c:spPr>
    <a:solidFill>
      <a:schemeClr val="accent3">
        <a:lumMod val="20000"/>
        <a:lumOff val="80000"/>
      </a:schemeClr>
    </a:solidFill>
  </c:sp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7" b="1" i="0" u="none" strike="noStrike" kern="1200" baseline="0">
                <a:solidFill>
                  <a:sysClr val="windowText" lastClr="000000"/>
                </a:solidFill>
                <a:latin typeface="+mn-lt"/>
                <a:ea typeface="+mn-ea"/>
                <a:cs typeface="+mn-cs"/>
              </a:defRPr>
            </a:pPr>
            <a:r>
              <a:rPr lang="ro-RO" sz="1197" b="1">
                <a:latin typeface="Arial" pitchFamily="34" charset="0"/>
                <a:cs typeface="Arial" pitchFamily="34" charset="0"/>
              </a:rPr>
              <a:t>Figura nr. VIII.1.1.1. – 2 -</a:t>
            </a:r>
            <a:r>
              <a:rPr lang="ro-RO" sz="1197">
                <a:latin typeface="Arial" pitchFamily="34" charset="0"/>
                <a:cs typeface="Arial" pitchFamily="34" charset="0"/>
              </a:rPr>
              <a:t> </a:t>
            </a:r>
            <a:r>
              <a:rPr lang="en-US" sz="1197">
                <a:latin typeface="Arial" pitchFamily="34" charset="0"/>
                <a:cs typeface="Arial" pitchFamily="34" charset="0"/>
              </a:rPr>
              <a:t>Mortalitate infantilă şi prin afecţiuni respiratorii în mediul Urban în perioada </a:t>
            </a:r>
            <a:r>
              <a:rPr lang="en-US" sz="1197">
                <a:solidFill>
                  <a:sysClr val="windowText" lastClr="000000"/>
                </a:solidFill>
                <a:latin typeface="Arial" pitchFamily="34" charset="0"/>
                <a:cs typeface="Arial" pitchFamily="34" charset="0"/>
              </a:rPr>
              <a:t>201</a:t>
            </a:r>
            <a:r>
              <a:rPr lang="ro-RO" sz="1197">
                <a:solidFill>
                  <a:sysClr val="windowText" lastClr="000000"/>
                </a:solidFill>
                <a:latin typeface="Arial" pitchFamily="34" charset="0"/>
                <a:cs typeface="Arial" pitchFamily="34" charset="0"/>
              </a:rPr>
              <a:t>3</a:t>
            </a:r>
            <a:r>
              <a:rPr lang="en-US" sz="1197">
                <a:solidFill>
                  <a:sysClr val="windowText" lastClr="000000"/>
                </a:solidFill>
                <a:latin typeface="Arial" pitchFamily="34" charset="0"/>
                <a:cs typeface="Arial" pitchFamily="34" charset="0"/>
              </a:rPr>
              <a:t> - 201</a:t>
            </a:r>
            <a:r>
              <a:rPr lang="ro-RO" sz="1197">
                <a:solidFill>
                  <a:sysClr val="windowText" lastClr="000000"/>
                </a:solidFill>
                <a:latin typeface="Arial" pitchFamily="34" charset="0"/>
                <a:cs typeface="Arial" pitchFamily="34" charset="0"/>
              </a:rPr>
              <a:t>7 (numar)</a:t>
            </a:r>
            <a:endParaRPr lang="ro-RO" sz="1200">
              <a:solidFill>
                <a:sysClr val="windowText" lastClr="000000"/>
              </a:solidFill>
            </a:endParaRPr>
          </a:p>
        </c:rich>
      </c:tx>
    </c:title>
    <c:plotArea>
      <c:layout/>
      <c:barChart>
        <c:barDir val="col"/>
        <c:grouping val="clustered"/>
        <c:ser>
          <c:idx val="0"/>
          <c:order val="0"/>
          <c:tx>
            <c:strRef>
              <c:f>Sheet1!$B$1</c:f>
              <c:strCache>
                <c:ptCount val="1"/>
                <c:pt idx="0">
                  <c:v>Mortalitate infantilă în mediul Urban(decedaţi sub 1 an la 1000 născuţi vii)</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16</c:v>
                </c:pt>
                <c:pt idx="1">
                  <c:v>8</c:v>
                </c:pt>
                <c:pt idx="2">
                  <c:v>5</c:v>
                </c:pt>
                <c:pt idx="3">
                  <c:v>9</c:v>
                </c:pt>
                <c:pt idx="4">
                  <c:v>6</c:v>
                </c:pt>
              </c:numCache>
            </c:numRef>
          </c:val>
        </c:ser>
        <c:ser>
          <c:idx val="1"/>
          <c:order val="1"/>
          <c:tx>
            <c:strRef>
              <c:f>Sheet1!$C$1</c:f>
              <c:strCache>
                <c:ptCount val="1"/>
                <c:pt idx="0">
                  <c:v>Mortalitate infantilă prin afecţiuni respiratorii în mediul Urban (decedaţi sub 1 an la 1000 născuţi vii)</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3</c:v>
                </c:pt>
                <c:pt idx="1">
                  <c:v>0</c:v>
                </c:pt>
                <c:pt idx="2">
                  <c:v>1</c:v>
                </c:pt>
                <c:pt idx="3">
                  <c:v>2</c:v>
                </c:pt>
                <c:pt idx="4">
                  <c:v>0</c:v>
                </c:pt>
              </c:numCache>
            </c:numRef>
          </c:val>
        </c:ser>
        <c:axId val="250883456"/>
        <c:axId val="249988224"/>
      </c:barChart>
      <c:catAx>
        <c:axId val="250883456"/>
        <c:scaling>
          <c:orientation val="minMax"/>
        </c:scaling>
        <c:axPos val="b"/>
        <c:numFmt formatCode="General" sourceLinked="1"/>
        <c:tickLblPos val="nextTo"/>
        <c:txPr>
          <a:bodyPr/>
          <a:lstStyle/>
          <a:p>
            <a:pPr>
              <a:defRPr sz="1197">
                <a:latin typeface="Arial" pitchFamily="34" charset="0"/>
                <a:cs typeface="Arial" pitchFamily="34" charset="0"/>
              </a:defRPr>
            </a:pPr>
            <a:endParaRPr lang="ro-RO"/>
          </a:p>
        </c:txPr>
        <c:crossAx val="249988224"/>
        <c:crosses val="autoZero"/>
        <c:auto val="1"/>
        <c:lblAlgn val="ctr"/>
        <c:lblOffset val="100"/>
      </c:catAx>
      <c:valAx>
        <c:axId val="249988224"/>
        <c:scaling>
          <c:orientation val="minMax"/>
        </c:scaling>
        <c:axPos val="l"/>
        <c:majorGridlines/>
        <c:numFmt formatCode="General" sourceLinked="1"/>
        <c:tickLblPos val="nextTo"/>
        <c:txPr>
          <a:bodyPr/>
          <a:lstStyle/>
          <a:p>
            <a:pPr>
              <a:defRPr sz="1197">
                <a:latin typeface="Arial" pitchFamily="34" charset="0"/>
                <a:cs typeface="Arial" pitchFamily="34" charset="0"/>
              </a:defRPr>
            </a:pPr>
            <a:endParaRPr lang="ro-RO"/>
          </a:p>
        </c:txPr>
        <c:crossAx val="250883456"/>
        <c:crosses val="autoZero"/>
        <c:crossBetween val="between"/>
      </c:valAx>
    </c:plotArea>
    <c:legend>
      <c:legendPos val="r"/>
      <c:txPr>
        <a:bodyPr/>
        <a:lstStyle/>
        <a:p>
          <a:pPr>
            <a:defRPr sz="1197">
              <a:latin typeface="Arial" pitchFamily="34" charset="0"/>
              <a:cs typeface="Arial" pitchFamily="34" charset="0"/>
            </a:defRPr>
          </a:pPr>
          <a:endParaRPr lang="ro-RO"/>
        </a:p>
      </c:txPr>
    </c:legend>
    <c:plotVisOnly val="1"/>
    <c:dispBlanksAs val="gap"/>
  </c:chart>
  <c:spPr>
    <a:solidFill>
      <a:schemeClr val="accent4">
        <a:lumMod val="20000"/>
        <a:lumOff val="80000"/>
      </a:schemeClr>
    </a:solidFill>
  </c:sp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Sheet1!$B$1</c:f>
              <c:strCache>
                <c:ptCount val="1"/>
                <c:pt idx="0">
                  <c:v>Brăila</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1145</c:v>
                </c:pt>
                <c:pt idx="1">
                  <c:v>1147</c:v>
                </c:pt>
                <c:pt idx="2">
                  <c:v>1242</c:v>
                </c:pt>
                <c:pt idx="3">
                  <c:v>1178</c:v>
                </c:pt>
                <c:pt idx="4">
                  <c:v>1194</c:v>
                </c:pt>
              </c:numCache>
            </c:numRef>
          </c:val>
        </c:ser>
        <c:ser>
          <c:idx val="1"/>
          <c:order val="1"/>
          <c:tx>
            <c:strRef>
              <c:f>Sheet1!$C$1</c:f>
              <c:strCache>
                <c:ptCount val="1"/>
                <c:pt idx="0">
                  <c:v>Ianca</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86</c:v>
                </c:pt>
                <c:pt idx="1">
                  <c:v>71</c:v>
                </c:pt>
                <c:pt idx="2">
                  <c:v>71</c:v>
                </c:pt>
                <c:pt idx="3">
                  <c:v>90</c:v>
                </c:pt>
                <c:pt idx="4">
                  <c:v>29</c:v>
                </c:pt>
              </c:numCache>
            </c:numRef>
          </c:val>
        </c:ser>
        <c:ser>
          <c:idx val="2"/>
          <c:order val="2"/>
          <c:tx>
            <c:strRef>
              <c:f>Sheet1!$D$1</c:f>
              <c:strCache>
                <c:ptCount val="1"/>
                <c:pt idx="0">
                  <c:v>Făurei</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23</c:v>
                </c:pt>
                <c:pt idx="1">
                  <c:v>23</c:v>
                </c:pt>
                <c:pt idx="2">
                  <c:v>33</c:v>
                </c:pt>
                <c:pt idx="3">
                  <c:v>31</c:v>
                </c:pt>
                <c:pt idx="4">
                  <c:v>75</c:v>
                </c:pt>
              </c:numCache>
            </c:numRef>
          </c:val>
        </c:ser>
        <c:ser>
          <c:idx val="3"/>
          <c:order val="3"/>
          <c:tx>
            <c:strRef>
              <c:f>Sheet1!$E$1</c:f>
              <c:strCache>
                <c:ptCount val="1"/>
                <c:pt idx="0">
                  <c:v>Însurăței</c:v>
                </c:pt>
              </c:strCache>
            </c:strRef>
          </c:tx>
          <c:cat>
            <c:numRef>
              <c:f>Sheet1!$A$2:$A$6</c:f>
              <c:numCache>
                <c:formatCode>General</c:formatCode>
                <c:ptCount val="5"/>
                <c:pt idx="0">
                  <c:v>2013</c:v>
                </c:pt>
                <c:pt idx="1">
                  <c:v>2014</c:v>
                </c:pt>
                <c:pt idx="2">
                  <c:v>2015</c:v>
                </c:pt>
                <c:pt idx="3">
                  <c:v>2016</c:v>
                </c:pt>
                <c:pt idx="4">
                  <c:v>2017</c:v>
                </c:pt>
              </c:numCache>
            </c:numRef>
          </c:cat>
          <c:val>
            <c:numRef>
              <c:f>Sheet1!$E$2:$E$6</c:f>
              <c:numCache>
                <c:formatCode>General</c:formatCode>
                <c:ptCount val="5"/>
                <c:pt idx="0">
                  <c:v>55</c:v>
                </c:pt>
                <c:pt idx="1">
                  <c:v>54</c:v>
                </c:pt>
                <c:pt idx="2">
                  <c:v>51</c:v>
                </c:pt>
                <c:pt idx="3">
                  <c:v>59</c:v>
                </c:pt>
                <c:pt idx="4">
                  <c:v>59</c:v>
                </c:pt>
              </c:numCache>
            </c:numRef>
          </c:val>
        </c:ser>
        <c:shape val="box"/>
        <c:axId val="250919168"/>
        <c:axId val="251109376"/>
        <c:axId val="0"/>
      </c:bar3DChart>
      <c:catAx>
        <c:axId val="250919168"/>
        <c:scaling>
          <c:orientation val="minMax"/>
        </c:scaling>
        <c:axPos val="b"/>
        <c:numFmt formatCode="General" sourceLinked="1"/>
        <c:tickLblPos val="nextTo"/>
        <c:crossAx val="251109376"/>
        <c:crosses val="autoZero"/>
        <c:auto val="1"/>
        <c:lblAlgn val="ctr"/>
        <c:lblOffset val="100"/>
      </c:catAx>
      <c:valAx>
        <c:axId val="251109376"/>
        <c:scaling>
          <c:orientation val="minMax"/>
        </c:scaling>
        <c:axPos val="l"/>
        <c:majorGridlines/>
        <c:numFmt formatCode="General" sourceLinked="1"/>
        <c:tickLblPos val="nextTo"/>
        <c:crossAx val="250919168"/>
        <c:crosses val="autoZero"/>
        <c:crossBetween val="between"/>
      </c:valAx>
    </c:plotArea>
    <c:legend>
      <c:legendPos val="r"/>
    </c:legend>
    <c:plotVisOnly val="1"/>
  </c:chart>
  <c:spPr>
    <a:solidFill>
      <a:schemeClr val="accent1">
        <a:lumMod val="20000"/>
        <a:lumOff val="80000"/>
      </a:schemeClr>
    </a:solidFill>
  </c:sp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199">
                <a:latin typeface="Arial" pitchFamily="34" charset="0"/>
                <a:cs typeface="Arial" pitchFamily="34" charset="0"/>
              </a:rPr>
              <a:t>Figura nr.VIII.1.1.1. - 4 - Incidența</a:t>
            </a:r>
            <a:r>
              <a:rPr lang="ro-RO" sz="1199" baseline="0">
                <a:latin typeface="Arial" pitchFamily="34" charset="0"/>
                <a:cs typeface="Arial" pitchFamily="34" charset="0"/>
              </a:rPr>
              <a:t> cazurilor de astm bronșic în orașele din județul Brăila (număr cazuri)</a:t>
            </a:r>
            <a:endParaRPr lang="ro-RO" sz="1200">
              <a:latin typeface="Arial" pitchFamily="34" charset="0"/>
              <a:cs typeface="Arial" pitchFamily="34" charset="0"/>
            </a:endParaRPr>
          </a:p>
        </c:rich>
      </c:tx>
      <c:overlay val="1"/>
    </c:title>
    <c:view3D>
      <c:depthPercent val="100"/>
      <c:rAngAx val="1"/>
    </c:view3D>
    <c:sideWall>
      <c:spPr>
        <a:ln>
          <a:solidFill>
            <a:schemeClr val="bg1"/>
          </a:solidFill>
        </a:ln>
      </c:spPr>
    </c:sideWall>
    <c:backWall>
      <c:spPr>
        <a:ln>
          <a:solidFill>
            <a:schemeClr val="bg1"/>
          </a:solidFill>
        </a:ln>
      </c:spPr>
    </c:backWall>
    <c:plotArea>
      <c:layout>
        <c:manualLayout>
          <c:layoutTarget val="inner"/>
          <c:xMode val="edge"/>
          <c:yMode val="edge"/>
          <c:x val="7.1726450860309127E-2"/>
          <c:y val="0.24815532673800389"/>
          <c:w val="0.59310112277631544"/>
          <c:h val="0.52912744685540269"/>
        </c:manualLayout>
      </c:layout>
      <c:bar3DChart>
        <c:barDir val="col"/>
        <c:grouping val="clustered"/>
        <c:ser>
          <c:idx val="0"/>
          <c:order val="0"/>
          <c:tx>
            <c:strRef>
              <c:f>Sheet1!$B$2</c:f>
              <c:strCache>
                <c:ptCount val="1"/>
                <c:pt idx="0">
                  <c:v>Mun.Brăila</c:v>
                </c:pt>
              </c:strCache>
            </c:strRef>
          </c:tx>
          <c:cat>
            <c:numRef>
              <c:f>Sheet1!$A$3:$A$7</c:f>
              <c:numCache>
                <c:formatCode>General</c:formatCode>
                <c:ptCount val="5"/>
                <c:pt idx="0">
                  <c:v>2013</c:v>
                </c:pt>
                <c:pt idx="1">
                  <c:v>2014</c:v>
                </c:pt>
                <c:pt idx="2">
                  <c:v>2015</c:v>
                </c:pt>
                <c:pt idx="3">
                  <c:v>2016</c:v>
                </c:pt>
                <c:pt idx="4">
                  <c:v>2017</c:v>
                </c:pt>
              </c:numCache>
            </c:numRef>
          </c:cat>
          <c:val>
            <c:numRef>
              <c:f>Sheet1!$B$3:$B$7</c:f>
              <c:numCache>
                <c:formatCode>General</c:formatCode>
                <c:ptCount val="5"/>
                <c:pt idx="0">
                  <c:v>201</c:v>
                </c:pt>
                <c:pt idx="1">
                  <c:v>217</c:v>
                </c:pt>
                <c:pt idx="2">
                  <c:v>210</c:v>
                </c:pt>
                <c:pt idx="3">
                  <c:v>181</c:v>
                </c:pt>
                <c:pt idx="4">
                  <c:v>344</c:v>
                </c:pt>
              </c:numCache>
            </c:numRef>
          </c:val>
        </c:ser>
        <c:ser>
          <c:idx val="1"/>
          <c:order val="1"/>
          <c:tx>
            <c:strRef>
              <c:f>Sheet1!$C$2</c:f>
              <c:strCache>
                <c:ptCount val="1"/>
                <c:pt idx="0">
                  <c:v>Oraș Ianca</c:v>
                </c:pt>
              </c:strCache>
            </c:strRef>
          </c:tx>
          <c:cat>
            <c:numRef>
              <c:f>Sheet1!$A$3:$A$7</c:f>
              <c:numCache>
                <c:formatCode>General</c:formatCode>
                <c:ptCount val="5"/>
                <c:pt idx="0">
                  <c:v>2013</c:v>
                </c:pt>
                <c:pt idx="1">
                  <c:v>2014</c:v>
                </c:pt>
                <c:pt idx="2">
                  <c:v>2015</c:v>
                </c:pt>
                <c:pt idx="3">
                  <c:v>2016</c:v>
                </c:pt>
                <c:pt idx="4">
                  <c:v>2017</c:v>
                </c:pt>
              </c:numCache>
            </c:numRef>
          </c:cat>
          <c:val>
            <c:numRef>
              <c:f>Sheet1!$C$3:$C$7</c:f>
              <c:numCache>
                <c:formatCode>General</c:formatCode>
                <c:ptCount val="5"/>
                <c:pt idx="0">
                  <c:v>14</c:v>
                </c:pt>
                <c:pt idx="1">
                  <c:v>25</c:v>
                </c:pt>
                <c:pt idx="2">
                  <c:v>5</c:v>
                </c:pt>
                <c:pt idx="3">
                  <c:v>31</c:v>
                </c:pt>
                <c:pt idx="4">
                  <c:v>23</c:v>
                </c:pt>
              </c:numCache>
            </c:numRef>
          </c:val>
        </c:ser>
        <c:ser>
          <c:idx val="2"/>
          <c:order val="2"/>
          <c:tx>
            <c:strRef>
              <c:f>Sheet1!$D$2</c:f>
              <c:strCache>
                <c:ptCount val="1"/>
                <c:pt idx="0">
                  <c:v>Oraș Făurei</c:v>
                </c:pt>
              </c:strCache>
            </c:strRef>
          </c:tx>
          <c:cat>
            <c:numRef>
              <c:f>Sheet1!$A$3:$A$7</c:f>
              <c:numCache>
                <c:formatCode>General</c:formatCode>
                <c:ptCount val="5"/>
                <c:pt idx="0">
                  <c:v>2013</c:v>
                </c:pt>
                <c:pt idx="1">
                  <c:v>2014</c:v>
                </c:pt>
                <c:pt idx="2">
                  <c:v>2015</c:v>
                </c:pt>
                <c:pt idx="3">
                  <c:v>2016</c:v>
                </c:pt>
                <c:pt idx="4">
                  <c:v>2017</c:v>
                </c:pt>
              </c:numCache>
            </c:numRef>
          </c:cat>
          <c:val>
            <c:numRef>
              <c:f>Sheet1!$D$3:$D$7</c:f>
              <c:numCache>
                <c:formatCode>General</c:formatCode>
                <c:ptCount val="5"/>
                <c:pt idx="0">
                  <c:v>19</c:v>
                </c:pt>
                <c:pt idx="1">
                  <c:v>27</c:v>
                </c:pt>
                <c:pt idx="2">
                  <c:v>9</c:v>
                </c:pt>
                <c:pt idx="3">
                  <c:v>8</c:v>
                </c:pt>
                <c:pt idx="4">
                  <c:v>4</c:v>
                </c:pt>
              </c:numCache>
            </c:numRef>
          </c:val>
        </c:ser>
        <c:ser>
          <c:idx val="3"/>
          <c:order val="3"/>
          <c:tx>
            <c:strRef>
              <c:f>Sheet1!$E$2</c:f>
              <c:strCache>
                <c:ptCount val="1"/>
                <c:pt idx="0">
                  <c:v>Oraș Însurăței</c:v>
                </c:pt>
              </c:strCache>
            </c:strRef>
          </c:tx>
          <c:cat>
            <c:numRef>
              <c:f>Sheet1!$A$3:$A$7</c:f>
              <c:numCache>
                <c:formatCode>General</c:formatCode>
                <c:ptCount val="5"/>
                <c:pt idx="0">
                  <c:v>2013</c:v>
                </c:pt>
                <c:pt idx="1">
                  <c:v>2014</c:v>
                </c:pt>
                <c:pt idx="2">
                  <c:v>2015</c:v>
                </c:pt>
                <c:pt idx="3">
                  <c:v>2016</c:v>
                </c:pt>
                <c:pt idx="4">
                  <c:v>2017</c:v>
                </c:pt>
              </c:numCache>
            </c:numRef>
          </c:cat>
          <c:val>
            <c:numRef>
              <c:f>Sheet1!$E$3:$E$7</c:f>
              <c:numCache>
                <c:formatCode>General</c:formatCode>
                <c:ptCount val="5"/>
                <c:pt idx="0">
                  <c:v>0</c:v>
                </c:pt>
                <c:pt idx="1">
                  <c:v>10</c:v>
                </c:pt>
                <c:pt idx="2">
                  <c:v>1</c:v>
                </c:pt>
                <c:pt idx="3">
                  <c:v>4</c:v>
                </c:pt>
                <c:pt idx="4">
                  <c:v>5</c:v>
                </c:pt>
              </c:numCache>
            </c:numRef>
          </c:val>
        </c:ser>
        <c:ser>
          <c:idx val="4"/>
          <c:order val="4"/>
          <c:tx>
            <c:strRef>
              <c:f>Sheet1!$F$2</c:f>
              <c:strCache>
                <c:ptCount val="1"/>
                <c:pt idx="0">
                  <c:v>Total Județ Brăila</c:v>
                </c:pt>
              </c:strCache>
            </c:strRef>
          </c:tx>
          <c:cat>
            <c:numRef>
              <c:f>Sheet1!$A$3:$A$7</c:f>
              <c:numCache>
                <c:formatCode>General</c:formatCode>
                <c:ptCount val="5"/>
                <c:pt idx="0">
                  <c:v>2013</c:v>
                </c:pt>
                <c:pt idx="1">
                  <c:v>2014</c:v>
                </c:pt>
                <c:pt idx="2">
                  <c:v>2015</c:v>
                </c:pt>
                <c:pt idx="3">
                  <c:v>2016</c:v>
                </c:pt>
                <c:pt idx="4">
                  <c:v>2017</c:v>
                </c:pt>
              </c:numCache>
            </c:numRef>
          </c:cat>
          <c:val>
            <c:numRef>
              <c:f>Sheet1!$F$3:$F$7</c:f>
              <c:numCache>
                <c:formatCode>General</c:formatCode>
                <c:ptCount val="5"/>
                <c:pt idx="0">
                  <c:v>332</c:v>
                </c:pt>
                <c:pt idx="1">
                  <c:v>504</c:v>
                </c:pt>
                <c:pt idx="2">
                  <c:v>400</c:v>
                </c:pt>
                <c:pt idx="3">
                  <c:v>399</c:v>
                </c:pt>
                <c:pt idx="4">
                  <c:v>376</c:v>
                </c:pt>
              </c:numCache>
            </c:numRef>
          </c:val>
        </c:ser>
        <c:shape val="box"/>
        <c:axId val="251731968"/>
        <c:axId val="251733504"/>
        <c:axId val="0"/>
      </c:bar3DChart>
      <c:catAx>
        <c:axId val="251731968"/>
        <c:scaling>
          <c:orientation val="minMax"/>
        </c:scaling>
        <c:axPos val="b"/>
        <c:numFmt formatCode="General" sourceLinked="1"/>
        <c:tickLblPos val="nextTo"/>
        <c:txPr>
          <a:bodyPr/>
          <a:lstStyle/>
          <a:p>
            <a:pPr>
              <a:defRPr sz="1199" b="1">
                <a:latin typeface="Arial" pitchFamily="34" charset="0"/>
                <a:cs typeface="Arial" pitchFamily="34" charset="0"/>
              </a:defRPr>
            </a:pPr>
            <a:endParaRPr lang="ro-RO"/>
          </a:p>
        </c:txPr>
        <c:crossAx val="251733504"/>
        <c:crosses val="autoZero"/>
        <c:auto val="1"/>
        <c:lblAlgn val="ctr"/>
        <c:lblOffset val="100"/>
      </c:catAx>
      <c:valAx>
        <c:axId val="251733504"/>
        <c:scaling>
          <c:orientation val="minMax"/>
        </c:scaling>
        <c:axPos val="l"/>
        <c:majorGridlines/>
        <c:numFmt formatCode="General" sourceLinked="1"/>
        <c:tickLblPos val="nextTo"/>
        <c:txPr>
          <a:bodyPr/>
          <a:lstStyle/>
          <a:p>
            <a:pPr>
              <a:defRPr sz="1199" b="1">
                <a:latin typeface="Arial" pitchFamily="34" charset="0"/>
                <a:cs typeface="Arial" pitchFamily="34" charset="0"/>
              </a:defRPr>
            </a:pPr>
            <a:endParaRPr lang="ro-RO"/>
          </a:p>
        </c:txPr>
        <c:crossAx val="251731968"/>
        <c:crosses val="autoZero"/>
        <c:crossBetween val="between"/>
      </c:valAx>
      <c:spPr>
        <a:solidFill>
          <a:schemeClr val="accent3">
            <a:lumMod val="20000"/>
            <a:lumOff val="80000"/>
          </a:schemeClr>
        </a:solidFill>
      </c:spPr>
    </c:plotArea>
    <c:legend>
      <c:legendPos val="r"/>
      <c:spPr>
        <a:solidFill>
          <a:schemeClr val="accent2">
            <a:lumMod val="40000"/>
            <a:lumOff val="60000"/>
          </a:schemeClr>
        </a:solidFill>
        <a:ln>
          <a:solidFill>
            <a:schemeClr val="bg1"/>
          </a:solidFill>
        </a:ln>
      </c:spPr>
      <c:txPr>
        <a:bodyPr/>
        <a:lstStyle/>
        <a:p>
          <a:pPr>
            <a:defRPr sz="1000" b="1" baseline="0">
              <a:latin typeface="Arial" pitchFamily="34" charset="0"/>
              <a:cs typeface="Arial" pitchFamily="34" charset="0"/>
            </a:defRPr>
          </a:pPr>
          <a:endParaRPr lang="ro-RO"/>
        </a:p>
      </c:txPr>
    </c:legend>
    <c:plotVisOnly val="1"/>
    <c:dispBlanksAs val="gap"/>
  </c:chart>
  <c:spPr>
    <a:blipFill>
      <a:blip xmlns:r="http://schemas.openxmlformats.org/officeDocument/2006/relationships" r:embed="rId2"/>
      <a:tile tx="0" ty="0" sx="100000" sy="100000" flip="none" algn="tl"/>
    </a:blipFill>
    <a:ln>
      <a:solidFill>
        <a:schemeClr val="bg1"/>
      </a:solidFill>
    </a:ln>
  </c:spPr>
  <c:txPr>
    <a:bodyPr rot="0" anchor="t" anchorCtr="0"/>
    <a:lstStyle/>
    <a:p>
      <a:pPr>
        <a:defRPr baseline="0">
          <a:ln>
            <a:noFill/>
          </a:ln>
        </a:defRPr>
      </a:pPr>
      <a:endParaRPr lang="ro-RO"/>
    </a:p>
  </c:txPr>
  <c:externalData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27E-2"/>
          <c:w val="0.65904761904762565"/>
          <c:h val="0.70892018779342725"/>
        </c:manualLayout>
      </c:layout>
      <c:barChart>
        <c:barDir val="col"/>
        <c:grouping val="clustered"/>
        <c:ser>
          <c:idx val="4"/>
          <c:order val="0"/>
          <c:tx>
            <c:strRef>
              <c:f>Sheet1!$A$2</c:f>
              <c:strCache>
                <c:ptCount val="1"/>
                <c:pt idx="0">
                  <c:v>Medii anuale 2013</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0.00</c:formatCode>
                <c:ptCount val="5"/>
                <c:pt idx="0">
                  <c:v>0</c:v>
                </c:pt>
                <c:pt idx="1">
                  <c:v>3.86</c:v>
                </c:pt>
                <c:pt idx="2">
                  <c:v>10.44</c:v>
                </c:pt>
                <c:pt idx="3">
                  <c:v>5.1499999999999995</c:v>
                </c:pt>
                <c:pt idx="4">
                  <c:v>0</c:v>
                </c:pt>
              </c:numCache>
            </c:numRef>
          </c:val>
        </c:ser>
        <c:ser>
          <c:idx val="5"/>
          <c:order val="1"/>
          <c:tx>
            <c:strRef>
              <c:f>Sheet1!$A$3</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pt idx="0" formatCode="0.00">
                  <c:v>0</c:v>
                </c:pt>
                <c:pt idx="1">
                  <c:v>15.5</c:v>
                </c:pt>
                <c:pt idx="2">
                  <c:v>7.41</c:v>
                </c:pt>
                <c:pt idx="3" formatCode="0.00">
                  <c:v>0</c:v>
                </c:pt>
                <c:pt idx="4" formatCode="0.00">
                  <c:v>0</c:v>
                </c:pt>
              </c:numCache>
            </c:numRef>
          </c:val>
        </c:ser>
        <c:ser>
          <c:idx val="6"/>
          <c:order val="2"/>
          <c:tx>
            <c:strRef>
              <c:f>Sheet1!$A$4</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pt idx="0" formatCode="0.00">
                  <c:v>0</c:v>
                </c:pt>
                <c:pt idx="1">
                  <c:v>12.83</c:v>
                </c:pt>
                <c:pt idx="2" formatCode="0.00">
                  <c:v>0</c:v>
                </c:pt>
                <c:pt idx="3" formatCode="0.00">
                  <c:v>0</c:v>
                </c:pt>
                <c:pt idx="4">
                  <c:v>12.31</c:v>
                </c:pt>
              </c:numCache>
            </c:numRef>
          </c:val>
        </c:ser>
        <c:ser>
          <c:idx val="7"/>
          <c:order val="3"/>
          <c:tx>
            <c:strRef>
              <c:f>Sheet1!$A$5</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0">
                  <c:v>20.25</c:v>
                </c:pt>
                <c:pt idx="1">
                  <c:v>20.22</c:v>
                </c:pt>
                <c:pt idx="2">
                  <c:v>17.68</c:v>
                </c:pt>
                <c:pt idx="3">
                  <c:v>12.92</c:v>
                </c:pt>
                <c:pt idx="4">
                  <c:v>12.450000000000006</c:v>
                </c:pt>
              </c:numCache>
            </c:numRef>
          </c:val>
        </c:ser>
        <c:ser>
          <c:idx val="8"/>
          <c:order val="4"/>
          <c:tx>
            <c:strRef>
              <c:f>Sheet1!$A$6</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26.25</c:v>
                </c:pt>
                <c:pt idx="1">
                  <c:v>17.170000000000005</c:v>
                </c:pt>
                <c:pt idx="2">
                  <c:v>12.129999999999999</c:v>
                </c:pt>
                <c:pt idx="3">
                  <c:v>11.05</c:v>
                </c:pt>
                <c:pt idx="4">
                  <c:v>10.75</c:v>
                </c:pt>
              </c:numCache>
            </c:numRef>
          </c:val>
        </c:ser>
        <c:axId val="220852224"/>
        <c:axId val="220853760"/>
      </c:barChart>
      <c:catAx>
        <c:axId val="2208522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0853760"/>
        <c:crosses val="autoZero"/>
        <c:auto val="1"/>
        <c:lblAlgn val="ctr"/>
        <c:lblOffset val="100"/>
        <c:tickLblSkip val="1"/>
        <c:tickMarkSkip val="1"/>
      </c:catAx>
      <c:valAx>
        <c:axId val="220853760"/>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854E-2"/>
              <c:y val="0.23004696161858687"/>
            </c:manualLayout>
          </c:layout>
          <c:spPr>
            <a:noFill/>
            <a:ln w="25399">
              <a:noFill/>
            </a:ln>
          </c:spPr>
        </c:title>
        <c:numFmt formatCode="0.0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0852224"/>
        <c:crosses val="autoZero"/>
        <c:crossBetween val="between"/>
      </c:valAx>
      <c:spPr>
        <a:solidFill>
          <a:srgbClr val="FFFFCC"/>
        </a:solidFill>
        <a:ln w="12700">
          <a:solidFill>
            <a:srgbClr val="000000"/>
          </a:solidFill>
          <a:prstDash val="solid"/>
        </a:ln>
      </c:spPr>
    </c:plotArea>
    <c:legend>
      <c:legendPos val="r"/>
      <c:layout>
        <c:manualLayout>
          <c:xMode val="edge"/>
          <c:yMode val="edge"/>
          <c:x val="0.78403946058466834"/>
          <c:y val="8.3622753433847702E-2"/>
          <c:w val="0.17450230790116791"/>
          <c:h val="0.7605070442427880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a:t>Fig.VIII.1.1.1</a:t>
            </a:r>
            <a:r>
              <a:rPr lang="ro-RO" sz="1200" baseline="0"/>
              <a:t> -5 </a:t>
            </a:r>
            <a:r>
              <a:rPr lang="en-US" sz="1200"/>
              <a:t>Evoluția  concentraţiilor  medii anuale a PM</a:t>
            </a:r>
            <a:r>
              <a:rPr lang="en-US" sz="1200" baseline="-25000"/>
              <a:t>10</a:t>
            </a:r>
            <a:r>
              <a:rPr lang="en-US" sz="1200"/>
              <a:t> - </a:t>
            </a:r>
            <a:r>
              <a:rPr lang="ro-RO" sz="1200"/>
              <a:t>(µg/mc) în județul Brăila în perioada 2012 – 2017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title>
    <c:plotArea>
      <c:layout/>
      <c:lineChart>
        <c:grouping val="stacked"/>
        <c:ser>
          <c:idx val="0"/>
          <c:order val="0"/>
          <c:tx>
            <c:strRef>
              <c:f>Sheet1!$B$1</c:f>
              <c:strCache>
                <c:ptCount val="1"/>
                <c:pt idx="0">
                  <c:v>PM10 (concentraţie medie/an)  (µg/mc</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28.07</c:v>
                </c:pt>
                <c:pt idx="1">
                  <c:v>36.15</c:v>
                </c:pt>
                <c:pt idx="2">
                  <c:v>46.03</c:v>
                </c:pt>
                <c:pt idx="3">
                  <c:v>36.68</c:v>
                </c:pt>
                <c:pt idx="4">
                  <c:v>27.93</c:v>
                </c:pt>
                <c:pt idx="5">
                  <c:v>20.7</c:v>
                </c:pt>
              </c:numCache>
            </c:numRef>
          </c:val>
        </c:ser>
        <c:ser>
          <c:idx val="1"/>
          <c:order val="1"/>
          <c:tx>
            <c:strRef>
              <c:f>Sheet1!$C$1</c:f>
              <c:strCache>
                <c:ptCount val="1"/>
                <c:pt idx="0">
                  <c:v>Column1</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Sheet1!$C$2:$C$7</c:f>
            </c:numRef>
          </c:val>
        </c:ser>
        <c:ser>
          <c:idx val="2"/>
          <c:order val="2"/>
          <c:tx>
            <c:strRef>
              <c:f>Sheet1!$D$1</c:f>
              <c:strCache>
                <c:ptCount val="1"/>
                <c:pt idx="0">
                  <c:v>Column2</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Sheet1!$D$2:$D$7</c:f>
            </c:numRef>
          </c:val>
        </c:ser>
        <c:marker val="1"/>
        <c:axId val="251565568"/>
        <c:axId val="251567104"/>
      </c:lineChart>
      <c:catAx>
        <c:axId val="251565568"/>
        <c:scaling>
          <c:orientation val="minMax"/>
        </c:scaling>
        <c:axPos val="b"/>
        <c:numFmt formatCode="General" sourceLinked="1"/>
        <c:tickLblPos val="nextTo"/>
        <c:crossAx val="251567104"/>
        <c:crosses val="autoZero"/>
        <c:auto val="1"/>
        <c:lblAlgn val="ctr"/>
        <c:lblOffset val="100"/>
      </c:catAx>
      <c:valAx>
        <c:axId val="251567104"/>
        <c:scaling>
          <c:orientation val="minMax"/>
        </c:scaling>
        <c:axPos val="l"/>
        <c:majorGridlines/>
        <c:numFmt formatCode="General" sourceLinked="1"/>
        <c:tickLblPos val="nextTo"/>
        <c:crossAx val="251565568"/>
        <c:crosses val="autoZero"/>
        <c:crossBetween val="between"/>
      </c:valAx>
      <c:spPr>
        <a:solidFill>
          <a:schemeClr val="accent4">
            <a:lumMod val="40000"/>
            <a:lumOff val="60000"/>
          </a:schemeClr>
        </a:solidFill>
      </c:spPr>
    </c:plotArea>
    <c:legend>
      <c:legendPos val="r"/>
    </c:legend>
    <c:plotVisOnly val="1"/>
  </c:chart>
  <c:spPr>
    <a:solidFill>
      <a:schemeClr val="accent4">
        <a:lumMod val="20000"/>
        <a:lumOff val="80000"/>
      </a:schemeClr>
    </a:solidFill>
  </c:sp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lgn="ctr" rtl="0">
              <a:defRPr lang="en-US"/>
            </a:pPr>
            <a:r>
              <a:rPr lang="ro-RO"/>
              <a:t>Evoluția</a:t>
            </a:r>
            <a:r>
              <a:rPr lang="ro-RO" baseline="0"/>
              <a:t> zgomotului în parcuri, zone de recreere și odihnă</a:t>
            </a:r>
            <a:endParaRPr lang="ro-RO"/>
          </a:p>
        </c:rich>
      </c:tx>
      <c:spPr>
        <a:ln>
          <a:noFill/>
        </a:ln>
      </c:spPr>
    </c:title>
    <c:plotArea>
      <c:layout>
        <c:manualLayout>
          <c:layoutTarget val="inner"/>
          <c:xMode val="edge"/>
          <c:yMode val="edge"/>
          <c:x val="0.16814659635435492"/>
          <c:y val="0.21814432989691296"/>
          <c:w val="0.83185340364564564"/>
          <c:h val="0.54355313833191898"/>
        </c:manualLayout>
      </c:layout>
      <c:lineChart>
        <c:grouping val="standard"/>
        <c:ser>
          <c:idx val="0"/>
          <c:order val="0"/>
          <c:tx>
            <c:strRef>
              <c:f>Sheet1!$B$1</c:f>
              <c:strCache>
                <c:ptCount val="1"/>
                <c:pt idx="0">
                  <c:v>media anuală</c:v>
                </c:pt>
              </c:strCache>
            </c:strRef>
          </c:tx>
          <c:spPr>
            <a:ln w="28566">
              <a:solidFill>
                <a:srgbClr val="C00000"/>
              </a:solidFill>
            </a:ln>
          </c:spPr>
          <c:marker>
            <c:symbol val="square"/>
            <c:size val="2"/>
            <c:spPr>
              <a:solidFill>
                <a:srgbClr val="FFFF00"/>
              </a:solidFill>
            </c:spPr>
          </c:marker>
          <c:dLbls>
            <c:dLbl>
              <c:idx val="0"/>
              <c:layout>
                <c:manualLayout>
                  <c:x val="-4.6570583270730735E-2"/>
                  <c:y val="6.4383798616082524E-2"/>
                </c:manualLayout>
              </c:layout>
              <c:dLblPos val="r"/>
              <c:showVal val="1"/>
            </c:dLbl>
            <c:dLbl>
              <c:idx val="1"/>
              <c:layout>
                <c:manualLayout>
                  <c:x val="-3.798132123943871E-2"/>
                  <c:y val="5.7617811978049924E-2"/>
                </c:manualLayout>
              </c:layout>
              <c:dLblPos val="r"/>
              <c:showVal val="1"/>
            </c:dLbl>
            <c:dLbl>
              <c:idx val="2"/>
              <c:layout>
                <c:manualLayout>
                  <c:x val="-4.7114252061248904E-2"/>
                  <c:y val="5.3030303030303434E-2"/>
                </c:manualLayout>
              </c:layout>
              <c:dLblPos val="r"/>
              <c:showVal val="1"/>
            </c:dLbl>
            <c:dLbl>
              <c:idx val="3"/>
              <c:layout>
                <c:manualLayout>
                  <c:x val="-4.5945484729603123E-2"/>
                  <c:y val="5.4099558577905035E-2"/>
                </c:manualLayout>
              </c:layout>
              <c:dLblPos val="r"/>
              <c:showVal val="1"/>
            </c:dLbl>
            <c:dLbl>
              <c:idx val="4"/>
              <c:layout>
                <c:manualLayout>
                  <c:x val="-4.8717991523148534E-2"/>
                  <c:y val="5.3290085898353733E-2"/>
                </c:manualLayout>
              </c:layout>
              <c:dLblPos val="r"/>
              <c:showVal val="1"/>
            </c:dLbl>
            <c:txPr>
              <a:bodyPr/>
              <a:lstStyle/>
              <a:p>
                <a:pPr>
                  <a:defRPr lang="en-US" sz="900" b="1" i="0" baseline="0"/>
                </a:pPr>
                <a:endParaRPr lang="ro-RO"/>
              </a:p>
            </c:txPr>
            <c:showVal val="1"/>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56.2</c:v>
                </c:pt>
                <c:pt idx="1">
                  <c:v>54.7</c:v>
                </c:pt>
                <c:pt idx="2">
                  <c:v>55.3</c:v>
                </c:pt>
                <c:pt idx="3">
                  <c:v>54.4</c:v>
                </c:pt>
                <c:pt idx="4">
                  <c:v>53.8</c:v>
                </c:pt>
              </c:numCache>
            </c:numRef>
          </c:val>
        </c:ser>
        <c:ser>
          <c:idx val="1"/>
          <c:order val="1"/>
          <c:tx>
            <c:strRef>
              <c:f>Sheet1!$C$1</c:f>
              <c:strCache>
                <c:ptCount val="1"/>
                <c:pt idx="0">
                  <c:v>limita admisă</c:v>
                </c:pt>
              </c:strCache>
            </c:strRef>
          </c:tx>
          <c:spPr>
            <a:ln w="28566">
              <a:solidFill>
                <a:srgbClr val="D47ACE"/>
              </a:solidFill>
            </a:ln>
          </c:spPr>
          <c:marker>
            <c:symbol val="square"/>
            <c:size val="11"/>
            <c:spPr>
              <a:solidFill>
                <a:srgbClr val="FFFF00"/>
              </a:solidFill>
              <a:ln w="6348">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912E-2"/>
                  <c:y val="6.684256816182936E-2"/>
                </c:manualLayout>
              </c:layout>
              <c:dLblPos val="r"/>
              <c:showVal val="1"/>
            </c:dLbl>
            <c:dLbl>
              <c:idx val="1"/>
              <c:layout>
                <c:manualLayout>
                  <c:x val="-5.3846153846153912E-2"/>
                  <c:y val="6.3324538258575494E-2"/>
                </c:manualLayout>
              </c:layout>
              <c:dLblPos val="r"/>
              <c:showVal val="1"/>
            </c:dLbl>
            <c:dLbl>
              <c:idx val="2"/>
              <c:layout>
                <c:manualLayout>
                  <c:x val="-5.1282051282051294E-2"/>
                  <c:y val="5.2770448548812812E-2"/>
                </c:manualLayout>
              </c:layout>
              <c:dLblPos val="r"/>
              <c:showVal val="1"/>
            </c:dLbl>
            <c:dLbl>
              <c:idx val="3"/>
              <c:layout>
                <c:manualLayout>
                  <c:x val="-5.6410256410256432E-2"/>
                  <c:y val="6.3324538258575494E-2"/>
                </c:manualLayout>
              </c:layout>
              <c:dLblPos val="r"/>
              <c:showVal val="1"/>
            </c:dLbl>
            <c:dLbl>
              <c:idx val="4"/>
              <c:layout>
                <c:manualLayout>
                  <c:x val="-6.1538461538461924E-2"/>
                  <c:y val="5.6288478452066908E-2"/>
                </c:manualLayout>
              </c:layout>
              <c:dLblPos val="r"/>
              <c:showVal val="1"/>
            </c:dLbl>
            <c:txPr>
              <a:bodyPr/>
              <a:lstStyle/>
              <a:p>
                <a:pPr>
                  <a:defRPr lang="en-US" sz="900" b="1" i="0" baseline="0"/>
                </a:pPr>
                <a:endParaRPr lang="ro-RO"/>
              </a:p>
            </c:txPr>
            <c:showVal val="1"/>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45</c:v>
                </c:pt>
                <c:pt idx="1">
                  <c:v>45</c:v>
                </c:pt>
                <c:pt idx="2">
                  <c:v>45</c:v>
                </c:pt>
                <c:pt idx="3">
                  <c:v>45</c:v>
                </c:pt>
                <c:pt idx="4">
                  <c:v>45</c:v>
                </c:pt>
              </c:numCache>
            </c:numRef>
          </c:val>
        </c:ser>
        <c:marker val="1"/>
        <c:axId val="251971072"/>
        <c:axId val="251972608"/>
      </c:lineChart>
      <c:catAx>
        <c:axId val="251971072"/>
        <c:scaling>
          <c:orientation val="minMax"/>
        </c:scaling>
        <c:axPos val="b"/>
        <c:numFmt formatCode="General" sourceLinked="1"/>
        <c:majorTickMark val="none"/>
        <c:tickLblPos val="nextTo"/>
        <c:spPr>
          <a:noFill/>
          <a:ln cap="rnd"/>
        </c:spPr>
        <c:txPr>
          <a:bodyPr/>
          <a:lstStyle/>
          <a:p>
            <a:pPr>
              <a:defRPr lang="en-US" sz="900" b="1"/>
            </a:pPr>
            <a:endParaRPr lang="ro-RO"/>
          </a:p>
        </c:txPr>
        <c:crossAx val="251972608"/>
        <c:crossesAt val="0"/>
        <c:auto val="1"/>
        <c:lblAlgn val="ctr"/>
        <c:lblOffset val="100"/>
      </c:catAx>
      <c:valAx>
        <c:axId val="251972608"/>
        <c:scaling>
          <c:orientation val="minMax"/>
          <c:max val="57"/>
          <c:min val="42"/>
        </c:scaling>
        <c:axPos val="l"/>
        <c:majorGridlines/>
        <c:minorGridlines>
          <c:spPr>
            <a:ln>
              <a:solidFill>
                <a:sysClr val="windowText" lastClr="000000"/>
              </a:solidFill>
            </a:ln>
          </c:spPr>
        </c:minorGridlines>
        <c:title>
          <c:tx>
            <c:rich>
              <a:bodyPr/>
              <a:lstStyle/>
              <a:p>
                <a:pPr>
                  <a:defRPr lang="en-US" sz="1000" b="1" i="0" u="none" strike="noStrike" baseline="0">
                    <a:solidFill>
                      <a:srgbClr val="000000"/>
                    </a:solidFill>
                    <a:latin typeface="Arial"/>
                    <a:ea typeface="Arial"/>
                    <a:cs typeface="Arial"/>
                  </a:defRPr>
                </a:pPr>
                <a:r>
                  <a:rPr lang="ro-RO"/>
                  <a:t>dB(A)</a:t>
                </a:r>
              </a:p>
            </c:rich>
          </c:tx>
        </c:title>
        <c:numFmt formatCode="#,##0.0" sourceLinked="0"/>
        <c:majorTickMark val="none"/>
        <c:tickLblPos val="nextTo"/>
        <c:spPr>
          <a:noFill/>
        </c:spPr>
        <c:txPr>
          <a:bodyPr/>
          <a:lstStyle/>
          <a:p>
            <a:pPr>
              <a:defRPr lang="en-US" sz="900" b="1"/>
            </a:pPr>
            <a:endParaRPr lang="ro-RO"/>
          </a:p>
        </c:txPr>
        <c:crossAx val="251971072"/>
        <c:crosses val="autoZero"/>
        <c:crossBetween val="between"/>
        <c:majorUnit val="2"/>
        <c:minorUnit val="1"/>
      </c:valAx>
      <c:spPr>
        <a:solidFill>
          <a:srgbClr val="4F81BD">
            <a:lumMod val="20000"/>
            <a:lumOff val="80000"/>
          </a:srgbClr>
        </a:solidFill>
        <a:ln w="12696">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txPr>
        <a:bodyPr/>
        <a:lstStyle/>
        <a:p>
          <a:pPr>
            <a:defRPr lang="en-US"/>
          </a:pPr>
          <a:endParaRPr lang="ro-RO"/>
        </a:p>
      </c:txPr>
    </c:legend>
    <c:plotVisOnly val="1"/>
    <c:dispBlanksAs val="gap"/>
  </c:chart>
  <c:spPr>
    <a:solidFill>
      <a:srgbClr val="F79646">
        <a:lumMod val="20000"/>
        <a:lumOff val="80000"/>
      </a:srgbClr>
    </a:solidFill>
  </c:spPr>
  <c:txPr>
    <a:bodyPr/>
    <a:lstStyle/>
    <a:p>
      <a:pPr>
        <a:defRPr sz="1000">
          <a:latin typeface="Arial" pitchFamily="34" charset="0"/>
          <a:cs typeface="Arial" pitchFamily="34" charset="0"/>
        </a:defRPr>
      </a:pPr>
      <a:endParaRPr lang="ro-RO"/>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defRPr lang="en-US" sz="1196">
                <a:latin typeface="Arial" pitchFamily="34" charset="0"/>
                <a:cs typeface="Arial" pitchFamily="34" charset="0"/>
              </a:defRPr>
            </a:pPr>
            <a:r>
              <a:rPr lang="ro-RO" sz="1196">
                <a:latin typeface="Arial" pitchFamily="34" charset="0"/>
                <a:cs typeface="Arial" pitchFamily="34" charset="0"/>
              </a:rPr>
              <a:t>Evoluția zgomotului </a:t>
            </a:r>
            <a:r>
              <a:rPr lang="ro-RO" sz="1090" baseline="0">
                <a:latin typeface="Arial" pitchFamily="34" charset="0"/>
                <a:cs typeface="Arial" pitchFamily="34" charset="0"/>
              </a:rPr>
              <a:t>echivalent</a:t>
            </a:r>
            <a:r>
              <a:rPr lang="ro-RO" sz="1196">
                <a:latin typeface="Arial" pitchFamily="34" charset="0"/>
                <a:cs typeface="Arial" pitchFamily="34" charset="0"/>
              </a:rPr>
              <a:t> pentru străzi</a:t>
            </a:r>
            <a:r>
              <a:rPr lang="ro-RO" sz="1196" baseline="0">
                <a:latin typeface="Arial" pitchFamily="34" charset="0"/>
                <a:cs typeface="Arial" pitchFamily="34" charset="0"/>
              </a:rPr>
              <a:t> magistrale</a:t>
            </a:r>
            <a:r>
              <a:rPr lang="ro-RO" sz="1196">
                <a:latin typeface="Arial" pitchFamily="34" charset="0"/>
                <a:cs typeface="Arial" pitchFamily="34" charset="0"/>
              </a:rPr>
              <a:t> 2013-2017</a:t>
            </a:r>
          </a:p>
        </c:rich>
      </c:tx>
      <c:layout>
        <c:manualLayout>
          <c:xMode val="edge"/>
          <c:yMode val="edge"/>
          <c:x val="0.16420803264403094"/>
          <c:y val="0"/>
        </c:manualLayout>
      </c:layout>
    </c:title>
    <c:plotArea>
      <c:layout>
        <c:manualLayout>
          <c:layoutTarget val="inner"/>
          <c:xMode val="edge"/>
          <c:yMode val="edge"/>
          <c:x val="0.13990435599220427"/>
          <c:y val="0.16343443755921658"/>
          <c:w val="0.82829136266223602"/>
          <c:h val="0.63137554551243225"/>
        </c:manualLayout>
      </c:layout>
      <c:lineChart>
        <c:grouping val="standard"/>
        <c:ser>
          <c:idx val="0"/>
          <c:order val="0"/>
          <c:tx>
            <c:strRef>
              <c:f>Sheet1!$B$1</c:f>
              <c:strCache>
                <c:ptCount val="1"/>
                <c:pt idx="0">
                  <c:v>media anuală</c:v>
                </c:pt>
              </c:strCache>
            </c:strRef>
          </c:tx>
          <c:spPr>
            <a:ln w="28493"/>
          </c:spPr>
          <c:marker>
            <c:symbol val="none"/>
          </c:marker>
          <c:dLbls>
            <c:dLbl>
              <c:idx val="0"/>
              <c:layout>
                <c:manualLayout>
                  <c:x val="-2.2105805581643122E-2"/>
                  <c:y val="2.7855689636428612E-3"/>
                </c:manualLayout>
              </c:layout>
              <c:dLblPos val="r"/>
              <c:showVal val="1"/>
            </c:dLbl>
            <c:dLbl>
              <c:idx val="1"/>
              <c:layout>
                <c:manualLayout>
                  <c:x val="-1.5963013797587956E-2"/>
                  <c:y val="-1.9469163987638411E-3"/>
                </c:manualLayout>
              </c:layout>
              <c:dLblPos val="r"/>
              <c:showVal val="1"/>
            </c:dLbl>
            <c:dLbl>
              <c:idx val="2"/>
              <c:layout>
                <c:manualLayout>
                  <c:x val="-3.0775602590962054E-3"/>
                  <c:y val="-6.5344409268429104E-3"/>
                </c:manualLayout>
              </c:layout>
              <c:dLblPos val="r"/>
              <c:showVal val="1"/>
            </c:dLbl>
            <c:dLbl>
              <c:idx val="3"/>
              <c:layout>
                <c:manualLayout>
                  <c:x val="-1.9088347901466461E-3"/>
                  <c:y val="-1.5207566509807641E-3"/>
                </c:manualLayout>
              </c:layout>
              <c:dLblPos val="r"/>
              <c:showVal val="1"/>
            </c:dLbl>
            <c:dLbl>
              <c:idx val="4"/>
              <c:layout>
                <c:manualLayout>
                  <c:x val="-4.8717991523148707E-2"/>
                  <c:y val="5.3290085898353684E-2"/>
                </c:manualLayout>
              </c:layout>
              <c:dLblPos val="r"/>
              <c:showVal val="1"/>
            </c:dLbl>
            <c:txPr>
              <a:bodyPr/>
              <a:lstStyle/>
              <a:p>
                <a:pPr>
                  <a:defRPr lang="en-US"/>
                </a:pPr>
                <a:endParaRPr lang="ro-RO"/>
              </a:p>
            </c:txPr>
            <c:showVal val="1"/>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69.7</c:v>
                </c:pt>
                <c:pt idx="1">
                  <c:v>67.599999999999994</c:v>
                </c:pt>
                <c:pt idx="2">
                  <c:v>68.8</c:v>
                </c:pt>
                <c:pt idx="3">
                  <c:v>69.599999999999994</c:v>
                </c:pt>
                <c:pt idx="4" formatCode="0.0">
                  <c:v>69</c:v>
                </c:pt>
              </c:numCache>
            </c:numRef>
          </c:val>
        </c:ser>
        <c:ser>
          <c:idx val="1"/>
          <c:order val="1"/>
          <c:tx>
            <c:strRef>
              <c:f>Sheet1!$C$1</c:f>
              <c:strCache>
                <c:ptCount val="1"/>
                <c:pt idx="0">
                  <c:v>limita admisă</c:v>
                </c:pt>
              </c:strCache>
            </c:strRef>
          </c:tx>
          <c:spPr>
            <a:ln w="28493"/>
          </c:spPr>
          <c:marker>
            <c:symbol val="none"/>
          </c:marker>
          <c:dLbls>
            <c:dLbl>
              <c:idx val="0"/>
              <c:spPr/>
              <c:txPr>
                <a:bodyPr/>
                <a:lstStyle/>
                <a:p>
                  <a:pPr>
                    <a:defRPr lang="en-US"/>
                  </a:pPr>
                  <a:endParaRPr lang="ro-RO"/>
                </a:p>
              </c:txPr>
              <c:showVal val="1"/>
            </c:dLbl>
            <c:dLbl>
              <c:idx val="1"/>
              <c:spPr/>
              <c:txPr>
                <a:bodyPr/>
                <a:lstStyle/>
                <a:p>
                  <a:pPr>
                    <a:defRPr lang="en-US"/>
                  </a:pPr>
                  <a:endParaRPr lang="ro-RO"/>
                </a:p>
              </c:txPr>
              <c:showVal val="1"/>
            </c:dLbl>
            <c:dLbl>
              <c:idx val="2"/>
              <c:spPr/>
              <c:txPr>
                <a:bodyPr/>
                <a:lstStyle/>
                <a:p>
                  <a:pPr>
                    <a:defRPr lang="en-US"/>
                  </a:pPr>
                  <a:endParaRPr lang="ro-RO"/>
                </a:p>
              </c:txPr>
              <c:showVal val="1"/>
            </c:dLbl>
            <c:dLbl>
              <c:idx val="3"/>
              <c:spPr/>
              <c:txPr>
                <a:bodyPr/>
                <a:lstStyle/>
                <a:p>
                  <a:pPr>
                    <a:defRPr lang="en-US"/>
                  </a:pPr>
                  <a:endParaRPr lang="ro-RO"/>
                </a:p>
              </c:txPr>
              <c:showVal val="1"/>
            </c:dLbl>
            <c:delete val="1"/>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80</c:v>
                </c:pt>
                <c:pt idx="1">
                  <c:v>80</c:v>
                </c:pt>
                <c:pt idx="2">
                  <c:v>80</c:v>
                </c:pt>
                <c:pt idx="3">
                  <c:v>80</c:v>
                </c:pt>
                <c:pt idx="4">
                  <c:v>80</c:v>
                </c:pt>
              </c:numCache>
            </c:numRef>
          </c:val>
        </c:ser>
        <c:marker val="1"/>
        <c:axId val="252226560"/>
        <c:axId val="252236544"/>
      </c:lineChart>
      <c:catAx>
        <c:axId val="252226560"/>
        <c:scaling>
          <c:orientation val="minMax"/>
        </c:scaling>
        <c:axPos val="b"/>
        <c:numFmt formatCode="General" sourceLinked="1"/>
        <c:majorTickMark val="none"/>
        <c:tickLblPos val="nextTo"/>
        <c:txPr>
          <a:bodyPr/>
          <a:lstStyle/>
          <a:p>
            <a:pPr>
              <a:defRPr lang="en-US" sz="1196" b="1">
                <a:latin typeface="Arial" pitchFamily="34" charset="0"/>
                <a:cs typeface="Arial" pitchFamily="34" charset="0"/>
              </a:defRPr>
            </a:pPr>
            <a:endParaRPr lang="ro-RO"/>
          </a:p>
        </c:txPr>
        <c:crossAx val="252236544"/>
        <c:crossesAt val="0"/>
        <c:auto val="1"/>
        <c:lblAlgn val="ctr"/>
        <c:lblOffset val="100"/>
      </c:catAx>
      <c:valAx>
        <c:axId val="252236544"/>
        <c:scaling>
          <c:orientation val="minMax"/>
          <c:max val="82"/>
          <c:min val="42"/>
        </c:scaling>
        <c:axPos val="l"/>
        <c:majorGridlines/>
        <c:minorGridlines/>
        <c:title>
          <c:tx>
            <c:rich>
              <a:bodyPr/>
              <a:lstStyle/>
              <a:p>
                <a:pPr>
                  <a:defRPr lang="en-US" sz="990"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lang="en-US" sz="1090" b="1" baseline="0">
                <a:latin typeface="Arial" pitchFamily="34" charset="0"/>
                <a:cs typeface="Arial" pitchFamily="34" charset="0"/>
              </a:defRPr>
            </a:pPr>
            <a:endParaRPr lang="ro-RO"/>
          </a:p>
        </c:txPr>
        <c:crossAx val="252226560"/>
        <c:crosses val="autoZero"/>
        <c:crossBetween val="between"/>
        <c:majorUnit val="5"/>
        <c:minorUnit val="2"/>
      </c:valAx>
      <c:spPr>
        <a:solidFill>
          <a:srgbClr val="4F81BD">
            <a:lumMod val="20000"/>
            <a:lumOff val="80000"/>
          </a:srgbClr>
        </a:solidFill>
      </c:spPr>
    </c:plotArea>
    <c:legend>
      <c:legendPos val="b"/>
      <c:legendEntry>
        <c:idx val="0"/>
        <c:txPr>
          <a:bodyPr/>
          <a:lstStyle/>
          <a:p>
            <a:pPr>
              <a:defRPr sz="1196">
                <a:latin typeface="Arial" pitchFamily="34" charset="0"/>
                <a:cs typeface="Arial" pitchFamily="34" charset="0"/>
              </a:defRPr>
            </a:pPr>
            <a:endParaRPr lang="ro-RO"/>
          </a:p>
        </c:txPr>
      </c:legendEntry>
      <c:layout>
        <c:manualLayout>
          <c:xMode val="edge"/>
          <c:yMode val="edge"/>
          <c:x val="0.25209017097161918"/>
          <c:y val="0.90499815881223356"/>
          <c:w val="0.52336134618686658"/>
          <c:h val="7.1664668782074045E-2"/>
        </c:manualLayout>
      </c:layout>
      <c:txPr>
        <a:bodyPr/>
        <a:lstStyle/>
        <a:p>
          <a:pPr>
            <a:defRPr lang="en-US" sz="1196">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defRPr lang="en-US" sz="1198">
                <a:latin typeface="Arial" pitchFamily="34" charset="0"/>
                <a:cs typeface="Arial" pitchFamily="34" charset="0"/>
              </a:defRPr>
            </a:pPr>
            <a:r>
              <a:rPr lang="ro-RO" sz="1198">
                <a:latin typeface="Arial" pitchFamily="34" charset="0"/>
                <a:cs typeface="Arial" pitchFamily="34" charset="0"/>
              </a:rPr>
              <a:t>Evoluția zgomotului echivalent pentru piețe,spații comerciale, restaurante în aer liber - 2013- 2017</a:t>
            </a:r>
          </a:p>
        </c:rich>
      </c:tx>
    </c:title>
    <c:plotArea>
      <c:layout>
        <c:manualLayout>
          <c:layoutTarget val="inner"/>
          <c:xMode val="edge"/>
          <c:yMode val="edge"/>
          <c:x val="0.14978173522702609"/>
          <c:y val="0.17053192831011538"/>
          <c:w val="0.82829136266223602"/>
          <c:h val="0.63137554551243225"/>
        </c:manualLayout>
      </c:layout>
      <c:barChart>
        <c:barDir val="col"/>
        <c:grouping val="clustered"/>
        <c:ser>
          <c:idx val="0"/>
          <c:order val="0"/>
          <c:tx>
            <c:strRef>
              <c:f>Sheet1!$B$1</c:f>
              <c:strCache>
                <c:ptCount val="1"/>
                <c:pt idx="0">
                  <c:v>media anuală</c:v>
                </c:pt>
              </c:strCache>
            </c:strRef>
          </c:tx>
          <c:spPr>
            <a:ln w="28518"/>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63.4</c:v>
                </c:pt>
                <c:pt idx="1">
                  <c:v>64.2</c:v>
                </c:pt>
                <c:pt idx="2">
                  <c:v>62.3</c:v>
                </c:pt>
                <c:pt idx="3">
                  <c:v>60.9</c:v>
                </c:pt>
                <c:pt idx="4" formatCode="0.0">
                  <c:v>55.230000000000011</c:v>
                </c:pt>
              </c:numCache>
            </c:numRef>
          </c:val>
        </c:ser>
        <c:ser>
          <c:idx val="1"/>
          <c:order val="1"/>
          <c:tx>
            <c:strRef>
              <c:f>Sheet1!$C$1</c:f>
              <c:strCache>
                <c:ptCount val="1"/>
                <c:pt idx="0">
                  <c:v>limita admisă</c:v>
                </c:pt>
              </c:strCache>
            </c:strRef>
          </c:tx>
          <c:spPr>
            <a:ln w="28518"/>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65</c:v>
                </c:pt>
                <c:pt idx="1">
                  <c:v>65</c:v>
                </c:pt>
                <c:pt idx="2">
                  <c:v>65</c:v>
                </c:pt>
                <c:pt idx="3">
                  <c:v>65</c:v>
                </c:pt>
                <c:pt idx="4">
                  <c:v>65</c:v>
                </c:pt>
              </c:numCache>
            </c:numRef>
          </c:val>
        </c:ser>
        <c:axId val="252344192"/>
        <c:axId val="252345728"/>
      </c:barChart>
      <c:catAx>
        <c:axId val="252344192"/>
        <c:scaling>
          <c:orientation val="minMax"/>
        </c:scaling>
        <c:axPos val="b"/>
        <c:numFmt formatCode="General" sourceLinked="1"/>
        <c:majorTickMark val="none"/>
        <c:tickLblPos val="nextTo"/>
        <c:txPr>
          <a:bodyPr/>
          <a:lstStyle/>
          <a:p>
            <a:pPr>
              <a:defRPr lang="en-US" sz="1198" b="1">
                <a:latin typeface="Arial" pitchFamily="34" charset="0"/>
                <a:cs typeface="Arial" pitchFamily="34" charset="0"/>
              </a:defRPr>
            </a:pPr>
            <a:endParaRPr lang="ro-RO"/>
          </a:p>
        </c:txPr>
        <c:crossAx val="252345728"/>
        <c:crossesAt val="0"/>
        <c:auto val="1"/>
        <c:lblAlgn val="ctr"/>
        <c:lblOffset val="100"/>
      </c:catAx>
      <c:valAx>
        <c:axId val="252345728"/>
        <c:scaling>
          <c:orientation val="minMax"/>
          <c:max val="82"/>
          <c:min val="42"/>
        </c:scaling>
        <c:axPos val="l"/>
        <c:majorGridlines/>
        <c:minorGridlines/>
        <c:title>
          <c:tx>
            <c:rich>
              <a:bodyPr/>
              <a:lstStyle/>
              <a:p>
                <a:pPr>
                  <a:defRPr lang="en-US" sz="995"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lang="en-US" sz="1100" b="1">
                <a:latin typeface="Arial" pitchFamily="34" charset="0"/>
                <a:cs typeface="Arial" pitchFamily="34" charset="0"/>
              </a:defRPr>
            </a:pPr>
            <a:endParaRPr lang="ro-RO"/>
          </a:p>
        </c:txPr>
        <c:crossAx val="252344192"/>
        <c:crosses val="autoZero"/>
        <c:crossBetween val="between"/>
        <c:majorUnit val="5"/>
        <c:minorUnit val="2"/>
      </c:valAx>
      <c:spPr>
        <a:solidFill>
          <a:srgbClr val="4BACC6">
            <a:lumMod val="20000"/>
            <a:lumOff val="80000"/>
          </a:srgbClr>
        </a:solidFill>
      </c:spPr>
    </c:plotArea>
    <c:legend>
      <c:legendPos val="b"/>
      <c:legendEntry>
        <c:idx val="0"/>
        <c:txPr>
          <a:bodyPr/>
          <a:lstStyle/>
          <a:p>
            <a:pPr>
              <a:defRPr sz="1198">
                <a:latin typeface="Arial" pitchFamily="34" charset="0"/>
                <a:cs typeface="Arial" pitchFamily="34" charset="0"/>
              </a:defRPr>
            </a:pPr>
            <a:endParaRPr lang="ro-RO"/>
          </a:p>
        </c:txPr>
      </c:legendEntry>
      <c:layout>
        <c:manualLayout>
          <c:xMode val="edge"/>
          <c:yMode val="edge"/>
          <c:x val="0.25209013024315324"/>
          <c:y val="0.90499846825140562"/>
          <c:w val="0.49171257366414933"/>
          <c:h val="7.8496071271849335E-2"/>
        </c:manualLayout>
      </c:layout>
      <c:txPr>
        <a:bodyPr/>
        <a:lstStyle/>
        <a:p>
          <a:pPr>
            <a:defRPr lang="en-US" sz="1198">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471.46</c:v>
                </c:pt>
                <c:pt idx="1">
                  <c:v>471.46</c:v>
                </c:pt>
                <c:pt idx="2">
                  <c:v>471.46</c:v>
                </c:pt>
                <c:pt idx="3">
                  <c:v>471.46</c:v>
                </c:pt>
                <c:pt idx="4">
                  <c:v>470.53</c:v>
                </c:pt>
              </c:numCache>
            </c:numRef>
          </c:val>
        </c:ser>
        <c:ser>
          <c:idx val="1"/>
          <c:order val="1"/>
          <c:tx>
            <c:strRef>
              <c:f>Sheet1!$C$1</c:f>
              <c:strCache>
                <c:ptCount val="1"/>
                <c:pt idx="0">
                  <c:v>Suprafață intravilan</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4201.41</c:v>
                </c:pt>
                <c:pt idx="1">
                  <c:v>4201.41</c:v>
                </c:pt>
                <c:pt idx="2">
                  <c:v>4201.41</c:v>
                </c:pt>
                <c:pt idx="3">
                  <c:v>4201.41</c:v>
                </c:pt>
                <c:pt idx="4">
                  <c:v>4201.41</c:v>
                </c:pt>
              </c:numCache>
            </c:numRef>
          </c:val>
        </c:ser>
        <c:shape val="box"/>
        <c:axId val="252216448"/>
        <c:axId val="252217984"/>
        <c:axId val="0"/>
      </c:bar3DChart>
      <c:catAx>
        <c:axId val="252216448"/>
        <c:scaling>
          <c:orientation val="minMax"/>
        </c:scaling>
        <c:axPos val="b"/>
        <c:numFmt formatCode="General" sourceLinked="1"/>
        <c:tickLblPos val="nextTo"/>
        <c:txPr>
          <a:bodyPr/>
          <a:lstStyle/>
          <a:p>
            <a:pPr>
              <a:defRPr lang="ro-RO"/>
            </a:pPr>
            <a:endParaRPr lang="ro-RO"/>
          </a:p>
        </c:txPr>
        <c:crossAx val="252217984"/>
        <c:crosses val="autoZero"/>
        <c:auto val="1"/>
        <c:lblAlgn val="ctr"/>
        <c:lblOffset val="100"/>
      </c:catAx>
      <c:valAx>
        <c:axId val="252217984"/>
        <c:scaling>
          <c:orientation val="minMax"/>
        </c:scaling>
        <c:axPos val="l"/>
        <c:majorGridlines/>
        <c:numFmt formatCode="General" sourceLinked="1"/>
        <c:tickLblPos val="nextTo"/>
        <c:txPr>
          <a:bodyPr/>
          <a:lstStyle/>
          <a:p>
            <a:pPr>
              <a:defRPr lang="ro-RO"/>
            </a:pPr>
            <a:endParaRPr lang="ro-RO"/>
          </a:p>
        </c:txPr>
        <c:crossAx val="252216448"/>
        <c:crosses val="autoZero"/>
        <c:crossBetween val="between"/>
      </c:valAx>
      <c:spPr>
        <a:noFill/>
        <a:ln w="25391">
          <a:noFill/>
        </a:ln>
      </c:spPr>
    </c:plotArea>
    <c:legend>
      <c:legendPos val="r"/>
      <c:txPr>
        <a:bodyPr/>
        <a:lstStyle/>
        <a:p>
          <a:pPr>
            <a:defRPr lang="ro-RO"/>
          </a:pPr>
          <a:endParaRPr lang="ro-RO"/>
        </a:p>
      </c:txPr>
    </c:legend>
    <c:plotVisOnly val="1"/>
    <c:dispBlanksAs val="gap"/>
  </c:chart>
  <c:spPr>
    <a:solidFill>
      <a:srgbClr val="F79646">
        <a:lumMod val="20000"/>
        <a:lumOff val="80000"/>
      </a:srgbClr>
    </a:solidFill>
  </c:sp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clustered"/>
        <c:ser>
          <c:idx val="0"/>
          <c:order val="0"/>
          <c:tx>
            <c:strRef>
              <c:f>Sheet1!$B$1</c:f>
              <c:strCache>
                <c:ptCount val="1"/>
                <c:pt idx="0">
                  <c:v>Suprafata spatiu verde pe cap de locuitor din mediul urban, tendinta 2013-2017</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26.14</c:v>
                </c:pt>
                <c:pt idx="1">
                  <c:v>26.14</c:v>
                </c:pt>
                <c:pt idx="2">
                  <c:v>26.14</c:v>
                </c:pt>
                <c:pt idx="3">
                  <c:v>26.14</c:v>
                </c:pt>
                <c:pt idx="4">
                  <c:v>26.1</c:v>
                </c:pt>
              </c:numCache>
            </c:numRef>
          </c:val>
        </c:ser>
        <c:shape val="box"/>
        <c:axId val="252729600"/>
        <c:axId val="252735488"/>
        <c:axId val="0"/>
      </c:bar3DChart>
      <c:catAx>
        <c:axId val="252729600"/>
        <c:scaling>
          <c:orientation val="minMax"/>
        </c:scaling>
        <c:axPos val="b"/>
        <c:numFmt formatCode="General" sourceLinked="1"/>
        <c:tickLblPos val="nextTo"/>
        <c:txPr>
          <a:bodyPr/>
          <a:lstStyle/>
          <a:p>
            <a:pPr>
              <a:defRPr lang="ro-RO"/>
            </a:pPr>
            <a:endParaRPr lang="ro-RO"/>
          </a:p>
        </c:txPr>
        <c:crossAx val="252735488"/>
        <c:crosses val="autoZero"/>
        <c:auto val="1"/>
        <c:lblAlgn val="ctr"/>
        <c:lblOffset val="100"/>
      </c:catAx>
      <c:valAx>
        <c:axId val="252735488"/>
        <c:scaling>
          <c:orientation val="minMax"/>
        </c:scaling>
        <c:axPos val="l"/>
        <c:majorGridlines/>
        <c:numFmt formatCode="General" sourceLinked="1"/>
        <c:tickLblPos val="nextTo"/>
        <c:txPr>
          <a:bodyPr/>
          <a:lstStyle/>
          <a:p>
            <a:pPr>
              <a:defRPr lang="ro-RO"/>
            </a:pPr>
            <a:endParaRPr lang="ro-RO"/>
          </a:p>
        </c:txPr>
        <c:crossAx val="252729600"/>
        <c:crosses val="autoZero"/>
        <c:crossBetween val="between"/>
      </c:valAx>
      <c:spPr>
        <a:noFill/>
        <a:ln w="25372">
          <a:noFill/>
        </a:ln>
      </c:spPr>
    </c:plotArea>
    <c:legend>
      <c:legendPos val="r"/>
      <c:txPr>
        <a:bodyPr/>
        <a:lstStyle/>
        <a:p>
          <a:pPr>
            <a:defRPr lang="ro-RO"/>
          </a:pPr>
          <a:endParaRPr lang="ro-RO"/>
        </a:p>
      </c:txPr>
    </c:legend>
    <c:plotVisOnly val="1"/>
    <c:dispBlanksAs val="gap"/>
  </c:chart>
  <c:spPr>
    <a:solidFill>
      <a:srgbClr val="F79646">
        <a:lumMod val="20000"/>
        <a:lumOff val="80000"/>
      </a:srgbClr>
    </a:solidFill>
  </c:sp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37.15</c:v>
                </c:pt>
                <c:pt idx="1">
                  <c:v>38.28</c:v>
                </c:pt>
                <c:pt idx="2">
                  <c:v>38.28</c:v>
                </c:pt>
                <c:pt idx="3">
                  <c:v>38.28</c:v>
                </c:pt>
                <c:pt idx="4">
                  <c:v>38.28</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1092</c:v>
                </c:pt>
                <c:pt idx="1">
                  <c:v>1092</c:v>
                </c:pt>
                <c:pt idx="2">
                  <c:v>1092</c:v>
                </c:pt>
                <c:pt idx="3">
                  <c:v>1092</c:v>
                </c:pt>
                <c:pt idx="4">
                  <c:v>1092</c:v>
                </c:pt>
              </c:numCache>
            </c:numRef>
          </c:val>
        </c:ser>
        <c:shape val="box"/>
        <c:axId val="252690816"/>
        <c:axId val="252692352"/>
        <c:axId val="0"/>
      </c:bar3DChart>
      <c:catAx>
        <c:axId val="252690816"/>
        <c:scaling>
          <c:orientation val="minMax"/>
        </c:scaling>
        <c:axPos val="b"/>
        <c:numFmt formatCode="General" sourceLinked="1"/>
        <c:tickLblPos val="nextTo"/>
        <c:txPr>
          <a:bodyPr/>
          <a:lstStyle/>
          <a:p>
            <a:pPr>
              <a:defRPr lang="ro-RO"/>
            </a:pPr>
            <a:endParaRPr lang="ro-RO"/>
          </a:p>
        </c:txPr>
        <c:crossAx val="252692352"/>
        <c:crosses val="autoZero"/>
        <c:auto val="1"/>
        <c:lblAlgn val="ctr"/>
        <c:lblOffset val="100"/>
      </c:catAx>
      <c:valAx>
        <c:axId val="252692352"/>
        <c:scaling>
          <c:orientation val="minMax"/>
        </c:scaling>
        <c:axPos val="l"/>
        <c:majorGridlines/>
        <c:numFmt formatCode="General" sourceLinked="1"/>
        <c:tickLblPos val="nextTo"/>
        <c:txPr>
          <a:bodyPr/>
          <a:lstStyle/>
          <a:p>
            <a:pPr>
              <a:defRPr lang="ro-RO"/>
            </a:pPr>
            <a:endParaRPr lang="ro-RO"/>
          </a:p>
        </c:txPr>
        <c:crossAx val="252690816"/>
        <c:crosses val="autoZero"/>
        <c:crossBetween val="between"/>
      </c:valAx>
      <c:spPr>
        <a:noFill/>
        <a:ln w="25409">
          <a:noFill/>
        </a:ln>
      </c:spPr>
    </c:plotArea>
    <c:legend>
      <c:legendPos val="r"/>
      <c:txPr>
        <a:bodyPr/>
        <a:lstStyle/>
        <a:p>
          <a:pPr>
            <a:defRPr lang="ro-RO"/>
          </a:pPr>
          <a:endParaRPr lang="ro-RO"/>
        </a:p>
      </c:txPr>
    </c:legend>
    <c:plotVisOnly val="1"/>
    <c:dispBlanksAs val="gap"/>
  </c:chart>
  <c:spPr>
    <a:solidFill>
      <a:srgbClr val="4BACC6">
        <a:lumMod val="20000"/>
        <a:lumOff val="80000"/>
      </a:srgbClr>
    </a:solidFill>
  </c:sp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Sheet1!$B$2</c:f>
              <c:strCache>
                <c:ptCount val="1"/>
                <c:pt idx="0">
                  <c:v>Suprafata spatiu verde pe cap de locuitor din mediul urban, tendinta 2013-2017</c:v>
                </c:pt>
              </c:strCache>
            </c:strRef>
          </c:tx>
          <c:spPr>
            <a:solidFill>
              <a:srgbClr val="00B050"/>
            </a:solidFill>
          </c:spPr>
          <c:cat>
            <c:numRef>
              <c:f>Sheet1!$A$3:$A$7</c:f>
              <c:numCache>
                <c:formatCode>General</c:formatCode>
                <c:ptCount val="5"/>
                <c:pt idx="0">
                  <c:v>2013</c:v>
                </c:pt>
                <c:pt idx="1">
                  <c:v>2014</c:v>
                </c:pt>
                <c:pt idx="2">
                  <c:v>2015</c:v>
                </c:pt>
                <c:pt idx="3">
                  <c:v>2016</c:v>
                </c:pt>
                <c:pt idx="4">
                  <c:v>2017</c:v>
                </c:pt>
              </c:numCache>
            </c:numRef>
          </c:cat>
          <c:val>
            <c:numRef>
              <c:f>Sheet1!$B$3:$B$7</c:f>
              <c:numCache>
                <c:formatCode>General</c:formatCode>
                <c:ptCount val="5"/>
                <c:pt idx="0">
                  <c:v>35.92</c:v>
                </c:pt>
                <c:pt idx="1">
                  <c:v>37.01</c:v>
                </c:pt>
                <c:pt idx="2">
                  <c:v>37.01</c:v>
                </c:pt>
                <c:pt idx="3">
                  <c:v>37.01</c:v>
                </c:pt>
                <c:pt idx="4">
                  <c:v>37.01</c:v>
                </c:pt>
              </c:numCache>
            </c:numRef>
          </c:val>
        </c:ser>
        <c:shape val="box"/>
        <c:axId val="252974592"/>
        <c:axId val="252976128"/>
        <c:axId val="0"/>
      </c:bar3DChart>
      <c:catAx>
        <c:axId val="252974592"/>
        <c:scaling>
          <c:orientation val="minMax"/>
        </c:scaling>
        <c:axPos val="b"/>
        <c:numFmt formatCode="General" sourceLinked="1"/>
        <c:tickLblPos val="nextTo"/>
        <c:txPr>
          <a:bodyPr/>
          <a:lstStyle/>
          <a:p>
            <a:pPr>
              <a:defRPr lang="ro-RO"/>
            </a:pPr>
            <a:endParaRPr lang="ro-RO"/>
          </a:p>
        </c:txPr>
        <c:crossAx val="252976128"/>
        <c:crosses val="autoZero"/>
        <c:auto val="1"/>
        <c:lblAlgn val="ctr"/>
        <c:lblOffset val="100"/>
      </c:catAx>
      <c:valAx>
        <c:axId val="252976128"/>
        <c:scaling>
          <c:orientation val="minMax"/>
        </c:scaling>
        <c:axPos val="l"/>
        <c:majorGridlines/>
        <c:numFmt formatCode="General" sourceLinked="1"/>
        <c:tickLblPos val="nextTo"/>
        <c:txPr>
          <a:bodyPr/>
          <a:lstStyle/>
          <a:p>
            <a:pPr>
              <a:defRPr lang="ro-RO"/>
            </a:pPr>
            <a:endParaRPr lang="ro-RO"/>
          </a:p>
        </c:txPr>
        <c:crossAx val="252974592"/>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FFFF00"/>
    </a:solidFill>
  </c:sp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18.07</c:v>
                </c:pt>
                <c:pt idx="1">
                  <c:v>18.07</c:v>
                </c:pt>
                <c:pt idx="2">
                  <c:v>18.07</c:v>
                </c:pt>
                <c:pt idx="3">
                  <c:v>18.07</c:v>
                </c:pt>
                <c:pt idx="4">
                  <c:v>18.07</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860.24</c:v>
                </c:pt>
                <c:pt idx="1">
                  <c:v>860.24</c:v>
                </c:pt>
                <c:pt idx="2">
                  <c:v>860.24</c:v>
                </c:pt>
                <c:pt idx="3">
                  <c:v>860.24</c:v>
                </c:pt>
                <c:pt idx="4">
                  <c:v>860.24</c:v>
                </c:pt>
              </c:numCache>
            </c:numRef>
          </c:val>
        </c:ser>
        <c:shape val="box"/>
        <c:axId val="252886400"/>
        <c:axId val="252986496"/>
        <c:axId val="0"/>
      </c:bar3DChart>
      <c:catAx>
        <c:axId val="252886400"/>
        <c:scaling>
          <c:orientation val="minMax"/>
        </c:scaling>
        <c:axPos val="b"/>
        <c:numFmt formatCode="General" sourceLinked="1"/>
        <c:tickLblPos val="nextTo"/>
        <c:txPr>
          <a:bodyPr/>
          <a:lstStyle/>
          <a:p>
            <a:pPr>
              <a:defRPr lang="ro-RO"/>
            </a:pPr>
            <a:endParaRPr lang="ro-RO"/>
          </a:p>
        </c:txPr>
        <c:crossAx val="252986496"/>
        <c:crosses val="autoZero"/>
        <c:auto val="1"/>
        <c:lblAlgn val="ctr"/>
        <c:lblOffset val="100"/>
      </c:catAx>
      <c:valAx>
        <c:axId val="252986496"/>
        <c:scaling>
          <c:orientation val="minMax"/>
        </c:scaling>
        <c:axPos val="l"/>
        <c:majorGridlines/>
        <c:numFmt formatCode="General" sourceLinked="1"/>
        <c:tickLblPos val="nextTo"/>
        <c:txPr>
          <a:bodyPr/>
          <a:lstStyle/>
          <a:p>
            <a:pPr>
              <a:defRPr lang="ro-RO"/>
            </a:pPr>
            <a:endParaRPr lang="ro-RO"/>
          </a:p>
        </c:txPr>
        <c:crossAx val="252886400"/>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C0504D">
        <a:lumMod val="20000"/>
        <a:lumOff val="80000"/>
      </a:srgbClr>
    </a:solidFill>
  </c:sp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Suprafata spatiu verde pe cap de locuitor din mediul urban, tendinta 2013-2017</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27.67</c:v>
                </c:pt>
                <c:pt idx="1">
                  <c:v>27.67</c:v>
                </c:pt>
                <c:pt idx="2">
                  <c:v>27.67</c:v>
                </c:pt>
                <c:pt idx="3">
                  <c:v>27.67</c:v>
                </c:pt>
                <c:pt idx="4">
                  <c:v>27.67</c:v>
                </c:pt>
              </c:numCache>
            </c:numRef>
          </c:val>
        </c:ser>
        <c:shape val="box"/>
        <c:axId val="253104896"/>
        <c:axId val="253106432"/>
        <c:axId val="0"/>
      </c:bar3DChart>
      <c:catAx>
        <c:axId val="253104896"/>
        <c:scaling>
          <c:orientation val="minMax"/>
        </c:scaling>
        <c:axPos val="b"/>
        <c:numFmt formatCode="General" sourceLinked="1"/>
        <c:tickLblPos val="nextTo"/>
        <c:txPr>
          <a:bodyPr/>
          <a:lstStyle/>
          <a:p>
            <a:pPr>
              <a:defRPr lang="ro-RO"/>
            </a:pPr>
            <a:endParaRPr lang="ro-RO"/>
          </a:p>
        </c:txPr>
        <c:crossAx val="253106432"/>
        <c:crosses val="autoZero"/>
        <c:auto val="1"/>
        <c:lblAlgn val="ctr"/>
        <c:lblOffset val="100"/>
      </c:catAx>
      <c:valAx>
        <c:axId val="253106432"/>
        <c:scaling>
          <c:orientation val="minMax"/>
        </c:scaling>
        <c:axPos val="l"/>
        <c:majorGridlines/>
        <c:numFmt formatCode="General" sourceLinked="1"/>
        <c:tickLblPos val="nextTo"/>
        <c:txPr>
          <a:bodyPr/>
          <a:lstStyle/>
          <a:p>
            <a:pPr>
              <a:defRPr lang="ro-RO"/>
            </a:pPr>
            <a:endParaRPr lang="ro-RO"/>
          </a:p>
        </c:txPr>
        <c:crossAx val="253104896"/>
        <c:crosses val="autoZero"/>
        <c:crossBetween val="between"/>
      </c:valAx>
      <c:spPr>
        <a:noFill/>
        <a:ln w="25361">
          <a:noFill/>
        </a:ln>
      </c:spPr>
    </c:plotArea>
    <c:legend>
      <c:legendPos val="r"/>
      <c:txPr>
        <a:bodyPr/>
        <a:lstStyle/>
        <a:p>
          <a:pPr>
            <a:defRPr lang="ro-RO"/>
          </a:pPr>
          <a:endParaRPr lang="ro-RO"/>
        </a:p>
      </c:txPr>
    </c:legend>
    <c:plotVisOnly val="1"/>
    <c:dispBlanksAs val="gap"/>
  </c:chart>
  <c:spPr>
    <a:solidFill>
      <a:srgbClr val="9BBB59">
        <a:lumMod val="20000"/>
        <a:lumOff val="80000"/>
      </a:srgb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994"/>
          <c:h val="0.60487804878050266"/>
        </c:manualLayout>
      </c:layout>
      <c:bar3DChart>
        <c:barDir val="col"/>
        <c:grouping val="clustered"/>
        <c:ser>
          <c:idx val="4"/>
          <c:order val="0"/>
          <c:tx>
            <c:strRef>
              <c:f>Sheet1!$A$2</c:f>
              <c:strCache>
                <c:ptCount val="1"/>
                <c:pt idx="0">
                  <c:v>Medii anuale 2013</c:v>
                </c:pt>
              </c:strCache>
            </c:strRef>
          </c:tx>
          <c:spPr>
            <a:solidFill>
              <a:srgbClr val="6600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3">
                  <c:v>2.06</c:v>
                </c:pt>
                <c:pt idx="4">
                  <c:v>13.97</c:v>
                </c:pt>
              </c:numCache>
            </c:numRef>
          </c:val>
        </c:ser>
        <c:ser>
          <c:idx val="5"/>
          <c:order val="1"/>
          <c:tx>
            <c:strRef>
              <c:f>Sheet1!$A$3</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numCache>
            </c:numRef>
          </c:val>
        </c:ser>
        <c:ser>
          <c:idx val="6"/>
          <c:order val="2"/>
          <c:tx>
            <c:strRef>
              <c:f>Sheet1!$A$4</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pt idx="2">
                  <c:v>8.31</c:v>
                </c:pt>
              </c:numCache>
            </c:numRef>
          </c:val>
        </c:ser>
        <c:ser>
          <c:idx val="7"/>
          <c:order val="3"/>
          <c:tx>
            <c:strRef>
              <c:f>Sheet1!$A$5</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0">
                  <c:v>5.09</c:v>
                </c:pt>
                <c:pt idx="1">
                  <c:v>3.59</c:v>
                </c:pt>
                <c:pt idx="2">
                  <c:v>2.77</c:v>
                </c:pt>
                <c:pt idx="3">
                  <c:v>5.45</c:v>
                </c:pt>
                <c:pt idx="4">
                  <c:v>3.56</c:v>
                </c:pt>
              </c:numCache>
            </c:numRef>
          </c:val>
        </c:ser>
        <c:ser>
          <c:idx val="8"/>
          <c:order val="4"/>
          <c:tx>
            <c:strRef>
              <c:f>Sheet1!$A$6</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5.08</c:v>
                </c:pt>
                <c:pt idx="1">
                  <c:v>4.41</c:v>
                </c:pt>
                <c:pt idx="2">
                  <c:v>5.2700000000000014</c:v>
                </c:pt>
                <c:pt idx="3">
                  <c:v>5.3599999999999985</c:v>
                </c:pt>
                <c:pt idx="4">
                  <c:v>4.59</c:v>
                </c:pt>
              </c:numCache>
            </c:numRef>
          </c:val>
        </c:ser>
        <c:gapWidth val="290"/>
        <c:gapDepth val="0"/>
        <c:shape val="box"/>
        <c:axId val="216232704"/>
        <c:axId val="216234240"/>
        <c:axId val="0"/>
      </c:bar3DChart>
      <c:catAx>
        <c:axId val="21623270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16234240"/>
        <c:crosses val="autoZero"/>
        <c:auto val="1"/>
        <c:lblAlgn val="ctr"/>
        <c:lblOffset val="100"/>
        <c:tickLblSkip val="1"/>
        <c:tickMarkSkip val="1"/>
      </c:catAx>
      <c:valAx>
        <c:axId val="2162342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1128"/>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16232704"/>
        <c:crosses val="autoZero"/>
        <c:crossBetween val="between"/>
      </c:valAx>
      <c:spPr>
        <a:noFill/>
        <a:ln w="25399">
          <a:noFill/>
        </a:ln>
      </c:spPr>
    </c:plotArea>
    <c:legend>
      <c:legendPos val="r"/>
      <c:layout>
        <c:manualLayout>
          <c:xMode val="edge"/>
          <c:yMode val="edge"/>
          <c:x val="0.76863422432728101"/>
          <c:y val="8.7880363791735347E-2"/>
          <c:w val="0.19205187586845765"/>
          <c:h val="0.78880498077274286"/>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5.63</c:v>
                </c:pt>
                <c:pt idx="1">
                  <c:v>5.63</c:v>
                </c:pt>
                <c:pt idx="2">
                  <c:v>5.63</c:v>
                </c:pt>
                <c:pt idx="3">
                  <c:v>5.63</c:v>
                </c:pt>
                <c:pt idx="4">
                  <c:v>5.63</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296.47000000000003</c:v>
                </c:pt>
                <c:pt idx="1">
                  <c:v>296.47000000000003</c:v>
                </c:pt>
                <c:pt idx="2">
                  <c:v>296.47000000000003</c:v>
                </c:pt>
                <c:pt idx="3">
                  <c:v>296.47000000000003</c:v>
                </c:pt>
                <c:pt idx="4">
                  <c:v>296.47000000000003</c:v>
                </c:pt>
              </c:numCache>
            </c:numRef>
          </c:val>
        </c:ser>
        <c:shape val="box"/>
        <c:axId val="253082240"/>
        <c:axId val="253129088"/>
        <c:axId val="0"/>
      </c:bar3DChart>
      <c:catAx>
        <c:axId val="253082240"/>
        <c:scaling>
          <c:orientation val="minMax"/>
        </c:scaling>
        <c:axPos val="b"/>
        <c:numFmt formatCode="General" sourceLinked="1"/>
        <c:tickLblPos val="nextTo"/>
        <c:txPr>
          <a:bodyPr/>
          <a:lstStyle/>
          <a:p>
            <a:pPr>
              <a:defRPr lang="ro-RO"/>
            </a:pPr>
            <a:endParaRPr lang="ro-RO"/>
          </a:p>
        </c:txPr>
        <c:crossAx val="253129088"/>
        <c:crosses val="autoZero"/>
        <c:auto val="1"/>
        <c:lblAlgn val="ctr"/>
        <c:lblOffset val="100"/>
      </c:catAx>
      <c:valAx>
        <c:axId val="253129088"/>
        <c:scaling>
          <c:orientation val="minMax"/>
        </c:scaling>
        <c:axPos val="l"/>
        <c:majorGridlines/>
        <c:numFmt formatCode="General" sourceLinked="1"/>
        <c:tickLblPos val="nextTo"/>
        <c:txPr>
          <a:bodyPr/>
          <a:lstStyle/>
          <a:p>
            <a:pPr>
              <a:defRPr lang="ro-RO"/>
            </a:pPr>
            <a:endParaRPr lang="ro-RO"/>
          </a:p>
        </c:txPr>
        <c:crossAx val="253082240"/>
        <c:crosses val="autoZero"/>
        <c:crossBetween val="between"/>
      </c:valAx>
      <c:spPr>
        <a:noFill/>
        <a:ln w="25347">
          <a:noFill/>
        </a:ln>
      </c:spPr>
    </c:plotArea>
    <c:legend>
      <c:legendPos val="r"/>
      <c:txPr>
        <a:bodyPr/>
        <a:lstStyle/>
        <a:p>
          <a:pPr>
            <a:defRPr lang="ro-RO"/>
          </a:pPr>
          <a:endParaRPr lang="ro-RO"/>
        </a:p>
      </c:txPr>
    </c:legend>
    <c:plotVisOnly val="1"/>
    <c:dispBlanksAs val="gap"/>
  </c:chart>
  <c:spPr>
    <a:solidFill>
      <a:srgbClr val="9BBB59">
        <a:lumMod val="20000"/>
        <a:lumOff val="80000"/>
      </a:srgbClr>
    </a:solidFill>
  </c:sp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Suprafata spatiu verde pe cap de locuitor din mediul urban, tendinta 2013-2017</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15.68</c:v>
                </c:pt>
                <c:pt idx="1">
                  <c:v>15.68</c:v>
                </c:pt>
                <c:pt idx="2">
                  <c:v>15.68</c:v>
                </c:pt>
                <c:pt idx="3">
                  <c:v>15.68</c:v>
                </c:pt>
                <c:pt idx="4">
                  <c:v>15.68</c:v>
                </c:pt>
              </c:numCache>
            </c:numRef>
          </c:val>
        </c:ser>
        <c:shape val="box"/>
        <c:axId val="253345792"/>
        <c:axId val="253347328"/>
        <c:axId val="0"/>
      </c:bar3DChart>
      <c:catAx>
        <c:axId val="253345792"/>
        <c:scaling>
          <c:orientation val="minMax"/>
        </c:scaling>
        <c:axPos val="b"/>
        <c:numFmt formatCode="General" sourceLinked="1"/>
        <c:tickLblPos val="nextTo"/>
        <c:txPr>
          <a:bodyPr/>
          <a:lstStyle/>
          <a:p>
            <a:pPr>
              <a:defRPr lang="ro-RO"/>
            </a:pPr>
            <a:endParaRPr lang="ro-RO"/>
          </a:p>
        </c:txPr>
        <c:crossAx val="253347328"/>
        <c:crosses val="autoZero"/>
        <c:auto val="1"/>
        <c:lblAlgn val="ctr"/>
        <c:lblOffset val="100"/>
      </c:catAx>
      <c:valAx>
        <c:axId val="253347328"/>
        <c:scaling>
          <c:orientation val="minMax"/>
        </c:scaling>
        <c:axPos val="l"/>
        <c:majorGridlines/>
        <c:numFmt formatCode="General" sourceLinked="1"/>
        <c:tickLblPos val="nextTo"/>
        <c:txPr>
          <a:bodyPr/>
          <a:lstStyle/>
          <a:p>
            <a:pPr>
              <a:defRPr lang="ro-RO"/>
            </a:pPr>
            <a:endParaRPr lang="ro-RO"/>
          </a:p>
        </c:txPr>
        <c:crossAx val="253345792"/>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FFFF00"/>
    </a:solidFill>
  </c:spPr>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524.30999999999949</c:v>
                </c:pt>
                <c:pt idx="1">
                  <c:v>532.43999999999949</c:v>
                </c:pt>
                <c:pt idx="2">
                  <c:v>532.43999999999949</c:v>
                </c:pt>
                <c:pt idx="3">
                  <c:v>532.43999999999949</c:v>
                </c:pt>
                <c:pt idx="4">
                  <c:v>531.51</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6450.1200000000044</c:v>
                </c:pt>
                <c:pt idx="1">
                  <c:v>6450.1200000000044</c:v>
                </c:pt>
                <c:pt idx="2">
                  <c:v>6450.1200000000044</c:v>
                </c:pt>
                <c:pt idx="3">
                  <c:v>6450.1200000000044</c:v>
                </c:pt>
                <c:pt idx="4">
                  <c:v>6450.1200000000044</c:v>
                </c:pt>
              </c:numCache>
            </c:numRef>
          </c:val>
        </c:ser>
        <c:shape val="box"/>
        <c:axId val="253163392"/>
        <c:axId val="253164928"/>
        <c:axId val="0"/>
      </c:bar3DChart>
      <c:catAx>
        <c:axId val="253163392"/>
        <c:scaling>
          <c:orientation val="minMax"/>
        </c:scaling>
        <c:axPos val="b"/>
        <c:numFmt formatCode="General" sourceLinked="1"/>
        <c:tickLblPos val="nextTo"/>
        <c:txPr>
          <a:bodyPr/>
          <a:lstStyle/>
          <a:p>
            <a:pPr>
              <a:defRPr lang="ro-RO"/>
            </a:pPr>
            <a:endParaRPr lang="ro-RO"/>
          </a:p>
        </c:txPr>
        <c:crossAx val="253164928"/>
        <c:crosses val="autoZero"/>
        <c:auto val="1"/>
        <c:lblAlgn val="ctr"/>
        <c:lblOffset val="100"/>
      </c:catAx>
      <c:valAx>
        <c:axId val="253164928"/>
        <c:scaling>
          <c:orientation val="minMax"/>
        </c:scaling>
        <c:axPos val="l"/>
        <c:majorGridlines/>
        <c:numFmt formatCode="General" sourceLinked="1"/>
        <c:tickLblPos val="nextTo"/>
        <c:txPr>
          <a:bodyPr/>
          <a:lstStyle/>
          <a:p>
            <a:pPr>
              <a:defRPr lang="ro-RO"/>
            </a:pPr>
            <a:endParaRPr lang="ro-RO"/>
          </a:p>
        </c:txPr>
        <c:crossAx val="253163392"/>
        <c:crosses val="autoZero"/>
        <c:crossBetween val="between"/>
      </c:valAx>
      <c:spPr>
        <a:noFill/>
        <a:ln w="25405">
          <a:noFill/>
        </a:ln>
      </c:spPr>
    </c:plotArea>
    <c:legend>
      <c:legendPos val="r"/>
      <c:txPr>
        <a:bodyPr/>
        <a:lstStyle/>
        <a:p>
          <a:pPr>
            <a:defRPr lang="ro-RO"/>
          </a:pPr>
          <a:endParaRPr lang="ro-RO"/>
        </a:p>
      </c:txPr>
    </c:legend>
    <c:plotVisOnly val="1"/>
    <c:dispBlanksAs val="gap"/>
  </c:chart>
  <c:spPr>
    <a:solidFill>
      <a:srgbClr val="C0504D">
        <a:lumMod val="20000"/>
        <a:lumOff val="80000"/>
      </a:srgbClr>
    </a:solidFill>
  </c:sp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Suprafata spatiu verde pe cap de locuitor din mediul urban, tendinta 2013-2017</c:v>
                </c:pt>
              </c:strCache>
            </c:strRef>
          </c:tx>
          <c:spPr>
            <a:solidFill>
              <a:srgbClr val="00B050"/>
            </a:solidFill>
          </c:spPr>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26.12</c:v>
                </c:pt>
                <c:pt idx="1">
                  <c:v>26.51</c:v>
                </c:pt>
                <c:pt idx="2">
                  <c:v>26.57</c:v>
                </c:pt>
                <c:pt idx="3">
                  <c:v>26.57</c:v>
                </c:pt>
                <c:pt idx="4">
                  <c:v>26.47</c:v>
                </c:pt>
              </c:numCache>
            </c:numRef>
          </c:val>
        </c:ser>
        <c:shape val="box"/>
        <c:axId val="253860864"/>
        <c:axId val="253862656"/>
        <c:axId val="0"/>
      </c:bar3DChart>
      <c:catAx>
        <c:axId val="253860864"/>
        <c:scaling>
          <c:orientation val="minMax"/>
        </c:scaling>
        <c:axPos val="b"/>
        <c:numFmt formatCode="General" sourceLinked="1"/>
        <c:tickLblPos val="nextTo"/>
        <c:txPr>
          <a:bodyPr/>
          <a:lstStyle/>
          <a:p>
            <a:pPr>
              <a:defRPr lang="ro-RO"/>
            </a:pPr>
            <a:endParaRPr lang="ro-RO"/>
          </a:p>
        </c:txPr>
        <c:crossAx val="253862656"/>
        <c:crosses val="autoZero"/>
        <c:auto val="1"/>
        <c:lblAlgn val="ctr"/>
        <c:lblOffset val="100"/>
      </c:catAx>
      <c:valAx>
        <c:axId val="253862656"/>
        <c:scaling>
          <c:orientation val="minMax"/>
        </c:scaling>
        <c:axPos val="l"/>
        <c:majorGridlines/>
        <c:numFmt formatCode="General" sourceLinked="1"/>
        <c:tickLblPos val="nextTo"/>
        <c:txPr>
          <a:bodyPr/>
          <a:lstStyle/>
          <a:p>
            <a:pPr>
              <a:defRPr lang="ro-RO"/>
            </a:pPr>
            <a:endParaRPr lang="ro-RO"/>
          </a:p>
        </c:txPr>
        <c:crossAx val="253860864"/>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4BACC6">
        <a:lumMod val="20000"/>
        <a:lumOff val="80000"/>
      </a:srgbClr>
    </a:solidFill>
  </c:sp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lgn="ctr" rtl="0">
              <a:defRPr lang="en-US"/>
            </a:pPr>
            <a:r>
              <a:rPr lang="ro-RO"/>
              <a:t>Variația mediilor și maximelor anuale ale debitului dozei gama</a:t>
            </a:r>
          </a:p>
        </c:rich>
      </c:tx>
      <c:spPr>
        <a:ln>
          <a:noFill/>
        </a:ln>
      </c:spPr>
    </c:title>
    <c:plotArea>
      <c:layout>
        <c:manualLayout>
          <c:layoutTarget val="inner"/>
          <c:xMode val="edge"/>
          <c:yMode val="edge"/>
          <c:x val="0.10960220397982436"/>
          <c:y val="0.26912446206753987"/>
          <c:w val="0.78874294968449365"/>
          <c:h val="0.56977305044506665"/>
        </c:manualLayout>
      </c:layout>
      <c:lineChart>
        <c:grouping val="standard"/>
        <c:ser>
          <c:idx val="0"/>
          <c:order val="0"/>
          <c:tx>
            <c:strRef>
              <c:f>Sheet1!$B$1</c:f>
              <c:strCache>
                <c:ptCount val="1"/>
                <c:pt idx="0">
                  <c:v>maxima anuală</c:v>
                </c:pt>
              </c:strCache>
            </c:strRef>
          </c:tx>
          <c:spPr>
            <a:ln w="28479">
              <a:solidFill>
                <a:srgbClr val="C00000"/>
              </a:solidFill>
            </a:ln>
          </c:spPr>
          <c:marker>
            <c:symbol val="square"/>
            <c:size val="2"/>
            <c:spPr>
              <a:solidFill>
                <a:srgbClr val="FFFF00"/>
              </a:solidFill>
            </c:spPr>
          </c:marker>
          <c:dLbls>
            <c:dLbl>
              <c:idx val="0"/>
              <c:layout>
                <c:manualLayout>
                  <c:x val="-5.1282051282051294E-2"/>
                  <c:y val="-4.9252418645558523E-2"/>
                </c:manualLayout>
              </c:layout>
              <c:dLblPos val="r"/>
              <c:showVal val="1"/>
            </c:dLbl>
            <c:dLbl>
              <c:idx val="1"/>
              <c:layout>
                <c:manualLayout>
                  <c:x val="-6.1538461538461903E-2"/>
                  <c:y val="-5.9806508355323133E-2"/>
                </c:manualLayout>
              </c:layout>
              <c:dLblPos val="r"/>
              <c:showVal val="1"/>
            </c:dLbl>
            <c:dLbl>
              <c:idx val="3"/>
              <c:layout>
                <c:manualLayout>
                  <c:x val="-4.3589743589743567E-2"/>
                  <c:y val="-6.3324538258575438E-2"/>
                </c:manualLayout>
              </c:layout>
              <c:dLblPos val="r"/>
              <c:showVal val="1"/>
            </c:dLbl>
            <c:dLbl>
              <c:idx val="4"/>
              <c:layout>
                <c:manualLayout>
                  <c:x val="-4.8717948717948933E-2"/>
                  <c:y val="-5.2770448548812784E-2"/>
                </c:manualLayout>
              </c:layout>
              <c:dLblPos val="r"/>
              <c:showVal val="1"/>
            </c:dLbl>
            <c:txPr>
              <a:bodyPr/>
              <a:lstStyle/>
              <a:p>
                <a:pPr>
                  <a:defRPr lang="en-US" sz="897" b="1" i="0" baseline="0"/>
                </a:pPr>
                <a:endParaRPr lang="ro-RO"/>
              </a:p>
            </c:txPr>
            <c:showVal val="1"/>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0.15200000000000041</c:v>
                </c:pt>
                <c:pt idx="1">
                  <c:v>0.16400000000000003</c:v>
                </c:pt>
                <c:pt idx="2">
                  <c:v>0.14800000000000021</c:v>
                </c:pt>
                <c:pt idx="3">
                  <c:v>0.16900000000000004</c:v>
                </c:pt>
                <c:pt idx="4">
                  <c:v>0.16600000000000004</c:v>
                </c:pt>
              </c:numCache>
            </c:numRef>
          </c:val>
        </c:ser>
        <c:ser>
          <c:idx val="1"/>
          <c:order val="1"/>
          <c:tx>
            <c:strRef>
              <c:f>Sheet1!$C$1</c:f>
              <c:strCache>
                <c:ptCount val="1"/>
                <c:pt idx="0">
                  <c:v>media anuală</c:v>
                </c:pt>
              </c:strCache>
            </c:strRef>
          </c:tx>
          <c:spPr>
            <a:ln w="28479">
              <a:solidFill>
                <a:srgbClr val="D47ACE"/>
              </a:solidFill>
            </a:ln>
          </c:spPr>
          <c:marker>
            <c:symbol val="square"/>
            <c:size val="11"/>
            <c:spPr>
              <a:solidFill>
                <a:srgbClr val="FFFF00"/>
              </a:solidFill>
              <a:ln w="6329">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891E-2"/>
                  <c:y val="6.684256816182936E-2"/>
                </c:manualLayout>
              </c:layout>
              <c:dLblPos val="r"/>
              <c:showVal val="1"/>
            </c:dLbl>
            <c:dLbl>
              <c:idx val="1"/>
              <c:layout>
                <c:manualLayout>
                  <c:x val="-5.3846153846153912E-2"/>
                  <c:y val="6.3324538258575438E-2"/>
                </c:manualLayout>
              </c:layout>
              <c:dLblPos val="r"/>
              <c:showVal val="1"/>
            </c:dLbl>
            <c:dLbl>
              <c:idx val="2"/>
              <c:layout>
                <c:manualLayout>
                  <c:x val="-5.1282051282051294E-2"/>
                  <c:y val="5.2770448548812784E-2"/>
                </c:manualLayout>
              </c:layout>
              <c:dLblPos val="r"/>
              <c:showVal val="1"/>
            </c:dLbl>
            <c:dLbl>
              <c:idx val="3"/>
              <c:layout>
                <c:manualLayout>
                  <c:x val="-5.6410256410256432E-2"/>
                  <c:y val="6.3324538258575438E-2"/>
                </c:manualLayout>
              </c:layout>
              <c:dLblPos val="r"/>
              <c:showVal val="1"/>
            </c:dLbl>
            <c:dLbl>
              <c:idx val="4"/>
              <c:layout>
                <c:manualLayout>
                  <c:x val="-6.153846153846159E-2"/>
                  <c:y val="5.6288478452066908E-2"/>
                </c:manualLayout>
              </c:layout>
              <c:dLblPos val="r"/>
              <c:showVal val="1"/>
            </c:dLbl>
            <c:txPr>
              <a:bodyPr/>
              <a:lstStyle/>
              <a:p>
                <a:pPr>
                  <a:defRPr lang="en-US" sz="897" b="1" i="0" baseline="0"/>
                </a:pPr>
                <a:endParaRPr lang="ro-RO"/>
              </a:p>
            </c:txPr>
            <c:showVal val="1"/>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0.10600000000000002</c:v>
                </c:pt>
                <c:pt idx="1">
                  <c:v>0.10800000000000012</c:v>
                </c:pt>
                <c:pt idx="2">
                  <c:v>9.9000000000000227E-2</c:v>
                </c:pt>
                <c:pt idx="3">
                  <c:v>0.10400000000000002</c:v>
                </c:pt>
                <c:pt idx="4">
                  <c:v>0.10299999999999998</c:v>
                </c:pt>
              </c:numCache>
            </c:numRef>
          </c:val>
        </c:ser>
        <c:marker val="1"/>
        <c:axId val="253933056"/>
        <c:axId val="253934592"/>
      </c:lineChart>
      <c:catAx>
        <c:axId val="253933056"/>
        <c:scaling>
          <c:orientation val="minMax"/>
        </c:scaling>
        <c:axPos val="b"/>
        <c:numFmt formatCode="General" sourceLinked="1"/>
        <c:majorTickMark val="none"/>
        <c:tickLblPos val="nextTo"/>
        <c:spPr>
          <a:noFill/>
          <a:ln cap="rnd"/>
        </c:spPr>
        <c:txPr>
          <a:bodyPr/>
          <a:lstStyle/>
          <a:p>
            <a:pPr>
              <a:defRPr lang="en-US" sz="1196" b="1"/>
            </a:pPr>
            <a:endParaRPr lang="ro-RO"/>
          </a:p>
        </c:txPr>
        <c:crossAx val="253934592"/>
        <c:crossesAt val="0"/>
        <c:auto val="1"/>
        <c:lblAlgn val="ctr"/>
        <c:lblOffset val="100"/>
      </c:catAx>
      <c:valAx>
        <c:axId val="253934592"/>
        <c:scaling>
          <c:orientation val="minMax"/>
          <c:max val="0.2"/>
        </c:scaling>
        <c:axPos val="l"/>
        <c:majorGridlines/>
        <c:title>
          <c:tx>
            <c:rich>
              <a:bodyPr/>
              <a:lstStyle/>
              <a:p>
                <a:pPr>
                  <a:defRPr lang="en-US" sz="993" b="1" i="0" u="none" strike="noStrike" baseline="0">
                    <a:solidFill>
                      <a:srgbClr val="000000"/>
                    </a:solidFill>
                    <a:latin typeface="Arial"/>
                    <a:ea typeface="Arial"/>
                    <a:cs typeface="Arial"/>
                  </a:defRPr>
                </a:pPr>
                <a:r>
                  <a:rPr lang="ro-RO"/>
                  <a:t>µSv/h</a:t>
                </a:r>
              </a:p>
            </c:rich>
          </c:tx>
        </c:title>
        <c:numFmt formatCode="#,##0.000" sourceLinked="0"/>
        <c:majorTickMark val="none"/>
        <c:tickLblPos val="nextTo"/>
        <c:spPr>
          <a:noFill/>
        </c:spPr>
        <c:txPr>
          <a:bodyPr/>
          <a:lstStyle/>
          <a:p>
            <a:pPr>
              <a:defRPr lang="en-US" sz="1000" b="1" baseline="0"/>
            </a:pPr>
            <a:endParaRPr lang="ro-RO"/>
          </a:p>
        </c:txPr>
        <c:crossAx val="253933056"/>
        <c:crosses val="autoZero"/>
        <c:crossBetween val="between"/>
        <c:majorUnit val="2.0000000000000052E-2"/>
        <c:minorUnit val="5.0000000000000504E-3"/>
      </c:valAx>
      <c:spPr>
        <a:solidFill>
          <a:srgbClr val="9BBB59">
            <a:lumMod val="20000"/>
            <a:lumOff val="80000"/>
          </a:srgbClr>
        </a:solidFill>
        <a:ln w="25316">
          <a:solidFill>
            <a:sysClr val="windowText" lastClr="000000"/>
          </a:solidFill>
        </a:ln>
      </c:spPr>
    </c:plotArea>
    <c:legend>
      <c:legendPos val="b"/>
      <c:legendEntry>
        <c:idx val="0"/>
        <c:txPr>
          <a:bodyPr/>
          <a:lstStyle/>
          <a:p>
            <a:pPr>
              <a:defRPr sz="1196" b="1" i="0" baseline="0"/>
            </a:pPr>
            <a:endParaRPr lang="ro-RO"/>
          </a:p>
        </c:txPr>
      </c:legendEntry>
      <c:legendEntry>
        <c:idx val="1"/>
        <c:txPr>
          <a:bodyPr/>
          <a:lstStyle/>
          <a:p>
            <a:pPr>
              <a:defRPr sz="1196" b="1" i="0" baseline="0"/>
            </a:pPr>
            <a:endParaRPr lang="ro-RO"/>
          </a:p>
        </c:txPr>
      </c:legendEntry>
      <c:txPr>
        <a:bodyPr/>
        <a:lstStyle/>
        <a:p>
          <a:pPr>
            <a:defRPr lang="en-US" sz="1196"/>
          </a:pPr>
          <a:endParaRPr lang="ro-RO"/>
        </a:p>
      </c:txPr>
    </c:legend>
    <c:plotVisOnly val="1"/>
    <c:dispBlanksAs val="gap"/>
  </c:chart>
  <c:spPr>
    <a:solidFill>
      <a:srgbClr val="8064A2">
        <a:lumMod val="20000"/>
        <a:lumOff val="80000"/>
      </a:srgbClr>
    </a:solidFill>
  </c:spPr>
  <c:txPr>
    <a:bodyPr/>
    <a:lstStyle/>
    <a:p>
      <a:pPr>
        <a:defRPr sz="996">
          <a:latin typeface="Arial" pitchFamily="34" charset="0"/>
          <a:cs typeface="Arial" pitchFamily="34" charset="0"/>
        </a:defRPr>
      </a:pPr>
      <a:endParaRPr lang="ro-RO"/>
    </a:p>
  </c:txPr>
  <c:externalData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solidFill>
                  <a:srgbClr val="FF0000"/>
                </a:solidFill>
              </a:defRPr>
            </a:pPr>
            <a:r>
              <a:rPr lang="en-GB" sz="1200" b="1">
                <a:solidFill>
                  <a:sysClr val="windowText" lastClr="000000"/>
                </a:solidFill>
                <a:latin typeface="Arial" pitchFamily="34" charset="0"/>
                <a:cs typeface="Arial" pitchFamily="34" charset="0"/>
              </a:rPr>
              <a:t>Figura</a:t>
            </a:r>
            <a:r>
              <a:rPr lang="en-GB" sz="1200">
                <a:solidFill>
                  <a:sysClr val="windowText" lastClr="000000"/>
                </a:solidFill>
                <a:latin typeface="Arial" pitchFamily="34" charset="0"/>
                <a:cs typeface="Arial" pitchFamily="34" charset="0"/>
              </a:rPr>
              <a:t> </a:t>
            </a:r>
            <a:r>
              <a:rPr lang="en-GB" sz="1200" b="1">
                <a:solidFill>
                  <a:sysClr val="windowText" lastClr="000000"/>
                </a:solidFill>
                <a:latin typeface="Arial" pitchFamily="34" charset="0"/>
                <a:cs typeface="Arial" pitchFamily="34" charset="0"/>
              </a:rPr>
              <a:t>nr. X.1.2. - 1</a:t>
            </a:r>
            <a:r>
              <a:rPr lang="en-GB" sz="1200">
                <a:solidFill>
                  <a:sysClr val="windowText" lastClr="000000"/>
                </a:solidFill>
                <a:latin typeface="Arial" pitchFamily="34" charset="0"/>
                <a:cs typeface="Arial" pitchFamily="34" charset="0"/>
              </a:rPr>
              <a:t> Populaţia totală stabilă raportată la numărul total de locuinţe, la nivelul  județului Brăila, pentru perioada 201</a:t>
            </a:r>
            <a:r>
              <a:rPr lang="ro-RO" sz="1200">
                <a:solidFill>
                  <a:sysClr val="windowText" lastClr="000000"/>
                </a:solidFill>
                <a:latin typeface="Arial" pitchFamily="34" charset="0"/>
                <a:cs typeface="Arial" pitchFamily="34" charset="0"/>
              </a:rPr>
              <a:t>3</a:t>
            </a:r>
            <a:r>
              <a:rPr lang="en-GB" sz="1200">
                <a:solidFill>
                  <a:sysClr val="windowText" lastClr="000000"/>
                </a:solidFill>
                <a:latin typeface="Arial" pitchFamily="34" charset="0"/>
                <a:cs typeface="Arial" pitchFamily="34" charset="0"/>
              </a:rPr>
              <a:t> - 201</a:t>
            </a:r>
            <a:r>
              <a:rPr lang="ro-RO" sz="1200">
                <a:solidFill>
                  <a:sysClr val="windowText" lastClr="000000"/>
                </a:solidFill>
                <a:latin typeface="Arial" pitchFamily="34" charset="0"/>
                <a:cs typeface="Arial" pitchFamily="34" charset="0"/>
              </a:rPr>
              <a:t>7</a:t>
            </a:r>
          </a:p>
          <a:p>
            <a:pPr algn="ctr">
              <a:defRPr>
                <a:solidFill>
                  <a:srgbClr val="FF0000"/>
                </a:solidFill>
              </a:defRPr>
            </a:pPr>
            <a:r>
              <a:rPr lang="en-GB" sz="1800">
                <a:solidFill>
                  <a:srgbClr val="FF0000"/>
                </a:solidFill>
              </a:rPr>
              <a:t> </a:t>
            </a:r>
            <a:endParaRPr lang="ro-RO" sz="1800">
              <a:solidFill>
                <a:srgbClr val="FF0000"/>
              </a:solidFill>
            </a:endParaRPr>
          </a:p>
        </c:rich>
      </c:tx>
      <c:layout>
        <c:manualLayout>
          <c:xMode val="edge"/>
          <c:yMode val="edge"/>
          <c:x val="0.11103000145815133"/>
          <c:y val="3.9079287750901793E-3"/>
        </c:manualLayout>
      </c:layout>
      <c:overlay val="1"/>
    </c:title>
    <c:plotArea>
      <c:layout>
        <c:manualLayout>
          <c:layoutTarget val="inner"/>
          <c:xMode val="edge"/>
          <c:yMode val="edge"/>
          <c:x val="6.5765893846602932E-2"/>
          <c:y val="0.32935320907976851"/>
          <c:w val="0.58742855059784149"/>
          <c:h val="0.52302344214884411"/>
        </c:manualLayout>
      </c:layout>
      <c:lineChart>
        <c:grouping val="standard"/>
        <c:ser>
          <c:idx val="0"/>
          <c:order val="0"/>
          <c:tx>
            <c:strRef>
              <c:f>Sheet1!$B$1</c:f>
              <c:strCache>
                <c:ptCount val="1"/>
                <c:pt idx="0">
                  <c:v>Total populație stabilă/Total gospodării</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2.65</c:v>
                </c:pt>
                <c:pt idx="1">
                  <c:v>2.62</c:v>
                </c:pt>
                <c:pt idx="2">
                  <c:v>2.59</c:v>
                </c:pt>
                <c:pt idx="3">
                  <c:v>2.57</c:v>
                </c:pt>
                <c:pt idx="4">
                  <c:v>2.16</c:v>
                </c:pt>
              </c:numCache>
            </c:numRef>
          </c:val>
        </c:ser>
        <c:ser>
          <c:idx val="1"/>
          <c:order val="1"/>
          <c:tx>
            <c:strRef>
              <c:f>Sheet1!$C$1</c:f>
              <c:strCache>
                <c:ptCount val="1"/>
                <c:pt idx="0">
                  <c:v>Total populație stabilă/Total gospodării Urban</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2.73</c:v>
                </c:pt>
                <c:pt idx="1">
                  <c:v>2.7</c:v>
                </c:pt>
                <c:pt idx="2">
                  <c:v>2.67</c:v>
                </c:pt>
                <c:pt idx="3">
                  <c:v>2.64</c:v>
                </c:pt>
                <c:pt idx="4">
                  <c:v>2.1</c:v>
                </c:pt>
              </c:numCache>
            </c:numRef>
          </c:val>
        </c:ser>
        <c:ser>
          <c:idx val="2"/>
          <c:order val="2"/>
          <c:tx>
            <c:strRef>
              <c:f>Sheet1!$D$1</c:f>
              <c:strCache>
                <c:ptCount val="1"/>
                <c:pt idx="0">
                  <c:v>Total populație stabilă/Total gospodării Rural</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2.5</c:v>
                </c:pt>
                <c:pt idx="1">
                  <c:v>2.48</c:v>
                </c:pt>
                <c:pt idx="2">
                  <c:v>2.4499999999999997</c:v>
                </c:pt>
                <c:pt idx="3">
                  <c:v>2.44</c:v>
                </c:pt>
                <c:pt idx="4">
                  <c:v>2.2599999999999998</c:v>
                </c:pt>
              </c:numCache>
            </c:numRef>
          </c:val>
        </c:ser>
        <c:marker val="1"/>
        <c:axId val="254296448"/>
        <c:axId val="254297984"/>
      </c:lineChart>
      <c:catAx>
        <c:axId val="254296448"/>
        <c:scaling>
          <c:orientation val="minMax"/>
        </c:scaling>
        <c:axPos val="b"/>
        <c:numFmt formatCode="General" sourceLinked="1"/>
        <c:tickLblPos val="nextTo"/>
        <c:crossAx val="254297984"/>
        <c:crosses val="autoZero"/>
        <c:auto val="1"/>
        <c:lblAlgn val="ctr"/>
        <c:lblOffset val="100"/>
      </c:catAx>
      <c:valAx>
        <c:axId val="254297984"/>
        <c:scaling>
          <c:orientation val="minMax"/>
        </c:scaling>
        <c:axPos val="l"/>
        <c:majorGridlines/>
        <c:numFmt formatCode="General" sourceLinked="1"/>
        <c:tickLblPos val="nextTo"/>
        <c:crossAx val="254296448"/>
        <c:crosses val="autoZero"/>
        <c:crossBetween val="between"/>
      </c:valAx>
    </c:plotArea>
    <c:legend>
      <c:legendPos val="r"/>
      <c:layout>
        <c:manualLayout>
          <c:xMode val="edge"/>
          <c:yMode val="edge"/>
          <c:x val="0.6786574074074132"/>
          <c:y val="0.30716670437509802"/>
          <c:w val="0.30745370370370556"/>
          <c:h val="0.50635371313465838"/>
        </c:manualLayout>
      </c:layout>
    </c:legend>
    <c:plotVisOnly val="1"/>
    <c:dispBlanksAs val="gap"/>
  </c:chart>
  <c:spPr>
    <a:solidFill>
      <a:schemeClr val="accent6">
        <a:lumMod val="20000"/>
        <a:lumOff val="80000"/>
      </a:schemeClr>
    </a:solidFill>
  </c:sp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FF0000"/>
                </a:solidFill>
                <a:latin typeface="Arial" pitchFamily="34" charset="0"/>
                <a:ea typeface="+mn-ea"/>
                <a:cs typeface="Arial" pitchFamily="34" charset="0"/>
              </a:defRPr>
            </a:pPr>
            <a:r>
              <a:rPr lang="en-US" sz="1200" b="1">
                <a:solidFill>
                  <a:sysClr val="windowText" lastClr="000000"/>
                </a:solidFill>
                <a:latin typeface="Arial" pitchFamily="34" charset="0"/>
                <a:cs typeface="Arial" pitchFamily="34" charset="0"/>
              </a:rPr>
              <a:t>Figura nr. X.1.3.1.-</a:t>
            </a:r>
            <a:r>
              <a:rPr lang="en-US" sz="1200">
                <a:solidFill>
                  <a:sysClr val="windowText" lastClr="000000"/>
                </a:solidFill>
                <a:latin typeface="Arial" pitchFamily="34" charset="0"/>
                <a:cs typeface="Arial" pitchFamily="34" charset="0"/>
              </a:rPr>
              <a:t>1 </a:t>
            </a:r>
            <a:r>
              <a:rPr lang="pt-BR" sz="1200">
                <a:solidFill>
                  <a:sysClr val="windowText" lastClr="000000"/>
                </a:solidFill>
                <a:latin typeface="Arial" pitchFamily="34" charset="0"/>
                <a:cs typeface="Arial" pitchFamily="34" charset="0"/>
              </a:rPr>
              <a:t>Numărul vehiculelor în inventar pentru transport public local de pasageri, </a:t>
            </a:r>
            <a:r>
              <a:rPr lang="en-US" sz="1200">
                <a:solidFill>
                  <a:sysClr val="windowText" lastClr="000000"/>
                </a:solidFill>
                <a:latin typeface="Arial" pitchFamily="34" charset="0"/>
                <a:cs typeface="Arial" pitchFamily="34" charset="0"/>
              </a:rPr>
              <a:t>pe tipuri de vehicule</a:t>
            </a:r>
            <a:r>
              <a:rPr lang="ro-RO" sz="1200">
                <a:solidFill>
                  <a:sysClr val="windowText" lastClr="000000"/>
                </a:solidFill>
                <a:latin typeface="Arial" pitchFamily="34" charset="0"/>
                <a:cs typeface="Arial" pitchFamily="34" charset="0"/>
              </a:rPr>
              <a:t> pentru perioada 2013 - 2017</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FF0000"/>
                </a:solidFill>
                <a:latin typeface="Arial" pitchFamily="34" charset="0"/>
                <a:ea typeface="+mn-ea"/>
                <a:cs typeface="Arial" pitchFamily="34" charset="0"/>
              </a:defRPr>
            </a:pPr>
            <a:endParaRPr lang="ro-RO" sz="1200">
              <a:solidFill>
                <a:srgbClr val="FF0000"/>
              </a:solidFill>
              <a:latin typeface="Arial" pitchFamily="34" charset="0"/>
              <a:cs typeface="Arial" pitchFamily="34" charset="0"/>
            </a:endParaRPr>
          </a:p>
        </c:rich>
      </c:tx>
    </c:title>
    <c:plotArea>
      <c:layout>
        <c:manualLayout>
          <c:layoutTarget val="inner"/>
          <c:xMode val="edge"/>
          <c:yMode val="edge"/>
          <c:x val="7.1726450860309127E-2"/>
          <c:y val="0.29855547361122781"/>
          <c:w val="0.63410797608632263"/>
          <c:h val="0.50472859064243303"/>
        </c:manualLayout>
      </c:layout>
      <c:barChart>
        <c:barDir val="col"/>
        <c:grouping val="stacked"/>
        <c:ser>
          <c:idx val="0"/>
          <c:order val="0"/>
          <c:tx>
            <c:strRef>
              <c:f>Sheet1!$B$1</c:f>
              <c:strCache>
                <c:ptCount val="1"/>
                <c:pt idx="0">
                  <c:v>Tramvaie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31</c:v>
                </c:pt>
                <c:pt idx="1">
                  <c:v>31</c:v>
                </c:pt>
                <c:pt idx="2">
                  <c:v>31</c:v>
                </c:pt>
                <c:pt idx="3">
                  <c:v>38</c:v>
                </c:pt>
                <c:pt idx="4">
                  <c:v>30</c:v>
                </c:pt>
              </c:numCache>
            </c:numRef>
          </c:val>
        </c:ser>
        <c:ser>
          <c:idx val="1"/>
          <c:order val="1"/>
          <c:tx>
            <c:strRef>
              <c:f>Sheet1!$C$1</c:f>
              <c:strCache>
                <c:ptCount val="1"/>
                <c:pt idx="0">
                  <c:v>Autobuze și Microbuze</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164</c:v>
                </c:pt>
                <c:pt idx="1">
                  <c:v>178</c:v>
                </c:pt>
                <c:pt idx="2">
                  <c:v>176</c:v>
                </c:pt>
                <c:pt idx="3">
                  <c:v>135</c:v>
                </c:pt>
                <c:pt idx="4">
                  <c:v>144</c:v>
                </c:pt>
              </c:numCache>
            </c:numRef>
          </c:val>
        </c:ser>
        <c:ser>
          <c:idx val="2"/>
          <c:order val="2"/>
          <c:tx>
            <c:strRef>
              <c:f>Sheet1!$D$1</c:f>
              <c:strCache>
                <c:ptCount val="1"/>
                <c:pt idx="0">
                  <c:v>Column1</c:v>
                </c:pt>
              </c:strCache>
            </c:strRef>
          </c:tx>
          <c:cat>
            <c:numRef>
              <c:f>Sheet1!$A$2:$A$6</c:f>
              <c:numCache>
                <c:formatCode>General</c:formatCode>
                <c:ptCount val="5"/>
                <c:pt idx="0">
                  <c:v>2013</c:v>
                </c:pt>
                <c:pt idx="1">
                  <c:v>2014</c:v>
                </c:pt>
                <c:pt idx="2">
                  <c:v>2015</c:v>
                </c:pt>
                <c:pt idx="3">
                  <c:v>2016</c:v>
                </c:pt>
                <c:pt idx="4">
                  <c:v>2017</c:v>
                </c:pt>
              </c:numCache>
            </c:numRef>
          </c:cat>
          <c:val>
            <c:numRef>
              <c:f>Sheet1!$D$2:$D$6</c:f>
            </c:numRef>
          </c:val>
        </c:ser>
        <c:overlap val="100"/>
        <c:axId val="254438400"/>
        <c:axId val="254452480"/>
      </c:barChart>
      <c:catAx>
        <c:axId val="254438400"/>
        <c:scaling>
          <c:orientation val="minMax"/>
        </c:scaling>
        <c:axPos val="b"/>
        <c:numFmt formatCode="General" sourceLinked="1"/>
        <c:tickLblPos val="nextTo"/>
        <c:crossAx val="254452480"/>
        <c:crosses val="autoZero"/>
        <c:auto val="1"/>
        <c:lblAlgn val="ctr"/>
        <c:lblOffset val="100"/>
      </c:catAx>
      <c:valAx>
        <c:axId val="254452480"/>
        <c:scaling>
          <c:orientation val="minMax"/>
        </c:scaling>
        <c:axPos val="l"/>
        <c:majorGridlines/>
        <c:numFmt formatCode="General" sourceLinked="1"/>
        <c:tickLblPos val="nextTo"/>
        <c:crossAx val="254438400"/>
        <c:crosses val="autoZero"/>
        <c:crossBetween val="between"/>
      </c:valAx>
      <c:spPr>
        <a:solidFill>
          <a:schemeClr val="bg1"/>
        </a:solidFill>
      </c:spPr>
    </c:plotArea>
    <c:legend>
      <c:legendPos val="r"/>
      <c:layout>
        <c:manualLayout>
          <c:xMode val="edge"/>
          <c:yMode val="edge"/>
          <c:x val="0.70436985002015373"/>
          <c:y val="0.35825486460473288"/>
          <c:w val="0.28034941153114201"/>
          <c:h val="0.2333276998966162"/>
        </c:manualLayout>
      </c:layout>
    </c:legend>
    <c:plotVisOnly val="1"/>
    <c:dispBlanksAs val="gap"/>
  </c:chart>
  <c:spPr>
    <a:solidFill>
      <a:schemeClr val="accent3">
        <a:lumMod val="20000"/>
        <a:lumOff val="80000"/>
      </a:schemeClr>
    </a:solidFill>
  </c:sp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b="1" i="0" baseline="0">
                <a:solidFill>
                  <a:sysClr val="windowText" lastClr="000000"/>
                </a:solidFill>
                <a:latin typeface="Arial" pitchFamily="34" charset="0"/>
                <a:cs typeface="Arial" pitchFamily="34" charset="0"/>
              </a:rPr>
              <a:t>Figura nr. X.1.3.1. - 2 Numărul pasagerilor transportaţi în transportul public local, pe tipuri de vehicule mii pasageri pentru perioada 2013 - 2017</a:t>
            </a:r>
            <a:endParaRPr lang="ro-RO" sz="1200">
              <a:solidFill>
                <a:sysClr val="windowText" lastClr="000000"/>
              </a:solidFill>
              <a:latin typeface="Arial" pitchFamily="34" charset="0"/>
              <a:cs typeface="Arial" pitchFamily="34" charset="0"/>
            </a:endParaRPr>
          </a:p>
          <a:p>
            <a:pPr>
              <a:defRPr/>
            </a:pPr>
            <a:endParaRPr lang="ro-RO" sz="1200">
              <a:solidFill>
                <a:srgbClr val="FF0000"/>
              </a:solidFill>
              <a:latin typeface="Arial" pitchFamily="34" charset="0"/>
              <a:cs typeface="Arial" pitchFamily="34" charset="0"/>
            </a:endParaRPr>
          </a:p>
          <a:p>
            <a:pPr>
              <a:defRPr/>
            </a:pPr>
            <a:endParaRPr lang="ro-RO" sz="1200">
              <a:latin typeface="Arial" pitchFamily="34" charset="0"/>
              <a:cs typeface="Arial" pitchFamily="34" charset="0"/>
            </a:endParaRPr>
          </a:p>
        </c:rich>
      </c:tx>
    </c:title>
    <c:plotArea>
      <c:layout>
        <c:manualLayout>
          <c:layoutTarget val="inner"/>
          <c:xMode val="edge"/>
          <c:yMode val="edge"/>
          <c:x val="4.8254228638086906E-2"/>
          <c:y val="0.28848392404067158"/>
          <c:w val="0.62408482793818065"/>
          <c:h val="0.51842233057001497"/>
        </c:manualLayout>
      </c:layout>
      <c:barChart>
        <c:barDir val="col"/>
        <c:grouping val="clustered"/>
        <c:ser>
          <c:idx val="0"/>
          <c:order val="0"/>
          <c:tx>
            <c:strRef>
              <c:f>Sheet1!$B$1</c:f>
              <c:strCache>
                <c:ptCount val="1"/>
                <c:pt idx="0">
                  <c:v>Tramvaie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4898</c:v>
                </c:pt>
                <c:pt idx="1">
                  <c:v>6082</c:v>
                </c:pt>
                <c:pt idx="2">
                  <c:v>11564</c:v>
                </c:pt>
                <c:pt idx="3">
                  <c:v>11174</c:v>
                </c:pt>
                <c:pt idx="4">
                  <c:v>10727</c:v>
                </c:pt>
              </c:numCache>
            </c:numRef>
          </c:val>
        </c:ser>
        <c:ser>
          <c:idx val="1"/>
          <c:order val="1"/>
          <c:tx>
            <c:strRef>
              <c:f>Sheet1!$C$1</c:f>
              <c:strCache>
                <c:ptCount val="1"/>
                <c:pt idx="0">
                  <c:v>Autobuze și Microbuze</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27369.8</c:v>
                </c:pt>
                <c:pt idx="1">
                  <c:v>27069.5</c:v>
                </c:pt>
                <c:pt idx="2">
                  <c:v>24088</c:v>
                </c:pt>
                <c:pt idx="3">
                  <c:v>24017.4</c:v>
                </c:pt>
                <c:pt idx="4">
                  <c:v>22151.3</c:v>
                </c:pt>
              </c:numCache>
            </c:numRef>
          </c:val>
        </c:ser>
        <c:ser>
          <c:idx val="2"/>
          <c:order val="2"/>
          <c:tx>
            <c:strRef>
              <c:f>Sheet1!$D$1</c:f>
              <c:strCache>
                <c:ptCount val="1"/>
                <c:pt idx="0">
                  <c:v>Series 3</c:v>
                </c:pt>
              </c:strCache>
            </c:strRef>
          </c:tx>
          <c:cat>
            <c:numRef>
              <c:f>Sheet1!$A$2:$A$6</c:f>
              <c:numCache>
                <c:formatCode>General</c:formatCode>
                <c:ptCount val="5"/>
                <c:pt idx="0">
                  <c:v>2013</c:v>
                </c:pt>
                <c:pt idx="1">
                  <c:v>2014</c:v>
                </c:pt>
                <c:pt idx="2">
                  <c:v>2015</c:v>
                </c:pt>
                <c:pt idx="3">
                  <c:v>2016</c:v>
                </c:pt>
                <c:pt idx="4">
                  <c:v>2017</c:v>
                </c:pt>
              </c:numCache>
            </c:numRef>
          </c:cat>
          <c:val>
            <c:numRef>
              <c:f>Sheet1!$D$2:$D$6</c:f>
            </c:numRef>
          </c:val>
        </c:ser>
        <c:axId val="254433152"/>
        <c:axId val="254434688"/>
      </c:barChart>
      <c:catAx>
        <c:axId val="254433152"/>
        <c:scaling>
          <c:orientation val="minMax"/>
        </c:scaling>
        <c:axPos val="b"/>
        <c:numFmt formatCode="General" sourceLinked="1"/>
        <c:tickLblPos val="nextTo"/>
        <c:crossAx val="254434688"/>
        <c:crosses val="autoZero"/>
        <c:auto val="1"/>
        <c:lblAlgn val="ctr"/>
        <c:lblOffset val="100"/>
      </c:catAx>
      <c:valAx>
        <c:axId val="254434688"/>
        <c:scaling>
          <c:orientation val="minMax"/>
        </c:scaling>
        <c:axPos val="l"/>
        <c:majorGridlines/>
        <c:numFmt formatCode="General" sourceLinked="1"/>
        <c:tickLblPos val="nextTo"/>
        <c:crossAx val="254433152"/>
        <c:crosses val="autoZero"/>
        <c:crossBetween val="between"/>
      </c:valAx>
    </c:plotArea>
    <c:legend>
      <c:legendPos val="r"/>
      <c:layout>
        <c:manualLayout>
          <c:xMode val="edge"/>
          <c:yMode val="edge"/>
          <c:x val="0.7312973899095947"/>
          <c:y val="0.35686351706036834"/>
          <c:w val="0.25481372120151646"/>
          <c:h val="0.20303899512560941"/>
        </c:manualLayout>
      </c:layout>
    </c:legend>
    <c:plotVisOnly val="1"/>
    <c:dispBlanksAs val="gap"/>
  </c:chart>
  <c:spPr>
    <a:solidFill>
      <a:schemeClr val="accent6">
        <a:lumMod val="20000"/>
        <a:lumOff val="80000"/>
      </a:schemeClr>
    </a:solidFill>
  </c:sp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solidFill>
                  <a:sysClr val="windowText" lastClr="000000"/>
                </a:solidFill>
                <a:latin typeface="Arial" pitchFamily="34" charset="0"/>
                <a:cs typeface="Arial" pitchFamily="34" charset="0"/>
              </a:rPr>
              <a:t>Figura nr. XI.1.3.1. - 3 Numărul pasagerilor transportaţi în transportul public local, pe tipuri de vehicule mii pasageri - km pentru perioada 2013 - 2017</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title>
    <c:plotArea>
      <c:layout>
        <c:manualLayout>
          <c:layoutTarget val="inner"/>
          <c:xMode val="edge"/>
          <c:yMode val="edge"/>
          <c:x val="0.10693478419364252"/>
          <c:y val="0.29889888763904743"/>
          <c:w val="0.600194845435989"/>
          <c:h val="0.53742322718234958"/>
        </c:manualLayout>
      </c:layout>
      <c:barChart>
        <c:barDir val="col"/>
        <c:grouping val="clustered"/>
        <c:ser>
          <c:idx val="0"/>
          <c:order val="0"/>
          <c:tx>
            <c:strRef>
              <c:f>Sheet1!$B$1</c:f>
              <c:strCache>
                <c:ptCount val="1"/>
                <c:pt idx="0">
                  <c:v>Tramvaie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10775</c:v>
                </c:pt>
                <c:pt idx="1">
                  <c:v>13379</c:v>
                </c:pt>
                <c:pt idx="2">
                  <c:v>25440</c:v>
                </c:pt>
                <c:pt idx="3">
                  <c:v>24582</c:v>
                </c:pt>
                <c:pt idx="4">
                  <c:v>23567</c:v>
                </c:pt>
              </c:numCache>
            </c:numRef>
          </c:val>
        </c:ser>
        <c:ser>
          <c:idx val="1"/>
          <c:order val="1"/>
          <c:tx>
            <c:strRef>
              <c:f>Sheet1!$C$1</c:f>
              <c:strCache>
                <c:ptCount val="1"/>
                <c:pt idx="0">
                  <c:v>Autobuze si microbuze</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131755.20000000001</c:v>
                </c:pt>
                <c:pt idx="1">
                  <c:v>131151</c:v>
                </c:pt>
                <c:pt idx="2">
                  <c:v>118027</c:v>
                </c:pt>
                <c:pt idx="3">
                  <c:v>116097.1</c:v>
                </c:pt>
                <c:pt idx="4">
                  <c:v>101411.4</c:v>
                </c:pt>
              </c:numCache>
            </c:numRef>
          </c:val>
        </c:ser>
        <c:axId val="256720896"/>
        <c:axId val="256722432"/>
      </c:barChart>
      <c:catAx>
        <c:axId val="256720896"/>
        <c:scaling>
          <c:orientation val="minMax"/>
        </c:scaling>
        <c:axPos val="b"/>
        <c:numFmt formatCode="General" sourceLinked="1"/>
        <c:tickLblPos val="nextTo"/>
        <c:crossAx val="256722432"/>
        <c:crosses val="autoZero"/>
        <c:auto val="1"/>
        <c:lblAlgn val="ctr"/>
        <c:lblOffset val="100"/>
      </c:catAx>
      <c:valAx>
        <c:axId val="256722432"/>
        <c:scaling>
          <c:orientation val="minMax"/>
        </c:scaling>
        <c:axPos val="l"/>
        <c:majorGridlines/>
        <c:numFmt formatCode="General" sourceLinked="1"/>
        <c:tickLblPos val="nextTo"/>
        <c:crossAx val="256720896"/>
        <c:crosses val="autoZero"/>
        <c:crossBetween val="between"/>
      </c:valAx>
    </c:plotArea>
    <c:legend>
      <c:legendPos val="r"/>
      <c:layout>
        <c:manualLayout>
          <c:xMode val="edge"/>
          <c:yMode val="edge"/>
          <c:x val="0.73259259259259435"/>
          <c:y val="0.38502812148481602"/>
          <c:w val="0.25351851851851853"/>
          <c:h val="0.21891201099862562"/>
        </c:manualLayout>
      </c:layout>
    </c:legend>
    <c:plotVisOnly val="1"/>
    <c:dispBlanksAs val="gap"/>
  </c:chart>
  <c:spPr>
    <a:solidFill>
      <a:schemeClr val="accent6">
        <a:lumMod val="20000"/>
        <a:lumOff val="80000"/>
      </a:schemeClr>
    </a:solidFill>
  </c:sp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latin typeface="Arial" pitchFamily="34" charset="0"/>
                <a:cs typeface="Arial" pitchFamily="34" charset="0"/>
              </a:rPr>
              <a:t>Figura</a:t>
            </a:r>
            <a:r>
              <a:rPr lang="ro-RO" sz="1200" baseline="0">
                <a:latin typeface="Arial" pitchFamily="34" charset="0"/>
                <a:cs typeface="Arial" pitchFamily="34" charset="0"/>
              </a:rPr>
              <a:t> nr.X.2 - 1 </a:t>
            </a:r>
            <a:r>
              <a:rPr lang="ro-RO" sz="1200" b="1" baseline="0">
                <a:latin typeface="Arial" pitchFamily="34" charset="0"/>
                <a:cs typeface="Arial" pitchFamily="34" charset="0"/>
              </a:rPr>
              <a:t>Evoluția densității populației după domiciliu a județului Brăila pentru perioada </a:t>
            </a:r>
            <a:r>
              <a:rPr lang="ro-RO" sz="1200" b="1" baseline="0">
                <a:solidFill>
                  <a:sysClr val="windowText" lastClr="000000"/>
                </a:solidFill>
                <a:latin typeface="Arial" pitchFamily="34" charset="0"/>
                <a:cs typeface="Arial" pitchFamily="34" charset="0"/>
              </a:rPr>
              <a:t>2013 - 2017</a:t>
            </a:r>
          </a:p>
          <a:p>
            <a:pPr>
              <a:defRPr/>
            </a:pPr>
            <a:r>
              <a:rPr lang="ro-RO" sz="1200" b="1" baseline="0">
                <a:solidFill>
                  <a:sysClr val="windowText" lastClr="000000"/>
                </a:solidFill>
                <a:latin typeface="Arial" pitchFamily="34" charset="0"/>
                <a:cs typeface="Arial" pitchFamily="34" charset="0"/>
              </a:rPr>
              <a:t>(locuitori/km</a:t>
            </a:r>
            <a:r>
              <a:rPr lang="ro-RO" sz="1200" b="1" baseline="30000">
                <a:solidFill>
                  <a:sysClr val="windowText" lastClr="000000"/>
                </a:solidFill>
                <a:latin typeface="Arial" pitchFamily="34" charset="0"/>
                <a:cs typeface="Arial" pitchFamily="34" charset="0"/>
              </a:rPr>
              <a:t>2</a:t>
            </a:r>
            <a:r>
              <a:rPr lang="ro-RO" sz="1200" b="1" baseline="0">
                <a:solidFill>
                  <a:sysClr val="windowText" lastClr="000000"/>
                </a:solidFill>
                <a:latin typeface="Arial" pitchFamily="34" charset="0"/>
                <a:cs typeface="Arial" pitchFamily="34" charset="0"/>
              </a:rPr>
              <a:t>)</a:t>
            </a:r>
            <a:endParaRPr lang="ro-RO" sz="1200" b="1">
              <a:solidFill>
                <a:sysClr val="windowText" lastClr="000000"/>
              </a:solidFill>
              <a:latin typeface="Arial" pitchFamily="34" charset="0"/>
              <a:cs typeface="Arial" pitchFamily="34" charset="0"/>
            </a:endParaRPr>
          </a:p>
        </c:rich>
      </c:tx>
      <c:overlay val="1"/>
    </c:title>
    <c:plotArea>
      <c:layout>
        <c:manualLayout>
          <c:layoutTarget val="inner"/>
          <c:xMode val="edge"/>
          <c:yMode val="edge"/>
          <c:x val="7.7502004957713991E-2"/>
          <c:y val="0.30555394950242298"/>
          <c:w val="0.86585411198600171"/>
          <c:h val="0.43490524973961286"/>
        </c:manualLayout>
      </c:layout>
      <c:lineChart>
        <c:grouping val="standard"/>
        <c:ser>
          <c:idx val="0"/>
          <c:order val="0"/>
          <c:tx>
            <c:strRef>
              <c:f>Sheet1!$B$1</c:f>
              <c:strCache>
                <c:ptCount val="1"/>
                <c:pt idx="0">
                  <c:v>Column1</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76.5</c:v>
                </c:pt>
                <c:pt idx="1">
                  <c:v>75.7</c:v>
                </c:pt>
                <c:pt idx="2">
                  <c:v>75</c:v>
                </c:pt>
                <c:pt idx="3">
                  <c:v>74.3</c:v>
                </c:pt>
                <c:pt idx="4">
                  <c:v>74.05</c:v>
                </c:pt>
              </c:numCache>
            </c:numRef>
          </c:val>
        </c:ser>
        <c:marker val="1"/>
        <c:axId val="253924864"/>
        <c:axId val="253926400"/>
      </c:lineChart>
      <c:catAx>
        <c:axId val="253924864"/>
        <c:scaling>
          <c:orientation val="minMax"/>
        </c:scaling>
        <c:axPos val="b"/>
        <c:numFmt formatCode="General" sourceLinked="1"/>
        <c:tickLblPos val="nextTo"/>
        <c:crossAx val="253926400"/>
        <c:crosses val="autoZero"/>
        <c:auto val="1"/>
        <c:lblAlgn val="ctr"/>
        <c:lblOffset val="100"/>
      </c:catAx>
      <c:valAx>
        <c:axId val="253926400"/>
        <c:scaling>
          <c:orientation val="minMax"/>
        </c:scaling>
        <c:axPos val="l"/>
        <c:majorGridlines/>
        <c:numFmt formatCode="General" sourceLinked="1"/>
        <c:tickLblPos val="nextTo"/>
        <c:crossAx val="253924864"/>
        <c:crosses val="autoZero"/>
        <c:crossBetween val="between"/>
      </c:valAx>
      <c:spPr>
        <a:solidFill>
          <a:schemeClr val="accent5">
            <a:lumMod val="20000"/>
            <a:lumOff val="80000"/>
          </a:schemeClr>
        </a:solidFill>
      </c:spPr>
    </c:plotArea>
    <c:plotVisOnly val="1"/>
    <c:dispBlanksAs val="gap"/>
  </c:chart>
  <c:spPr>
    <a:solidFill>
      <a:schemeClr val="accent4">
        <a:lumMod val="20000"/>
        <a:lumOff val="8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7.3954983922829592E-2"/>
          <c:y val="2.1897810218979061E-2"/>
          <c:w val="0.67202572347266964"/>
          <c:h val="0.81555465360644364"/>
        </c:manualLayout>
      </c:layout>
      <c:barChart>
        <c:barDir val="col"/>
        <c:grouping val="clustered"/>
        <c:ser>
          <c:idx val="9"/>
          <c:order val="0"/>
          <c:tx>
            <c:strRef>
              <c:f>Sheet1!$A$2</c:f>
              <c:strCache>
                <c:ptCount val="1"/>
                <c:pt idx="0">
                  <c:v>Medii anuale nef. 2013</c:v>
                </c:pt>
              </c:strCache>
            </c:strRef>
          </c:tx>
          <c:spPr>
            <a:solidFill>
              <a:srgbClr val="FF00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3">
                  <c:v>43.220000000000013</c:v>
                </c:pt>
                <c:pt idx="5">
                  <c:v>36.5</c:v>
                </c:pt>
              </c:numCache>
            </c:numRef>
          </c:val>
        </c:ser>
        <c:ser>
          <c:idx val="10"/>
          <c:order val="1"/>
          <c:tx>
            <c:strRef>
              <c:f>Sheet1!$A$3</c:f>
              <c:strCache>
                <c:ptCount val="1"/>
                <c:pt idx="0">
                  <c:v>Medii anuale nef. 2014</c:v>
                </c:pt>
              </c:strCache>
            </c:strRef>
          </c:tx>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5">
                  <c:v>46.03</c:v>
                </c:pt>
              </c:numCache>
            </c:numRef>
          </c:val>
        </c:ser>
        <c:ser>
          <c:idx val="2"/>
          <c:order val="2"/>
          <c:tx>
            <c:strRef>
              <c:f>Sheet1!$A$4</c:f>
              <c:strCache>
                <c:ptCount val="1"/>
                <c:pt idx="0">
                  <c:v>Medii anuale nef. 2015</c:v>
                </c:pt>
              </c:strCache>
            </c:strRef>
          </c:tx>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2">
                  <c:v>36.68</c:v>
                </c:pt>
                <c:pt idx="3">
                  <c:v>30.73</c:v>
                </c:pt>
              </c:numCache>
            </c:numRef>
          </c:val>
        </c:ser>
        <c:ser>
          <c:idx val="3"/>
          <c:order val="3"/>
          <c:tx>
            <c:strRef>
              <c:f>Sheet1!$A$5</c:f>
              <c:strCache>
                <c:ptCount val="1"/>
                <c:pt idx="0">
                  <c:v>Medii anuale nef 2016</c:v>
                </c:pt>
              </c:strCache>
            </c:strRef>
          </c:tx>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0">
                  <c:v>24.610000000000031</c:v>
                </c:pt>
                <c:pt idx="2">
                  <c:v>21.91</c:v>
                </c:pt>
                <c:pt idx="3">
                  <c:v>30.85</c:v>
                </c:pt>
                <c:pt idx="4">
                  <c:v>22.459999999999987</c:v>
                </c:pt>
                <c:pt idx="5">
                  <c:v>33.4</c:v>
                </c:pt>
              </c:numCache>
            </c:numRef>
          </c:val>
        </c:ser>
        <c:ser>
          <c:idx val="4"/>
          <c:order val="4"/>
          <c:tx>
            <c:strRef>
              <c:f>Sheet1!$A$6</c:f>
              <c:strCache>
                <c:ptCount val="1"/>
                <c:pt idx="0">
                  <c:v>Medii anuale nef 2017</c:v>
                </c:pt>
              </c:strCache>
            </c:strRef>
          </c:tx>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0">
                  <c:v>21.79</c:v>
                </c:pt>
                <c:pt idx="2">
                  <c:v>19.110000000000031</c:v>
                </c:pt>
                <c:pt idx="3">
                  <c:v>22.09</c:v>
                </c:pt>
                <c:pt idx="4">
                  <c:v>18.86</c:v>
                </c:pt>
                <c:pt idx="5">
                  <c:v>22.54</c:v>
                </c:pt>
              </c:numCache>
            </c:numRef>
          </c:val>
        </c:ser>
        <c:ser>
          <c:idx val="13"/>
          <c:order val="5"/>
          <c:tx>
            <c:strRef>
              <c:f>Sheet1!$A$7</c:f>
              <c:strCache>
                <c:ptCount val="1"/>
                <c:pt idx="0">
                  <c:v>Medii anuale grav. 2013</c:v>
                </c:pt>
              </c:strCache>
            </c:strRef>
          </c:tx>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3">
                  <c:v>39.1</c:v>
                </c:pt>
              </c:numCache>
            </c:numRef>
          </c:val>
        </c:ser>
        <c:ser>
          <c:idx val="0"/>
          <c:order val="6"/>
          <c:tx>
            <c:strRef>
              <c:f>Sheet1!$A$8</c:f>
              <c:strCache>
                <c:ptCount val="1"/>
                <c:pt idx="0">
                  <c:v>Medii anuale grav. 2014</c:v>
                </c:pt>
              </c:strCache>
            </c:strRef>
          </c:tx>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3">
                  <c:v>39.1</c:v>
                </c:pt>
              </c:numCache>
            </c:numRef>
          </c:val>
        </c:ser>
        <c:ser>
          <c:idx val="1"/>
          <c:order val="7"/>
          <c:tx>
            <c:strRef>
              <c:f>Sheet1!$A$9</c:f>
              <c:strCache>
                <c:ptCount val="1"/>
                <c:pt idx="0">
                  <c:v>Medii anuale grav. 2015</c:v>
                </c:pt>
              </c:strCache>
            </c:strRef>
          </c:tx>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numCache>
            </c:numRef>
          </c:val>
        </c:ser>
        <c:ser>
          <c:idx val="5"/>
          <c:order val="8"/>
          <c:tx>
            <c:strRef>
              <c:f>Sheet1!$A$10</c:f>
              <c:strCache>
                <c:ptCount val="1"/>
                <c:pt idx="0">
                  <c:v>Medii anuale grav. 2016</c:v>
                </c:pt>
              </c:strCache>
            </c:strRef>
          </c:tx>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numCache>
            </c:numRef>
          </c:val>
        </c:ser>
        <c:ser>
          <c:idx val="6"/>
          <c:order val="9"/>
          <c:tx>
            <c:strRef>
              <c:f>Sheet1!$A$11</c:f>
              <c:strCache>
                <c:ptCount val="1"/>
                <c:pt idx="0">
                  <c:v>Medii anuale grav. 2017</c:v>
                </c:pt>
              </c:strCache>
            </c:strRef>
          </c:tx>
          <c:cat>
            <c:strRef>
              <c:f>Sheet1!$B$1:$G$1</c:f>
              <c:strCache>
                <c:ptCount val="6"/>
                <c:pt idx="0">
                  <c:v>BR1</c:v>
                </c:pt>
                <c:pt idx="1">
                  <c:v>BR2-PM2,5</c:v>
                </c:pt>
                <c:pt idx="2">
                  <c:v>BR2-PM10</c:v>
                </c:pt>
                <c:pt idx="3">
                  <c:v>BR3</c:v>
                </c:pt>
                <c:pt idx="4">
                  <c:v>BR4</c:v>
                </c:pt>
                <c:pt idx="5">
                  <c:v>BR5</c:v>
                </c:pt>
              </c:strCache>
            </c:strRef>
          </c:cat>
          <c:val>
            <c:numRef>
              <c:f>Sheet1!$B$11:$G$11</c:f>
              <c:numCache>
                <c:formatCode>General</c:formatCode>
                <c:ptCount val="6"/>
                <c:pt idx="0">
                  <c:v>22.979999999999986</c:v>
                </c:pt>
                <c:pt idx="1">
                  <c:v>13.56</c:v>
                </c:pt>
                <c:pt idx="2">
                  <c:v>17.12</c:v>
                </c:pt>
                <c:pt idx="3">
                  <c:v>24.58</c:v>
                </c:pt>
                <c:pt idx="4">
                  <c:v>19.18</c:v>
                </c:pt>
              </c:numCache>
            </c:numRef>
          </c:val>
        </c:ser>
        <c:gapWidth val="270"/>
        <c:axId val="224728192"/>
        <c:axId val="224729728"/>
      </c:barChart>
      <c:catAx>
        <c:axId val="2247281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4729728"/>
        <c:crosses val="autoZero"/>
        <c:auto val="1"/>
        <c:lblAlgn val="ctr"/>
        <c:lblOffset val="100"/>
        <c:tickLblSkip val="1"/>
        <c:tickMarkSkip val="1"/>
      </c:catAx>
      <c:valAx>
        <c:axId val="224729728"/>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9.2828516195954548E-3"/>
              <c:y val="0.15429372141490444"/>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4728192"/>
        <c:crosses val="autoZero"/>
        <c:crossBetween val="between"/>
      </c:valAx>
      <c:spPr>
        <a:solidFill>
          <a:srgbClr val="FFFFCC"/>
        </a:solidFill>
        <a:ln w="12700">
          <a:solidFill>
            <a:srgbClr val="000000"/>
          </a:solidFill>
          <a:prstDash val="solid"/>
        </a:ln>
      </c:spPr>
    </c:plotArea>
    <c:legend>
      <c:legendPos val="r"/>
      <c:layout>
        <c:manualLayout>
          <c:xMode val="edge"/>
          <c:yMode val="edge"/>
          <c:x val="0.7700419633174661"/>
          <c:y val="0.17343074383743637"/>
          <c:w val="0.20024843592664263"/>
          <c:h val="0.68013012529390926"/>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sz="1200">
                <a:latin typeface="Arial" pitchFamily="34" charset="0"/>
                <a:cs typeface="Arial" pitchFamily="34" charset="0"/>
              </a:defRPr>
            </a:pPr>
            <a:r>
              <a:rPr lang="ro-RO" sz="1200">
                <a:latin typeface="Arial" pitchFamily="34" charset="0"/>
                <a:cs typeface="Arial" pitchFamily="34" charset="0"/>
              </a:rPr>
              <a:t>Figura nr.X.2. - 2 Evoluția densității</a:t>
            </a:r>
            <a:r>
              <a:rPr lang="ro-RO" sz="1200" baseline="0">
                <a:latin typeface="Arial" pitchFamily="34" charset="0"/>
                <a:cs typeface="Arial" pitchFamily="34" charset="0"/>
              </a:rPr>
              <a:t> populației rezidente a județului Brăila pentru perioada </a:t>
            </a:r>
          </a:p>
          <a:p>
            <a:pPr algn="ctr">
              <a:defRPr sz="1200">
                <a:latin typeface="Arial" pitchFamily="34" charset="0"/>
                <a:cs typeface="Arial" pitchFamily="34" charset="0"/>
              </a:defRPr>
            </a:pPr>
            <a:r>
              <a:rPr lang="ro-RO" sz="1200" baseline="0">
                <a:solidFill>
                  <a:sysClr val="windowText" lastClr="000000"/>
                </a:solidFill>
                <a:latin typeface="Arial" pitchFamily="34" charset="0"/>
                <a:cs typeface="Arial" pitchFamily="34" charset="0"/>
              </a:rPr>
              <a:t>2013 - 2017</a:t>
            </a:r>
          </a:p>
          <a:p>
            <a:pPr algn="ctr">
              <a:defRPr sz="1200">
                <a:latin typeface="Arial" pitchFamily="34" charset="0"/>
                <a:cs typeface="Arial" pitchFamily="34" charset="0"/>
              </a:defRPr>
            </a:pPr>
            <a:r>
              <a:rPr lang="ro-RO" sz="1200" baseline="0">
                <a:latin typeface="Arial" pitchFamily="34" charset="0"/>
                <a:cs typeface="Arial" pitchFamily="34" charset="0"/>
              </a:rPr>
              <a:t>(locuitori/km</a:t>
            </a:r>
            <a:r>
              <a:rPr lang="ro-RO" sz="1200" baseline="30000">
                <a:latin typeface="Arial" pitchFamily="34" charset="0"/>
                <a:cs typeface="Arial" pitchFamily="34" charset="0"/>
              </a:rPr>
              <a:t>2</a:t>
            </a:r>
            <a:r>
              <a:rPr lang="ro-RO" sz="1200" baseline="0">
                <a:latin typeface="Arial" pitchFamily="34" charset="0"/>
                <a:cs typeface="Arial" pitchFamily="34" charset="0"/>
              </a:rPr>
              <a:t>)</a:t>
            </a:r>
            <a:r>
              <a:rPr lang="ro-RO" sz="1200">
                <a:latin typeface="Arial" pitchFamily="34" charset="0"/>
                <a:cs typeface="Arial" pitchFamily="34" charset="0"/>
              </a:rPr>
              <a:t> </a:t>
            </a:r>
            <a:endParaRPr lang="en-US" sz="1200">
              <a:latin typeface="Arial" pitchFamily="34" charset="0"/>
              <a:cs typeface="Arial" pitchFamily="34" charset="0"/>
            </a:endParaRPr>
          </a:p>
        </c:rich>
      </c:tx>
      <c:layout>
        <c:manualLayout>
          <c:xMode val="edge"/>
          <c:yMode val="edge"/>
          <c:x val="0.13093759113444201"/>
          <c:y val="0"/>
        </c:manualLayout>
      </c:layout>
    </c:title>
    <c:plotArea>
      <c:layout>
        <c:manualLayout>
          <c:layoutTarget val="inner"/>
          <c:xMode val="edge"/>
          <c:yMode val="edge"/>
          <c:x val="5.99903397491982E-2"/>
          <c:y val="0.31072467517936997"/>
          <c:w val="0.91454669728783899"/>
          <c:h val="0.54167671855890565"/>
        </c:manualLayout>
      </c:layout>
      <c:lineChart>
        <c:grouping val="standard"/>
        <c:ser>
          <c:idx val="0"/>
          <c:order val="0"/>
          <c:tx>
            <c:strRef>
              <c:f>Sheet1!$B$1</c:f>
              <c:strCache>
                <c:ptCount val="1"/>
                <c:pt idx="0">
                  <c:v>Series 1</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66.22</c:v>
                </c:pt>
                <c:pt idx="1">
                  <c:v>65.489999999999995</c:v>
                </c:pt>
                <c:pt idx="2">
                  <c:v>64.649999999999991</c:v>
                </c:pt>
                <c:pt idx="3">
                  <c:v>63.71</c:v>
                </c:pt>
                <c:pt idx="4">
                  <c:v>62.760000000000012</c:v>
                </c:pt>
              </c:numCache>
            </c:numRef>
          </c:val>
        </c:ser>
        <c:marker val="1"/>
        <c:axId val="256682240"/>
        <c:axId val="256847872"/>
      </c:lineChart>
      <c:catAx>
        <c:axId val="256682240"/>
        <c:scaling>
          <c:orientation val="minMax"/>
        </c:scaling>
        <c:axPos val="b"/>
        <c:numFmt formatCode="General" sourceLinked="1"/>
        <c:tickLblPos val="nextTo"/>
        <c:crossAx val="256847872"/>
        <c:crosses val="autoZero"/>
        <c:auto val="1"/>
        <c:lblAlgn val="ctr"/>
        <c:lblOffset val="100"/>
      </c:catAx>
      <c:valAx>
        <c:axId val="256847872"/>
        <c:scaling>
          <c:orientation val="minMax"/>
        </c:scaling>
        <c:axPos val="l"/>
        <c:majorGridlines/>
        <c:numFmt formatCode="General" sourceLinked="1"/>
        <c:tickLblPos val="nextTo"/>
        <c:crossAx val="256682240"/>
        <c:crosses val="autoZero"/>
        <c:crossBetween val="between"/>
      </c:valAx>
    </c:plotArea>
    <c:plotVisOnly val="1"/>
    <c:dispBlanksAs val="gap"/>
  </c:chart>
  <c:spPr>
    <a:solidFill>
      <a:schemeClr val="accent4">
        <a:lumMod val="20000"/>
        <a:lumOff val="80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21"/>
      <c:hPercent val="42"/>
      <c:rotY val="43"/>
      <c:depthPercent val="50"/>
      <c:rAngAx val="1"/>
    </c:view3D>
    <c:floor>
      <c:spPr>
        <a:solidFill>
          <a:srgbClr val="FFFFCC"/>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116040955631611"/>
          <c:y val="8.6580086580086743E-2"/>
          <c:w val="0.62116040955631402"/>
          <c:h val="0.6536796536796966"/>
        </c:manualLayout>
      </c:layout>
      <c:bar3DChart>
        <c:barDir val="col"/>
        <c:grouping val="clustered"/>
        <c:ser>
          <c:idx val="0"/>
          <c:order val="0"/>
          <c:tx>
            <c:strRef>
              <c:f>Sheet1!$A$2</c:f>
              <c:strCache>
                <c:ptCount val="1"/>
                <c:pt idx="0">
                  <c:v>Medii noe şi dec 2008</c:v>
                </c:pt>
              </c:strCache>
            </c:strRef>
          </c:tx>
          <c:spPr>
            <a:solidFill>
              <a:srgbClr val="9999FF"/>
            </a:solidFill>
            <a:ln w="12700">
              <a:solidFill>
                <a:srgbClr val="000000"/>
              </a:solidFill>
              <a:prstDash val="solid"/>
            </a:ln>
          </c:spPr>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6.0000000000000114E-3</c:v>
                </c:pt>
                <c:pt idx="2">
                  <c:v>6.1000000000000004E-3</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7.5000000000000934E-3</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5.3000000000000104E-3</c:v>
                </c:pt>
                <c:pt idx="2">
                  <c:v>5.1999999999999998E-3</c:v>
                </c:pt>
              </c:numCache>
            </c:numRef>
          </c:val>
        </c:ser>
        <c:gapWidth val="300"/>
        <c:gapDepth val="100"/>
        <c:shape val="box"/>
        <c:axId val="224760192"/>
        <c:axId val="224761728"/>
        <c:axId val="0"/>
      </c:bar3DChart>
      <c:catAx>
        <c:axId val="22476019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4761728"/>
        <c:crosses val="autoZero"/>
        <c:auto val="1"/>
        <c:lblAlgn val="ctr"/>
        <c:lblOffset val="100"/>
        <c:tickLblSkip val="1"/>
        <c:tickMarkSkip val="1"/>
      </c:catAx>
      <c:valAx>
        <c:axId val="224761728"/>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micrograme/mc</a:t>
                </a:r>
              </a:p>
            </c:rich>
          </c:tx>
          <c:layout>
            <c:manualLayout>
              <c:xMode val="edge"/>
              <c:yMode val="edge"/>
              <c:x val="1.4079844297537681E-2"/>
              <c:y val="0.22943730356673181"/>
            </c:manualLayout>
          </c:layout>
          <c:spPr>
            <a:noFill/>
            <a:ln w="25399">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224760192"/>
        <c:crosses val="autoZero"/>
        <c:crossBetween val="between"/>
      </c:valAx>
      <c:spPr>
        <a:noFill/>
        <a:ln w="25399">
          <a:noFill/>
        </a:ln>
      </c:spPr>
    </c:plotArea>
    <c:legend>
      <c:legendPos val="r"/>
      <c:layout>
        <c:manualLayout>
          <c:xMode val="edge"/>
          <c:yMode val="edge"/>
          <c:x val="0.76109215017064868"/>
          <c:y val="0.33333333333333331"/>
          <c:w val="0.23037542662116042"/>
          <c:h val="0.25108225108225934"/>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201"/>
          <c:h val="0.65934065934066965"/>
        </c:manualLayout>
      </c:layout>
      <c:bar3DChart>
        <c:barDir val="col"/>
        <c:grouping val="clustered"/>
        <c:ser>
          <c:idx val="4"/>
          <c:order val="0"/>
          <c:tx>
            <c:strRef>
              <c:f>Sheet1!$A$2</c:f>
              <c:strCache>
                <c:ptCount val="1"/>
                <c:pt idx="0">
                  <c:v>Medii anuale 2013</c:v>
                </c:pt>
              </c:strCache>
            </c:strRef>
          </c:tx>
          <c:spPr>
            <a:solidFill>
              <a:srgbClr val="6600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1">
                  <c:v>0.15000000000000024</c:v>
                </c:pt>
                <c:pt idx="2">
                  <c:v>0.14000000000000001</c:v>
                </c:pt>
                <c:pt idx="3">
                  <c:v>6.0000000000000032E-2</c:v>
                </c:pt>
                <c:pt idx="4">
                  <c:v>8.0000000000000043E-2</c:v>
                </c:pt>
              </c:numCache>
            </c:numRef>
          </c:val>
        </c:ser>
        <c:ser>
          <c:idx val="5"/>
          <c:order val="1"/>
          <c:tx>
            <c:strRef>
              <c:f>Sheet1!$A$3</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pt idx="1">
                  <c:v>0.22</c:v>
                </c:pt>
                <c:pt idx="2">
                  <c:v>0.21000000000000021</c:v>
                </c:pt>
                <c:pt idx="3">
                  <c:v>0.11</c:v>
                </c:pt>
                <c:pt idx="4">
                  <c:v>0.05</c:v>
                </c:pt>
              </c:numCache>
            </c:numRef>
          </c:val>
        </c:ser>
        <c:ser>
          <c:idx val="6"/>
          <c:order val="2"/>
          <c:tx>
            <c:strRef>
              <c:f>Sheet1!$A$4</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pt idx="0">
                  <c:v>0.34</c:v>
                </c:pt>
                <c:pt idx="1">
                  <c:v>0.11</c:v>
                </c:pt>
                <c:pt idx="2">
                  <c:v>0.11</c:v>
                </c:pt>
                <c:pt idx="3">
                  <c:v>0.1</c:v>
                </c:pt>
                <c:pt idx="4">
                  <c:v>4.0000000000000022E-2</c:v>
                </c:pt>
              </c:numCache>
            </c:numRef>
          </c:val>
        </c:ser>
        <c:ser>
          <c:idx val="7"/>
          <c:order val="3"/>
          <c:tx>
            <c:strRef>
              <c:f>Sheet1!$A$5</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0">
                  <c:v>0</c:v>
                </c:pt>
                <c:pt idx="1">
                  <c:v>0</c:v>
                </c:pt>
                <c:pt idx="2">
                  <c:v>0</c:v>
                </c:pt>
                <c:pt idx="3">
                  <c:v>0</c:v>
                </c:pt>
                <c:pt idx="4">
                  <c:v>0</c:v>
                </c:pt>
              </c:numCache>
            </c:numRef>
          </c:val>
        </c:ser>
        <c:ser>
          <c:idx val="8"/>
          <c:order val="4"/>
          <c:tx>
            <c:strRef>
              <c:f>Sheet1!$A$6</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0</c:v>
                </c:pt>
                <c:pt idx="1">
                  <c:v>0</c:v>
                </c:pt>
                <c:pt idx="2">
                  <c:v>0</c:v>
                </c:pt>
                <c:pt idx="3">
                  <c:v>0</c:v>
                </c:pt>
                <c:pt idx="4">
                  <c:v>0</c:v>
                </c:pt>
              </c:numCache>
            </c:numRef>
          </c:val>
        </c:ser>
        <c:gapWidth val="260"/>
        <c:gapDepth val="0"/>
        <c:shape val="box"/>
        <c:axId val="226198656"/>
        <c:axId val="226200192"/>
        <c:axId val="0"/>
      </c:bar3DChart>
      <c:catAx>
        <c:axId val="22619865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6200192"/>
        <c:crosses val="autoZero"/>
        <c:auto val="1"/>
        <c:lblAlgn val="ctr"/>
        <c:lblOffset val="100"/>
        <c:tickLblSkip val="1"/>
        <c:tickMarkSkip val="1"/>
      </c:catAx>
      <c:valAx>
        <c:axId val="226200192"/>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miligrame/mc</a:t>
                </a:r>
              </a:p>
            </c:rich>
          </c:tx>
          <c:layout>
            <c:manualLayout>
              <c:xMode val="edge"/>
              <c:yMode val="edge"/>
              <c:x val="4.0992385457522033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6198656"/>
        <c:crosses val="autoZero"/>
        <c:crossBetween val="between"/>
      </c:valAx>
      <c:spPr>
        <a:noFill/>
        <a:ln w="25400">
          <a:noFill/>
        </a:ln>
      </c:spPr>
    </c:plotArea>
    <c:legend>
      <c:legendPos val="r"/>
      <c:layout>
        <c:manualLayout>
          <c:xMode val="edge"/>
          <c:yMode val="edge"/>
          <c:x val="0.77325589054220856"/>
          <c:y val="5.4334536307962034E-2"/>
          <c:w val="0.19241699350318894"/>
          <c:h val="0.6402416885389409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141791044776118E-2"/>
          <c:y val="6.7796610169494148E-2"/>
          <c:w val="0.65485074626867479"/>
          <c:h val="0.76836158192089998"/>
        </c:manualLayout>
      </c:layout>
      <c:bar3DChart>
        <c:barDir val="col"/>
        <c:grouping val="clustered"/>
        <c:ser>
          <c:idx val="0"/>
          <c:order val="0"/>
          <c:tx>
            <c:strRef>
              <c:f>Sheet1!$A$2</c:f>
              <c:strCache>
                <c:ptCount val="1"/>
                <c:pt idx="0">
                  <c:v>Medii anuale 2008</c:v>
                </c:pt>
              </c:strCache>
            </c:strRef>
          </c:tx>
          <c:spPr>
            <a:solidFill>
              <a:srgbClr val="9999FF"/>
            </a:solidFill>
            <a:ln w="12701">
              <a:solidFill>
                <a:srgbClr val="000000"/>
              </a:solidFill>
              <a:prstDash val="solid"/>
            </a:ln>
          </c:spPr>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ser>
        <c:ser>
          <c:idx val="1"/>
          <c:order val="1"/>
          <c:tx>
            <c:strRef>
              <c:f>Sheet1!$A$3</c:f>
              <c:strCache>
                <c:ptCount val="1"/>
                <c:pt idx="0">
                  <c:v>Medii anuale 2009</c:v>
                </c:pt>
              </c:strCache>
            </c:strRef>
          </c:tx>
          <c:spPr>
            <a:solidFill>
              <a:srgbClr val="993366"/>
            </a:solidFill>
            <a:ln w="12701">
              <a:solidFill>
                <a:srgbClr val="000000"/>
              </a:solidFill>
              <a:prstDash val="solid"/>
            </a:ln>
          </c:spPr>
          <c:cat>
            <c:strRef>
              <c:f>Sheet1!$B$1:$E$1</c:f>
              <c:strCache>
                <c:ptCount val="4"/>
                <c:pt idx="0">
                  <c:v>BR1</c:v>
                </c:pt>
                <c:pt idx="1">
                  <c:v>BR2</c:v>
                </c:pt>
                <c:pt idx="2">
                  <c:v>BR3</c:v>
                </c:pt>
                <c:pt idx="3">
                  <c:v>BR5</c:v>
                </c:pt>
              </c:strCache>
            </c:strRef>
          </c:cat>
          <c:val>
            <c:numRef>
              <c:f>Sheet1!$B$3:$E$3</c:f>
              <c:numCache>
                <c:formatCode>General</c:formatCode>
                <c:ptCount val="4"/>
                <c:pt idx="0">
                  <c:v>4.6499999999999995</c:v>
                </c:pt>
                <c:pt idx="1">
                  <c:v>0.25</c:v>
                </c:pt>
                <c:pt idx="2">
                  <c:v>1.48</c:v>
                </c:pt>
              </c:numCache>
            </c:numRef>
          </c:val>
        </c:ser>
        <c:ser>
          <c:idx val="2"/>
          <c:order val="2"/>
          <c:tx>
            <c:strRef>
              <c:f>Sheet1!$A$4</c:f>
              <c:strCache>
                <c:ptCount val="1"/>
                <c:pt idx="0">
                  <c:v>Medii anuale 2010</c:v>
                </c:pt>
              </c:strCache>
            </c:strRef>
          </c:tx>
          <c:spPr>
            <a:solidFill>
              <a:srgbClr val="00FF00"/>
            </a:solidFill>
            <a:ln w="12701">
              <a:solidFill>
                <a:srgbClr val="000000"/>
              </a:solidFill>
              <a:prstDash val="solid"/>
            </a:ln>
          </c:spPr>
          <c:cat>
            <c:strRef>
              <c:f>Sheet1!$B$1:$E$1</c:f>
              <c:strCache>
                <c:ptCount val="4"/>
                <c:pt idx="0">
                  <c:v>BR1</c:v>
                </c:pt>
                <c:pt idx="1">
                  <c:v>BR2</c:v>
                </c:pt>
                <c:pt idx="2">
                  <c:v>BR3</c:v>
                </c:pt>
                <c:pt idx="3">
                  <c:v>BR5</c:v>
                </c:pt>
              </c:strCache>
            </c:strRef>
          </c:cat>
          <c:val>
            <c:numRef>
              <c:f>Sheet1!$B$4:$E$4</c:f>
              <c:numCache>
                <c:formatCode>General</c:formatCode>
                <c:ptCount val="4"/>
                <c:pt idx="0">
                  <c:v>2.4099999999999997</c:v>
                </c:pt>
                <c:pt idx="1">
                  <c:v>0.13</c:v>
                </c:pt>
                <c:pt idx="2">
                  <c:v>1.41</c:v>
                </c:pt>
                <c:pt idx="3">
                  <c:v>2.1</c:v>
                </c:pt>
              </c:numCache>
            </c:numRef>
          </c:val>
        </c:ser>
        <c:ser>
          <c:idx val="3"/>
          <c:order val="3"/>
          <c:tx>
            <c:strRef>
              <c:f>Sheet1!$A$5</c:f>
              <c:strCache>
                <c:ptCount val="1"/>
                <c:pt idx="0">
                  <c:v>Medii anuale 2011</c:v>
                </c:pt>
              </c:strCache>
            </c:strRef>
          </c:tx>
          <c:spPr>
            <a:solidFill>
              <a:srgbClr val="CCFFFF"/>
            </a:solidFill>
            <a:ln w="12701">
              <a:solidFill>
                <a:srgbClr val="000000"/>
              </a:solidFill>
              <a:prstDash val="solid"/>
            </a:ln>
          </c:spPr>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ser>
        <c:ser>
          <c:idx val="4"/>
          <c:order val="4"/>
          <c:tx>
            <c:strRef>
              <c:f>Sheet1!$A$6</c:f>
              <c:strCache>
                <c:ptCount val="1"/>
                <c:pt idx="0">
                  <c:v>Medii anuale 2012</c:v>
                </c:pt>
              </c:strCache>
            </c:strRef>
          </c:tx>
          <c:cat>
            <c:strRef>
              <c:f>Sheet1!$B$1:$E$1</c:f>
              <c:strCache>
                <c:ptCount val="4"/>
                <c:pt idx="0">
                  <c:v>BR1</c:v>
                </c:pt>
                <c:pt idx="1">
                  <c:v>BR2</c:v>
                </c:pt>
                <c:pt idx="2">
                  <c:v>BR3</c:v>
                </c:pt>
                <c:pt idx="3">
                  <c:v>BR5</c:v>
                </c:pt>
              </c:strCache>
            </c:strRef>
          </c:cat>
          <c:val>
            <c:numRef>
              <c:f>Sheet1!$B$6:$E$6</c:f>
              <c:numCache>
                <c:formatCode>General</c:formatCode>
                <c:ptCount val="4"/>
                <c:pt idx="2">
                  <c:v>2.4499999999999997</c:v>
                </c:pt>
                <c:pt idx="3">
                  <c:v>0.93</c:v>
                </c:pt>
              </c:numCache>
            </c:numRef>
          </c:val>
        </c:ser>
        <c:ser>
          <c:idx val="5"/>
          <c:order val="5"/>
          <c:tx>
            <c:strRef>
              <c:f>Sheet1!$A$7</c:f>
              <c:strCache>
                <c:ptCount val="1"/>
                <c:pt idx="0">
                  <c:v>Medii anuale 2016</c:v>
                </c:pt>
              </c:strCache>
            </c:strRef>
          </c:tx>
          <c:cat>
            <c:strRef>
              <c:f>Sheet1!$B$1:$E$1</c:f>
              <c:strCache>
                <c:ptCount val="4"/>
                <c:pt idx="0">
                  <c:v>BR1</c:v>
                </c:pt>
                <c:pt idx="1">
                  <c:v>BR2</c:v>
                </c:pt>
                <c:pt idx="2">
                  <c:v>BR3</c:v>
                </c:pt>
                <c:pt idx="3">
                  <c:v>BR5</c:v>
                </c:pt>
              </c:strCache>
            </c:strRef>
          </c:cat>
          <c:val>
            <c:numRef>
              <c:f>Sheet1!$B$7:$E$7</c:f>
              <c:numCache>
                <c:formatCode>General</c:formatCode>
                <c:ptCount val="4"/>
                <c:pt idx="0">
                  <c:v>1.9300000000000059</c:v>
                </c:pt>
                <c:pt idx="1">
                  <c:v>1.2</c:v>
                </c:pt>
                <c:pt idx="3">
                  <c:v>1.37</c:v>
                </c:pt>
              </c:numCache>
            </c:numRef>
          </c:val>
        </c:ser>
        <c:ser>
          <c:idx val="6"/>
          <c:order val="6"/>
          <c:tx>
            <c:strRef>
              <c:f>Sheet1!$A$8</c:f>
              <c:strCache>
                <c:ptCount val="1"/>
                <c:pt idx="0">
                  <c:v>Medii anuale 2017</c:v>
                </c:pt>
              </c:strCache>
            </c:strRef>
          </c:tx>
          <c:cat>
            <c:strRef>
              <c:f>Sheet1!$B$1:$E$1</c:f>
              <c:strCache>
                <c:ptCount val="4"/>
                <c:pt idx="0">
                  <c:v>BR1</c:v>
                </c:pt>
                <c:pt idx="1">
                  <c:v>BR2</c:v>
                </c:pt>
                <c:pt idx="2">
                  <c:v>BR3</c:v>
                </c:pt>
                <c:pt idx="3">
                  <c:v>BR5</c:v>
                </c:pt>
              </c:strCache>
            </c:strRef>
          </c:cat>
          <c:val>
            <c:numRef>
              <c:f>Sheet1!$B$8:$E$8</c:f>
              <c:numCache>
                <c:formatCode>General</c:formatCode>
                <c:ptCount val="4"/>
                <c:pt idx="0">
                  <c:v>2.3899999999999997</c:v>
                </c:pt>
                <c:pt idx="1">
                  <c:v>1.4</c:v>
                </c:pt>
                <c:pt idx="2">
                  <c:v>2.71</c:v>
                </c:pt>
                <c:pt idx="3">
                  <c:v>1.9100000000000001</c:v>
                </c:pt>
              </c:numCache>
            </c:numRef>
          </c:val>
        </c:ser>
        <c:gapWidth val="500"/>
        <c:gapDepth val="0"/>
        <c:shape val="box"/>
        <c:axId val="226372992"/>
        <c:axId val="226391168"/>
        <c:axId val="0"/>
      </c:bar3DChart>
      <c:catAx>
        <c:axId val="226372992"/>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226391168"/>
        <c:crosses val="autoZero"/>
        <c:auto val="1"/>
        <c:lblAlgn val="ctr"/>
        <c:lblOffset val="100"/>
        <c:tickLblSkip val="1"/>
        <c:tickMarkSkip val="1"/>
      </c:catAx>
      <c:valAx>
        <c:axId val="22639116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2788773889552704E-2"/>
              <c:y val="0.16384184597246548"/>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226372992"/>
        <c:crosses val="autoZero"/>
        <c:crossBetween val="between"/>
      </c:valAx>
      <c:spPr>
        <a:noFill/>
        <a:ln w="25401">
          <a:noFill/>
        </a:ln>
      </c:spPr>
    </c:plotArea>
    <c:legend>
      <c:legendPos val="r"/>
      <c:layout>
        <c:manualLayout>
          <c:xMode val="edge"/>
          <c:yMode val="edge"/>
          <c:x val="0.76492537313434805"/>
          <c:y val="0.14689265536723553"/>
          <c:w val="0.20113604629403042"/>
          <c:h val="0.74367594425028882"/>
        </c:manualLayout>
      </c:layout>
      <c:spPr>
        <a:solidFill>
          <a:srgbClr val="FFFFFF"/>
        </a:solid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125"/>
          <c:h val="0.72979095260152782"/>
        </c:manualLayout>
      </c:layout>
      <c:bar3DChart>
        <c:barDir val="col"/>
        <c:grouping val="clustered"/>
        <c:ser>
          <c:idx val="3"/>
          <c:order val="0"/>
          <c:tx>
            <c:strRef>
              <c:f>Sheet1!#REF!</c:f>
              <c:strCache>
                <c:ptCount val="1"/>
                <c:pt idx="0">
                  <c:v>#REF!</c:v>
                </c:pt>
              </c:strCache>
            </c:strRef>
          </c:tx>
          <c:spPr>
            <a:solidFill>
              <a:srgbClr val="CCFFFF"/>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0"/>
          <c:order val="1"/>
          <c:tx>
            <c:strRef>
              <c:f>Sheet1!#REF!</c:f>
              <c:strCache>
                <c:ptCount val="1"/>
                <c:pt idx="0">
                  <c:v>#REF!</c:v>
                </c:pt>
              </c:strCache>
            </c:strRef>
          </c:tx>
          <c:spPr>
            <a:solidFill>
              <a:srgbClr val="9999FF"/>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1"/>
          <c:order val="2"/>
          <c:tx>
            <c:strRef>
              <c:f>Sheet1!#REF!</c:f>
              <c:strCache>
                <c:ptCount val="1"/>
                <c:pt idx="0">
                  <c:v>#REF!</c:v>
                </c:pt>
              </c:strCache>
            </c:strRef>
          </c:tx>
          <c:spPr>
            <a:solidFill>
              <a:srgbClr val="993366"/>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2"/>
          <c:order val="3"/>
          <c:tx>
            <c:strRef>
              <c:f>Sheet1!#REF!</c:f>
              <c:strCache>
                <c:ptCount val="1"/>
                <c:pt idx="0">
                  <c:v>#REF!</c:v>
                </c:pt>
              </c:strCache>
            </c:strRef>
          </c:tx>
          <c:spPr>
            <a:solidFill>
              <a:srgbClr val="FFFFCC"/>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4"/>
          <c:order val="4"/>
          <c:tx>
            <c:strRef>
              <c:f>Sheet1!$B$2</c:f>
              <c:strCache>
                <c:ptCount val="1"/>
                <c:pt idx="0">
                  <c:v>Medii anuale 2013</c:v>
                </c:pt>
              </c:strCache>
            </c:strRef>
          </c:tx>
          <c:cat>
            <c:strRef>
              <c:f>Sheet1!$C$1:$F$1</c:f>
              <c:strCache>
                <c:ptCount val="4"/>
                <c:pt idx="0">
                  <c:v>BR2</c:v>
                </c:pt>
                <c:pt idx="1">
                  <c:v>BR3</c:v>
                </c:pt>
                <c:pt idx="2">
                  <c:v>BR4</c:v>
                </c:pt>
                <c:pt idx="3">
                  <c:v>BR5</c:v>
                </c:pt>
              </c:strCache>
            </c:strRef>
          </c:cat>
          <c:val>
            <c:numRef>
              <c:f>Sheet1!$C$2:$F$2</c:f>
              <c:numCache>
                <c:formatCode>General</c:formatCode>
                <c:ptCount val="4"/>
                <c:pt idx="0">
                  <c:v>57.39</c:v>
                </c:pt>
                <c:pt idx="2">
                  <c:v>64.56</c:v>
                </c:pt>
                <c:pt idx="3">
                  <c:v>74.3</c:v>
                </c:pt>
              </c:numCache>
            </c:numRef>
          </c:val>
        </c:ser>
        <c:ser>
          <c:idx val="5"/>
          <c:order val="5"/>
          <c:tx>
            <c:strRef>
              <c:f>Sheet1!$B$3</c:f>
              <c:strCache>
                <c:ptCount val="1"/>
                <c:pt idx="0">
                  <c:v>Medii anuale 2014</c:v>
                </c:pt>
              </c:strCache>
            </c:strRef>
          </c:tx>
          <c:cat>
            <c:strRef>
              <c:f>Sheet1!$C$1:$F$1</c:f>
              <c:strCache>
                <c:ptCount val="4"/>
                <c:pt idx="0">
                  <c:v>BR2</c:v>
                </c:pt>
                <c:pt idx="1">
                  <c:v>BR3</c:v>
                </c:pt>
                <c:pt idx="2">
                  <c:v>BR4</c:v>
                </c:pt>
                <c:pt idx="3">
                  <c:v>BR5</c:v>
                </c:pt>
              </c:strCache>
            </c:strRef>
          </c:cat>
          <c:val>
            <c:numRef>
              <c:f>Sheet1!$C$3:$F$3</c:f>
              <c:numCache>
                <c:formatCode>General</c:formatCode>
                <c:ptCount val="4"/>
                <c:pt idx="0">
                  <c:v>23.02</c:v>
                </c:pt>
                <c:pt idx="2">
                  <c:v>29.23</c:v>
                </c:pt>
                <c:pt idx="3">
                  <c:v>67.239999999999995</c:v>
                </c:pt>
              </c:numCache>
            </c:numRef>
          </c:val>
        </c:ser>
        <c:ser>
          <c:idx val="6"/>
          <c:order val="6"/>
          <c:tx>
            <c:strRef>
              <c:f>Sheet1!$B$4</c:f>
              <c:strCache>
                <c:ptCount val="1"/>
                <c:pt idx="0">
                  <c:v>Medii anuale 2015</c:v>
                </c:pt>
              </c:strCache>
            </c:strRef>
          </c:tx>
          <c:cat>
            <c:strRef>
              <c:f>Sheet1!$C$1:$F$1</c:f>
              <c:strCache>
                <c:ptCount val="4"/>
                <c:pt idx="0">
                  <c:v>BR2</c:v>
                </c:pt>
                <c:pt idx="1">
                  <c:v>BR3</c:v>
                </c:pt>
                <c:pt idx="2">
                  <c:v>BR4</c:v>
                </c:pt>
                <c:pt idx="3">
                  <c:v>BR5</c:v>
                </c:pt>
              </c:strCache>
            </c:strRef>
          </c:cat>
          <c:val>
            <c:numRef>
              <c:f>Sheet1!$C$4:$F$4</c:f>
              <c:numCache>
                <c:formatCode>General</c:formatCode>
                <c:ptCount val="4"/>
                <c:pt idx="0">
                  <c:v>53.230000000000011</c:v>
                </c:pt>
                <c:pt idx="1">
                  <c:v>50.68</c:v>
                </c:pt>
                <c:pt idx="2">
                  <c:v>46.01</c:v>
                </c:pt>
                <c:pt idx="3">
                  <c:v>42.25</c:v>
                </c:pt>
              </c:numCache>
            </c:numRef>
          </c:val>
        </c:ser>
        <c:ser>
          <c:idx val="7"/>
          <c:order val="7"/>
          <c:tx>
            <c:strRef>
              <c:f>Sheet1!$B$5</c:f>
              <c:strCache>
                <c:ptCount val="1"/>
                <c:pt idx="0">
                  <c:v>Medii anuale 2016</c:v>
                </c:pt>
              </c:strCache>
            </c:strRef>
          </c:tx>
          <c:cat>
            <c:strRef>
              <c:f>Sheet1!$C$1:$F$1</c:f>
              <c:strCache>
                <c:ptCount val="4"/>
                <c:pt idx="0">
                  <c:v>BR2</c:v>
                </c:pt>
                <c:pt idx="1">
                  <c:v>BR3</c:v>
                </c:pt>
                <c:pt idx="2">
                  <c:v>BR4</c:v>
                </c:pt>
                <c:pt idx="3">
                  <c:v>BR5</c:v>
                </c:pt>
              </c:strCache>
            </c:strRef>
          </c:cat>
          <c:val>
            <c:numRef>
              <c:f>Sheet1!$C$5:$F$5</c:f>
              <c:numCache>
                <c:formatCode>General</c:formatCode>
                <c:ptCount val="4"/>
                <c:pt idx="0">
                  <c:v>0</c:v>
                </c:pt>
                <c:pt idx="1">
                  <c:v>0</c:v>
                </c:pt>
                <c:pt idx="2">
                  <c:v>0</c:v>
                </c:pt>
                <c:pt idx="3">
                  <c:v>0</c:v>
                </c:pt>
              </c:numCache>
            </c:numRef>
          </c:val>
        </c:ser>
        <c:ser>
          <c:idx val="8"/>
          <c:order val="8"/>
          <c:tx>
            <c:strRef>
              <c:f>Sheet1!$B$6</c:f>
              <c:strCache>
                <c:ptCount val="1"/>
                <c:pt idx="0">
                  <c:v>Medii anuale 2017</c:v>
                </c:pt>
              </c:strCache>
            </c:strRef>
          </c:tx>
          <c:cat>
            <c:strRef>
              <c:f>Sheet1!$C$1:$F$1</c:f>
              <c:strCache>
                <c:ptCount val="4"/>
                <c:pt idx="0">
                  <c:v>BR2</c:v>
                </c:pt>
                <c:pt idx="1">
                  <c:v>BR3</c:v>
                </c:pt>
                <c:pt idx="2">
                  <c:v>BR4</c:v>
                </c:pt>
                <c:pt idx="3">
                  <c:v>BR5</c:v>
                </c:pt>
              </c:strCache>
            </c:strRef>
          </c:cat>
          <c:val>
            <c:numRef>
              <c:f>Sheet1!$C$6:$F$6</c:f>
              <c:numCache>
                <c:formatCode>General</c:formatCode>
                <c:ptCount val="4"/>
                <c:pt idx="0">
                  <c:v>43.37</c:v>
                </c:pt>
                <c:pt idx="1">
                  <c:v>55.63</c:v>
                </c:pt>
                <c:pt idx="2">
                  <c:v>56.33</c:v>
                </c:pt>
                <c:pt idx="3">
                  <c:v>60.09</c:v>
                </c:pt>
              </c:numCache>
            </c:numRef>
          </c:val>
        </c:ser>
        <c:gapWidth val="340"/>
        <c:gapDepth val="0"/>
        <c:shape val="box"/>
        <c:axId val="224468352"/>
        <c:axId val="226059392"/>
        <c:axId val="0"/>
      </c:bar3DChart>
      <c:catAx>
        <c:axId val="224468352"/>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6059392"/>
        <c:crosses val="autoZero"/>
        <c:auto val="1"/>
        <c:lblAlgn val="ctr"/>
        <c:lblOffset val="100"/>
        <c:tickLblSkip val="1"/>
        <c:tickMarkSkip val="1"/>
      </c:catAx>
      <c:valAx>
        <c:axId val="226059392"/>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2.2830106762970964E-2"/>
              <c:y val="0.17247079409191499"/>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4468352"/>
        <c:crosses val="autoZero"/>
        <c:crossBetween val="between"/>
      </c:valAx>
      <c:spPr>
        <a:noFill/>
        <a:ln w="25399">
          <a:noFill/>
        </a:ln>
      </c:spPr>
    </c:plotArea>
    <c:legend>
      <c:legendPos val="r"/>
      <c:legendEntry>
        <c:idx val="3"/>
        <c:delete val="1"/>
      </c:legendEntry>
      <c:legendEntry>
        <c:idx val="0"/>
        <c:delete val="1"/>
      </c:legendEntry>
      <c:legendEntry>
        <c:idx val="1"/>
        <c:delete val="1"/>
      </c:legendEntry>
      <c:legendEntry>
        <c:idx val="2"/>
        <c:delete val="1"/>
      </c:legendEntry>
      <c:layout>
        <c:manualLayout>
          <c:xMode val="edge"/>
          <c:yMode val="edge"/>
          <c:x val="0.75110196751721825"/>
          <c:y val="0.24636549843034636"/>
          <c:w val="0.21167406705740729"/>
          <c:h val="0.42182268001998979"/>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4.3545797651206024E-2"/>
          <c:y val="4.7855983650898923E-2"/>
          <c:w val="0.95614453756970408"/>
          <c:h val="0.81264050009016064"/>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cat>
            <c:strRef>
              <c:f>Sheet1!$B$1:$F$1</c:f>
              <c:strCache>
                <c:ptCount val="5"/>
                <c:pt idx="0">
                  <c:v>Medie an 2013</c:v>
                </c:pt>
                <c:pt idx="1">
                  <c:v>Medie an 2014</c:v>
                </c:pt>
                <c:pt idx="2">
                  <c:v>Media an 2015</c:v>
                </c:pt>
                <c:pt idx="3">
                  <c:v>Medie an 2016</c:v>
                </c:pt>
                <c:pt idx="4">
                  <c:v>medie an 2017</c:v>
                </c:pt>
              </c:strCache>
            </c:strRef>
          </c:cat>
          <c:val>
            <c:numRef>
              <c:f>Sheet1!$B$2:$F$2</c:f>
              <c:numCache>
                <c:formatCode>General</c:formatCode>
                <c:ptCount val="5"/>
                <c:pt idx="0">
                  <c:v>5.64</c:v>
                </c:pt>
                <c:pt idx="1">
                  <c:v>4.24</c:v>
                </c:pt>
                <c:pt idx="2">
                  <c:v>4.78</c:v>
                </c:pt>
                <c:pt idx="3">
                  <c:v>3.2800000000000002</c:v>
                </c:pt>
                <c:pt idx="4">
                  <c:v>3.29</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cat>
            <c:strRef>
              <c:f>Sheet1!$B$1:$F$1</c:f>
              <c:strCache>
                <c:ptCount val="5"/>
                <c:pt idx="0">
                  <c:v>Medie an 2013</c:v>
                </c:pt>
                <c:pt idx="1">
                  <c:v>Medie an 2014</c:v>
                </c:pt>
                <c:pt idx="2">
                  <c:v>Media an 2015</c:v>
                </c:pt>
                <c:pt idx="3">
                  <c:v>Medie an 2016</c:v>
                </c:pt>
                <c:pt idx="4">
                  <c:v>medie an 2017</c:v>
                </c:pt>
              </c:strCache>
            </c:strRef>
          </c:cat>
          <c:val>
            <c:numRef>
              <c:f>Sheet1!$B$3:$F$3</c:f>
              <c:numCache>
                <c:formatCode>General</c:formatCode>
                <c:ptCount val="5"/>
                <c:pt idx="0">
                  <c:v>7.75</c:v>
                </c:pt>
                <c:pt idx="1">
                  <c:v>6.23</c:v>
                </c:pt>
                <c:pt idx="2">
                  <c:v>5.14</c:v>
                </c:pt>
                <c:pt idx="3">
                  <c:v>8.2800000000000011</c:v>
                </c:pt>
                <c:pt idx="4">
                  <c:v>5.87</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cat>
            <c:strRef>
              <c:f>Sheet1!$B$1:$F$1</c:f>
              <c:strCache>
                <c:ptCount val="5"/>
                <c:pt idx="0">
                  <c:v>Medie an 2013</c:v>
                </c:pt>
                <c:pt idx="1">
                  <c:v>Medie an 2014</c:v>
                </c:pt>
                <c:pt idx="2">
                  <c:v>Media an 2015</c:v>
                </c:pt>
                <c:pt idx="3">
                  <c:v>Medie an 2016</c:v>
                </c:pt>
                <c:pt idx="4">
                  <c:v>medie an 2017</c:v>
                </c:pt>
              </c:strCache>
            </c:strRef>
          </c:cat>
          <c:val>
            <c:numRef>
              <c:f>Sheet1!$B$4:$F$4</c:f>
              <c:numCache>
                <c:formatCode>General</c:formatCode>
                <c:ptCount val="5"/>
                <c:pt idx="0">
                  <c:v>16.89</c:v>
                </c:pt>
                <c:pt idx="1">
                  <c:v>16.39</c:v>
                </c:pt>
                <c:pt idx="2">
                  <c:v>20.399999999999999</c:v>
                </c:pt>
                <c:pt idx="3">
                  <c:v>10.79</c:v>
                </c:pt>
                <c:pt idx="4">
                  <c:v>11.58</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cat>
            <c:strRef>
              <c:f>Sheet1!$B$1:$F$1</c:f>
              <c:strCache>
                <c:ptCount val="5"/>
                <c:pt idx="0">
                  <c:v>Medie an 2013</c:v>
                </c:pt>
                <c:pt idx="1">
                  <c:v>Medie an 2014</c:v>
                </c:pt>
                <c:pt idx="2">
                  <c:v>Media an 2015</c:v>
                </c:pt>
                <c:pt idx="3">
                  <c:v>Medie an 2016</c:v>
                </c:pt>
                <c:pt idx="4">
                  <c:v>medie an 2017</c:v>
                </c:pt>
              </c:strCache>
            </c:strRef>
          </c:cat>
          <c:val>
            <c:numRef>
              <c:f>Sheet1!$B$5:$F$5</c:f>
              <c:numCache>
                <c:formatCode>General</c:formatCode>
                <c:ptCount val="5"/>
                <c:pt idx="0">
                  <c:v>8.56</c:v>
                </c:pt>
                <c:pt idx="1">
                  <c:v>6.6099999999999985</c:v>
                </c:pt>
                <c:pt idx="2">
                  <c:v>5.45</c:v>
                </c:pt>
                <c:pt idx="3">
                  <c:v>7.68</c:v>
                </c:pt>
                <c:pt idx="4">
                  <c:v>8.09</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cat>
            <c:strRef>
              <c:f>Sheet1!$B$1:$F$1</c:f>
              <c:strCache>
                <c:ptCount val="5"/>
                <c:pt idx="0">
                  <c:v>Medie an 2013</c:v>
                </c:pt>
                <c:pt idx="1">
                  <c:v>Medie an 2014</c:v>
                </c:pt>
                <c:pt idx="2">
                  <c:v>Media an 2015</c:v>
                </c:pt>
                <c:pt idx="3">
                  <c:v>Medie an 2016</c:v>
                </c:pt>
                <c:pt idx="4">
                  <c:v>medie an 2017</c:v>
                </c:pt>
              </c:strCache>
            </c:strRef>
          </c:cat>
          <c:val>
            <c:numRef>
              <c:f>Sheet1!$B$6:$F$6</c:f>
              <c:numCache>
                <c:formatCode>General</c:formatCode>
                <c:ptCount val="5"/>
                <c:pt idx="0">
                  <c:v>6.52</c:v>
                </c:pt>
                <c:pt idx="1">
                  <c:v>5.88</c:v>
                </c:pt>
                <c:pt idx="2">
                  <c:v>4.46</c:v>
                </c:pt>
                <c:pt idx="3">
                  <c:v>5.1199999999999966</c:v>
                </c:pt>
                <c:pt idx="4">
                  <c:v>5.33</c:v>
                </c:pt>
              </c:numCache>
            </c:numRef>
          </c:val>
        </c:ser>
        <c:ser>
          <c:idx val="0"/>
          <c:order val="5"/>
          <c:tx>
            <c:strRef>
              <c:f>Sheet1!$A$7</c:f>
              <c:strCache>
                <c:ptCount val="1"/>
                <c:pt idx="0">
                  <c:v>SC Hercules</c:v>
                </c:pt>
              </c:strCache>
            </c:strRef>
          </c:tx>
          <c:cat>
            <c:strRef>
              <c:f>Sheet1!$B$1:$F$1</c:f>
              <c:strCache>
                <c:ptCount val="5"/>
                <c:pt idx="0">
                  <c:v>Medie an 2013</c:v>
                </c:pt>
                <c:pt idx="1">
                  <c:v>Medie an 2014</c:v>
                </c:pt>
                <c:pt idx="2">
                  <c:v>Media an 2015</c:v>
                </c:pt>
                <c:pt idx="3">
                  <c:v>Medie an 2016</c:v>
                </c:pt>
                <c:pt idx="4">
                  <c:v>medie an 2017</c:v>
                </c:pt>
              </c:strCache>
            </c:strRef>
          </c:cat>
          <c:val>
            <c:numRef>
              <c:f>Sheet1!$B$7:$F$7</c:f>
              <c:numCache>
                <c:formatCode>General</c:formatCode>
                <c:ptCount val="5"/>
                <c:pt idx="0">
                  <c:v>10.16</c:v>
                </c:pt>
                <c:pt idx="1">
                  <c:v>8.56</c:v>
                </c:pt>
                <c:pt idx="2">
                  <c:v>8.77</c:v>
                </c:pt>
                <c:pt idx="3">
                  <c:v>11.05</c:v>
                </c:pt>
                <c:pt idx="4">
                  <c:v>6.6</c:v>
                </c:pt>
              </c:numCache>
            </c:numRef>
          </c:val>
        </c:ser>
        <c:ser>
          <c:idx val="6"/>
          <c:order val="6"/>
          <c:tx>
            <c:strRef>
              <c:f>Sheet1!$A$8</c:f>
              <c:strCache>
                <c:ptCount val="1"/>
                <c:pt idx="0">
                  <c:v>Termoelectrica Chiscani</c:v>
                </c:pt>
              </c:strCache>
            </c:strRef>
          </c:tx>
          <c:cat>
            <c:strRef>
              <c:f>Sheet1!$B$1:$F$1</c:f>
              <c:strCache>
                <c:ptCount val="5"/>
                <c:pt idx="0">
                  <c:v>Medie an 2013</c:v>
                </c:pt>
                <c:pt idx="1">
                  <c:v>Medie an 2014</c:v>
                </c:pt>
                <c:pt idx="2">
                  <c:v>Media an 2015</c:v>
                </c:pt>
                <c:pt idx="3">
                  <c:v>Medie an 2016</c:v>
                </c:pt>
                <c:pt idx="4">
                  <c:v>medie an 2017</c:v>
                </c:pt>
              </c:strCache>
            </c:strRef>
          </c:cat>
          <c:val>
            <c:numRef>
              <c:f>Sheet1!$B$8:$F$8</c:f>
              <c:numCache>
                <c:formatCode>General</c:formatCode>
                <c:ptCount val="5"/>
                <c:pt idx="0">
                  <c:v>5.8599999999999985</c:v>
                </c:pt>
                <c:pt idx="1">
                  <c:v>5.88</c:v>
                </c:pt>
                <c:pt idx="2">
                  <c:v>4.99</c:v>
                </c:pt>
                <c:pt idx="3">
                  <c:v>4.6599999999999975</c:v>
                </c:pt>
                <c:pt idx="4">
                  <c:v>3.98</c:v>
                </c:pt>
              </c:numCache>
            </c:numRef>
          </c:val>
        </c:ser>
        <c:ser>
          <c:idx val="7"/>
          <c:order val="7"/>
          <c:tx>
            <c:strRef>
              <c:f>Sheet1!$A$9</c:f>
              <c:strCache>
                <c:ptCount val="1"/>
                <c:pt idx="0">
                  <c:v>Str.Galați</c:v>
                </c:pt>
              </c:strCache>
            </c:strRef>
          </c:tx>
          <c:cat>
            <c:strRef>
              <c:f>Sheet1!$B$1:$F$1</c:f>
              <c:strCache>
                <c:ptCount val="5"/>
                <c:pt idx="0">
                  <c:v>Medie an 2013</c:v>
                </c:pt>
                <c:pt idx="1">
                  <c:v>Medie an 2014</c:v>
                </c:pt>
                <c:pt idx="2">
                  <c:v>Media an 2015</c:v>
                </c:pt>
                <c:pt idx="3">
                  <c:v>Medie an 2016</c:v>
                </c:pt>
                <c:pt idx="4">
                  <c:v>medie an 2017</c:v>
                </c:pt>
              </c:strCache>
            </c:strRef>
          </c:cat>
          <c:val>
            <c:numRef>
              <c:f>Sheet1!$B$9:$F$9</c:f>
              <c:numCache>
                <c:formatCode>General</c:formatCode>
                <c:ptCount val="5"/>
                <c:pt idx="0">
                  <c:v>11.78</c:v>
                </c:pt>
                <c:pt idx="1">
                  <c:v>7.68</c:v>
                </c:pt>
                <c:pt idx="2">
                  <c:v>6.94</c:v>
                </c:pt>
                <c:pt idx="3">
                  <c:v>5.17</c:v>
                </c:pt>
                <c:pt idx="4">
                  <c:v>7.2700000000000014</c:v>
                </c:pt>
              </c:numCache>
            </c:numRef>
          </c:val>
        </c:ser>
        <c:ser>
          <c:idx val="8"/>
          <c:order val="8"/>
          <c:tx>
            <c:strRef>
              <c:f>Sheet1!$A$10</c:f>
              <c:strCache>
                <c:ptCount val="1"/>
                <c:pt idx="0">
                  <c:v>Cazasu</c:v>
                </c:pt>
              </c:strCache>
            </c:strRef>
          </c:tx>
          <c:cat>
            <c:strRef>
              <c:f>Sheet1!$B$1:$F$1</c:f>
              <c:strCache>
                <c:ptCount val="5"/>
                <c:pt idx="0">
                  <c:v>Medie an 2013</c:v>
                </c:pt>
                <c:pt idx="1">
                  <c:v>Medie an 2014</c:v>
                </c:pt>
                <c:pt idx="2">
                  <c:v>Media an 2015</c:v>
                </c:pt>
                <c:pt idx="3">
                  <c:v>Medie an 2016</c:v>
                </c:pt>
                <c:pt idx="4">
                  <c:v>medie an 2017</c:v>
                </c:pt>
              </c:strCache>
            </c:strRef>
          </c:cat>
          <c:val>
            <c:numRef>
              <c:f>Sheet1!$B$10:$F$10</c:f>
              <c:numCache>
                <c:formatCode>General</c:formatCode>
                <c:ptCount val="5"/>
                <c:pt idx="0">
                  <c:v>4.3</c:v>
                </c:pt>
                <c:pt idx="1">
                  <c:v>4.07</c:v>
                </c:pt>
                <c:pt idx="2">
                  <c:v>4.75</c:v>
                </c:pt>
                <c:pt idx="3">
                  <c:v>6.9300000000000024</c:v>
                </c:pt>
                <c:pt idx="4">
                  <c:v>4.4700000000000024</c:v>
                </c:pt>
              </c:numCache>
            </c:numRef>
          </c:val>
        </c:ser>
        <c:ser>
          <c:idx val="9"/>
          <c:order val="9"/>
          <c:tx>
            <c:strRef>
              <c:f>Sheet1!$A$11</c:f>
              <c:strCache>
                <c:ptCount val="1"/>
                <c:pt idx="0">
                  <c:v>Primaria Brăila</c:v>
                </c:pt>
              </c:strCache>
            </c:strRef>
          </c:tx>
          <c:cat>
            <c:strRef>
              <c:f>Sheet1!$B$1:$F$1</c:f>
              <c:strCache>
                <c:ptCount val="5"/>
                <c:pt idx="0">
                  <c:v>Medie an 2013</c:v>
                </c:pt>
                <c:pt idx="1">
                  <c:v>Medie an 2014</c:v>
                </c:pt>
                <c:pt idx="2">
                  <c:v>Media an 2015</c:v>
                </c:pt>
                <c:pt idx="3">
                  <c:v>Medie an 2016</c:v>
                </c:pt>
                <c:pt idx="4">
                  <c:v>medie an 2017</c:v>
                </c:pt>
              </c:strCache>
            </c:strRef>
          </c:cat>
          <c:val>
            <c:numRef>
              <c:f>Sheet1!$B$11:$F$11</c:f>
              <c:numCache>
                <c:formatCode>General</c:formatCode>
                <c:ptCount val="5"/>
                <c:pt idx="0">
                  <c:v>10.9</c:v>
                </c:pt>
                <c:pt idx="1">
                  <c:v>10.07</c:v>
                </c:pt>
                <c:pt idx="2">
                  <c:v>7.31</c:v>
                </c:pt>
                <c:pt idx="3">
                  <c:v>7.45</c:v>
                </c:pt>
                <c:pt idx="4">
                  <c:v>5.42</c:v>
                </c:pt>
              </c:numCache>
            </c:numRef>
          </c:val>
        </c:ser>
        <c:axId val="232166912"/>
        <c:axId val="232168448"/>
      </c:barChart>
      <c:catAx>
        <c:axId val="232166912"/>
        <c:scaling>
          <c:orientation val="minMax"/>
        </c:scaling>
        <c:axPos val="b"/>
        <c:numFmt formatCode="#,##0.00" sourceLinked="0"/>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Arial" pitchFamily="34" charset="0"/>
                <a:ea typeface="Calibri"/>
                <a:cs typeface="Arial" pitchFamily="34" charset="0"/>
              </a:defRPr>
            </a:pPr>
            <a:endParaRPr lang="ro-RO"/>
          </a:p>
        </c:txPr>
        <c:crossAx val="232168448"/>
        <c:crosses val="autoZero"/>
        <c:auto val="1"/>
        <c:lblAlgn val="ctr"/>
        <c:lblOffset val="100"/>
        <c:tickLblSkip val="1"/>
        <c:tickMarkSkip val="1"/>
      </c:catAx>
      <c:valAx>
        <c:axId val="232168448"/>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786" b="1" i="0" u="none" strike="noStrike" baseline="0">
                <a:solidFill>
                  <a:srgbClr val="000000"/>
                </a:solidFill>
                <a:latin typeface="Calibri"/>
                <a:ea typeface="Calibri"/>
                <a:cs typeface="Calibri"/>
              </a:defRPr>
            </a:pPr>
            <a:endParaRPr lang="ro-RO"/>
          </a:p>
        </c:txPr>
        <c:crossAx val="232166912"/>
        <c:crosses val="autoZero"/>
        <c:crossBetween val="between"/>
      </c:valAx>
      <c:spPr>
        <a:solidFill>
          <a:srgbClr val="C0C0C0"/>
        </a:soli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sz="875" b="1" i="0" u="none" strike="noStrike" baseline="0">
                <a:solidFill>
                  <a:srgbClr val="000000"/>
                </a:solidFill>
                <a:latin typeface="Arial"/>
                <a:ea typeface="Arial"/>
                <a:cs typeface="Arial"/>
              </a:defRPr>
            </a:pPr>
            <a:r>
              <a:rPr lang="vi-VN"/>
              <a:t>Calitatea precipitaţiilor - municipiul Bacău
 Valoarea medie şi minimă a pH-ului</a:t>
            </a:r>
          </a:p>
        </c:rich>
      </c:tx>
      <c:layout>
        <c:manualLayout>
          <c:xMode val="edge"/>
          <c:yMode val="edge"/>
          <c:x val="0.15396554273387542"/>
          <c:y val="4.0160642570281097E-2"/>
        </c:manualLayout>
      </c:layout>
      <c:spPr>
        <a:noFill/>
        <a:ln w="25400">
          <a:noFill/>
        </a:ln>
      </c:spPr>
    </c:title>
    <c:plotArea>
      <c:layout>
        <c:manualLayout>
          <c:layoutTarget val="inner"/>
          <c:xMode val="edge"/>
          <c:yMode val="edge"/>
          <c:x val="0.13419710288798448"/>
          <c:y val="0.18607890881109793"/>
          <c:w val="0.7393109538317425"/>
          <c:h val="0.55020248974902053"/>
        </c:manualLayout>
      </c:layout>
      <c:barChart>
        <c:barDir val="col"/>
        <c:grouping val="clustered"/>
        <c:ser>
          <c:idx val="0"/>
          <c:order val="0"/>
          <c:tx>
            <c:strRef>
              <c:f>'[Chart in Microsoft Word]Sheet1'!$A$4</c:f>
              <c:strCache>
                <c:ptCount val="1"/>
                <c:pt idx="0">
                  <c:v>pH-valoarea medie anuală</c:v>
                </c:pt>
              </c:strCache>
            </c:strRef>
          </c:tx>
          <c:spPr>
            <a:gradFill rotWithShape="0">
              <a:gsLst>
                <a:gs pos="0">
                  <a:srgbClr val="008000"/>
                </a:gs>
                <a:gs pos="100000">
                  <a:srgbClr val="008000">
                    <a:gamma/>
                    <a:shade val="46275"/>
                    <a:invGamma/>
                  </a:srgbClr>
                </a:gs>
              </a:gsLst>
              <a:lin ang="0" scaled="1"/>
            </a:gradFill>
            <a:ln w="12700">
              <a:solidFill>
                <a:srgbClr val="000000"/>
              </a:solidFill>
              <a:prstDash val="solid"/>
            </a:ln>
          </c:spPr>
          <c:cat>
            <c:numRef>
              <c:f>'[Chart in Microsoft Word]Sheet1'!$B$3:$F$3</c:f>
              <c:numCache>
                <c:formatCode>General</c:formatCode>
                <c:ptCount val="5"/>
                <c:pt idx="0">
                  <c:v>2013</c:v>
                </c:pt>
                <c:pt idx="1">
                  <c:v>2014</c:v>
                </c:pt>
                <c:pt idx="2">
                  <c:v>2015</c:v>
                </c:pt>
                <c:pt idx="3">
                  <c:v>2016</c:v>
                </c:pt>
                <c:pt idx="4">
                  <c:v>2017</c:v>
                </c:pt>
              </c:numCache>
            </c:numRef>
          </c:cat>
          <c:val>
            <c:numRef>
              <c:f>'[Chart in Microsoft Word]Sheet1'!$B$4:$F$4</c:f>
              <c:numCache>
                <c:formatCode>General</c:formatCode>
                <c:ptCount val="5"/>
                <c:pt idx="0">
                  <c:v>6.89</c:v>
                </c:pt>
                <c:pt idx="1">
                  <c:v>6.9</c:v>
                </c:pt>
                <c:pt idx="2">
                  <c:v>6.92</c:v>
                </c:pt>
                <c:pt idx="3">
                  <c:v>6.3</c:v>
                </c:pt>
                <c:pt idx="4">
                  <c:v>7.3199999999999985</c:v>
                </c:pt>
              </c:numCache>
            </c:numRef>
          </c:val>
        </c:ser>
        <c:ser>
          <c:idx val="1"/>
          <c:order val="1"/>
          <c:tx>
            <c:strRef>
              <c:f>'[Chart in Microsoft Word]Sheet1'!$A$5</c:f>
              <c:strCache>
                <c:ptCount val="1"/>
                <c:pt idx="0">
                  <c:v>pH- valoarea minimă</c:v>
                </c:pt>
              </c:strCache>
            </c:strRef>
          </c:tx>
          <c:spPr>
            <a:pattFill prst="pct70">
              <a:fgClr>
                <a:srgbClr val="FF0000"/>
              </a:fgClr>
              <a:bgClr>
                <a:srgbClr val="993366"/>
              </a:bgClr>
            </a:pattFill>
            <a:ln w="12700">
              <a:solidFill>
                <a:srgbClr val="000000"/>
              </a:solidFill>
              <a:prstDash val="solid"/>
            </a:ln>
          </c:spPr>
          <c:cat>
            <c:numRef>
              <c:f>'[Chart in Microsoft Word]Sheet1'!$B$3:$F$3</c:f>
              <c:numCache>
                <c:formatCode>General</c:formatCode>
                <c:ptCount val="5"/>
                <c:pt idx="0">
                  <c:v>2013</c:v>
                </c:pt>
                <c:pt idx="1">
                  <c:v>2014</c:v>
                </c:pt>
                <c:pt idx="2">
                  <c:v>2015</c:v>
                </c:pt>
                <c:pt idx="3">
                  <c:v>2016</c:v>
                </c:pt>
                <c:pt idx="4">
                  <c:v>2017</c:v>
                </c:pt>
              </c:numCache>
            </c:numRef>
          </c:cat>
          <c:val>
            <c:numRef>
              <c:f>'[Chart in Microsoft Word]Sheet1'!$B$5:$F$5</c:f>
              <c:numCache>
                <c:formatCode>General</c:formatCode>
                <c:ptCount val="5"/>
                <c:pt idx="0">
                  <c:v>6.23</c:v>
                </c:pt>
                <c:pt idx="1">
                  <c:v>6.1499999999999995</c:v>
                </c:pt>
                <c:pt idx="2">
                  <c:v>6.6</c:v>
                </c:pt>
                <c:pt idx="3">
                  <c:v>6.05</c:v>
                </c:pt>
                <c:pt idx="4">
                  <c:v>6.1899999999999995</c:v>
                </c:pt>
              </c:numCache>
            </c:numRef>
          </c:val>
        </c:ser>
        <c:axId val="233687680"/>
        <c:axId val="234033536"/>
      </c:barChart>
      <c:catAx>
        <c:axId val="23368768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234033536"/>
        <c:crosses val="autoZero"/>
        <c:auto val="1"/>
        <c:lblAlgn val="ctr"/>
        <c:lblOffset val="100"/>
        <c:tickLblSkip val="1"/>
        <c:tickMarkSkip val="1"/>
      </c:catAx>
      <c:valAx>
        <c:axId val="234033536"/>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upH</a:t>
                </a:r>
              </a:p>
            </c:rich>
          </c:tx>
          <c:layout>
            <c:manualLayout>
              <c:xMode val="edge"/>
              <c:yMode val="edge"/>
              <c:x val="1.8404944731245071E-2"/>
              <c:y val="0.46988136091773808"/>
            </c:manualLayout>
          </c:layout>
          <c:spPr>
            <a:noFill/>
            <a:ln w="25400">
              <a:noFill/>
            </a:ln>
          </c:spPr>
        </c:title>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233687680"/>
        <c:crosses val="autoZero"/>
        <c:crossBetween val="between"/>
      </c:valAx>
      <c:spPr>
        <a:gradFill rotWithShape="0">
          <a:gsLst>
            <a:gs pos="0">
              <a:srgbClr val="CCFFFF"/>
            </a:gs>
            <a:gs pos="100000">
              <a:srgbClr val="CC99FF"/>
            </a:gs>
          </a:gsLst>
          <a:lin ang="5400000" scaled="1"/>
        </a:gradFill>
        <a:ln w="12700">
          <a:solidFill>
            <a:srgbClr val="808080"/>
          </a:solidFill>
          <a:prstDash val="solid"/>
        </a:ln>
      </c:spPr>
    </c:plotArea>
    <c:legend>
      <c:legendPos val="b"/>
      <c:layout>
        <c:manualLayout>
          <c:xMode val="edge"/>
          <c:yMode val="edge"/>
          <c:x val="0.19756457347575487"/>
          <c:y val="0.85057626832790456"/>
          <c:w val="0.52556342176999549"/>
          <c:h val="8.83537601725662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972"/>
          <c:h val="0.60487804878050244"/>
        </c:manualLayout>
      </c:layout>
      <c:bar3DChart>
        <c:barDir val="col"/>
        <c:grouping val="clustered"/>
        <c:ser>
          <c:idx val="7"/>
          <c:order val="0"/>
          <c:tx>
            <c:strRef>
              <c:f>Sheet1!$A$2</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0">
                  <c:v>5.08</c:v>
                </c:pt>
                <c:pt idx="1">
                  <c:v>4.41</c:v>
                </c:pt>
                <c:pt idx="2">
                  <c:v>5.2700000000000014</c:v>
                </c:pt>
                <c:pt idx="3">
                  <c:v>5.3599999999999985</c:v>
                </c:pt>
                <c:pt idx="4">
                  <c:v>4.59</c:v>
                </c:pt>
              </c:numCache>
            </c:numRef>
          </c:val>
        </c:ser>
        <c:gapWidth val="290"/>
        <c:gapDepth val="0"/>
        <c:shape val="box"/>
        <c:axId val="225604736"/>
        <c:axId val="225636736"/>
        <c:axId val="0"/>
      </c:bar3DChart>
      <c:catAx>
        <c:axId val="22560473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5636736"/>
        <c:crosses val="autoZero"/>
        <c:auto val="1"/>
        <c:lblAlgn val="ctr"/>
        <c:lblOffset val="100"/>
        <c:tickLblSkip val="1"/>
        <c:tickMarkSkip val="1"/>
      </c:catAx>
      <c:valAx>
        <c:axId val="22563673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1123"/>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5604736"/>
        <c:crosses val="autoZero"/>
        <c:crossBetween val="between"/>
      </c:valAx>
      <c:spPr>
        <a:noFill/>
        <a:ln w="25399">
          <a:noFill/>
        </a:ln>
      </c:spPr>
    </c:plotArea>
    <c:legend>
      <c:legendPos val="r"/>
      <c:layout>
        <c:manualLayout>
          <c:xMode val="edge"/>
          <c:yMode val="edge"/>
          <c:x val="0.76863422432728179"/>
          <c:y val="0.31113617774522856"/>
          <c:w val="0.19205187586845765"/>
          <c:h val="0.1306173472501984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200" baseline="0">
                <a:latin typeface="Arial" pitchFamily="34" charset="0"/>
              </a:defRPr>
            </a:pPr>
            <a:r>
              <a:rPr lang="ro-RO" sz="1200" baseline="0">
                <a:latin typeface="Arial" pitchFamily="34" charset="0"/>
              </a:rPr>
              <a:t>Contribuția sectoarelor de activitate din energie la emisiile de poluanți cu efect de acidifiere </a:t>
            </a:r>
          </a:p>
        </c:rich>
      </c:tx>
      <c:layout>
        <c:manualLayout>
          <c:xMode val="edge"/>
          <c:yMode val="edge"/>
          <c:x val="0.10788257690964596"/>
          <c:y val="0"/>
        </c:manualLayout>
      </c:layout>
    </c:title>
    <c:view3D>
      <c:perspective val="30"/>
    </c:view3D>
    <c:plotArea>
      <c:layout/>
      <c:bar3DChart>
        <c:barDir val="col"/>
        <c:grouping val="clustered"/>
        <c:ser>
          <c:idx val="0"/>
          <c:order val="0"/>
          <c:tx>
            <c:strRef>
              <c:f>Sheet1!$B$1</c:f>
              <c:strCache>
                <c:ptCount val="1"/>
                <c:pt idx="0">
                  <c:v>Nox</c:v>
                </c:pt>
              </c:strCache>
            </c:strRef>
          </c:tx>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5.5000000000000023E-3</c:v>
                </c:pt>
                <c:pt idx="2">
                  <c:v>7.6000000000000012E-2</c:v>
                </c:pt>
              </c:numCache>
            </c:numRef>
          </c:val>
        </c:ser>
        <c:ser>
          <c:idx val="1"/>
          <c:order val="1"/>
          <c:tx>
            <c:strRef>
              <c:f>Sheet1!$C$1</c:f>
              <c:strCache>
                <c:ptCount val="1"/>
                <c:pt idx="0">
                  <c:v>SO2</c:v>
                </c:pt>
              </c:strCache>
            </c:strRef>
          </c:tx>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1.6000000000000086E-6</c:v>
                </c:pt>
                <c:pt idx="2">
                  <c:v>2.0000000000000052E-4</c:v>
                </c:pt>
              </c:numCache>
            </c:numRef>
          </c:val>
        </c:ser>
        <c:ser>
          <c:idx val="2"/>
          <c:order val="2"/>
          <c:tx>
            <c:strRef>
              <c:f>Sheet1!$D$1</c:f>
              <c:strCache>
                <c:ptCount val="1"/>
                <c:pt idx="0">
                  <c:v>NH3</c:v>
                </c:pt>
              </c:strCache>
            </c:strRef>
          </c:tx>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5.3000000000000204E-6</c:v>
                </c:pt>
                <c:pt idx="2">
                  <c:v>2.0000000000000052E-4</c:v>
                </c:pt>
              </c:numCache>
            </c:numRef>
          </c:val>
        </c:ser>
        <c:shape val="cylinder"/>
        <c:axId val="234064128"/>
        <c:axId val="234094592"/>
        <c:axId val="0"/>
      </c:bar3DChart>
      <c:catAx>
        <c:axId val="234064128"/>
        <c:scaling>
          <c:orientation val="minMax"/>
        </c:scaling>
        <c:axPos val="b"/>
        <c:numFmt formatCode="General" sourceLinked="1"/>
        <c:majorTickMark val="none"/>
        <c:tickLblPos val="nextTo"/>
        <c:txPr>
          <a:bodyPr/>
          <a:lstStyle/>
          <a:p>
            <a:pPr>
              <a:defRPr lang="en-US"/>
            </a:pPr>
            <a:endParaRPr lang="ro-RO"/>
          </a:p>
        </c:txPr>
        <c:crossAx val="234094592"/>
        <c:crossesAt val="0"/>
        <c:auto val="1"/>
        <c:lblAlgn val="ctr"/>
        <c:lblOffset val="100"/>
      </c:catAx>
      <c:valAx>
        <c:axId val="234094592"/>
        <c:scaling>
          <c:orientation val="minMax"/>
        </c:scaling>
        <c:axPos val="l"/>
        <c:title>
          <c:tx>
            <c:rich>
              <a:bodyPr rot="0" vert="horz"/>
              <a:lstStyle/>
              <a:p>
                <a:pPr>
                  <a:defRPr lang="en-US"/>
                </a:pPr>
                <a:r>
                  <a:rPr lang="ro-RO"/>
                  <a:t>%</a:t>
                </a:r>
              </a:p>
            </c:rich>
          </c:tx>
          <c:layout>
            <c:manualLayout>
              <c:xMode val="edge"/>
              <c:yMode val="edge"/>
              <c:x val="0.14886778637648931"/>
              <c:y val="0.13551506349890721"/>
            </c:manualLayout>
          </c:layout>
        </c:title>
        <c:numFmt formatCode="General" sourceLinked="1"/>
        <c:majorTickMark val="none"/>
        <c:tickLblPos val="nextTo"/>
        <c:txPr>
          <a:bodyPr/>
          <a:lstStyle/>
          <a:p>
            <a:pPr>
              <a:defRPr lang="en-US"/>
            </a:pPr>
            <a:endParaRPr lang="ro-RO"/>
          </a:p>
        </c:txPr>
        <c:crossAx val="234064128"/>
        <c:crosses val="autoZero"/>
        <c:crossBetween val="between"/>
        <c:majorUnit val="2.0000000000000014E-2"/>
      </c:valAx>
    </c:plotArea>
    <c:legend>
      <c:legendPos val="r"/>
      <c:txPr>
        <a:bodyPr/>
        <a:lstStyle/>
        <a:p>
          <a:pPr>
            <a:defRPr lang="en-US"/>
          </a:pPr>
          <a:endParaRPr lang="ro-RO"/>
        </a:p>
      </c:txPr>
    </c:legend>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din energie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5.0000000000000114E-3</c:v>
                </c:pt>
                <c:pt idx="2">
                  <c:v>7.0000000000000021E-2</c:v>
                </c:pt>
              </c:numCache>
            </c:numRef>
          </c:val>
        </c:ser>
        <c:ser>
          <c:idx val="1"/>
          <c:order val="1"/>
          <c:tx>
            <c:strRef>
              <c:f>Sheet1!$C$1</c:f>
              <c:strCache>
                <c:ptCount val="1"/>
                <c:pt idx="0">
                  <c:v>NMCOV</c:v>
                </c:pt>
              </c:strCache>
            </c:strRef>
          </c:tx>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1.0000000000000036E-4</c:v>
                </c:pt>
                <c:pt idx="2">
                  <c:v>6.0000000000000114E-3</c:v>
                </c:pt>
              </c:numCache>
            </c:numRef>
          </c:val>
        </c:ser>
        <c:ser>
          <c:idx val="2"/>
          <c:order val="2"/>
          <c:tx>
            <c:strRef>
              <c:f>Sheet1!$D$1</c:f>
              <c:strCache>
                <c:ptCount val="1"/>
                <c:pt idx="0">
                  <c:v>CO</c:v>
                </c:pt>
              </c:strCache>
            </c:strRef>
          </c:tx>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2.0000000000000052E-3</c:v>
                </c:pt>
                <c:pt idx="2">
                  <c:v>4.0000000000000022E-2</c:v>
                </c:pt>
              </c:numCache>
            </c:numRef>
          </c:val>
        </c:ser>
        <c:shape val="cone"/>
        <c:axId val="234157952"/>
        <c:axId val="234159488"/>
        <c:axId val="225616768"/>
      </c:bar3DChart>
      <c:catAx>
        <c:axId val="234157952"/>
        <c:scaling>
          <c:orientation val="minMax"/>
        </c:scaling>
        <c:axPos val="b"/>
        <c:numFmt formatCode="General" sourceLinked="1"/>
        <c:majorTickMark val="none"/>
        <c:tickLblPos val="nextTo"/>
        <c:txPr>
          <a:bodyPr/>
          <a:lstStyle/>
          <a:p>
            <a:pPr>
              <a:defRPr lang="en-US"/>
            </a:pPr>
            <a:endParaRPr lang="ro-RO"/>
          </a:p>
        </c:txPr>
        <c:crossAx val="234159488"/>
        <c:crossesAt val="0"/>
        <c:auto val="1"/>
        <c:lblAlgn val="ctr"/>
        <c:lblOffset val="100"/>
      </c:catAx>
      <c:valAx>
        <c:axId val="234159488"/>
        <c:scaling>
          <c:orientation val="minMax"/>
          <c:max val="7.0000000000000021E-2"/>
          <c:min val="0"/>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9.2623543552383267E-2"/>
              <c:y val="0.20639896467235241"/>
            </c:manualLayout>
          </c:layout>
        </c:title>
        <c:numFmt formatCode="General" sourceLinked="1"/>
        <c:majorTickMark val="none"/>
        <c:tickLblPos val="nextTo"/>
        <c:spPr>
          <a:noFill/>
        </c:spPr>
        <c:txPr>
          <a:bodyPr/>
          <a:lstStyle/>
          <a:p>
            <a:pPr>
              <a:defRPr lang="en-US"/>
            </a:pPr>
            <a:endParaRPr lang="ro-RO"/>
          </a:p>
        </c:txPr>
        <c:crossAx val="234157952"/>
        <c:crosses val="autoZero"/>
        <c:crossBetween val="between"/>
      </c:valAx>
      <c:serAx>
        <c:axId val="225616768"/>
        <c:scaling>
          <c:orientation val="minMax"/>
        </c:scaling>
        <c:delete val="1"/>
        <c:axPos val="b"/>
        <c:tickLblPos val="none"/>
        <c:crossAx val="234159488"/>
        <c:crossesAt val="0"/>
      </c:serAx>
    </c:plotArea>
    <c:legend>
      <c:legendPos val="r"/>
      <c:txPr>
        <a:bodyPr/>
        <a:lstStyle/>
        <a:p>
          <a:pPr>
            <a:defRPr lang="en-US"/>
          </a:pPr>
          <a:endParaRPr lang="ro-RO"/>
        </a:p>
      </c:txPr>
    </c:legend>
    <c:plotVisOnly val="1"/>
    <c:dispBlanksAs val="gap"/>
  </c:chart>
  <c:spPr>
    <a:ln w="0">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5.0000000000000185E-5</c:v>
                </c:pt>
                <c:pt idx="2">
                  <c:v>4.6000000000000034E-3</c:v>
                </c:pt>
              </c:numCache>
            </c:numRef>
          </c:val>
        </c:ser>
        <c:ser>
          <c:idx val="1"/>
          <c:order val="1"/>
          <c:tx>
            <c:strRef>
              <c:f>Sheet1!$C$1</c:f>
              <c:strCache>
                <c:ptCount val="1"/>
                <c:pt idx="0">
                  <c:v>PM10</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5.0000000000000185E-5</c:v>
                </c:pt>
                <c:pt idx="2">
                  <c:v>4.7000000000000123E-3</c:v>
                </c:pt>
              </c:numCache>
            </c:numRef>
          </c:val>
        </c:ser>
        <c:shape val="cone"/>
        <c:axId val="234383232"/>
        <c:axId val="234384768"/>
        <c:axId val="226166528"/>
      </c:bar3DChart>
      <c:catAx>
        <c:axId val="234383232"/>
        <c:scaling>
          <c:orientation val="minMax"/>
        </c:scaling>
        <c:axPos val="b"/>
        <c:numFmt formatCode="General" sourceLinked="1"/>
        <c:majorTickMark val="none"/>
        <c:tickLblPos val="nextTo"/>
        <c:txPr>
          <a:bodyPr/>
          <a:lstStyle/>
          <a:p>
            <a:pPr>
              <a:defRPr lang="en-US"/>
            </a:pPr>
            <a:endParaRPr lang="ro-RO"/>
          </a:p>
        </c:txPr>
        <c:crossAx val="234384768"/>
        <c:crossesAt val="0"/>
        <c:auto val="1"/>
        <c:lblAlgn val="ctr"/>
        <c:lblOffset val="100"/>
      </c:catAx>
      <c:valAx>
        <c:axId val="234384768"/>
        <c:scaling>
          <c:orientation val="minMax"/>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8.2654696200358146E-2"/>
              <c:y val="0.22117274121897892"/>
            </c:manualLayout>
          </c:layout>
        </c:title>
        <c:numFmt formatCode="General" sourceLinked="1"/>
        <c:majorTickMark val="none"/>
        <c:tickLblPos val="nextTo"/>
        <c:spPr>
          <a:noFill/>
        </c:spPr>
        <c:txPr>
          <a:bodyPr/>
          <a:lstStyle/>
          <a:p>
            <a:pPr>
              <a:defRPr lang="en-US"/>
            </a:pPr>
            <a:endParaRPr lang="ro-RO"/>
          </a:p>
        </c:txPr>
        <c:crossAx val="234383232"/>
        <c:crosses val="autoZero"/>
        <c:crossBetween val="between"/>
      </c:valAx>
      <c:serAx>
        <c:axId val="226166528"/>
        <c:scaling>
          <c:orientation val="minMax"/>
        </c:scaling>
        <c:delete val="1"/>
        <c:axPos val="b"/>
        <c:tickLblPos val="none"/>
        <c:crossAx val="234384768"/>
        <c:crossesAt val="0"/>
      </c:serAx>
    </c:plotArea>
    <c:legend>
      <c:legendPos val="r"/>
      <c:txPr>
        <a:bodyPr/>
        <a:lstStyle/>
        <a:p>
          <a:pPr>
            <a:defRPr lang="en-US"/>
          </a:pPr>
          <a:endParaRPr lang="ro-RO"/>
        </a:p>
      </c:txPr>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metale grele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Pb</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Sheet1!$B$2:$B$5</c:f>
              <c:numCache>
                <c:formatCode>General</c:formatCode>
                <c:ptCount val="4"/>
                <c:pt idx="0">
                  <c:v>0</c:v>
                </c:pt>
                <c:pt idx="1">
                  <c:v>3.0000000000000145E-6</c:v>
                </c:pt>
                <c:pt idx="2">
                  <c:v>0</c:v>
                </c:pt>
                <c:pt idx="3">
                  <c:v>4.0000000000000194E-7</c:v>
                </c:pt>
              </c:numCache>
            </c:numRef>
          </c:val>
        </c:ser>
        <c:ser>
          <c:idx val="1"/>
          <c:order val="1"/>
          <c:tx>
            <c:strRef>
              <c:f>Sheet1!$C$1</c:f>
              <c:strCache>
                <c:ptCount val="1"/>
                <c:pt idx="0">
                  <c:v>Cd</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Sheet1!$C$2:$C$5</c:f>
              <c:numCache>
                <c:formatCode>General</c:formatCode>
                <c:ptCount val="4"/>
                <c:pt idx="0">
                  <c:v>0</c:v>
                </c:pt>
                <c:pt idx="1">
                  <c:v>2.0000000000000105E-7</c:v>
                </c:pt>
                <c:pt idx="2">
                  <c:v>0</c:v>
                </c:pt>
                <c:pt idx="3">
                  <c:v>2.0000000000000105E-7</c:v>
                </c:pt>
              </c:numCache>
            </c:numRef>
          </c:val>
        </c:ser>
        <c:ser>
          <c:idx val="2"/>
          <c:order val="2"/>
          <c:tx>
            <c:strRef>
              <c:f>Sheet1!$D$1</c:f>
              <c:strCache>
                <c:ptCount val="1"/>
                <c:pt idx="0">
                  <c:v>Hg</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Sheet1!$D$2:$D$5</c:f>
              <c:numCache>
                <c:formatCode>General</c:formatCode>
                <c:ptCount val="4"/>
                <c:pt idx="0">
                  <c:v>0</c:v>
                </c:pt>
                <c:pt idx="1">
                  <c:v>6.0000000000000405E-8</c:v>
                </c:pt>
                <c:pt idx="2">
                  <c:v>0</c:v>
                </c:pt>
                <c:pt idx="3">
                  <c:v>1.0000000000000059E-7</c:v>
                </c:pt>
              </c:numCache>
            </c:numRef>
          </c:val>
        </c:ser>
        <c:shape val="cone"/>
        <c:axId val="226400896"/>
        <c:axId val="231911808"/>
        <c:axId val="226209792"/>
      </c:bar3DChart>
      <c:catAx>
        <c:axId val="226400896"/>
        <c:scaling>
          <c:orientation val="minMax"/>
        </c:scaling>
        <c:axPos val="b"/>
        <c:numFmt formatCode="General" sourceLinked="1"/>
        <c:majorTickMark val="none"/>
        <c:tickLblPos val="nextTo"/>
        <c:txPr>
          <a:bodyPr/>
          <a:lstStyle/>
          <a:p>
            <a:pPr>
              <a:defRPr lang="en-US"/>
            </a:pPr>
            <a:endParaRPr lang="ro-RO"/>
          </a:p>
        </c:txPr>
        <c:crossAx val="231911808"/>
        <c:crossesAt val="0"/>
        <c:auto val="1"/>
        <c:lblAlgn val="ctr"/>
        <c:lblOffset val="100"/>
      </c:catAx>
      <c:valAx>
        <c:axId val="231911808"/>
        <c:scaling>
          <c:orientation val="minMax"/>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2253012677212829"/>
              <c:y val="0.20270564583682746"/>
            </c:manualLayout>
          </c:layout>
        </c:title>
        <c:numFmt formatCode="General" sourceLinked="1"/>
        <c:majorTickMark val="none"/>
        <c:tickLblPos val="nextTo"/>
        <c:spPr>
          <a:noFill/>
        </c:spPr>
        <c:txPr>
          <a:bodyPr/>
          <a:lstStyle/>
          <a:p>
            <a:pPr>
              <a:defRPr lang="en-US"/>
            </a:pPr>
            <a:endParaRPr lang="ro-RO"/>
          </a:p>
        </c:txPr>
        <c:crossAx val="226400896"/>
        <c:crosses val="autoZero"/>
        <c:crossBetween val="between"/>
        <c:majorUnit val="1.5000000000000083E-6"/>
        <c:minorUnit val="3.0000000000000195E-7"/>
      </c:valAx>
      <c:serAx>
        <c:axId val="226209792"/>
        <c:scaling>
          <c:orientation val="minMax"/>
        </c:scaling>
        <c:delete val="1"/>
        <c:axPos val="b"/>
        <c:tickLblPos val="none"/>
        <c:crossAx val="231911808"/>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PCBs</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0</c:v>
                </c:pt>
                <c:pt idx="2">
                  <c:v>7.0000000000000329E-6</c:v>
                </c:pt>
              </c:numCache>
            </c:numRef>
          </c:val>
        </c:ser>
        <c:shape val="cone"/>
        <c:axId val="240736896"/>
        <c:axId val="240742784"/>
        <c:axId val="226444160"/>
      </c:bar3DChart>
      <c:catAx>
        <c:axId val="240736896"/>
        <c:scaling>
          <c:orientation val="minMax"/>
        </c:scaling>
        <c:axPos val="b"/>
        <c:numFmt formatCode="General" sourceLinked="1"/>
        <c:majorTickMark val="none"/>
        <c:tickLblPos val="nextTo"/>
        <c:txPr>
          <a:bodyPr/>
          <a:lstStyle/>
          <a:p>
            <a:pPr>
              <a:defRPr lang="en-US"/>
            </a:pPr>
            <a:endParaRPr lang="ro-RO"/>
          </a:p>
        </c:txPr>
        <c:crossAx val="240742784"/>
        <c:crossesAt val="0"/>
        <c:auto val="1"/>
        <c:lblAlgn val="ctr"/>
        <c:lblOffset val="100"/>
      </c:catAx>
      <c:valAx>
        <c:axId val="240742784"/>
        <c:scaling>
          <c:orientation val="minMax"/>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9.7607967228395501E-2"/>
              <c:y val="0.24333340603892745"/>
            </c:manualLayout>
          </c:layout>
        </c:title>
        <c:numFmt formatCode="General" sourceLinked="1"/>
        <c:majorTickMark val="none"/>
        <c:tickLblPos val="nextTo"/>
        <c:spPr>
          <a:noFill/>
        </c:spPr>
        <c:txPr>
          <a:bodyPr/>
          <a:lstStyle/>
          <a:p>
            <a:pPr>
              <a:defRPr lang="en-US"/>
            </a:pPr>
            <a:endParaRPr lang="ro-RO"/>
          </a:p>
        </c:txPr>
        <c:crossAx val="240736896"/>
        <c:crosses val="autoZero"/>
        <c:crossBetween val="between"/>
        <c:majorUnit val="5.0000000000000233E-6"/>
      </c:valAx>
      <c:serAx>
        <c:axId val="226444160"/>
        <c:scaling>
          <c:orientation val="minMax"/>
        </c:scaling>
        <c:delete val="1"/>
        <c:axPos val="b"/>
        <c:tickLblPos val="none"/>
        <c:crossAx val="240742784"/>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Contribuția sectoarelor de activitate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Energie</c:v>
                </c:pt>
                <c:pt idx="1">
                  <c:v>Transporturi</c:v>
                </c:pt>
                <c:pt idx="2">
                  <c:v>Procese industriale</c:v>
                </c:pt>
                <c:pt idx="3">
                  <c:v>Agricultură</c:v>
                </c:pt>
              </c:strCache>
            </c:strRef>
          </c:cat>
          <c:val>
            <c:numRef>
              <c:f>Sheet1!$B$2:$B$5</c:f>
              <c:numCache>
                <c:formatCode>General</c:formatCode>
                <c:ptCount val="4"/>
                <c:pt idx="0">
                  <c:v>0</c:v>
                </c:pt>
                <c:pt idx="1">
                  <c:v>0</c:v>
                </c:pt>
                <c:pt idx="2">
                  <c:v>5.0000000000000034E-4</c:v>
                </c:pt>
                <c:pt idx="3">
                  <c:v>7.5000000000000197E-4</c:v>
                </c:pt>
              </c:numCache>
            </c:numRef>
          </c:val>
        </c:ser>
        <c:ser>
          <c:idx val="1"/>
          <c:order val="1"/>
          <c:tx>
            <c:strRef>
              <c:f>Sheet1!$C$1</c:f>
              <c:strCache>
                <c:ptCount val="1"/>
                <c:pt idx="0">
                  <c:v>SO2</c:v>
                </c:pt>
              </c:strCache>
            </c:strRef>
          </c:tx>
          <c:cat>
            <c:strRef>
              <c:f>Sheet1!$A$2:$A$5</c:f>
              <c:strCache>
                <c:ptCount val="4"/>
                <c:pt idx="0">
                  <c:v>Energie</c:v>
                </c:pt>
                <c:pt idx="1">
                  <c:v>Transporturi</c:v>
                </c:pt>
                <c:pt idx="2">
                  <c:v>Procese industriale</c:v>
                </c:pt>
                <c:pt idx="3">
                  <c:v>Agricultură</c:v>
                </c:pt>
              </c:strCache>
            </c:strRef>
          </c:cat>
          <c:val>
            <c:numRef>
              <c:f>Sheet1!$C$2:$C$5</c:f>
              <c:numCache>
                <c:formatCode>General</c:formatCode>
                <c:ptCount val="4"/>
                <c:pt idx="0">
                  <c:v>0</c:v>
                </c:pt>
                <c:pt idx="1">
                  <c:v>0</c:v>
                </c:pt>
                <c:pt idx="2">
                  <c:v>1.0000000000000052E-6</c:v>
                </c:pt>
                <c:pt idx="3">
                  <c:v>1.8000000000000063E-4</c:v>
                </c:pt>
              </c:numCache>
            </c:numRef>
          </c:val>
        </c:ser>
        <c:shape val="cone"/>
        <c:axId val="240773760"/>
        <c:axId val="240796032"/>
        <c:axId val="226445952"/>
      </c:bar3DChart>
      <c:catAx>
        <c:axId val="240773760"/>
        <c:scaling>
          <c:orientation val="minMax"/>
        </c:scaling>
        <c:axPos val="b"/>
        <c:numFmt formatCode="General" sourceLinked="1"/>
        <c:majorTickMark val="none"/>
        <c:tickLblPos val="nextTo"/>
        <c:txPr>
          <a:bodyPr/>
          <a:lstStyle/>
          <a:p>
            <a:pPr>
              <a:defRPr lang="en-US"/>
            </a:pPr>
            <a:endParaRPr lang="ro-RO"/>
          </a:p>
        </c:txPr>
        <c:crossAx val="240796032"/>
        <c:crossesAt val="0"/>
        <c:auto val="1"/>
        <c:lblAlgn val="ctr"/>
        <c:lblOffset val="100"/>
      </c:catAx>
      <c:valAx>
        <c:axId val="240796032"/>
        <c:scaling>
          <c:orientation val="minMax"/>
        </c:scaling>
        <c:axPos val="l"/>
        <c:title>
          <c:tx>
            <c:rich>
              <a:bodyPr rot="0" vert="horz"/>
              <a:lstStyle/>
              <a:p>
                <a:pPr>
                  <a:defRPr lang="en-US"/>
                </a:pPr>
                <a:r>
                  <a:rPr lang="ro-RO"/>
                  <a:t>%</a:t>
                </a:r>
              </a:p>
            </c:rich>
          </c:tx>
          <c:layout>
            <c:manualLayout>
              <c:xMode val="edge"/>
              <c:yMode val="edge"/>
              <c:x val="0.10508460274241532"/>
              <c:y val="0.1990120763990374"/>
            </c:manualLayout>
          </c:layout>
        </c:title>
        <c:numFmt formatCode="General" sourceLinked="1"/>
        <c:majorTickMark val="none"/>
        <c:tickLblPos val="nextTo"/>
        <c:txPr>
          <a:bodyPr/>
          <a:lstStyle/>
          <a:p>
            <a:pPr>
              <a:defRPr lang="en-US"/>
            </a:pPr>
            <a:endParaRPr lang="ro-RO"/>
          </a:p>
        </c:txPr>
        <c:crossAx val="240773760"/>
        <c:crosses val="autoZero"/>
        <c:crossBetween val="between"/>
        <c:majorUnit val="2.0000000000000052E-4"/>
      </c:valAx>
      <c:serAx>
        <c:axId val="226445952"/>
        <c:scaling>
          <c:orientation val="minMax"/>
        </c:scaling>
        <c:delete val="1"/>
        <c:axPos val="b"/>
        <c:tickLblPos val="none"/>
        <c:crossAx val="24079603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Contribuția sectoarelor de activitate din industrie la emisiile de poluanți cu efect de acidifiere </a:t>
            </a:r>
          </a:p>
        </c:rich>
      </c:tx>
    </c:title>
    <c:view3D>
      <c:perspective val="30"/>
    </c:view3D>
    <c:plotArea>
      <c:layout/>
      <c:bar3DChart>
        <c:barDir val="col"/>
        <c:grouping val="standard"/>
        <c:ser>
          <c:idx val="1"/>
          <c:order val="0"/>
          <c:tx>
            <c:strRef>
              <c:f>Sheet1!$C$1</c:f>
              <c:strCache>
                <c:ptCount val="1"/>
                <c:pt idx="0">
                  <c:v>Nox</c:v>
                </c:pt>
              </c:strCache>
            </c:strRef>
          </c:tx>
          <c:cat>
            <c:strRef>
              <c:f>Sheet1!$A$2</c:f>
              <c:strCache>
                <c:ptCount val="1"/>
                <c:pt idx="0">
                  <c:v>Producția de fier și oțel</c:v>
                </c:pt>
              </c:strCache>
            </c:strRef>
          </c:cat>
          <c:val>
            <c:numRef>
              <c:f>Sheet1!$C$2</c:f>
              <c:numCache>
                <c:formatCode>General</c:formatCode>
                <c:ptCount val="1"/>
                <c:pt idx="0">
                  <c:v>2.0000000000000052E-4</c:v>
                </c:pt>
              </c:numCache>
            </c:numRef>
          </c:val>
        </c:ser>
        <c:ser>
          <c:idx val="2"/>
          <c:order val="1"/>
          <c:tx>
            <c:strRef>
              <c:f>Sheet1!$D$1</c:f>
              <c:strCache>
                <c:ptCount val="1"/>
                <c:pt idx="0">
                  <c:v>SO2</c:v>
                </c:pt>
              </c:strCache>
            </c:strRef>
          </c:tx>
          <c:cat>
            <c:strRef>
              <c:f>Sheet1!$A$2</c:f>
              <c:strCache>
                <c:ptCount val="1"/>
                <c:pt idx="0">
                  <c:v>Producția de fier și oțel</c:v>
                </c:pt>
              </c:strCache>
            </c:strRef>
          </c:cat>
          <c:val>
            <c:numRef>
              <c:f>Sheet1!$D$2</c:f>
              <c:numCache>
                <c:formatCode>General</c:formatCode>
                <c:ptCount val="1"/>
                <c:pt idx="0">
                  <c:v>8.0000000000000291E-5</c:v>
                </c:pt>
              </c:numCache>
            </c:numRef>
          </c:val>
        </c:ser>
        <c:ser>
          <c:idx val="3"/>
          <c:order val="2"/>
          <c:tx>
            <c:strRef>
              <c:f>Sheet1!$B$1</c:f>
              <c:strCache>
                <c:ptCount val="1"/>
                <c:pt idx="0">
                  <c:v>NH3</c:v>
                </c:pt>
              </c:strCache>
            </c:strRef>
          </c:tx>
          <c:cat>
            <c:strRef>
              <c:f>Sheet1!$A$2</c:f>
              <c:strCache>
                <c:ptCount val="1"/>
                <c:pt idx="0">
                  <c:v>Producția de fier și oțel</c:v>
                </c:pt>
              </c:strCache>
            </c:strRef>
          </c:cat>
          <c:val>
            <c:numRef>
              <c:f>Sheet1!$B$2</c:f>
              <c:numCache>
                <c:formatCode>General</c:formatCode>
                <c:ptCount val="1"/>
                <c:pt idx="0">
                  <c:v>0</c:v>
                </c:pt>
              </c:numCache>
            </c:numRef>
          </c:val>
        </c:ser>
        <c:shape val="cone"/>
        <c:axId val="240827776"/>
        <c:axId val="240907392"/>
        <c:axId val="232011968"/>
      </c:bar3DChart>
      <c:catAx>
        <c:axId val="240827776"/>
        <c:scaling>
          <c:orientation val="minMax"/>
        </c:scaling>
        <c:axPos val="b"/>
        <c:numFmt formatCode="General" sourceLinked="1"/>
        <c:majorTickMark val="none"/>
        <c:tickLblPos val="nextTo"/>
        <c:txPr>
          <a:bodyPr/>
          <a:lstStyle/>
          <a:p>
            <a:pPr>
              <a:defRPr lang="en-US"/>
            </a:pPr>
            <a:endParaRPr lang="ro-RO"/>
          </a:p>
        </c:txPr>
        <c:crossAx val="240907392"/>
        <c:crossesAt val="0"/>
        <c:auto val="1"/>
        <c:lblAlgn val="ctr"/>
        <c:lblOffset val="100"/>
      </c:catAx>
      <c:valAx>
        <c:axId val="240907392"/>
        <c:scaling>
          <c:orientation val="minMax"/>
        </c:scaling>
        <c:axPos val="l"/>
        <c:title>
          <c:tx>
            <c:rich>
              <a:bodyPr rot="0" vert="horz"/>
              <a:lstStyle/>
              <a:p>
                <a:pPr>
                  <a:defRPr lang="en-US"/>
                </a:pPr>
                <a:r>
                  <a:rPr lang="ro-RO"/>
                  <a:t>%</a:t>
                </a:r>
              </a:p>
            </c:rich>
          </c:tx>
          <c:layout>
            <c:manualLayout>
              <c:xMode val="edge"/>
              <c:yMode val="edge"/>
              <c:x val="0.25960173669880049"/>
              <c:y val="0.26180062672221388"/>
            </c:manualLayout>
          </c:layout>
        </c:title>
        <c:numFmt formatCode="General" sourceLinked="1"/>
        <c:majorTickMark val="none"/>
        <c:tickLblPos val="nextTo"/>
        <c:txPr>
          <a:bodyPr/>
          <a:lstStyle/>
          <a:p>
            <a:pPr>
              <a:defRPr lang="en-US"/>
            </a:pPr>
            <a:endParaRPr lang="ro-RO"/>
          </a:p>
        </c:txPr>
        <c:crossAx val="240827776"/>
        <c:crosses val="autoZero"/>
        <c:crossBetween val="between"/>
      </c:valAx>
      <c:serAx>
        <c:axId val="232011968"/>
        <c:scaling>
          <c:orientation val="minMax"/>
        </c:scaling>
        <c:delete val="1"/>
        <c:axPos val="b"/>
        <c:tickLblPos val="none"/>
        <c:crossAx val="24090739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Evoluția emisiilor de poluanți cu efect de acidifiere </a:t>
            </a:r>
          </a:p>
        </c:rich>
      </c:tx>
    </c:title>
    <c:plotArea>
      <c:layout>
        <c:manualLayout>
          <c:layoutTarget val="inner"/>
          <c:xMode val="edge"/>
          <c:yMode val="edge"/>
          <c:x val="0.17659626420279417"/>
          <c:y val="0.21909672980396391"/>
          <c:w val="0.66074678048421565"/>
          <c:h val="0.57468396028936886"/>
        </c:manualLayout>
      </c:layout>
      <c:barChart>
        <c:barDir val="col"/>
        <c:grouping val="clustere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1">
                  <c:v>1.1585000000000001</c:v>
                </c:pt>
                <c:pt idx="2">
                  <c:v>1.1190787137445199</c:v>
                </c:pt>
                <c:pt idx="3">
                  <c:v>1.1919999999999977</c:v>
                </c:pt>
              </c:numCache>
            </c:numRef>
          </c:val>
        </c:ser>
        <c:ser>
          <c:idx val="1"/>
          <c:order val="1"/>
          <c:tx>
            <c:strRef>
              <c:f>Sheet1!$C$1</c:f>
              <c:strCache>
                <c:ptCount val="1"/>
                <c:pt idx="0">
                  <c:v>SO2</c:v>
                </c:pt>
              </c:strCache>
            </c:strRef>
          </c:tx>
          <c:spPr>
            <a:solidFill>
              <a:schemeClr val="accent3"/>
            </a:solidFill>
          </c:spPr>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1">
                  <c:v>2.7000000000000049E-3</c:v>
                </c:pt>
                <c:pt idx="2">
                  <c:v>6.4125099749727799E-3</c:v>
                </c:pt>
                <c:pt idx="3">
                  <c:v>5.0000000000000088E-3</c:v>
                </c:pt>
              </c:numCache>
            </c:numRef>
          </c:val>
        </c:ser>
        <c:ser>
          <c:idx val="2"/>
          <c:order val="2"/>
          <c:tx>
            <c:strRef>
              <c:f>Sheet1!$D$1</c:f>
              <c:strCache>
                <c:ptCount val="1"/>
                <c:pt idx="0">
                  <c:v>NH3</c:v>
                </c:pt>
              </c:strCache>
            </c:strRef>
          </c:tx>
          <c:spPr>
            <a:solidFill>
              <a:srgbClr val="FFFF00"/>
            </a:solidFill>
          </c:spPr>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1">
                  <c:v>7.1099999999999985</c:v>
                </c:pt>
                <c:pt idx="2">
                  <c:v>0.43650293326216211</c:v>
                </c:pt>
                <c:pt idx="3">
                  <c:v>0.2180000000000003</c:v>
                </c:pt>
              </c:numCache>
            </c:numRef>
          </c:val>
        </c:ser>
        <c:ser>
          <c:idx val="3"/>
          <c:order val="3"/>
          <c:tx>
            <c:strRef>
              <c:f>Sheet1!$E$1</c:f>
              <c:strCache>
                <c:ptCount val="1"/>
                <c:pt idx="0">
                  <c:v>Echivalent acidifiere</c:v>
                </c:pt>
              </c:strCache>
            </c:strRef>
          </c:tx>
          <c:spPr>
            <a:solidFill>
              <a:schemeClr val="accent2"/>
            </a:solidFill>
          </c:spPr>
          <c:cat>
            <c:numRef>
              <c:f>Sheet1!$A$2:$A$6</c:f>
              <c:numCache>
                <c:formatCode>General</c:formatCode>
                <c:ptCount val="5"/>
                <c:pt idx="0">
                  <c:v>2013</c:v>
                </c:pt>
                <c:pt idx="1">
                  <c:v>2014</c:v>
                </c:pt>
                <c:pt idx="2">
                  <c:v>2015</c:v>
                </c:pt>
                <c:pt idx="3">
                  <c:v>2016</c:v>
                </c:pt>
                <c:pt idx="4">
                  <c:v>2017</c:v>
                </c:pt>
              </c:numCache>
            </c:numRef>
          </c:cat>
          <c:val>
            <c:numRef>
              <c:f>Sheet1!$E$2:$E$6</c:f>
              <c:numCache>
                <c:formatCode>General</c:formatCode>
                <c:ptCount val="5"/>
                <c:pt idx="1">
                  <c:v>0.44329195999999993</c:v>
                </c:pt>
                <c:pt idx="2">
                  <c:v>5.0151092126287787E-2</c:v>
                </c:pt>
                <c:pt idx="3">
                  <c:v>3.8841300000000085E-2</c:v>
                </c:pt>
              </c:numCache>
            </c:numRef>
          </c:val>
        </c:ser>
        <c:axId val="240927488"/>
        <c:axId val="240929024"/>
      </c:barChart>
      <c:catAx>
        <c:axId val="240927488"/>
        <c:scaling>
          <c:orientation val="minMax"/>
        </c:scaling>
        <c:axPos val="b"/>
        <c:numFmt formatCode="General" sourceLinked="1"/>
        <c:majorTickMark val="none"/>
        <c:tickLblPos val="nextTo"/>
        <c:txPr>
          <a:bodyPr/>
          <a:lstStyle/>
          <a:p>
            <a:pPr>
              <a:defRPr lang="en-US"/>
            </a:pPr>
            <a:endParaRPr lang="ro-RO"/>
          </a:p>
        </c:txPr>
        <c:crossAx val="240929024"/>
        <c:crossesAt val="0"/>
        <c:auto val="1"/>
        <c:lblAlgn val="ctr"/>
        <c:lblOffset val="100"/>
      </c:catAx>
      <c:valAx>
        <c:axId val="240929024"/>
        <c:scaling>
          <c:orientation val="minMax"/>
          <c:max val="8"/>
        </c:scaling>
        <c:axPos val="l"/>
        <c:title>
          <c:tx>
            <c:rich>
              <a:bodyPr rot="0" vert="horz"/>
              <a:lstStyle/>
              <a:p>
                <a:pPr>
                  <a:defRPr lang="en-US"/>
                </a:pPr>
                <a:r>
                  <a:rPr lang="en-US"/>
                  <a:t>mii tone</a:t>
                </a:r>
                <a:endParaRPr lang="ro-RO"/>
              </a:p>
            </c:rich>
          </c:tx>
          <c:layout>
            <c:manualLayout>
              <c:xMode val="edge"/>
              <c:yMode val="edge"/>
              <c:x val="9.7607943391686547E-2"/>
              <c:y val="0.12278121288754779"/>
            </c:manualLayout>
          </c:layout>
        </c:title>
        <c:numFmt formatCode="General" sourceLinked="1"/>
        <c:majorTickMark val="none"/>
        <c:tickLblPos val="nextTo"/>
        <c:txPr>
          <a:bodyPr/>
          <a:lstStyle/>
          <a:p>
            <a:pPr>
              <a:defRPr lang="en-US"/>
            </a:pPr>
            <a:endParaRPr lang="ro-RO"/>
          </a:p>
        </c:txPr>
        <c:crossAx val="240927488"/>
        <c:crosses val="autoZero"/>
        <c:crossBetween val="between"/>
      </c:valAx>
    </c:plotArea>
    <c:legend>
      <c:legendPos val="r"/>
      <c:layout>
        <c:manualLayout>
          <c:xMode val="edge"/>
          <c:yMode val="edge"/>
          <c:x val="0.85495850295860565"/>
          <c:y val="0.19922552707617772"/>
          <c:w val="0.14504149704139585"/>
          <c:h val="0.41885620380538585"/>
        </c:manualLayout>
      </c:layout>
      <c:txPr>
        <a:bodyPr/>
        <a:lstStyle/>
        <a:p>
          <a:pPr>
            <a:defRPr lang="en-US"/>
          </a:pPr>
          <a:endParaRPr lang="ro-RO"/>
        </a:p>
      </c:txP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fier și oțel</c:v>
                </c:pt>
                <c:pt idx="1">
                  <c:v>Industria alimentară</c:v>
                </c:pt>
                <c:pt idx="2">
                  <c:v>Asfaltarea drumurilor</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NMCOV</c:v>
                </c:pt>
              </c:strCache>
            </c:strRef>
          </c:tx>
          <c:cat>
            <c:strRef>
              <c:f>Sheet1!$A$2:$A$4</c:f>
              <c:strCache>
                <c:ptCount val="3"/>
                <c:pt idx="0">
                  <c:v>Producția de fier și oțel</c:v>
                </c:pt>
                <c:pt idx="1">
                  <c:v>Industria alimentară</c:v>
                </c:pt>
                <c:pt idx="2">
                  <c:v>Asfaltarea drumurilor</c:v>
                </c:pt>
              </c:strCache>
            </c:strRef>
          </c:cat>
          <c:val>
            <c:numRef>
              <c:f>Sheet1!$C$2:$C$4</c:f>
              <c:numCache>
                <c:formatCode>General</c:formatCode>
                <c:ptCount val="3"/>
                <c:pt idx="0">
                  <c:v>1.4999999999999999E-4</c:v>
                </c:pt>
                <c:pt idx="1">
                  <c:v>4.5000000000000014E-3</c:v>
                </c:pt>
                <c:pt idx="2">
                  <c:v>2.5000000000000066E-3</c:v>
                </c:pt>
              </c:numCache>
            </c:numRef>
          </c:val>
        </c:ser>
        <c:ser>
          <c:idx val="2"/>
          <c:order val="2"/>
          <c:tx>
            <c:strRef>
              <c:f>Sheet1!$D$1</c:f>
              <c:strCache>
                <c:ptCount val="1"/>
                <c:pt idx="0">
                  <c:v>CO</c:v>
                </c:pt>
              </c:strCache>
            </c:strRef>
          </c:tx>
          <c:cat>
            <c:strRef>
              <c:f>Sheet1!$A$2:$A$4</c:f>
              <c:strCache>
                <c:ptCount val="3"/>
                <c:pt idx="0">
                  <c:v>Producția de fier și oțel</c:v>
                </c:pt>
                <c:pt idx="1">
                  <c:v>Industria alimentară</c:v>
                </c:pt>
                <c:pt idx="2">
                  <c:v>Asfaltarea drumurilor</c:v>
                </c:pt>
              </c:strCache>
            </c:strRef>
          </c:cat>
          <c:val>
            <c:numRef>
              <c:f>Sheet1!$D$2:$D$4</c:f>
              <c:numCache>
                <c:formatCode>General</c:formatCode>
                <c:ptCount val="3"/>
                <c:pt idx="0">
                  <c:v>2.0999999999999999E-3</c:v>
                </c:pt>
                <c:pt idx="1">
                  <c:v>0</c:v>
                </c:pt>
                <c:pt idx="2">
                  <c:v>0</c:v>
                </c:pt>
              </c:numCache>
            </c:numRef>
          </c:val>
        </c:ser>
        <c:shape val="cone"/>
        <c:axId val="241172864"/>
        <c:axId val="241174400"/>
        <c:axId val="233644480"/>
      </c:bar3DChart>
      <c:catAx>
        <c:axId val="241172864"/>
        <c:scaling>
          <c:orientation val="minMax"/>
        </c:scaling>
        <c:axPos val="b"/>
        <c:numFmt formatCode="General" sourceLinked="1"/>
        <c:majorTickMark val="none"/>
        <c:tickLblPos val="nextTo"/>
        <c:txPr>
          <a:bodyPr/>
          <a:lstStyle/>
          <a:p>
            <a:pPr>
              <a:defRPr lang="en-US"/>
            </a:pPr>
            <a:endParaRPr lang="ro-RO"/>
          </a:p>
        </c:txPr>
        <c:crossAx val="241174400"/>
        <c:crossesAt val="0"/>
        <c:auto val="1"/>
        <c:lblAlgn val="ctr"/>
        <c:lblOffset val="100"/>
      </c:catAx>
      <c:valAx>
        <c:axId val="241174400"/>
        <c:scaling>
          <c:orientation val="minMax"/>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2253012677212829"/>
              <c:y val="0.20270564583682738"/>
            </c:manualLayout>
          </c:layout>
        </c:title>
        <c:numFmt formatCode="General" sourceLinked="1"/>
        <c:majorTickMark val="none"/>
        <c:tickLblPos val="nextTo"/>
        <c:spPr>
          <a:noFill/>
        </c:spPr>
        <c:txPr>
          <a:bodyPr/>
          <a:lstStyle/>
          <a:p>
            <a:pPr>
              <a:defRPr lang="en-US"/>
            </a:pPr>
            <a:endParaRPr lang="ro-RO"/>
          </a:p>
        </c:txPr>
        <c:crossAx val="241172864"/>
        <c:crosses val="autoZero"/>
        <c:crossBetween val="between"/>
      </c:valAx>
      <c:serAx>
        <c:axId val="233644480"/>
        <c:scaling>
          <c:orientation val="minMax"/>
        </c:scaling>
        <c:delete val="1"/>
        <c:axPos val="b"/>
        <c:tickLblPos val="none"/>
        <c:crossAx val="241174400"/>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c:f>
              <c:strCache>
                <c:ptCount val="1"/>
                <c:pt idx="0">
                  <c:v>Producția de fier și oțel</c:v>
                </c:pt>
              </c:strCache>
            </c:strRef>
          </c:cat>
          <c:val>
            <c:numRef>
              <c:f>Sheet1!$B$2</c:f>
              <c:numCache>
                <c:formatCode>General</c:formatCode>
                <c:ptCount val="1"/>
                <c:pt idx="0">
                  <c:v>2.600000000000011E-5</c:v>
                </c:pt>
              </c:numCache>
            </c:numRef>
          </c:val>
        </c:ser>
        <c:ser>
          <c:idx val="1"/>
          <c:order val="1"/>
          <c:tx>
            <c:strRef>
              <c:f>Sheet1!$C$1</c:f>
              <c:strCache>
                <c:ptCount val="1"/>
                <c:pt idx="0">
                  <c:v>PM10</c:v>
                </c:pt>
              </c:strCache>
            </c:strRef>
          </c:tx>
          <c:cat>
            <c:strRef>
              <c:f>Sheet1!$A$2</c:f>
              <c:strCache>
                <c:ptCount val="1"/>
                <c:pt idx="0">
                  <c:v>Producția de fier și oțel</c:v>
                </c:pt>
              </c:strCache>
            </c:strRef>
          </c:cat>
          <c:val>
            <c:numRef>
              <c:f>Sheet1!$C$2</c:f>
              <c:numCache>
                <c:formatCode>General</c:formatCode>
                <c:ptCount val="1"/>
                <c:pt idx="0">
                  <c:v>3.0000000000000109E-5</c:v>
                </c:pt>
              </c:numCache>
            </c:numRef>
          </c:val>
        </c:ser>
        <c:shape val="cone"/>
        <c:axId val="241209728"/>
        <c:axId val="241211264"/>
        <c:axId val="234166912"/>
      </c:bar3DChart>
      <c:catAx>
        <c:axId val="241209728"/>
        <c:scaling>
          <c:orientation val="minMax"/>
        </c:scaling>
        <c:axPos val="b"/>
        <c:numFmt formatCode="General" sourceLinked="1"/>
        <c:majorTickMark val="none"/>
        <c:tickLblPos val="nextTo"/>
        <c:txPr>
          <a:bodyPr/>
          <a:lstStyle/>
          <a:p>
            <a:pPr>
              <a:defRPr lang="en-US"/>
            </a:pPr>
            <a:endParaRPr lang="ro-RO"/>
          </a:p>
        </c:txPr>
        <c:crossAx val="241211264"/>
        <c:crossesAt val="0"/>
        <c:auto val="1"/>
        <c:lblAlgn val="ctr"/>
        <c:lblOffset val="100"/>
      </c:catAx>
      <c:valAx>
        <c:axId val="241211264"/>
        <c:scaling>
          <c:orientation val="minMax"/>
        </c:scaling>
        <c:axPos val="l"/>
        <c:majorGridlines/>
        <c:minorGridlines>
          <c:spPr>
            <a:ln>
              <a:solidFill>
                <a:sysClr val="window" lastClr="FFFFFF"/>
              </a:solidFill>
            </a:ln>
          </c:spPr>
        </c:minorGridlines>
        <c:title>
          <c:tx>
            <c:rich>
              <a:bodyPr rot="0" vert="horz"/>
              <a:lstStyle/>
              <a:p>
                <a:pPr>
                  <a:defRPr lang="en-US"/>
                </a:pPr>
                <a:r>
                  <a:rPr lang="ro-RO"/>
                  <a:t>%</a:t>
                </a:r>
              </a:p>
            </c:rich>
          </c:tx>
          <c:layout>
            <c:manualLayout>
              <c:xMode val="edge"/>
              <c:yMode val="edge"/>
              <c:x val="0.15742105134054504"/>
              <c:y val="0.28765473567881888"/>
            </c:manualLayout>
          </c:layout>
        </c:title>
        <c:numFmt formatCode="General" sourceLinked="1"/>
        <c:majorTickMark val="none"/>
        <c:tickLblPos val="nextTo"/>
        <c:spPr>
          <a:noFill/>
        </c:spPr>
        <c:txPr>
          <a:bodyPr/>
          <a:lstStyle/>
          <a:p>
            <a:pPr>
              <a:defRPr lang="en-US"/>
            </a:pPr>
            <a:endParaRPr lang="ro-RO"/>
          </a:p>
        </c:txPr>
        <c:crossAx val="241209728"/>
        <c:crosses val="autoZero"/>
        <c:crossBetween val="between"/>
      </c:valAx>
      <c:serAx>
        <c:axId val="234166912"/>
        <c:scaling>
          <c:orientation val="minMax"/>
        </c:scaling>
        <c:delete val="1"/>
        <c:axPos val="b"/>
        <c:tickLblPos val="none"/>
        <c:crossAx val="241211264"/>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3387065525344802"/>
          <c:y val="2.1897810218979036E-2"/>
          <c:w val="0.61211012394510778"/>
          <c:h val="0.74155730533683251"/>
        </c:manualLayout>
      </c:layout>
      <c:bar3DChart>
        <c:barDir val="col"/>
        <c:grouping val="clustered"/>
        <c:ser>
          <c:idx val="3"/>
          <c:order val="0"/>
          <c:tx>
            <c:strRef>
              <c:f>Sheet1!$A$2</c:f>
              <c:strCache>
                <c:ptCount val="1"/>
                <c:pt idx="0">
                  <c:v>Medii anuale nef. 2017</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0">
                  <c:v>21.79</c:v>
                </c:pt>
                <c:pt idx="1">
                  <c:v>19.09</c:v>
                </c:pt>
                <c:pt idx="2">
                  <c:v>22.09</c:v>
                </c:pt>
                <c:pt idx="3">
                  <c:v>18.86</c:v>
                </c:pt>
                <c:pt idx="4">
                  <c:v>22.54</c:v>
                </c:pt>
              </c:numCache>
            </c:numRef>
          </c:val>
        </c:ser>
        <c:ser>
          <c:idx val="15"/>
          <c:order val="1"/>
          <c:tx>
            <c:strRef>
              <c:f>Sheet1!$A$3</c:f>
              <c:strCache>
                <c:ptCount val="1"/>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numCache>
            </c:numRef>
          </c:val>
        </c:ser>
        <c:gapWidth val="270"/>
        <c:gapDepth val="0"/>
        <c:shape val="box"/>
        <c:axId val="226374784"/>
        <c:axId val="226419072"/>
        <c:axId val="0"/>
      </c:bar3DChart>
      <c:catAx>
        <c:axId val="2263747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6419072"/>
        <c:crosses val="autoZero"/>
        <c:auto val="1"/>
        <c:lblAlgn val="ctr"/>
        <c:lblOffset val="100"/>
        <c:tickLblSkip val="1"/>
        <c:tickMarkSkip val="1"/>
      </c:catAx>
      <c:valAx>
        <c:axId val="226419072"/>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2014E-2"/>
              <c:y val="0.150680314960629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6374784"/>
        <c:crosses val="autoZero"/>
        <c:crossBetween val="between"/>
      </c:valAx>
      <c:spPr>
        <a:noFill/>
        <a:ln w="25399">
          <a:noFill/>
        </a:ln>
      </c:spPr>
    </c:plotArea>
    <c:legend>
      <c:legendPos val="r"/>
      <c:legendEntry>
        <c:idx val="1"/>
        <c:delete val="1"/>
      </c:legendEntry>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PCDD/PCDF</c:v>
                </c:pt>
              </c:strCache>
            </c:strRef>
          </c:tx>
          <c:cat>
            <c:strRef>
              <c:f>Sheet1!$A$2</c:f>
              <c:strCache>
                <c:ptCount val="1"/>
                <c:pt idx="0">
                  <c:v>Producția de fier și oțel</c:v>
                </c:pt>
              </c:strCache>
            </c:strRef>
          </c:cat>
          <c:val>
            <c:numRef>
              <c:f>Sheet1!$B$2</c:f>
              <c:numCache>
                <c:formatCode>General</c:formatCode>
                <c:ptCount val="1"/>
                <c:pt idx="0">
                  <c:v>3.0000000000000265E-11</c:v>
                </c:pt>
              </c:numCache>
            </c:numRef>
          </c:val>
        </c:ser>
        <c:ser>
          <c:idx val="1"/>
          <c:order val="1"/>
          <c:tx>
            <c:strRef>
              <c:f>Sheet1!$C$1</c:f>
              <c:strCache>
                <c:ptCount val="1"/>
                <c:pt idx="0">
                  <c:v>PAH</c:v>
                </c:pt>
              </c:strCache>
            </c:strRef>
          </c:tx>
          <c:cat>
            <c:strRef>
              <c:f>Sheet1!$A$2</c:f>
              <c:strCache>
                <c:ptCount val="1"/>
                <c:pt idx="0">
                  <c:v>Producția de fier și oțel</c:v>
                </c:pt>
              </c:strCache>
            </c:strRef>
          </c:cat>
          <c:val>
            <c:numRef>
              <c:f>Sheet1!$C$2</c:f>
              <c:numCache>
                <c:formatCode>General</c:formatCode>
                <c:ptCount val="1"/>
                <c:pt idx="0">
                  <c:v>6.0000000000000347E-7</c:v>
                </c:pt>
              </c:numCache>
            </c:numRef>
          </c:val>
        </c:ser>
        <c:ser>
          <c:idx val="2"/>
          <c:order val="2"/>
          <c:tx>
            <c:strRef>
              <c:f>Sheet1!$D$1</c:f>
              <c:strCache>
                <c:ptCount val="1"/>
                <c:pt idx="0">
                  <c:v>HCB</c:v>
                </c:pt>
              </c:strCache>
            </c:strRef>
          </c:tx>
          <c:cat>
            <c:strRef>
              <c:f>Sheet1!$A$2</c:f>
              <c:strCache>
                <c:ptCount val="1"/>
                <c:pt idx="0">
                  <c:v>Producția de fier și oțel</c:v>
                </c:pt>
              </c:strCache>
            </c:strRef>
          </c:cat>
          <c:val>
            <c:numRef>
              <c:f>Sheet1!$D$2</c:f>
              <c:numCache>
                <c:formatCode>General</c:formatCode>
                <c:ptCount val="1"/>
                <c:pt idx="0">
                  <c:v>0</c:v>
                </c:pt>
              </c:numCache>
            </c:numRef>
          </c:val>
        </c:ser>
        <c:ser>
          <c:idx val="3"/>
          <c:order val="3"/>
          <c:tx>
            <c:strRef>
              <c:f>Sheet1!$E$1</c:f>
              <c:strCache>
                <c:ptCount val="1"/>
                <c:pt idx="0">
                  <c:v>PCBs</c:v>
                </c:pt>
              </c:strCache>
            </c:strRef>
          </c:tx>
          <c:cat>
            <c:strRef>
              <c:f>Sheet1!$A$2</c:f>
              <c:strCache>
                <c:ptCount val="1"/>
                <c:pt idx="0">
                  <c:v>Producția de fier și oțel</c:v>
                </c:pt>
              </c:strCache>
            </c:strRef>
          </c:cat>
          <c:val>
            <c:numRef>
              <c:f>Sheet1!$E$2</c:f>
              <c:numCache>
                <c:formatCode>General</c:formatCode>
                <c:ptCount val="1"/>
                <c:pt idx="0">
                  <c:v>3.0000000000000223E-9</c:v>
                </c:pt>
              </c:numCache>
            </c:numRef>
          </c:val>
        </c:ser>
        <c:shape val="cone"/>
        <c:axId val="240641920"/>
        <c:axId val="240643456"/>
        <c:axId val="234196992"/>
      </c:bar3DChart>
      <c:catAx>
        <c:axId val="240641920"/>
        <c:scaling>
          <c:orientation val="minMax"/>
        </c:scaling>
        <c:axPos val="b"/>
        <c:numFmt formatCode="General" sourceLinked="1"/>
        <c:majorTickMark val="none"/>
        <c:tickLblPos val="nextTo"/>
        <c:txPr>
          <a:bodyPr/>
          <a:lstStyle/>
          <a:p>
            <a:pPr>
              <a:defRPr lang="en-US"/>
            </a:pPr>
            <a:endParaRPr lang="ro-RO"/>
          </a:p>
        </c:txPr>
        <c:crossAx val="240643456"/>
        <c:crossesAt val="0"/>
        <c:auto val="1"/>
        <c:lblAlgn val="ctr"/>
        <c:lblOffset val="100"/>
      </c:catAx>
      <c:valAx>
        <c:axId val="240643456"/>
        <c:scaling>
          <c:orientation val="minMax"/>
        </c:scaling>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8981980523462624"/>
              <c:y val="0.26180062672221388"/>
            </c:manualLayout>
          </c:layout>
        </c:title>
        <c:numFmt formatCode="General" sourceLinked="1"/>
        <c:majorTickMark val="none"/>
        <c:tickLblPos val="nextTo"/>
        <c:spPr>
          <a:noFill/>
        </c:spPr>
        <c:txPr>
          <a:bodyPr/>
          <a:lstStyle/>
          <a:p>
            <a:pPr>
              <a:defRPr lang="en-US"/>
            </a:pPr>
            <a:endParaRPr lang="ro-RO"/>
          </a:p>
        </c:txPr>
        <c:crossAx val="240641920"/>
        <c:crosses val="autoZero"/>
        <c:crossBetween val="between"/>
        <c:majorUnit val="2.0000000000000124E-7"/>
      </c:valAx>
      <c:serAx>
        <c:axId val="234196992"/>
        <c:scaling>
          <c:orientation val="minMax"/>
        </c:scaling>
        <c:delete val="1"/>
        <c:axPos val="b"/>
        <c:tickLblPos val="none"/>
        <c:crossAx val="240643456"/>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sz="1200" baseline="0">
                <a:latin typeface="Arial" pitchFamily="34" charset="0"/>
              </a:defRPr>
            </a:pPr>
            <a:r>
              <a:rPr lang="ro-RO" sz="1200" baseline="0">
                <a:latin typeface="Arial" pitchFamily="34" charset="0"/>
                <a:cs typeface="Arial" pitchFamily="34" charset="0"/>
              </a:rPr>
              <a:t>Contribuția diverselor tipuri de vehicule la emisiile poluanților cu efect de acidifiere și eutrofizare </a:t>
            </a:r>
            <a:r>
              <a:rPr lang="ro-RO" sz="1200" baseline="0">
                <a:latin typeface="Arial" pitchFamily="34" charset="0"/>
              </a:rPr>
              <a:t> </a:t>
            </a:r>
          </a:p>
        </c:rich>
      </c:tx>
    </c:title>
    <c:view3D>
      <c:perspective val="30"/>
    </c:view3D>
    <c:plotArea>
      <c:layout>
        <c:manualLayout>
          <c:layoutTarget val="inner"/>
          <c:xMode val="edge"/>
          <c:yMode val="edge"/>
          <c:x val="0.14170190751472544"/>
          <c:y val="0.16919333221645191"/>
          <c:w val="0.74801592838870334"/>
          <c:h val="0.69869101468700412"/>
        </c:manualLayout>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7.0000000000000021E-2</c:v>
                </c:pt>
                <c:pt idx="2">
                  <c:v>0.30100000000000032</c:v>
                </c:pt>
                <c:pt idx="3">
                  <c:v>1.000000000000004E-4</c:v>
                </c:pt>
              </c:numCache>
            </c:numRef>
          </c:val>
        </c:ser>
        <c:ser>
          <c:idx val="1"/>
          <c:order val="1"/>
          <c:tx>
            <c:strRef>
              <c:f>Sheet1!$C$1</c:f>
              <c:strCache>
                <c:ptCount val="1"/>
                <c:pt idx="0">
                  <c:v>NH3</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5.4000000000000124E-3</c:v>
                </c:pt>
                <c:pt idx="1">
                  <c:v>3.6000000000000132E-4</c:v>
                </c:pt>
                <c:pt idx="2">
                  <c:v>2.8000000000000046E-4</c:v>
                </c:pt>
                <c:pt idx="3">
                  <c:v>6.0000000000000378E-7</c:v>
                </c:pt>
              </c:numCache>
            </c:numRef>
          </c:val>
        </c:ser>
        <c:shape val="cylinder"/>
        <c:axId val="241342336"/>
        <c:axId val="241343872"/>
        <c:axId val="234199232"/>
      </c:bar3DChart>
      <c:catAx>
        <c:axId val="241342336"/>
        <c:scaling>
          <c:orientation val="minMax"/>
        </c:scaling>
        <c:axPos val="b"/>
        <c:majorTickMark val="none"/>
        <c:tickLblPos val="nextTo"/>
        <c:txPr>
          <a:bodyPr/>
          <a:lstStyle/>
          <a:p>
            <a:pPr>
              <a:defRPr lang="en-US"/>
            </a:pPr>
            <a:endParaRPr lang="ro-RO"/>
          </a:p>
        </c:txPr>
        <c:crossAx val="241343872"/>
        <c:crosses val="autoZero"/>
        <c:auto val="1"/>
        <c:lblAlgn val="ctr"/>
        <c:lblOffset val="100"/>
      </c:catAx>
      <c:valAx>
        <c:axId val="241343872"/>
        <c:scaling>
          <c:orientation val="minMax"/>
          <c:max val="0.30000000000000032"/>
        </c:scaling>
        <c:axPos val="l"/>
        <c:majorGridlines/>
        <c:title>
          <c:tx>
            <c:rich>
              <a:bodyPr rot="0" vert="horz"/>
              <a:lstStyle/>
              <a:p>
                <a:pPr>
                  <a:defRPr lang="en-US"/>
                </a:pPr>
                <a:r>
                  <a:rPr lang="ro-RO"/>
                  <a:t>%</a:t>
                </a:r>
              </a:p>
            </c:rich>
          </c:tx>
          <c:layout>
            <c:manualLayout>
              <c:xMode val="edge"/>
              <c:yMode val="edge"/>
              <c:x val="0.12271731856302755"/>
              <c:y val="0.21121740101636549"/>
            </c:manualLayout>
          </c:layout>
        </c:title>
        <c:numFmt formatCode="General" sourceLinked="1"/>
        <c:majorTickMark val="none"/>
        <c:tickLblPos val="nextTo"/>
        <c:txPr>
          <a:bodyPr/>
          <a:lstStyle/>
          <a:p>
            <a:pPr>
              <a:defRPr lang="en-US"/>
            </a:pPr>
            <a:endParaRPr lang="ro-RO"/>
          </a:p>
        </c:txPr>
        <c:crossAx val="241342336"/>
        <c:crosses val="autoZero"/>
        <c:crossBetween val="between"/>
      </c:valAx>
      <c:serAx>
        <c:axId val="234199232"/>
        <c:scaling>
          <c:orientation val="minMax"/>
        </c:scaling>
        <c:delete val="1"/>
        <c:axPos val="b"/>
        <c:tickLblPos val="none"/>
        <c:crossAx val="241343872"/>
        <c:crosses val="autoZero"/>
      </c:serAx>
    </c:plotArea>
    <c:legend>
      <c:legendPos val="r"/>
      <c:txPr>
        <a:bodyPr/>
        <a:lstStyle/>
        <a:p>
          <a:pPr>
            <a:defRPr lang="en-US"/>
          </a:pPr>
          <a:endParaRPr lang="ro-RO"/>
        </a:p>
      </c:txPr>
    </c:legend>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Contribuția tipurilor de vehicule la emisiile de poluanți atmosferici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7.0000000000000021E-2</c:v>
                </c:pt>
                <c:pt idx="2">
                  <c:v>0.30100000000000032</c:v>
                </c:pt>
                <c:pt idx="3">
                  <c:v>1.0000000000000044E-4</c:v>
                </c:pt>
              </c:numCache>
            </c:numRef>
          </c:val>
        </c:ser>
        <c:ser>
          <c:idx val="1"/>
          <c:order val="1"/>
          <c:tx>
            <c:strRef>
              <c:f>Sheet1!$C$1</c:f>
              <c:strCache>
                <c:ptCount val="1"/>
                <c:pt idx="0">
                  <c:v>CO</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0.78</c:v>
                </c:pt>
                <c:pt idx="1">
                  <c:v>0.13</c:v>
                </c:pt>
                <c:pt idx="2">
                  <c:v>8.0000000000000043E-2</c:v>
                </c:pt>
                <c:pt idx="3">
                  <c:v>5.0000000000000114E-3</c:v>
                </c:pt>
              </c:numCache>
            </c:numRef>
          </c:val>
        </c:ser>
        <c:ser>
          <c:idx val="2"/>
          <c:order val="2"/>
          <c:tx>
            <c:strRef>
              <c:f>Sheet1!$D$1</c:f>
              <c:strCache>
                <c:ptCount val="1"/>
                <c:pt idx="0">
                  <c:v>NMCOV</c:v>
                </c:pt>
              </c:strCache>
            </c:strRef>
          </c:tx>
          <c:cat>
            <c:strRef>
              <c:f>Sheet1!$A$2:$A$5</c:f>
              <c:strCache>
                <c:ptCount val="4"/>
                <c:pt idx="0">
                  <c:v>Transport pasageri</c:v>
                </c:pt>
                <c:pt idx="1">
                  <c:v>Vehicule usoare</c:v>
                </c:pt>
                <c:pt idx="2">
                  <c:v>Vehicule grele</c:v>
                </c:pt>
                <c:pt idx="3">
                  <c:v>Motorete si motociclete</c:v>
                </c:pt>
              </c:strCache>
            </c:strRef>
          </c:cat>
          <c:val>
            <c:numRef>
              <c:f>Sheet1!$D$2:$D$5</c:f>
              <c:numCache>
                <c:formatCode>General</c:formatCode>
                <c:ptCount val="4"/>
                <c:pt idx="0">
                  <c:v>0.14000000000000001</c:v>
                </c:pt>
                <c:pt idx="1">
                  <c:v>1.6000000000000021E-2</c:v>
                </c:pt>
                <c:pt idx="2">
                  <c:v>2.1999999999999999E-2</c:v>
                </c:pt>
                <c:pt idx="3">
                  <c:v>1.2999999999999978E-3</c:v>
                </c:pt>
              </c:numCache>
            </c:numRef>
          </c:val>
        </c:ser>
        <c:shape val="cylinder"/>
        <c:axId val="241359488"/>
        <c:axId val="241373568"/>
        <c:axId val="240599040"/>
      </c:bar3DChart>
      <c:catAx>
        <c:axId val="241359488"/>
        <c:scaling>
          <c:orientation val="minMax"/>
        </c:scaling>
        <c:axPos val="b"/>
        <c:majorTickMark val="none"/>
        <c:tickLblPos val="nextTo"/>
        <c:txPr>
          <a:bodyPr/>
          <a:lstStyle/>
          <a:p>
            <a:pPr>
              <a:defRPr lang="en-US"/>
            </a:pPr>
            <a:endParaRPr lang="ro-RO"/>
          </a:p>
        </c:txPr>
        <c:crossAx val="241373568"/>
        <c:crosses val="autoZero"/>
        <c:auto val="1"/>
        <c:lblAlgn val="ctr"/>
        <c:lblOffset val="100"/>
      </c:catAx>
      <c:valAx>
        <c:axId val="241373568"/>
        <c:scaling>
          <c:orientation val="minMax"/>
          <c:max val="1"/>
          <c:min val="0"/>
        </c:scaling>
        <c:axPos val="l"/>
        <c:majorGridlines/>
        <c:title>
          <c:tx>
            <c:rich>
              <a:bodyPr rot="0" vert="horz"/>
              <a:lstStyle/>
              <a:p>
                <a:pPr>
                  <a:defRPr lang="en-US"/>
                </a:pPr>
                <a:r>
                  <a:rPr lang="ro-RO"/>
                  <a:t>%</a:t>
                </a:r>
              </a:p>
            </c:rich>
          </c:tx>
          <c:layout>
            <c:manualLayout>
              <c:xMode val="edge"/>
              <c:yMode val="edge"/>
              <c:x val="9.3603489437238077E-2"/>
              <c:y val="0.22489557156419276"/>
            </c:manualLayout>
          </c:layout>
        </c:title>
        <c:numFmt formatCode="General" sourceLinked="1"/>
        <c:majorTickMark val="none"/>
        <c:tickLblPos val="nextTo"/>
        <c:txPr>
          <a:bodyPr/>
          <a:lstStyle/>
          <a:p>
            <a:pPr>
              <a:defRPr lang="en-US"/>
            </a:pPr>
            <a:endParaRPr lang="ro-RO"/>
          </a:p>
        </c:txPr>
        <c:crossAx val="241359488"/>
        <c:crosses val="autoZero"/>
        <c:crossBetween val="between"/>
        <c:majorUnit val="0.2"/>
        <c:minorUnit val="4.0000000000000022E-2"/>
      </c:valAx>
      <c:serAx>
        <c:axId val="240599040"/>
        <c:scaling>
          <c:orientation val="minMax"/>
        </c:scaling>
        <c:delete val="1"/>
        <c:axPos val="b"/>
        <c:tickLblPos val="none"/>
        <c:crossAx val="241373568"/>
        <c:crosses val="autoZero"/>
      </c:serAx>
    </c:plotArea>
    <c:legend>
      <c:legendPos val="r"/>
      <c:layout>
        <c:manualLayout>
          <c:xMode val="edge"/>
          <c:yMode val="edge"/>
          <c:x val="0.83837347613788926"/>
          <c:y val="0.46051350220500836"/>
          <c:w val="0.16162652386211188"/>
          <c:h val="0.25510669574587136"/>
        </c:manualLayout>
      </c:layout>
      <c:txPr>
        <a:bodyPr/>
        <a:lstStyle/>
        <a:p>
          <a:pPr>
            <a:defRPr lang="en-US"/>
          </a:pPr>
          <a:endParaRPr lang="ro-RO"/>
        </a:p>
      </c:txP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Contribuții ale tipurilor de vehicule de transport la emisiile de particule primare în suspensie</a:t>
            </a:r>
            <a:endParaRPr lang="ro-RO" baseline="0"/>
          </a:p>
        </c:rich>
      </c:tx>
    </c:title>
    <c:view3D>
      <c:perspective val="30"/>
    </c:view3D>
    <c:plotArea>
      <c:layout>
        <c:manualLayout>
          <c:layoutTarget val="inner"/>
          <c:xMode val="edge"/>
          <c:yMode val="edge"/>
          <c:x val="7.1921379145788597E-2"/>
          <c:y val="0.19016167478175569"/>
          <c:w val="0.80006203769983364"/>
          <c:h val="0.45307673305542751"/>
        </c:manualLayout>
      </c:layout>
      <c:bar3DChart>
        <c:barDir val="col"/>
        <c:grouping val="standard"/>
        <c:ser>
          <c:idx val="0"/>
          <c:order val="0"/>
          <c:tx>
            <c:strRef>
              <c:f>Sheet1!$B$1</c:f>
              <c:strCache>
                <c:ptCount val="1"/>
                <c:pt idx="0">
                  <c:v>PM2,5</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1.0000000000000005E-2</c:v>
                </c:pt>
                <c:pt idx="1">
                  <c:v>5.0000000000000114E-3</c:v>
                </c:pt>
                <c:pt idx="2">
                  <c:v>1.0000000000000005E-2</c:v>
                </c:pt>
                <c:pt idx="3">
                  <c:v>2.000000000000009E-5</c:v>
                </c:pt>
              </c:numCache>
            </c:numRef>
          </c:val>
        </c:ser>
        <c:ser>
          <c:idx val="1"/>
          <c:order val="1"/>
          <c:tx>
            <c:strRef>
              <c:f>Sheet1!$C$1</c:f>
              <c:strCache>
                <c:ptCount val="1"/>
                <c:pt idx="0">
                  <c:v>PM10</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1.0999999999999998E-2</c:v>
                </c:pt>
                <c:pt idx="1">
                  <c:v>5.0000000000000114E-3</c:v>
                </c:pt>
                <c:pt idx="2">
                  <c:v>1.0999999999999998E-2</c:v>
                </c:pt>
                <c:pt idx="3">
                  <c:v>3.0000000000000143E-5</c:v>
                </c:pt>
              </c:numCache>
            </c:numRef>
          </c:val>
        </c:ser>
        <c:shape val="cylinder"/>
        <c:axId val="241281664"/>
        <c:axId val="241299840"/>
        <c:axId val="240599488"/>
      </c:bar3DChart>
      <c:catAx>
        <c:axId val="241281664"/>
        <c:scaling>
          <c:orientation val="minMax"/>
        </c:scaling>
        <c:axPos val="b"/>
        <c:majorTickMark val="none"/>
        <c:tickLblPos val="nextTo"/>
        <c:txPr>
          <a:bodyPr/>
          <a:lstStyle/>
          <a:p>
            <a:pPr>
              <a:defRPr lang="en-US"/>
            </a:pPr>
            <a:endParaRPr lang="ro-RO"/>
          </a:p>
        </c:txPr>
        <c:crossAx val="241299840"/>
        <c:crosses val="autoZero"/>
        <c:auto val="1"/>
        <c:lblAlgn val="ctr"/>
        <c:lblOffset val="100"/>
      </c:catAx>
      <c:valAx>
        <c:axId val="241299840"/>
        <c:scaling>
          <c:orientation val="minMax"/>
        </c:scaling>
        <c:axPos val="l"/>
        <c:majorGridlines/>
        <c:title>
          <c:tx>
            <c:rich>
              <a:bodyPr rot="0" vert="horz"/>
              <a:lstStyle/>
              <a:p>
                <a:pPr>
                  <a:defRPr lang="en-US"/>
                </a:pPr>
                <a:r>
                  <a:rPr lang="ro-RO"/>
                  <a:t>%</a:t>
                </a:r>
              </a:p>
            </c:rich>
          </c:tx>
          <c:layout>
            <c:manualLayout>
              <c:xMode val="edge"/>
              <c:yMode val="edge"/>
              <c:x val="9.9268034533658026E-2"/>
              <c:y val="0.1923920813089853"/>
            </c:manualLayout>
          </c:layout>
        </c:title>
        <c:numFmt formatCode="General" sourceLinked="1"/>
        <c:majorTickMark val="none"/>
        <c:tickLblPos val="nextTo"/>
        <c:txPr>
          <a:bodyPr/>
          <a:lstStyle/>
          <a:p>
            <a:pPr>
              <a:defRPr lang="en-US"/>
            </a:pPr>
            <a:endParaRPr lang="ro-RO"/>
          </a:p>
        </c:txPr>
        <c:crossAx val="241281664"/>
        <c:crosses val="autoZero"/>
        <c:crossBetween val="between"/>
      </c:valAx>
      <c:serAx>
        <c:axId val="240599488"/>
        <c:scaling>
          <c:orientation val="minMax"/>
        </c:scaling>
        <c:delete val="1"/>
        <c:axPos val="b"/>
        <c:tickLblPos val="none"/>
        <c:crossAx val="241299840"/>
        <c:crosses val="autoZero"/>
      </c:serAx>
    </c:plotArea>
    <c:legend>
      <c:legendPos val="r"/>
      <c:layout>
        <c:manualLayout>
          <c:xMode val="edge"/>
          <c:yMode val="edge"/>
          <c:x val="0.8198622047244094"/>
          <c:y val="0.31759812210890681"/>
          <c:w val="0.16498628012407576"/>
          <c:h val="0.25573939337698964"/>
        </c:manualLayout>
      </c:layout>
      <c:txPr>
        <a:bodyPr/>
        <a:lstStyle/>
        <a:p>
          <a:pPr>
            <a:defRPr lang="en-US"/>
          </a:pPr>
          <a:endParaRPr lang="ro-RO"/>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Contribuția tipurilor de vehicule de transport la emisiile de metale grele</a:t>
            </a:r>
            <a:endParaRPr lang="ro-RO" baseline="0"/>
          </a:p>
        </c:rich>
      </c:tx>
    </c:title>
    <c:view3D>
      <c:perspective val="30"/>
    </c:view3D>
    <c:plotArea>
      <c:layout/>
      <c:bar3DChart>
        <c:barDir val="col"/>
        <c:grouping val="standard"/>
        <c:ser>
          <c:idx val="0"/>
          <c:order val="0"/>
          <c:tx>
            <c:strRef>
              <c:f>Sheet1!$B$1</c:f>
              <c:strCache>
                <c:ptCount val="1"/>
                <c:pt idx="0">
                  <c:v>Cd</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2.0000000000000348E-7</c:v>
                </c:pt>
                <c:pt idx="1">
                  <c:v>4.0000000000000735E-8</c:v>
                </c:pt>
                <c:pt idx="2">
                  <c:v>1.0000000000000173E-7</c:v>
                </c:pt>
                <c:pt idx="3">
                  <c:v>1.4000000000000248E-8</c:v>
                </c:pt>
              </c:numCache>
            </c:numRef>
          </c:val>
        </c:ser>
        <c:ser>
          <c:idx val="1"/>
          <c:order val="1"/>
          <c:tx>
            <c:strRef>
              <c:f>Sheet1!$C$1</c:f>
              <c:strCache>
                <c:ptCount val="1"/>
                <c:pt idx="0">
                  <c:v>Pb</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6.5000000000000911E-6</c:v>
                </c:pt>
                <c:pt idx="1">
                  <c:v>2.0000000000000291E-6</c:v>
                </c:pt>
                <c:pt idx="2">
                  <c:v>9.1000000000001043E-6</c:v>
                </c:pt>
                <c:pt idx="3">
                  <c:v>1.7000000000000223E-6</c:v>
                </c:pt>
              </c:numCache>
            </c:numRef>
          </c:val>
        </c:ser>
        <c:shape val="cylinder"/>
        <c:axId val="241457792"/>
        <c:axId val="241496448"/>
        <c:axId val="241324032"/>
      </c:bar3DChart>
      <c:catAx>
        <c:axId val="241457792"/>
        <c:scaling>
          <c:orientation val="minMax"/>
        </c:scaling>
        <c:axPos val="b"/>
        <c:majorTickMark val="none"/>
        <c:tickLblPos val="nextTo"/>
        <c:txPr>
          <a:bodyPr/>
          <a:lstStyle/>
          <a:p>
            <a:pPr>
              <a:defRPr lang="en-US"/>
            </a:pPr>
            <a:endParaRPr lang="ro-RO"/>
          </a:p>
        </c:txPr>
        <c:crossAx val="241496448"/>
        <c:crosses val="autoZero"/>
        <c:auto val="1"/>
        <c:lblAlgn val="ctr"/>
        <c:lblOffset val="100"/>
      </c:catAx>
      <c:valAx>
        <c:axId val="241496448"/>
        <c:scaling>
          <c:orientation val="minMax"/>
          <c:max val="2.0000000000000259E-5"/>
          <c:min val="0"/>
        </c:scaling>
        <c:axPos val="l"/>
        <c:majorGridlines/>
        <c:title>
          <c:tx>
            <c:rich>
              <a:bodyPr rot="0" vert="horz"/>
              <a:lstStyle/>
              <a:p>
                <a:pPr>
                  <a:defRPr lang="en-US"/>
                </a:pPr>
                <a:r>
                  <a:rPr lang="ro-RO"/>
                  <a:t>%</a:t>
                </a:r>
              </a:p>
            </c:rich>
          </c:tx>
          <c:layout>
            <c:manualLayout>
              <c:xMode val="edge"/>
              <c:yMode val="edge"/>
              <c:x val="9.0023114199332704E-2"/>
              <c:y val="0.19061400569609654"/>
            </c:manualLayout>
          </c:layout>
        </c:title>
        <c:numFmt formatCode="General" sourceLinked="1"/>
        <c:majorTickMark val="none"/>
        <c:tickLblPos val="nextTo"/>
        <c:txPr>
          <a:bodyPr/>
          <a:lstStyle/>
          <a:p>
            <a:pPr>
              <a:defRPr lang="en-US"/>
            </a:pPr>
            <a:endParaRPr lang="ro-RO"/>
          </a:p>
        </c:txPr>
        <c:crossAx val="241457792"/>
        <c:crosses val="autoZero"/>
        <c:crossBetween val="between"/>
      </c:valAx>
      <c:serAx>
        <c:axId val="241324032"/>
        <c:scaling>
          <c:orientation val="minMax"/>
        </c:scaling>
        <c:delete val="1"/>
        <c:axPos val="b"/>
        <c:tickLblPos val="none"/>
        <c:crossAx val="241496448"/>
        <c:crosses val="autoZero"/>
      </c:serAx>
    </c:plotArea>
    <c:legend>
      <c:legendPos val="r"/>
      <c:txPr>
        <a:bodyPr/>
        <a:lstStyle/>
        <a:p>
          <a:pPr>
            <a:defRPr lang="en-US"/>
          </a:pPr>
          <a:endParaRPr lang="ro-RO"/>
        </a:p>
      </c:txP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Contribuții ale sectoarelor de activitate din agricultură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Sheet1!$A$2:$A$3</c:f>
              <c:strCache>
                <c:ptCount val="2"/>
                <c:pt idx="0">
                  <c:v>Porcine</c:v>
                </c:pt>
                <c:pt idx="1">
                  <c:v>Găini ouătoare</c:v>
                </c:pt>
              </c:strCache>
            </c:strRef>
          </c:cat>
          <c:val>
            <c:numRef>
              <c:f>Sheet1!$B$2:$B$3</c:f>
              <c:numCache>
                <c:formatCode>General</c:formatCode>
                <c:ptCount val="2"/>
                <c:pt idx="0">
                  <c:v>0</c:v>
                </c:pt>
                <c:pt idx="1">
                  <c:v>0</c:v>
                </c:pt>
              </c:numCache>
            </c:numRef>
          </c:val>
        </c:ser>
        <c:ser>
          <c:idx val="1"/>
          <c:order val="1"/>
          <c:tx>
            <c:strRef>
              <c:f>Sheet1!$C$1</c:f>
              <c:strCache>
                <c:ptCount val="1"/>
                <c:pt idx="0">
                  <c:v>NH3</c:v>
                </c:pt>
              </c:strCache>
            </c:strRef>
          </c:tx>
          <c:cat>
            <c:strRef>
              <c:f>Sheet1!$A$2:$A$3</c:f>
              <c:strCache>
                <c:ptCount val="2"/>
                <c:pt idx="0">
                  <c:v>Porcine</c:v>
                </c:pt>
                <c:pt idx="1">
                  <c:v>Găini ouătoare</c:v>
                </c:pt>
              </c:strCache>
            </c:strRef>
          </c:cat>
          <c:val>
            <c:numRef>
              <c:f>Sheet1!$C$2:$C$3</c:f>
              <c:numCache>
                <c:formatCode>General</c:formatCode>
                <c:ptCount val="2"/>
                <c:pt idx="0">
                  <c:v>7.9000000000000253E-5</c:v>
                </c:pt>
                <c:pt idx="1">
                  <c:v>2.5999999999999999E-2</c:v>
                </c:pt>
              </c:numCache>
            </c:numRef>
          </c:val>
        </c:ser>
        <c:gapDepth val="20"/>
        <c:shape val="cone"/>
        <c:axId val="241506944"/>
        <c:axId val="241529216"/>
        <c:axId val="241324928"/>
      </c:bar3DChart>
      <c:catAx>
        <c:axId val="241506944"/>
        <c:scaling>
          <c:orientation val="minMax"/>
        </c:scaling>
        <c:axPos val="b"/>
        <c:numFmt formatCode="General" sourceLinked="1"/>
        <c:majorTickMark val="none"/>
        <c:tickLblPos val="nextTo"/>
        <c:txPr>
          <a:bodyPr/>
          <a:lstStyle/>
          <a:p>
            <a:pPr>
              <a:defRPr lang="en-US"/>
            </a:pPr>
            <a:endParaRPr lang="ro-RO"/>
          </a:p>
        </c:txPr>
        <c:crossAx val="241529216"/>
        <c:crossesAt val="0"/>
        <c:auto val="1"/>
        <c:lblAlgn val="ctr"/>
        <c:lblOffset val="100"/>
      </c:catAx>
      <c:valAx>
        <c:axId val="241529216"/>
        <c:scaling>
          <c:orientation val="minMax"/>
        </c:scaling>
        <c:axPos val="l"/>
        <c:title>
          <c:tx>
            <c:rich>
              <a:bodyPr rot="0" vert="horz"/>
              <a:lstStyle/>
              <a:p>
                <a:pPr>
                  <a:defRPr lang="en-US"/>
                </a:pPr>
                <a:r>
                  <a:rPr lang="ro-RO"/>
                  <a:t>%</a:t>
                </a:r>
              </a:p>
            </c:rich>
          </c:tx>
          <c:layout>
            <c:manualLayout>
              <c:xMode val="edge"/>
              <c:yMode val="edge"/>
              <c:x val="9.2116228834227584E-2"/>
              <c:y val="0.18768783742578873"/>
            </c:manualLayout>
          </c:layout>
        </c:title>
        <c:numFmt formatCode="General" sourceLinked="1"/>
        <c:majorTickMark val="none"/>
        <c:tickLblPos val="nextTo"/>
        <c:txPr>
          <a:bodyPr/>
          <a:lstStyle/>
          <a:p>
            <a:pPr>
              <a:defRPr lang="en-US"/>
            </a:pPr>
            <a:endParaRPr lang="ro-RO"/>
          </a:p>
        </c:txPr>
        <c:crossAx val="241506944"/>
        <c:crosses val="autoZero"/>
        <c:crossBetween val="between"/>
      </c:valAx>
      <c:serAx>
        <c:axId val="241324928"/>
        <c:scaling>
          <c:orientation val="minMax"/>
        </c:scaling>
        <c:delete val="1"/>
        <c:axPos val="b"/>
        <c:tickLblPos val="none"/>
        <c:crossAx val="241529216"/>
        <c:crossesAt val="0"/>
      </c:serAx>
    </c:plotArea>
    <c:legend>
      <c:legendPos val="r"/>
      <c:layout>
        <c:manualLayout>
          <c:xMode val="edge"/>
          <c:yMode val="edge"/>
          <c:x val="0.83582215024755702"/>
          <c:y val="0.41275075295007951"/>
          <c:w val="0.10540284737135146"/>
          <c:h val="0.29979017108959088"/>
        </c:manualLayout>
      </c:layout>
      <c:txPr>
        <a:bodyPr/>
        <a:lstStyle/>
        <a:p>
          <a:pPr>
            <a:defRPr lang="en-US"/>
          </a:pPr>
          <a:endParaRPr lang="ro-RO"/>
        </a:p>
      </c:txPr>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lgn="ctr">
              <a:defRPr lang="en-US" sz="1200" b="1" baseline="0">
                <a:latin typeface="Arial" pitchFamily="34" charset="0"/>
              </a:defRPr>
            </a:pPr>
            <a:r>
              <a:rPr lang="ro-RO" sz="1200" b="1" baseline="0">
                <a:latin typeface="Arial" pitchFamily="34" charset="0"/>
              </a:rPr>
              <a:t>Tendința emisiilor de poluanți cu efect de acidifiere și eutrofizare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1.2912899999999998</c:v>
                </c:pt>
                <c:pt idx="1">
                  <c:v>1.58</c:v>
                </c:pt>
                <c:pt idx="2">
                  <c:v>1.1000000000000001</c:v>
                </c:pt>
                <c:pt idx="3">
                  <c:v>1.1919999999999977</c:v>
                </c:pt>
              </c:numCache>
            </c:numRef>
          </c:val>
        </c:ser>
        <c:ser>
          <c:idx val="1"/>
          <c:order val="1"/>
          <c:tx>
            <c:strRef>
              <c:f>Sheet1!$C$1</c:f>
              <c:strCache>
                <c:ptCount val="1"/>
                <c:pt idx="0">
                  <c:v>SO2</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4.0000000000000088E-3</c:v>
                </c:pt>
                <c:pt idx="1">
                  <c:v>2.5999999999999999E-3</c:v>
                </c:pt>
                <c:pt idx="2">
                  <c:v>0.2</c:v>
                </c:pt>
                <c:pt idx="3">
                  <c:v>5.0000000000000088E-3</c:v>
                </c:pt>
              </c:numCache>
            </c:numRef>
          </c:val>
        </c:ser>
        <c:ser>
          <c:idx val="2"/>
          <c:order val="2"/>
          <c:tx>
            <c:strRef>
              <c:f>Sheet1!$D$1</c:f>
              <c:strCache>
                <c:ptCount val="1"/>
                <c:pt idx="0">
                  <c:v>NH3</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6.02224</c:v>
                </c:pt>
                <c:pt idx="1">
                  <c:v>7.1099999999999985</c:v>
                </c:pt>
                <c:pt idx="2">
                  <c:v>0.4</c:v>
                </c:pt>
                <c:pt idx="3">
                  <c:v>0.2180000000000003</c:v>
                </c:pt>
              </c:numCache>
            </c:numRef>
          </c:val>
        </c:ser>
        <c:shape val="cone"/>
        <c:axId val="241548672"/>
        <c:axId val="241550464"/>
        <c:axId val="241537024"/>
      </c:bar3DChart>
      <c:catAx>
        <c:axId val="241548672"/>
        <c:scaling>
          <c:orientation val="minMax"/>
        </c:scaling>
        <c:axPos val="b"/>
        <c:numFmt formatCode="General" sourceLinked="1"/>
        <c:majorTickMark val="none"/>
        <c:tickLblPos val="nextTo"/>
        <c:txPr>
          <a:bodyPr/>
          <a:lstStyle/>
          <a:p>
            <a:pPr>
              <a:defRPr lang="en-US"/>
            </a:pPr>
            <a:endParaRPr lang="ro-RO"/>
          </a:p>
        </c:txPr>
        <c:crossAx val="241550464"/>
        <c:crossesAt val="0"/>
        <c:auto val="1"/>
        <c:lblAlgn val="ctr"/>
        <c:lblOffset val="100"/>
      </c:catAx>
      <c:valAx>
        <c:axId val="241550464"/>
        <c:scaling>
          <c:orientation val="minMax"/>
        </c:scaling>
        <c:axPos val="l"/>
        <c:title>
          <c:tx>
            <c:rich>
              <a:bodyPr rot="0" vert="horz"/>
              <a:lstStyle/>
              <a:p>
                <a:pPr>
                  <a:defRPr lang="en-US"/>
                </a:pPr>
                <a:r>
                  <a:rPr lang="ro-RO"/>
                  <a:t>Gg</a:t>
                </a:r>
              </a:p>
            </c:rich>
          </c:tx>
          <c:layout>
            <c:manualLayout>
              <c:xMode val="edge"/>
              <c:yMode val="edge"/>
              <c:x val="9.0131331714376844E-2"/>
              <c:y val="0.20270552053569491"/>
            </c:manualLayout>
          </c:layout>
        </c:title>
        <c:numFmt formatCode="General" sourceLinked="1"/>
        <c:majorTickMark val="none"/>
        <c:tickLblPos val="nextTo"/>
        <c:txPr>
          <a:bodyPr/>
          <a:lstStyle/>
          <a:p>
            <a:pPr>
              <a:defRPr lang="en-US"/>
            </a:pPr>
            <a:endParaRPr lang="ro-RO"/>
          </a:p>
        </c:txPr>
        <c:crossAx val="241548672"/>
        <c:crosses val="autoZero"/>
        <c:crossBetween val="between"/>
        <c:majorUnit val="2"/>
        <c:minorUnit val="0.2"/>
      </c:valAx>
      <c:serAx>
        <c:axId val="241537024"/>
        <c:scaling>
          <c:orientation val="minMax"/>
        </c:scaling>
        <c:delete val="1"/>
        <c:axPos val="b"/>
        <c:tickLblPos val="none"/>
        <c:crossAx val="241550464"/>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energie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2.8000000000000001E-2</c:v>
                </c:pt>
                <c:pt idx="1">
                  <c:v>0</c:v>
                </c:pt>
                <c:pt idx="2">
                  <c:v>0</c:v>
                </c:pt>
                <c:pt idx="3">
                  <c:v>0</c:v>
                </c:pt>
                <c:pt idx="4">
                  <c:v>0</c:v>
                </c:pt>
              </c:numCache>
            </c:numRef>
          </c:val>
        </c:ser>
        <c:ser>
          <c:idx val="1"/>
          <c:order val="1"/>
          <c:tx>
            <c:strRef>
              <c:f>Sheet1!$C$1</c:f>
              <c:strCache>
                <c:ptCount val="1"/>
                <c:pt idx="0">
                  <c:v>SO2</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9.0000000000000236E-4</c:v>
                </c:pt>
                <c:pt idx="1">
                  <c:v>0</c:v>
                </c:pt>
                <c:pt idx="2">
                  <c:v>0</c:v>
                </c:pt>
                <c:pt idx="3">
                  <c:v>0</c:v>
                </c:pt>
                <c:pt idx="4">
                  <c:v>0</c:v>
                </c:pt>
              </c:numCache>
            </c:numRef>
          </c:val>
        </c:ser>
        <c:ser>
          <c:idx val="2"/>
          <c:order val="2"/>
          <c:tx>
            <c:strRef>
              <c:f>Sheet1!$D$1</c:f>
              <c:strCache>
                <c:ptCount val="1"/>
                <c:pt idx="0">
                  <c:v>NH3</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0</c:v>
                </c:pt>
                <c:pt idx="1">
                  <c:v>0</c:v>
                </c:pt>
                <c:pt idx="2">
                  <c:v>0</c:v>
                </c:pt>
                <c:pt idx="3">
                  <c:v>0</c:v>
                </c:pt>
                <c:pt idx="4">
                  <c:v>0</c:v>
                </c:pt>
              </c:numCache>
            </c:numRef>
          </c:val>
        </c:ser>
        <c:shape val="cone"/>
        <c:axId val="241643904"/>
        <c:axId val="241645440"/>
        <c:axId val="241538368"/>
      </c:bar3DChart>
      <c:catAx>
        <c:axId val="241643904"/>
        <c:scaling>
          <c:orientation val="minMax"/>
        </c:scaling>
        <c:axPos val="b"/>
        <c:numFmt formatCode="General" sourceLinked="1"/>
        <c:majorTickMark val="none"/>
        <c:tickLblPos val="nextTo"/>
        <c:txPr>
          <a:bodyPr/>
          <a:lstStyle/>
          <a:p>
            <a:pPr>
              <a:defRPr lang="en-US"/>
            </a:pPr>
            <a:endParaRPr lang="ro-RO"/>
          </a:p>
        </c:txPr>
        <c:crossAx val="241645440"/>
        <c:crossesAt val="0"/>
        <c:auto val="1"/>
        <c:lblAlgn val="ctr"/>
        <c:lblOffset val="100"/>
      </c:catAx>
      <c:valAx>
        <c:axId val="241645440"/>
        <c:scaling>
          <c:orientation val="minMax"/>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8.5146908038364347E-2"/>
              <c:y val="0.1990120763990374"/>
            </c:manualLayout>
          </c:layout>
        </c:title>
        <c:numFmt formatCode="General" sourceLinked="1"/>
        <c:majorTickMark val="none"/>
        <c:tickLblPos val="nextTo"/>
        <c:txPr>
          <a:bodyPr/>
          <a:lstStyle/>
          <a:p>
            <a:pPr>
              <a:defRPr lang="en-US"/>
            </a:pPr>
            <a:endParaRPr lang="ro-RO"/>
          </a:p>
        </c:txPr>
        <c:crossAx val="241643904"/>
        <c:crosses val="autoZero"/>
        <c:crossBetween val="between"/>
        <c:majorUnit val="0.2"/>
      </c:valAx>
      <c:serAx>
        <c:axId val="241538368"/>
        <c:scaling>
          <c:orientation val="minMax"/>
        </c:scaling>
        <c:delete val="1"/>
        <c:axPos val="b"/>
        <c:tickLblPos val="none"/>
        <c:crossAx val="241645440"/>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industrie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1.4600000000000005E-2</c:v>
                </c:pt>
                <c:pt idx="1">
                  <c:v>5.9000000000000129E-3</c:v>
                </c:pt>
                <c:pt idx="2">
                  <c:v>8.0000000000000192E-3</c:v>
                </c:pt>
                <c:pt idx="3">
                  <c:v>1.0000000000000005E-2</c:v>
                </c:pt>
              </c:numCache>
            </c:numRef>
          </c:val>
        </c:ser>
        <c:ser>
          <c:idx val="1"/>
          <c:order val="1"/>
          <c:tx>
            <c:strRef>
              <c:f>Sheet1!$C$1</c:f>
              <c:strCache>
                <c:ptCount val="1"/>
                <c:pt idx="0">
                  <c:v>SO2</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2.1350000000000002E-3</c:v>
                </c:pt>
                <c:pt idx="1">
                  <c:v>9.0000000000000236E-4</c:v>
                </c:pt>
                <c:pt idx="2">
                  <c:v>1.0000000000000025E-4</c:v>
                </c:pt>
                <c:pt idx="3">
                  <c:v>3.0000000000000085E-5</c:v>
                </c:pt>
              </c:numCache>
            </c:numRef>
          </c:val>
        </c:ser>
        <c:ser>
          <c:idx val="2"/>
          <c:order val="2"/>
          <c:tx>
            <c:strRef>
              <c:f>Sheet1!$D$1</c:f>
              <c:strCache>
                <c:ptCount val="1"/>
                <c:pt idx="0">
                  <c:v>NH3</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6.5000000000000138E-4</c:v>
                </c:pt>
                <c:pt idx="1">
                  <c:v>3.20000000000001E-4</c:v>
                </c:pt>
                <c:pt idx="2">
                  <c:v>1.0000000000000031E-5</c:v>
                </c:pt>
                <c:pt idx="3">
                  <c:v>1.0000000000000031E-5</c:v>
                </c:pt>
              </c:numCache>
            </c:numRef>
          </c:val>
        </c:ser>
        <c:shape val="cone"/>
        <c:axId val="241468544"/>
        <c:axId val="241470080"/>
        <c:axId val="241540608"/>
      </c:bar3DChart>
      <c:catAx>
        <c:axId val="241468544"/>
        <c:scaling>
          <c:orientation val="minMax"/>
        </c:scaling>
        <c:axPos val="b"/>
        <c:numFmt formatCode="General" sourceLinked="1"/>
        <c:majorTickMark val="none"/>
        <c:tickLblPos val="nextTo"/>
        <c:txPr>
          <a:bodyPr/>
          <a:lstStyle/>
          <a:p>
            <a:pPr>
              <a:defRPr lang="en-US"/>
            </a:pPr>
            <a:endParaRPr lang="ro-RO"/>
          </a:p>
        </c:txPr>
        <c:crossAx val="241470080"/>
        <c:crossesAt val="0"/>
        <c:auto val="1"/>
        <c:lblAlgn val="ctr"/>
        <c:lblOffset val="100"/>
      </c:catAx>
      <c:valAx>
        <c:axId val="241470080"/>
        <c:scaling>
          <c:orientation val="minMax"/>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2253012677212829"/>
              <c:y val="0.20270564583682713"/>
            </c:manualLayout>
          </c:layout>
        </c:title>
        <c:numFmt formatCode="General" sourceLinked="1"/>
        <c:majorTickMark val="none"/>
        <c:tickLblPos val="nextTo"/>
        <c:txPr>
          <a:bodyPr/>
          <a:lstStyle/>
          <a:p>
            <a:pPr>
              <a:defRPr lang="en-US"/>
            </a:pPr>
            <a:endParaRPr lang="ro-RO"/>
          </a:p>
        </c:txPr>
        <c:crossAx val="241468544"/>
        <c:crosses val="autoZero"/>
        <c:crossBetween val="between"/>
        <c:majorUnit val="2.0000000000000011E-2"/>
      </c:valAx>
      <c:serAx>
        <c:axId val="241540608"/>
        <c:scaling>
          <c:orientation val="minMax"/>
        </c:scaling>
        <c:delete val="1"/>
        <c:axPos val="b"/>
        <c:tickLblPos val="none"/>
        <c:crossAx val="241470080"/>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transport</a:t>
            </a:r>
          </a:p>
        </c:rich>
      </c:tx>
    </c:title>
    <c:view3D>
      <c:perspective val="30"/>
    </c:view3D>
    <c:plotArea>
      <c:layout>
        <c:manualLayout>
          <c:layoutTarget val="inner"/>
          <c:xMode val="edge"/>
          <c:yMode val="edge"/>
          <c:x val="0.12674259813464275"/>
          <c:y val="0.15634231247410224"/>
          <c:w val="0.74597689126498523"/>
          <c:h val="0.74172206105815763"/>
        </c:manualLayout>
      </c:layout>
      <c:bar3DChart>
        <c:barDir val="col"/>
        <c:grouping val="standard"/>
        <c:ser>
          <c:idx val="0"/>
          <c:order val="0"/>
          <c:tx>
            <c:strRef>
              <c:f>Sheet1!$B$1</c:f>
              <c:strCache>
                <c:ptCount val="1"/>
                <c:pt idx="0">
                  <c:v>NH3</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9.0000000000000028E-3</c:v>
                </c:pt>
                <c:pt idx="1">
                  <c:v>9.3000000000000253E-3</c:v>
                </c:pt>
                <c:pt idx="2">
                  <c:v>8.7000000000000046E-3</c:v>
                </c:pt>
                <c:pt idx="3">
                  <c:v>1.0000000000000005E-2</c:v>
                </c:pt>
                <c:pt idx="4">
                  <c:v>1.0999999999999998E-2</c:v>
                </c:pt>
              </c:numCache>
            </c:numRef>
          </c:val>
        </c:ser>
        <c:ser>
          <c:idx val="1"/>
          <c:order val="1"/>
          <c:tx>
            <c:strRef>
              <c:f>Sheet1!$C$1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1.1240000000000001</c:v>
                </c:pt>
                <c:pt idx="1">
                  <c:v>0.97800000000000065</c:v>
                </c:pt>
                <c:pt idx="2">
                  <c:v>0.996</c:v>
                </c:pt>
                <c:pt idx="3">
                  <c:v>0.96300000000000063</c:v>
                </c:pt>
                <c:pt idx="4">
                  <c:v>0.98599999999999999</c:v>
                </c:pt>
              </c:numCache>
            </c:numRef>
          </c:val>
        </c:ser>
        <c:shape val="cone"/>
        <c:axId val="241767552"/>
        <c:axId val="241769088"/>
        <c:axId val="241724032"/>
      </c:bar3DChart>
      <c:catAx>
        <c:axId val="241767552"/>
        <c:scaling>
          <c:orientation val="minMax"/>
        </c:scaling>
        <c:axPos val="b"/>
        <c:numFmt formatCode="General" sourceLinked="1"/>
        <c:majorTickMark val="none"/>
        <c:tickLblPos val="nextTo"/>
        <c:txPr>
          <a:bodyPr/>
          <a:lstStyle/>
          <a:p>
            <a:pPr>
              <a:defRPr lang="en-US"/>
            </a:pPr>
            <a:endParaRPr lang="ro-RO"/>
          </a:p>
        </c:txPr>
        <c:crossAx val="241769088"/>
        <c:crossesAt val="0"/>
        <c:auto val="1"/>
        <c:lblAlgn val="ctr"/>
        <c:lblOffset val="100"/>
      </c:catAx>
      <c:valAx>
        <c:axId val="241769088"/>
        <c:scaling>
          <c:orientation val="minMax"/>
        </c:scaling>
        <c:axPos val="l"/>
        <c:majorGridlines/>
        <c:title>
          <c:tx>
            <c:rich>
              <a:bodyPr rot="0" vert="horz"/>
              <a:lstStyle/>
              <a:p>
                <a:pPr>
                  <a:defRPr lang="en-US"/>
                </a:pPr>
                <a:r>
                  <a:rPr lang="ro-RO"/>
                  <a:t>Gg</a:t>
                </a:r>
              </a:p>
            </c:rich>
          </c:tx>
          <c:layout>
            <c:manualLayout>
              <c:xMode val="edge"/>
              <c:yMode val="edge"/>
              <c:x val="0.12253012677212829"/>
              <c:y val="0.20270564583682724"/>
            </c:manualLayout>
          </c:layout>
        </c:title>
        <c:numFmt formatCode="General" sourceLinked="1"/>
        <c:majorTickMark val="none"/>
        <c:tickLblPos val="nextTo"/>
        <c:txPr>
          <a:bodyPr/>
          <a:lstStyle/>
          <a:p>
            <a:pPr>
              <a:defRPr lang="en-US"/>
            </a:pPr>
            <a:endParaRPr lang="ro-RO"/>
          </a:p>
        </c:txPr>
        <c:crossAx val="241767552"/>
        <c:crosses val="autoZero"/>
        <c:crossBetween val="between"/>
        <c:majorUnit val="1"/>
      </c:valAx>
      <c:serAx>
        <c:axId val="241724032"/>
        <c:scaling>
          <c:orientation val="minMax"/>
        </c:scaling>
        <c:delete val="1"/>
        <c:axPos val="b"/>
        <c:tickLblPos val="none"/>
        <c:crossAx val="241769088"/>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3387065525344793"/>
          <c:y val="2.1897810218979061E-2"/>
          <c:w val="0.61211012394510778"/>
          <c:h val="0.74155730533683251"/>
        </c:manualLayout>
      </c:layout>
      <c:bar3DChart>
        <c:barDir val="col"/>
        <c:grouping val="clustered"/>
        <c:ser>
          <c:idx val="3"/>
          <c:order val="0"/>
          <c:tx>
            <c:strRef>
              <c:f>Sheet1!$A$2</c:f>
              <c:strCache>
                <c:ptCount val="1"/>
                <c:pt idx="0">
                  <c:v>Medii anuale grv. 2017</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0">
                  <c:v>22.979999999999986</c:v>
                </c:pt>
                <c:pt idx="1">
                  <c:v>17.12</c:v>
                </c:pt>
                <c:pt idx="2">
                  <c:v>24.58</c:v>
                </c:pt>
                <c:pt idx="3">
                  <c:v>19.18</c:v>
                </c:pt>
              </c:numCache>
            </c:numRef>
          </c:val>
        </c:ser>
        <c:ser>
          <c:idx val="15"/>
          <c:order val="1"/>
          <c:tx>
            <c:strRef>
              <c:f>Sheet1!$A$3</c:f>
              <c:strCache>
                <c:ptCount val="1"/>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numCache>
            </c:numRef>
          </c:val>
        </c:ser>
        <c:gapWidth val="270"/>
        <c:gapDepth val="0"/>
        <c:shape val="box"/>
        <c:axId val="231087104"/>
        <c:axId val="231327616"/>
        <c:axId val="0"/>
      </c:bar3DChart>
      <c:catAx>
        <c:axId val="2310871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1327616"/>
        <c:crosses val="autoZero"/>
        <c:auto val="1"/>
        <c:lblAlgn val="ctr"/>
        <c:lblOffset val="100"/>
        <c:tickLblSkip val="1"/>
        <c:tickMarkSkip val="1"/>
      </c:catAx>
      <c:valAx>
        <c:axId val="231327616"/>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2014E-2"/>
              <c:y val="0.150680314960629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31087104"/>
        <c:crosses val="autoZero"/>
        <c:crossBetween val="between"/>
      </c:valAx>
      <c:spPr>
        <a:noFill/>
        <a:ln w="25399">
          <a:noFill/>
        </a:ln>
      </c:spPr>
    </c:plotArea>
    <c:legend>
      <c:legendPos val="r"/>
      <c:legendEntry>
        <c:idx val="1"/>
        <c:delete val="1"/>
      </c:legendEntry>
      <c:layout>
        <c:manualLayout>
          <c:xMode val="edge"/>
          <c:yMode val="edge"/>
          <c:x val="0.76097711470276741"/>
          <c:y val="0.22236815398075238"/>
          <c:w val="0.22256849472763329"/>
          <c:h val="0.1526761909391317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agricultură</a:t>
            </a:r>
          </a:p>
          <a:p>
            <a:pPr>
              <a:defRPr lang="en-US" sz="1200" baseline="0">
                <a:latin typeface="Arial" pitchFamily="34" charset="0"/>
              </a:defRPr>
            </a:pP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NH3</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6.01</c:v>
                </c:pt>
                <c:pt idx="1">
                  <c:v>7.09</c:v>
                </c:pt>
                <c:pt idx="2">
                  <c:v>0.30000000000000032</c:v>
                </c:pt>
                <c:pt idx="3">
                  <c:v>0</c:v>
                </c:pt>
              </c:numCache>
            </c:numRef>
          </c:val>
        </c:ser>
        <c:ser>
          <c:idx val="1"/>
          <c:order val="1"/>
          <c:tx>
            <c:strRef>
              <c:f>Sheet1!$C$1</c:f>
              <c:strCache>
                <c:ptCount val="1"/>
                <c:pt idx="0">
                  <c:v>N2O</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0.44900000000000001</c:v>
                </c:pt>
                <c:pt idx="1">
                  <c:v>0.44900000000000001</c:v>
                </c:pt>
                <c:pt idx="2">
                  <c:v>2.0000000000000011E-2</c:v>
                </c:pt>
                <c:pt idx="3">
                  <c:v>0.2</c:v>
                </c:pt>
              </c:numCache>
            </c:numRef>
          </c:val>
        </c:ser>
        <c:shape val="cone"/>
        <c:axId val="241804416"/>
        <c:axId val="241805952"/>
        <c:axId val="241538816"/>
      </c:bar3DChart>
      <c:catAx>
        <c:axId val="241804416"/>
        <c:scaling>
          <c:orientation val="minMax"/>
        </c:scaling>
        <c:axPos val="b"/>
        <c:numFmt formatCode="General" sourceLinked="1"/>
        <c:majorTickMark val="none"/>
        <c:tickLblPos val="nextTo"/>
        <c:txPr>
          <a:bodyPr/>
          <a:lstStyle/>
          <a:p>
            <a:pPr>
              <a:defRPr lang="en-US"/>
            </a:pPr>
            <a:endParaRPr lang="ro-RO"/>
          </a:p>
        </c:txPr>
        <c:crossAx val="241805952"/>
        <c:crossesAt val="0"/>
        <c:auto val="1"/>
        <c:lblAlgn val="ctr"/>
        <c:lblOffset val="100"/>
      </c:catAx>
      <c:valAx>
        <c:axId val="241805952"/>
        <c:scaling>
          <c:orientation val="minMax"/>
          <c:max val="9"/>
          <c:min val="1"/>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0131331714376844E-2"/>
              <c:y val="0.26549407085887478"/>
            </c:manualLayout>
          </c:layout>
        </c:title>
        <c:numFmt formatCode="General" sourceLinked="1"/>
        <c:majorTickMark val="none"/>
        <c:tickLblPos val="nextTo"/>
        <c:txPr>
          <a:bodyPr/>
          <a:lstStyle/>
          <a:p>
            <a:pPr>
              <a:defRPr lang="en-US"/>
            </a:pPr>
            <a:endParaRPr lang="ro-RO"/>
          </a:p>
        </c:txPr>
        <c:crossAx val="241804416"/>
        <c:crosses val="autoZero"/>
        <c:crossBetween val="between"/>
      </c:valAx>
      <c:serAx>
        <c:axId val="241538816"/>
        <c:scaling>
          <c:orientation val="minMax"/>
        </c:scaling>
        <c:delete val="1"/>
        <c:axPos val="b"/>
        <c:tickLblPos val="none"/>
        <c:crossAx val="24180595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Tendința emisiilor de poluanți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1.2912899999999998</c:v>
                </c:pt>
                <c:pt idx="1">
                  <c:v>1.58</c:v>
                </c:pt>
                <c:pt idx="2">
                  <c:v>1.1000000000000001</c:v>
                </c:pt>
                <c:pt idx="3">
                  <c:v>1.292</c:v>
                </c:pt>
              </c:numCache>
            </c:numRef>
          </c:val>
        </c:ser>
        <c:ser>
          <c:idx val="1"/>
          <c:order val="1"/>
          <c:tx>
            <c:strRef>
              <c:f>Sheet1!$C$1</c:f>
              <c:strCache>
                <c:ptCount val="1"/>
                <c:pt idx="0">
                  <c:v>NMCOV</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2.14</c:v>
                </c:pt>
                <c:pt idx="1">
                  <c:v>1.82</c:v>
                </c:pt>
                <c:pt idx="2">
                  <c:v>2.2000000000000002</c:v>
                </c:pt>
                <c:pt idx="3">
                  <c:v>2.1070000000000002</c:v>
                </c:pt>
              </c:numCache>
            </c:numRef>
          </c:val>
        </c:ser>
        <c:ser>
          <c:idx val="2"/>
          <c:order val="2"/>
          <c:tx>
            <c:strRef>
              <c:f>Sheet1!$D$1</c:f>
              <c:strCache>
                <c:ptCount val="1"/>
                <c:pt idx="0">
                  <c:v>CO</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2.6829999999999998</c:v>
                </c:pt>
                <c:pt idx="1">
                  <c:v>2.73</c:v>
                </c:pt>
                <c:pt idx="2">
                  <c:v>4.0999999999999996</c:v>
                </c:pt>
                <c:pt idx="3">
                  <c:v>1.885</c:v>
                </c:pt>
              </c:numCache>
            </c:numRef>
          </c:val>
        </c:ser>
        <c:shape val="cone"/>
        <c:axId val="241821568"/>
        <c:axId val="241823104"/>
        <c:axId val="241834624"/>
      </c:bar3DChart>
      <c:catAx>
        <c:axId val="241821568"/>
        <c:scaling>
          <c:orientation val="minMax"/>
        </c:scaling>
        <c:axPos val="b"/>
        <c:numFmt formatCode="General" sourceLinked="1"/>
        <c:majorTickMark val="none"/>
        <c:tickLblPos val="nextTo"/>
        <c:txPr>
          <a:bodyPr/>
          <a:lstStyle/>
          <a:p>
            <a:pPr>
              <a:defRPr lang="en-US"/>
            </a:pPr>
            <a:endParaRPr lang="ro-RO"/>
          </a:p>
        </c:txPr>
        <c:crossAx val="241823104"/>
        <c:crossesAt val="0"/>
        <c:auto val="1"/>
        <c:lblAlgn val="ctr"/>
        <c:lblOffset val="100"/>
      </c:catAx>
      <c:valAx>
        <c:axId val="241823104"/>
        <c:scaling>
          <c:orientation val="minMax"/>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8.0162484362351891E-2"/>
              <c:y val="0.15838419089580863"/>
            </c:manualLayout>
          </c:layout>
        </c:title>
        <c:numFmt formatCode="General" sourceLinked="1"/>
        <c:majorTickMark val="none"/>
        <c:tickLblPos val="nextTo"/>
        <c:spPr>
          <a:noFill/>
        </c:spPr>
        <c:txPr>
          <a:bodyPr/>
          <a:lstStyle/>
          <a:p>
            <a:pPr>
              <a:defRPr lang="en-US"/>
            </a:pPr>
            <a:endParaRPr lang="ro-RO"/>
          </a:p>
        </c:txPr>
        <c:crossAx val="241821568"/>
        <c:crosses val="autoZero"/>
        <c:crossBetween val="between"/>
      </c:valAx>
      <c:serAx>
        <c:axId val="241834624"/>
        <c:scaling>
          <c:orientation val="minMax"/>
        </c:scaling>
        <c:delete val="1"/>
        <c:axPos val="b"/>
        <c:tickLblPos val="none"/>
        <c:crossAx val="241823104"/>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energie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2.8000000000000001E-2</c:v>
                </c:pt>
                <c:pt idx="1">
                  <c:v>0</c:v>
                </c:pt>
                <c:pt idx="2">
                  <c:v>0</c:v>
                </c:pt>
                <c:pt idx="3">
                  <c:v>0</c:v>
                </c:pt>
                <c:pt idx="4">
                  <c:v>0</c:v>
                </c:pt>
              </c:numCache>
            </c:numRef>
          </c:val>
        </c:ser>
        <c:ser>
          <c:idx val="1"/>
          <c:order val="1"/>
          <c:tx>
            <c:strRef>
              <c:f>Sheet1!$C$1</c:f>
              <c:strCache>
                <c:ptCount val="1"/>
                <c:pt idx="0">
                  <c:v>NMCOV</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4.7000000000000112E-4</c:v>
                </c:pt>
                <c:pt idx="1">
                  <c:v>0</c:v>
                </c:pt>
                <c:pt idx="2">
                  <c:v>0</c:v>
                </c:pt>
                <c:pt idx="3">
                  <c:v>0</c:v>
                </c:pt>
                <c:pt idx="4">
                  <c:v>0</c:v>
                </c:pt>
              </c:numCache>
            </c:numRef>
          </c:val>
        </c:ser>
        <c:ser>
          <c:idx val="2"/>
          <c:order val="2"/>
          <c:tx>
            <c:strRef>
              <c:f>Sheet1!$D$1</c:f>
              <c:strCache>
                <c:ptCount val="1"/>
                <c:pt idx="0">
                  <c:v>CO</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1.2E-2</c:v>
                </c:pt>
                <c:pt idx="1">
                  <c:v>0</c:v>
                </c:pt>
                <c:pt idx="2">
                  <c:v>0</c:v>
                </c:pt>
                <c:pt idx="3">
                  <c:v>0</c:v>
                </c:pt>
                <c:pt idx="4">
                  <c:v>0</c:v>
                </c:pt>
              </c:numCache>
            </c:numRef>
          </c:val>
        </c:ser>
        <c:shape val="cone"/>
        <c:axId val="241908352"/>
        <c:axId val="241922432"/>
        <c:axId val="241835520"/>
      </c:bar3DChart>
      <c:catAx>
        <c:axId val="241908352"/>
        <c:scaling>
          <c:orientation val="minMax"/>
        </c:scaling>
        <c:axPos val="b"/>
        <c:numFmt formatCode="General" sourceLinked="1"/>
        <c:majorTickMark val="none"/>
        <c:tickLblPos val="nextTo"/>
        <c:txPr>
          <a:bodyPr/>
          <a:lstStyle/>
          <a:p>
            <a:pPr>
              <a:defRPr lang="en-US"/>
            </a:pPr>
            <a:endParaRPr lang="ro-RO"/>
          </a:p>
        </c:txPr>
        <c:crossAx val="241922432"/>
        <c:crossesAt val="0"/>
        <c:auto val="1"/>
        <c:lblAlgn val="ctr"/>
        <c:lblOffset val="100"/>
      </c:catAx>
      <c:valAx>
        <c:axId val="241922432"/>
        <c:scaling>
          <c:orientation val="minMax"/>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0131331714376844E-2"/>
              <c:y val="0.20270552053569491"/>
            </c:manualLayout>
          </c:layout>
        </c:title>
        <c:numFmt formatCode="General" sourceLinked="1"/>
        <c:majorTickMark val="none"/>
        <c:tickLblPos val="nextTo"/>
        <c:spPr>
          <a:noFill/>
        </c:spPr>
        <c:txPr>
          <a:bodyPr/>
          <a:lstStyle/>
          <a:p>
            <a:pPr>
              <a:defRPr lang="en-US"/>
            </a:pPr>
            <a:endParaRPr lang="ro-RO"/>
          </a:p>
        </c:txPr>
        <c:crossAx val="241908352"/>
        <c:crosses val="autoZero"/>
        <c:crossBetween val="between"/>
      </c:valAx>
      <c:serAx>
        <c:axId val="241835520"/>
        <c:scaling>
          <c:orientation val="minMax"/>
        </c:scaling>
        <c:delete val="1"/>
        <c:axPos val="b"/>
        <c:tickLblPos val="none"/>
        <c:crossAx val="24192243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industrie</a:t>
            </a:r>
            <a:endParaRPr lang="ro-RO" baseline="0"/>
          </a:p>
        </c:rich>
      </c:tx>
      <c:layout>
        <c:manualLayout>
          <c:xMode val="edge"/>
          <c:yMode val="edge"/>
          <c:x val="0.16296855961402751"/>
          <c:y val="0"/>
        </c:manualLayout>
      </c:layout>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1.4E-2</c:v>
                </c:pt>
                <c:pt idx="1">
                  <c:v>6.0000000000000097E-3</c:v>
                </c:pt>
                <c:pt idx="2">
                  <c:v>8.0000000000000192E-3</c:v>
                </c:pt>
                <c:pt idx="3">
                  <c:v>1.0000000000000005E-2</c:v>
                </c:pt>
              </c:numCache>
            </c:numRef>
          </c:val>
        </c:ser>
        <c:ser>
          <c:idx val="1"/>
          <c:order val="1"/>
          <c:tx>
            <c:strRef>
              <c:f>Sheet1!$C$1</c:f>
              <c:strCache>
                <c:ptCount val="1"/>
                <c:pt idx="0">
                  <c:v>NMCOV</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0.14400000000000004</c:v>
                </c:pt>
                <c:pt idx="1">
                  <c:v>9.0000000000000024E-2</c:v>
                </c:pt>
                <c:pt idx="2">
                  <c:v>4.0000000000000088E-3</c:v>
                </c:pt>
                <c:pt idx="3">
                  <c:v>2.500000000000006E-4</c:v>
                </c:pt>
              </c:numCache>
            </c:numRef>
          </c:val>
        </c:ser>
        <c:ser>
          <c:idx val="2"/>
          <c:order val="2"/>
          <c:tx>
            <c:strRef>
              <c:f>Sheet1!$D$1</c:f>
              <c:strCache>
                <c:ptCount val="1"/>
                <c:pt idx="0">
                  <c:v>CO</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2.8000000000000001E-2</c:v>
                </c:pt>
                <c:pt idx="1">
                  <c:v>4.0000000000000088E-3</c:v>
                </c:pt>
                <c:pt idx="2">
                  <c:v>7.0000000000000097E-3</c:v>
                </c:pt>
                <c:pt idx="3">
                  <c:v>5.0000000000000088E-3</c:v>
                </c:pt>
              </c:numCache>
            </c:numRef>
          </c:val>
        </c:ser>
        <c:shape val="cone"/>
        <c:axId val="241741184"/>
        <c:axId val="241853568"/>
        <c:axId val="241920192"/>
      </c:bar3DChart>
      <c:catAx>
        <c:axId val="241741184"/>
        <c:scaling>
          <c:orientation val="minMax"/>
        </c:scaling>
        <c:axPos val="b"/>
        <c:numFmt formatCode="General" sourceLinked="1"/>
        <c:majorTickMark val="none"/>
        <c:tickLblPos val="nextTo"/>
        <c:txPr>
          <a:bodyPr/>
          <a:lstStyle/>
          <a:p>
            <a:pPr>
              <a:defRPr lang="en-US"/>
            </a:pPr>
            <a:endParaRPr lang="ro-RO"/>
          </a:p>
        </c:txPr>
        <c:crossAx val="241853568"/>
        <c:crossesAt val="0"/>
        <c:auto val="1"/>
        <c:lblAlgn val="ctr"/>
        <c:lblOffset val="100"/>
      </c:catAx>
      <c:valAx>
        <c:axId val="241853568"/>
        <c:scaling>
          <c:orientation val="minMax"/>
          <c:max val="0.30000000000000032"/>
          <c:min val="0"/>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7607967228395501E-2"/>
              <c:y val="0.20270552053569491"/>
            </c:manualLayout>
          </c:layout>
        </c:title>
        <c:numFmt formatCode="General" sourceLinked="1"/>
        <c:majorTickMark val="none"/>
        <c:tickLblPos val="nextTo"/>
        <c:spPr>
          <a:noFill/>
        </c:spPr>
        <c:txPr>
          <a:bodyPr/>
          <a:lstStyle/>
          <a:p>
            <a:pPr>
              <a:defRPr lang="en-US"/>
            </a:pPr>
            <a:endParaRPr lang="ro-RO"/>
          </a:p>
        </c:txPr>
        <c:crossAx val="241741184"/>
        <c:crosses val="autoZero"/>
        <c:crossBetween val="between"/>
        <c:majorUnit val="0.1"/>
      </c:valAx>
      <c:serAx>
        <c:axId val="241920192"/>
        <c:scaling>
          <c:orientation val="minMax"/>
        </c:scaling>
        <c:delete val="1"/>
        <c:axPos val="b"/>
        <c:tickLblPos val="none"/>
        <c:crossAx val="241853568"/>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transport</a:t>
            </a:r>
            <a:endParaRPr lang="ro-RO" baseline="0"/>
          </a:p>
        </c:rich>
      </c:tx>
    </c:title>
    <c:view3D>
      <c:perspective val="30"/>
    </c:view3D>
    <c:plotArea>
      <c:layout>
        <c:manualLayout>
          <c:layoutTarget val="inner"/>
          <c:xMode val="edge"/>
          <c:yMode val="edge"/>
          <c:x val="0.11315257077774492"/>
          <c:y val="0.21323273131640658"/>
          <c:w val="0.71536596583322842"/>
          <c:h val="0.50487601878712529"/>
        </c:manualLayout>
      </c:layout>
      <c:bar3DChart>
        <c:barDir val="col"/>
        <c:grouping val="standard"/>
        <c:ser>
          <c:idx val="0"/>
          <c:order val="0"/>
          <c:tx>
            <c:strRef>
              <c:f>Sheet1!$B$1</c:f>
              <c:strCache>
                <c:ptCount val="1"/>
                <c:pt idx="0">
                  <c:v>Nox</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1.1240000000000001</c:v>
                </c:pt>
                <c:pt idx="1">
                  <c:v>0.97800000000000065</c:v>
                </c:pt>
                <c:pt idx="2">
                  <c:v>0.996</c:v>
                </c:pt>
                <c:pt idx="3">
                  <c:v>0.96300000000000063</c:v>
                </c:pt>
                <c:pt idx="4">
                  <c:v>0.98599999999999999</c:v>
                </c:pt>
              </c:numCache>
            </c:numRef>
          </c:val>
        </c:ser>
        <c:ser>
          <c:idx val="1"/>
          <c:order val="1"/>
          <c:tx>
            <c:strRef>
              <c:f>Sheet1!$C$1</c:f>
              <c:strCache>
                <c:ptCount val="1"/>
                <c:pt idx="0">
                  <c:v>NMCOV</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0.31300000000000056</c:v>
                </c:pt>
                <c:pt idx="1">
                  <c:v>3.0400000000000045E-2</c:v>
                </c:pt>
                <c:pt idx="2">
                  <c:v>0.29200000000000031</c:v>
                </c:pt>
                <c:pt idx="3">
                  <c:v>0.30800000000000038</c:v>
                </c:pt>
                <c:pt idx="4">
                  <c:v>0.34900000000000031</c:v>
                </c:pt>
              </c:numCache>
            </c:numRef>
          </c:val>
        </c:ser>
        <c:ser>
          <c:idx val="2"/>
          <c:order val="2"/>
          <c:tx>
            <c:strRef>
              <c:f>Sheet1!$D$1</c:f>
              <c:strCache>
                <c:ptCount val="1"/>
                <c:pt idx="0">
                  <c:v>CO</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2.5070000000000001</c:v>
                </c:pt>
                <c:pt idx="1">
                  <c:v>2.4699999999999998</c:v>
                </c:pt>
                <c:pt idx="2">
                  <c:v>2.3349999999999977</c:v>
                </c:pt>
                <c:pt idx="3">
                  <c:v>1.744</c:v>
                </c:pt>
                <c:pt idx="4">
                  <c:v>1.8260000000000001</c:v>
                </c:pt>
              </c:numCache>
            </c:numRef>
          </c:val>
        </c:ser>
        <c:shape val="cone"/>
        <c:axId val="242115328"/>
        <c:axId val="242116864"/>
        <c:axId val="242024448"/>
      </c:bar3DChart>
      <c:catAx>
        <c:axId val="242115328"/>
        <c:scaling>
          <c:orientation val="minMax"/>
        </c:scaling>
        <c:axPos val="b"/>
        <c:numFmt formatCode="General" sourceLinked="1"/>
        <c:majorTickMark val="none"/>
        <c:tickLblPos val="nextTo"/>
        <c:txPr>
          <a:bodyPr/>
          <a:lstStyle/>
          <a:p>
            <a:pPr>
              <a:defRPr lang="en-US"/>
            </a:pPr>
            <a:endParaRPr lang="ro-RO"/>
          </a:p>
        </c:txPr>
        <c:crossAx val="242116864"/>
        <c:crossesAt val="0"/>
        <c:auto val="1"/>
        <c:lblAlgn val="ctr"/>
        <c:lblOffset val="100"/>
      </c:catAx>
      <c:valAx>
        <c:axId val="242116864"/>
        <c:scaling>
          <c:orientation val="minMax"/>
          <c:min val="0"/>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2623543552383267E-2"/>
              <c:y val="0.20270552053569491"/>
            </c:manualLayout>
          </c:layout>
        </c:title>
        <c:numFmt formatCode="General" sourceLinked="1"/>
        <c:majorTickMark val="none"/>
        <c:tickLblPos val="nextTo"/>
        <c:spPr>
          <a:noFill/>
        </c:spPr>
        <c:txPr>
          <a:bodyPr/>
          <a:lstStyle/>
          <a:p>
            <a:pPr>
              <a:defRPr lang="en-US"/>
            </a:pPr>
            <a:endParaRPr lang="ro-RO"/>
          </a:p>
        </c:txPr>
        <c:crossAx val="242115328"/>
        <c:crosses val="autoZero"/>
        <c:crossBetween val="between"/>
        <c:majorUnit val="2"/>
      </c:valAx>
      <c:serAx>
        <c:axId val="242024448"/>
        <c:scaling>
          <c:orientation val="minMax"/>
        </c:scaling>
        <c:delete val="1"/>
        <c:axPos val="b"/>
        <c:tickLblPos val="none"/>
        <c:crossAx val="242116864"/>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lang="en-US" sz="1200" baseline="0">
                <a:latin typeface="Arial" pitchFamily="34" charset="0"/>
              </a:defRPr>
            </a:pPr>
            <a:r>
              <a:rPr lang="ro-RO" sz="1200" baseline="0">
                <a:latin typeface="Arial" pitchFamily="34" charset="0"/>
              </a:rPr>
              <a:t>Tendința emisiilor de particule primare în suspensie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4.7000000000000014E-2</c:v>
                </c:pt>
                <c:pt idx="1">
                  <c:v>6.1000000000000013E-2</c:v>
                </c:pt>
                <c:pt idx="2">
                  <c:v>0.54923588304478965</c:v>
                </c:pt>
                <c:pt idx="3">
                  <c:v>0.29800000000000032</c:v>
                </c:pt>
              </c:numCache>
            </c:numRef>
          </c:val>
        </c:ser>
        <c:ser>
          <c:idx val="1"/>
          <c:order val="1"/>
          <c:tx>
            <c:strRef>
              <c:f>Sheet1!$C$1</c:f>
              <c:strCache>
                <c:ptCount val="1"/>
                <c:pt idx="0">
                  <c:v>PM10</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5.1000000000000004E-2</c:v>
                </c:pt>
                <c:pt idx="1">
                  <c:v>6.5000000000000002E-2</c:v>
                </c:pt>
                <c:pt idx="2">
                  <c:v>1.1000000000000001</c:v>
                </c:pt>
                <c:pt idx="3">
                  <c:v>3.1</c:v>
                </c:pt>
              </c:numCache>
            </c:numRef>
          </c:val>
        </c:ser>
        <c:shape val="cone"/>
        <c:axId val="242180864"/>
        <c:axId val="242182400"/>
        <c:axId val="242026240"/>
      </c:bar3DChart>
      <c:catAx>
        <c:axId val="242180864"/>
        <c:scaling>
          <c:orientation val="minMax"/>
        </c:scaling>
        <c:axPos val="b"/>
        <c:numFmt formatCode="General" sourceLinked="1"/>
        <c:majorTickMark val="none"/>
        <c:tickLblPos val="nextTo"/>
        <c:txPr>
          <a:bodyPr/>
          <a:lstStyle/>
          <a:p>
            <a:pPr>
              <a:defRPr lang="en-US"/>
            </a:pPr>
            <a:endParaRPr lang="ro-RO"/>
          </a:p>
        </c:txPr>
        <c:crossAx val="242182400"/>
        <c:crossesAt val="0"/>
        <c:auto val="1"/>
        <c:lblAlgn val="ctr"/>
        <c:lblOffset val="100"/>
      </c:catAx>
      <c:valAx>
        <c:axId val="242182400"/>
        <c:scaling>
          <c:orientation val="minMax"/>
          <c:max val="0.2"/>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0508460274241553"/>
              <c:y val="0.20639896467235241"/>
            </c:manualLayout>
          </c:layout>
        </c:title>
        <c:numFmt formatCode="General" sourceLinked="1"/>
        <c:majorTickMark val="none"/>
        <c:tickLblPos val="nextTo"/>
        <c:txPr>
          <a:bodyPr/>
          <a:lstStyle/>
          <a:p>
            <a:pPr>
              <a:defRPr lang="en-US"/>
            </a:pPr>
            <a:endParaRPr lang="ro-RO"/>
          </a:p>
        </c:txPr>
        <c:crossAx val="242180864"/>
        <c:crosses val="autoZero"/>
        <c:crossBetween val="between"/>
        <c:majorUnit val="0.05"/>
        <c:minorUnit val="4.0000000000000114E-3"/>
      </c:valAx>
      <c:serAx>
        <c:axId val="242026240"/>
        <c:scaling>
          <c:orientation val="minMax"/>
        </c:scaling>
        <c:delete val="1"/>
        <c:axPos val="b"/>
        <c:tickLblPos val="none"/>
        <c:crossAx val="242182400"/>
        <c:crossesAt val="0"/>
      </c:serAx>
    </c:plotArea>
    <c:legend>
      <c:legendPos val="r"/>
      <c:txPr>
        <a:bodyPr/>
        <a:lstStyle/>
        <a:p>
          <a:pPr>
            <a:defRPr lang="en-US"/>
          </a:pPr>
          <a:endParaRPr lang="ro-RO"/>
        </a:p>
      </c:txPr>
    </c:legend>
    <c:plotVisOnly val="1"/>
    <c:dispBlanksAs val="gap"/>
  </c:chart>
  <c:spPr>
    <a:no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lang="en-US" sz="1200" baseline="0">
                <a:latin typeface="Arial" pitchFamily="34" charset="0"/>
              </a:defRPr>
            </a:pPr>
            <a:r>
              <a:rPr lang="ro-RO" sz="1200" baseline="0">
                <a:latin typeface="Arial" pitchFamily="34" charset="0"/>
              </a:rPr>
              <a:t>Tendința emisiilor de particule primare în suspensie din sectorul de activitate energie</a:t>
            </a:r>
          </a:p>
        </c:rich>
      </c:tx>
    </c:title>
    <c:view3D>
      <c:perspective val="30"/>
    </c:view3D>
    <c:plotArea>
      <c:layout>
        <c:manualLayout>
          <c:layoutTarget val="inner"/>
          <c:xMode val="edge"/>
          <c:yMode val="edge"/>
          <c:x val="0.20954332804207892"/>
          <c:y val="0.27331850334851743"/>
          <c:w val="0.63270037942881818"/>
          <c:h val="0.565436263703191"/>
        </c:manualLayout>
      </c:layout>
      <c:bar3DChart>
        <c:barDir val="col"/>
        <c:grouping val="standard"/>
        <c:ser>
          <c:idx val="0"/>
          <c:order val="0"/>
          <c:tx>
            <c:strRef>
              <c:f>Sheet1!$B$1</c:f>
              <c:strCache>
                <c:ptCount val="1"/>
                <c:pt idx="0">
                  <c:v>PM2,5</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2.8000000000000046E-4</c:v>
                </c:pt>
                <c:pt idx="1">
                  <c:v>0</c:v>
                </c:pt>
                <c:pt idx="2">
                  <c:v>0</c:v>
                </c:pt>
                <c:pt idx="3">
                  <c:v>0</c:v>
                </c:pt>
                <c:pt idx="4">
                  <c:v>0</c:v>
                </c:pt>
              </c:numCache>
            </c:numRef>
          </c:val>
        </c:ser>
        <c:ser>
          <c:idx val="1"/>
          <c:order val="1"/>
          <c:tx>
            <c:strRef>
              <c:f>Sheet1!$C$1</c:f>
              <c:strCache>
                <c:ptCount val="1"/>
                <c:pt idx="0">
                  <c:v>PM10</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2.8000000000000046E-4</c:v>
                </c:pt>
                <c:pt idx="1">
                  <c:v>0</c:v>
                </c:pt>
                <c:pt idx="2">
                  <c:v>0</c:v>
                </c:pt>
                <c:pt idx="3">
                  <c:v>0</c:v>
                </c:pt>
                <c:pt idx="4">
                  <c:v>0</c:v>
                </c:pt>
              </c:numCache>
            </c:numRef>
          </c:val>
        </c:ser>
        <c:shape val="cone"/>
        <c:axId val="242053888"/>
        <c:axId val="242055424"/>
        <c:axId val="242209664"/>
      </c:bar3DChart>
      <c:catAx>
        <c:axId val="242053888"/>
        <c:scaling>
          <c:orientation val="minMax"/>
        </c:scaling>
        <c:axPos val="b"/>
        <c:numFmt formatCode="General" sourceLinked="1"/>
        <c:majorTickMark val="none"/>
        <c:tickLblPos val="nextTo"/>
        <c:txPr>
          <a:bodyPr/>
          <a:lstStyle/>
          <a:p>
            <a:pPr>
              <a:defRPr lang="en-US"/>
            </a:pPr>
            <a:endParaRPr lang="ro-RO"/>
          </a:p>
        </c:txPr>
        <c:crossAx val="242055424"/>
        <c:crossesAt val="0"/>
        <c:auto val="1"/>
        <c:lblAlgn val="ctr"/>
        <c:lblOffset val="100"/>
      </c:catAx>
      <c:valAx>
        <c:axId val="242055424"/>
        <c:scaling>
          <c:orientation val="minMax"/>
          <c:max val="2.0000000000000011E-2"/>
        </c:scaling>
        <c:axPos val="l"/>
        <c:majorGridlines>
          <c:spPr>
            <a:ln>
              <a:solidFill>
                <a:schemeClr val="bg1"/>
              </a:solidFill>
            </a:ln>
          </c:spPr>
        </c:majorGridlines>
        <c:minorGridlines/>
        <c:title>
          <c:tx>
            <c:rich>
              <a:bodyPr rot="0" vert="horz"/>
              <a:lstStyle/>
              <a:p>
                <a:pPr>
                  <a:defRPr lang="en-US"/>
                </a:pPr>
                <a:r>
                  <a:rPr lang="ro-RO"/>
                  <a:t>Gg</a:t>
                </a:r>
              </a:p>
            </c:rich>
          </c:tx>
          <c:layout>
            <c:manualLayout>
              <c:xMode val="edge"/>
              <c:yMode val="edge"/>
              <c:x val="0.15991326317855345"/>
              <c:y val="0.24702685017558401"/>
            </c:manualLayout>
          </c:layout>
        </c:title>
        <c:numFmt formatCode="General" sourceLinked="1"/>
        <c:majorTickMark val="none"/>
        <c:tickLblPos val="nextTo"/>
        <c:txPr>
          <a:bodyPr/>
          <a:lstStyle/>
          <a:p>
            <a:pPr>
              <a:defRPr lang="en-US"/>
            </a:pPr>
            <a:endParaRPr lang="ro-RO"/>
          </a:p>
        </c:txPr>
        <c:crossAx val="242053888"/>
        <c:crosses val="autoZero"/>
        <c:crossBetween val="between"/>
        <c:majorUnit val="5.0000000000000114E-3"/>
        <c:minorUnit val="4.0000000000000114E-3"/>
      </c:valAx>
      <c:serAx>
        <c:axId val="242209664"/>
        <c:scaling>
          <c:orientation val="minMax"/>
        </c:scaling>
        <c:delete val="1"/>
        <c:axPos val="b"/>
        <c:tickLblPos val="none"/>
        <c:crossAx val="242055424"/>
        <c:crossesAt val="0"/>
      </c:serAx>
    </c:plotArea>
    <c:legend>
      <c:legendPos val="r"/>
      <c:txPr>
        <a:bodyPr/>
        <a:lstStyle/>
        <a:p>
          <a:pPr>
            <a:defRPr lang="en-US"/>
          </a:pPr>
          <a:endParaRPr lang="ro-RO"/>
        </a:p>
      </c:txPr>
    </c:legend>
    <c:plotVisOnly val="1"/>
    <c:dispBlanksAs val="gap"/>
  </c:chart>
  <c:spPr>
    <a:noFill/>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lang="en-US"/>
            </a:pPr>
            <a:r>
              <a:rPr lang="ro-RO" sz="1200" baseline="0">
                <a:latin typeface="Arial" pitchFamily="34" charset="0"/>
                <a:cs typeface="Arial" pitchFamily="34" charset="0"/>
              </a:rPr>
              <a:t>Tendința emisiilor de particule primare în suspensie din sectorul de activitate transport</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3.2700000000000014E-2</c:v>
                </c:pt>
                <c:pt idx="1">
                  <c:v>4.7000000000000014E-2</c:v>
                </c:pt>
                <c:pt idx="2">
                  <c:v>4.5999999999999999E-2</c:v>
                </c:pt>
                <c:pt idx="3">
                  <c:v>4.3000000000000003E-2</c:v>
                </c:pt>
                <c:pt idx="4">
                  <c:v>4.3999999999999997E-2</c:v>
                </c:pt>
              </c:numCache>
            </c:numRef>
          </c:val>
        </c:ser>
        <c:ser>
          <c:idx val="1"/>
          <c:order val="1"/>
          <c:tx>
            <c:strRef>
              <c:f>Sheet1!$C$1</c:f>
              <c:strCache>
                <c:ptCount val="1"/>
                <c:pt idx="0">
                  <c:v>PM10</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4.3000000000000003E-2</c:v>
                </c:pt>
                <c:pt idx="1">
                  <c:v>5.3999999999999999E-2</c:v>
                </c:pt>
                <c:pt idx="2">
                  <c:v>5.3000000000000012E-2</c:v>
                </c:pt>
                <c:pt idx="3">
                  <c:v>0.05</c:v>
                </c:pt>
                <c:pt idx="4">
                  <c:v>5.1999999999999998E-2</c:v>
                </c:pt>
              </c:numCache>
            </c:numRef>
          </c:val>
        </c:ser>
        <c:shape val="cone"/>
        <c:axId val="242291456"/>
        <c:axId val="242292992"/>
        <c:axId val="242024896"/>
      </c:bar3DChart>
      <c:catAx>
        <c:axId val="242291456"/>
        <c:scaling>
          <c:orientation val="minMax"/>
        </c:scaling>
        <c:axPos val="b"/>
        <c:numFmt formatCode="General" sourceLinked="1"/>
        <c:majorTickMark val="none"/>
        <c:tickLblPos val="nextTo"/>
        <c:txPr>
          <a:bodyPr/>
          <a:lstStyle/>
          <a:p>
            <a:pPr>
              <a:defRPr lang="en-US"/>
            </a:pPr>
            <a:endParaRPr lang="ro-RO"/>
          </a:p>
        </c:txPr>
        <c:crossAx val="242292992"/>
        <c:crossesAt val="0"/>
        <c:auto val="1"/>
        <c:lblAlgn val="ctr"/>
        <c:lblOffset val="100"/>
      </c:catAx>
      <c:valAx>
        <c:axId val="242292992"/>
        <c:scaling>
          <c:orientation val="minMax"/>
        </c:scaling>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1256123825643438"/>
              <c:y val="0.23594651776561171"/>
            </c:manualLayout>
          </c:layout>
        </c:title>
        <c:numFmt formatCode="General" sourceLinked="1"/>
        <c:majorTickMark val="none"/>
        <c:tickLblPos val="nextTo"/>
        <c:txPr>
          <a:bodyPr/>
          <a:lstStyle/>
          <a:p>
            <a:pPr>
              <a:defRPr lang="en-US"/>
            </a:pPr>
            <a:endParaRPr lang="ro-RO"/>
          </a:p>
        </c:txPr>
        <c:crossAx val="242291456"/>
        <c:crosses val="autoZero"/>
        <c:crossBetween val="between"/>
        <c:minorUnit val="4.0000000000000114E-3"/>
      </c:valAx>
      <c:serAx>
        <c:axId val="242024896"/>
        <c:scaling>
          <c:orientation val="minMax"/>
        </c:scaling>
        <c:delete val="1"/>
        <c:axPos val="b"/>
        <c:tickLblPos val="none"/>
        <c:crossAx val="24229299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lang="en-US" sz="1200" baseline="0">
                <a:latin typeface="Arial" pitchFamily="34" charset="0"/>
              </a:defRPr>
            </a:pPr>
            <a:r>
              <a:rPr lang="ro-RO" sz="1200" baseline="0">
                <a:latin typeface="Arial" pitchFamily="34" charset="0"/>
              </a:rPr>
              <a:t>Tendința emisiilor de metale grele</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2.5000000000000001E-2</c:v>
                </c:pt>
                <c:pt idx="1">
                  <c:v>3.0000000000000002E-2</c:v>
                </c:pt>
                <c:pt idx="2">
                  <c:v>7.9793889561888431E-2</c:v>
                </c:pt>
                <c:pt idx="3">
                  <c:v>3.0000000000000002E-2</c:v>
                </c:pt>
              </c:numCache>
            </c:numRef>
          </c:val>
        </c:ser>
        <c:ser>
          <c:idx val="1"/>
          <c:order val="1"/>
          <c:tx>
            <c:strRef>
              <c:f>Sheet1!$C$1</c:f>
              <c:strCache>
                <c:ptCount val="1"/>
                <c:pt idx="0">
                  <c:v>Cd</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4.5000000000000107E-4</c:v>
                </c:pt>
                <c:pt idx="1">
                  <c:v>5.0000000000000088E-3</c:v>
                </c:pt>
                <c:pt idx="2">
                  <c:v>6.9966374312031201E-3</c:v>
                </c:pt>
                <c:pt idx="3">
                  <c:v>2.0000000000000044E-3</c:v>
                </c:pt>
              </c:numCache>
            </c:numRef>
          </c:val>
        </c:ser>
        <c:ser>
          <c:idx val="2"/>
          <c:order val="2"/>
          <c:tx>
            <c:strRef>
              <c:f>Sheet1!$D$1</c:f>
              <c:strCache>
                <c:ptCount val="1"/>
                <c:pt idx="0">
                  <c:v>Hg</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1.6000000000000021E-2</c:v>
                </c:pt>
                <c:pt idx="1">
                  <c:v>1.4999999999999998E-2</c:v>
                </c:pt>
                <c:pt idx="2">
                  <c:v>3.3525319140136297E-3</c:v>
                </c:pt>
                <c:pt idx="3">
                  <c:v>3.7000000000000097E-4</c:v>
                </c:pt>
              </c:numCache>
            </c:numRef>
          </c:val>
        </c:ser>
        <c:shape val="cone"/>
        <c:axId val="242333184"/>
        <c:axId val="242334720"/>
        <c:axId val="242324352"/>
      </c:bar3DChart>
      <c:catAx>
        <c:axId val="242333184"/>
        <c:scaling>
          <c:orientation val="minMax"/>
        </c:scaling>
        <c:axPos val="b"/>
        <c:numFmt formatCode="General" sourceLinked="1"/>
        <c:majorTickMark val="none"/>
        <c:tickLblPos val="nextTo"/>
        <c:txPr>
          <a:bodyPr/>
          <a:lstStyle/>
          <a:p>
            <a:pPr>
              <a:defRPr lang="en-US"/>
            </a:pPr>
            <a:endParaRPr lang="ro-RO"/>
          </a:p>
        </c:txPr>
        <c:crossAx val="242334720"/>
        <c:crossesAt val="0"/>
        <c:auto val="1"/>
        <c:lblAlgn val="ctr"/>
        <c:lblOffset val="100"/>
      </c:catAx>
      <c:valAx>
        <c:axId val="242334720"/>
        <c:scaling>
          <c:orientation val="minMax"/>
          <c:min val="0"/>
        </c:scaling>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2253008560845782"/>
              <c:y val="0.14730385848583341"/>
            </c:manualLayout>
          </c:layout>
        </c:title>
        <c:numFmt formatCode="General" sourceLinked="1"/>
        <c:majorTickMark val="none"/>
        <c:tickLblPos val="nextTo"/>
        <c:txPr>
          <a:bodyPr/>
          <a:lstStyle/>
          <a:p>
            <a:pPr>
              <a:defRPr lang="en-US"/>
            </a:pPr>
            <a:endParaRPr lang="ro-RO"/>
          </a:p>
        </c:txPr>
        <c:crossAx val="242333184"/>
        <c:crosses val="autoZero"/>
        <c:crossBetween val="between"/>
      </c:valAx>
      <c:serAx>
        <c:axId val="242324352"/>
        <c:scaling>
          <c:orientation val="minMax"/>
        </c:scaling>
        <c:delete val="1"/>
        <c:axPos val="b"/>
        <c:tickLblPos val="none"/>
        <c:crossAx val="242334720"/>
        <c:crossesAt val="0"/>
      </c:serAx>
    </c:plotArea>
    <c:legend>
      <c:legendPos val="r"/>
      <c:txPr>
        <a:bodyPr/>
        <a:lstStyle/>
        <a:p>
          <a:pPr>
            <a:defRPr lang="en-US"/>
          </a:pPr>
          <a:endParaRPr lang="ro-RO"/>
        </a:p>
      </c:txPr>
    </c:legend>
    <c:plotVisOnly val="1"/>
    <c:dispBlanksAs val="gap"/>
  </c:chart>
  <c:spPr>
    <a:noFill/>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lang="en-US" sz="1200" baseline="0">
                <a:latin typeface="Arial" pitchFamily="34" charset="0"/>
              </a:defRPr>
            </a:pPr>
            <a:r>
              <a:rPr lang="ro-RO" sz="1200" baseline="0">
                <a:latin typeface="Arial" pitchFamily="34" charset="0"/>
              </a:rPr>
              <a:t>Tendința emisiilor de metale grele din sectorul de activitate industrie </a:t>
            </a:r>
          </a:p>
        </c:rich>
      </c:tx>
      <c:layout>
        <c:manualLayout>
          <c:xMode val="edge"/>
          <c:yMode val="edge"/>
          <c:x val="0.12217811551335749"/>
          <c:y val="0"/>
        </c:manualLayout>
      </c:layout>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1.5000000000000024E-3</c:v>
                </c:pt>
                <c:pt idx="1">
                  <c:v>2.0000000000000049E-5</c:v>
                </c:pt>
                <c:pt idx="2">
                  <c:v>4.2122899712741099E-3</c:v>
                </c:pt>
                <c:pt idx="3">
                  <c:v>8.0000000000000267E-6</c:v>
                </c:pt>
              </c:numCache>
            </c:numRef>
          </c:val>
        </c:ser>
        <c:ser>
          <c:idx val="1"/>
          <c:order val="1"/>
          <c:tx>
            <c:strRef>
              <c:f>Sheet1!$C$1</c:f>
              <c:strCache>
                <c:ptCount val="1"/>
                <c:pt idx="0">
                  <c:v>Cd</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2.000000000000005E-4</c:v>
                </c:pt>
                <c:pt idx="1">
                  <c:v>8.5000000000000234E-4</c:v>
                </c:pt>
                <c:pt idx="2">
                  <c:v>3.2712940562901801E-4</c:v>
                </c:pt>
                <c:pt idx="3">
                  <c:v>3.7000000000000158E-6</c:v>
                </c:pt>
              </c:numCache>
            </c:numRef>
          </c:val>
        </c:ser>
        <c:ser>
          <c:idx val="2"/>
          <c:order val="2"/>
          <c:tx>
            <c:strRef>
              <c:f>Sheet1!$D$1</c:f>
              <c:strCache>
                <c:ptCount val="1"/>
                <c:pt idx="0">
                  <c:v>Hg</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4.0000000000000034E-4</c:v>
                </c:pt>
                <c:pt idx="1">
                  <c:v>5.0000000000000131E-5</c:v>
                </c:pt>
                <c:pt idx="2">
                  <c:v>9.6959744606729063E-5</c:v>
                </c:pt>
                <c:pt idx="3">
                  <c:v>2.0000000000000049E-5</c:v>
                </c:pt>
              </c:numCache>
            </c:numRef>
          </c:val>
        </c:ser>
        <c:shape val="cone"/>
        <c:axId val="242374912"/>
        <c:axId val="242429952"/>
        <c:axId val="242325248"/>
      </c:bar3DChart>
      <c:catAx>
        <c:axId val="242374912"/>
        <c:scaling>
          <c:orientation val="minMax"/>
        </c:scaling>
        <c:axPos val="b"/>
        <c:numFmt formatCode="General" sourceLinked="1"/>
        <c:majorTickMark val="none"/>
        <c:tickLblPos val="nextTo"/>
        <c:txPr>
          <a:bodyPr/>
          <a:lstStyle/>
          <a:p>
            <a:pPr>
              <a:defRPr lang="en-US"/>
            </a:pPr>
            <a:endParaRPr lang="ro-RO"/>
          </a:p>
        </c:txPr>
        <c:crossAx val="242429952"/>
        <c:crossesAt val="0"/>
        <c:auto val="1"/>
        <c:lblAlgn val="ctr"/>
        <c:lblOffset val="100"/>
      </c:catAx>
      <c:valAx>
        <c:axId val="242429952"/>
        <c:scaling>
          <c:orientation val="minMax"/>
          <c:min val="0"/>
        </c:scaling>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2253008560845782"/>
              <c:y val="0.19162518812572271"/>
            </c:manualLayout>
          </c:layout>
        </c:title>
        <c:numFmt formatCode="General" sourceLinked="1"/>
        <c:majorTickMark val="none"/>
        <c:tickLblPos val="nextTo"/>
        <c:txPr>
          <a:bodyPr/>
          <a:lstStyle/>
          <a:p>
            <a:pPr>
              <a:defRPr lang="en-US"/>
            </a:pPr>
            <a:endParaRPr lang="ro-RO"/>
          </a:p>
        </c:txPr>
        <c:crossAx val="242374912"/>
        <c:crosses val="autoZero"/>
        <c:crossBetween val="between"/>
        <c:majorUnit val="2.0000000000000052E-3"/>
      </c:valAx>
      <c:serAx>
        <c:axId val="242325248"/>
        <c:scaling>
          <c:orientation val="minMax"/>
        </c:scaling>
        <c:delete val="1"/>
        <c:axPos val="b"/>
        <c:tickLblPos val="none"/>
        <c:crossAx val="242429952"/>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988"/>
          <c:h val="0.65934065934066965"/>
        </c:manualLayout>
      </c:layout>
      <c:bar3DChart>
        <c:barDir val="col"/>
        <c:grouping val="clustered"/>
        <c:ser>
          <c:idx val="7"/>
          <c:order val="0"/>
          <c:tx>
            <c:strRef>
              <c:f>Sheet1!$A$2</c:f>
              <c:strCache>
                <c:ptCount val="1"/>
                <c:pt idx="0">
                  <c:v>Medii anuale 2017</c:v>
                </c:pt>
              </c:strCache>
            </c:strRef>
          </c:tx>
          <c:cat>
            <c:strRef>
              <c:f>Sheet1!$B$1:$F$1</c:f>
              <c:strCache>
                <c:ptCount val="5"/>
                <c:pt idx="0">
                  <c:v>BR1</c:v>
                </c:pt>
                <c:pt idx="1">
                  <c:v>BR2</c:v>
                </c:pt>
                <c:pt idx="2">
                  <c:v>BR3</c:v>
                </c:pt>
                <c:pt idx="3">
                  <c:v>BR4</c:v>
                </c:pt>
                <c:pt idx="4">
                  <c:v>BR5</c:v>
                </c:pt>
              </c:strCache>
            </c:strRef>
          </c:cat>
          <c:val>
            <c:numRef>
              <c:f>Sheet1!$B$2:$F$2</c:f>
              <c:numCache>
                <c:formatCode>0.00</c:formatCode>
                <c:ptCount val="5"/>
                <c:pt idx="0">
                  <c:v>0.16</c:v>
                </c:pt>
                <c:pt idx="1">
                  <c:v>9.0000000000000024E-2</c:v>
                </c:pt>
                <c:pt idx="2">
                  <c:v>0.1</c:v>
                </c:pt>
                <c:pt idx="3">
                  <c:v>0.11</c:v>
                </c:pt>
                <c:pt idx="4">
                  <c:v>6.0000000000000032E-2</c:v>
                </c:pt>
              </c:numCache>
            </c:numRef>
          </c:val>
        </c:ser>
        <c:gapWidth val="260"/>
        <c:gapDepth val="0"/>
        <c:shape val="box"/>
        <c:axId val="233680256"/>
        <c:axId val="233907328"/>
        <c:axId val="0"/>
      </c:bar3DChart>
      <c:catAx>
        <c:axId val="23368025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907328"/>
        <c:crosses val="autoZero"/>
        <c:auto val="1"/>
        <c:lblAlgn val="ctr"/>
        <c:lblOffset val="100"/>
        <c:tickLblSkip val="1"/>
        <c:tickMarkSkip val="1"/>
      </c:catAx>
      <c:valAx>
        <c:axId val="233907328"/>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miigrame/mc</a:t>
                </a:r>
              </a:p>
            </c:rich>
          </c:tx>
          <c:layout>
            <c:manualLayout>
              <c:xMode val="edge"/>
              <c:yMode val="edge"/>
              <c:x val="4.0992385457522033E-2"/>
              <c:y val="0.12232884951881016"/>
            </c:manualLayout>
          </c:layout>
          <c:spPr>
            <a:noFill/>
            <a:ln w="25400">
              <a:noFill/>
            </a:ln>
          </c:spPr>
        </c:title>
        <c:numFmt formatCode="0.00"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680256"/>
        <c:crosses val="autoZero"/>
        <c:crossBetween val="between"/>
      </c:valAx>
      <c:spPr>
        <a:noFill/>
        <a:ln w="25400">
          <a:noFill/>
        </a:ln>
      </c:spPr>
    </c:plotArea>
    <c:legend>
      <c:legendPos val="r"/>
      <c:layout>
        <c:manualLayout>
          <c:xMode val="edge"/>
          <c:yMode val="edge"/>
          <c:x val="0.76058161931280355"/>
          <c:y val="0.29739009186352139"/>
          <c:w val="0.19241699350318894"/>
          <c:h val="0.1323753280839872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lang="en-US" sz="1200" baseline="0">
                <a:latin typeface="Arial" pitchFamily="34" charset="0"/>
              </a:defRPr>
            </a:pPr>
            <a:r>
              <a:rPr lang="ro-RO" sz="1200" baseline="0">
                <a:latin typeface="Arial" pitchFamily="34" charset="0"/>
              </a:rPr>
              <a:t>Tendința emisiilor de metale grele din sectorul de activitate transport</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2.3E-2</c:v>
                </c:pt>
                <c:pt idx="1">
                  <c:v>3.3000000000000002E-2</c:v>
                </c:pt>
                <c:pt idx="2">
                  <c:v>3.1000000000000048E-2</c:v>
                </c:pt>
                <c:pt idx="3">
                  <c:v>2.5000000000000001E-2</c:v>
                </c:pt>
                <c:pt idx="4">
                  <c:v>2.7000000000000048E-2</c:v>
                </c:pt>
              </c:numCache>
            </c:numRef>
          </c:val>
        </c:ser>
        <c:ser>
          <c:idx val="1"/>
          <c:order val="1"/>
          <c:tx>
            <c:strRef>
              <c:f>Sheet1!$C$1</c:f>
              <c:strCache>
                <c:ptCount val="1"/>
                <c:pt idx="0">
                  <c:v>Cd</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5.5000000000000123E-4</c:v>
                </c:pt>
                <c:pt idx="1">
                  <c:v>1.6000000000000021E-2</c:v>
                </c:pt>
                <c:pt idx="2">
                  <c:v>5.5000000000000123E-4</c:v>
                </c:pt>
                <c:pt idx="3">
                  <c:v>6.0000000000000125E-4</c:v>
                </c:pt>
                <c:pt idx="4">
                  <c:v>7.000000000000014E-4</c:v>
                </c:pt>
              </c:numCache>
            </c:numRef>
          </c:val>
        </c:ser>
        <c:ser>
          <c:idx val="2"/>
          <c:order val="2"/>
          <c:tx>
            <c:strRef>
              <c:f>Sheet1!$D$1</c:f>
              <c:strCache>
                <c:ptCount val="1"/>
                <c:pt idx="0">
                  <c:v>Hg</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0</c:v>
                </c:pt>
                <c:pt idx="1">
                  <c:v>0</c:v>
                </c:pt>
                <c:pt idx="2">
                  <c:v>0</c:v>
                </c:pt>
                <c:pt idx="3">
                  <c:v>0</c:v>
                </c:pt>
                <c:pt idx="4">
                  <c:v>0</c:v>
                </c:pt>
              </c:numCache>
            </c:numRef>
          </c:val>
        </c:ser>
        <c:shape val="cone"/>
        <c:axId val="242457600"/>
        <c:axId val="242463488"/>
        <c:axId val="242426304"/>
      </c:bar3DChart>
      <c:catAx>
        <c:axId val="242457600"/>
        <c:scaling>
          <c:orientation val="minMax"/>
        </c:scaling>
        <c:axPos val="b"/>
        <c:numFmt formatCode="General" sourceLinked="1"/>
        <c:majorTickMark val="none"/>
        <c:tickLblPos val="nextTo"/>
        <c:txPr>
          <a:bodyPr/>
          <a:lstStyle/>
          <a:p>
            <a:pPr>
              <a:defRPr lang="en-US"/>
            </a:pPr>
            <a:endParaRPr lang="ro-RO"/>
          </a:p>
        </c:txPr>
        <c:crossAx val="242463488"/>
        <c:crossesAt val="0"/>
        <c:auto val="1"/>
        <c:lblAlgn val="ctr"/>
        <c:lblOffset val="100"/>
      </c:catAx>
      <c:valAx>
        <c:axId val="242463488"/>
        <c:scaling>
          <c:orientation val="minMax"/>
          <c:min val="0"/>
        </c:scaling>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0010017906640303"/>
              <c:y val="0.19531863226237994"/>
            </c:manualLayout>
          </c:layout>
        </c:title>
        <c:numFmt formatCode="General" sourceLinked="1"/>
        <c:majorTickMark val="none"/>
        <c:tickLblPos val="nextTo"/>
        <c:txPr>
          <a:bodyPr/>
          <a:lstStyle/>
          <a:p>
            <a:pPr>
              <a:defRPr lang="en-US"/>
            </a:pPr>
            <a:endParaRPr lang="ro-RO"/>
          </a:p>
        </c:txPr>
        <c:crossAx val="242457600"/>
        <c:crosses val="autoZero"/>
        <c:crossBetween val="between"/>
      </c:valAx>
      <c:serAx>
        <c:axId val="242426304"/>
        <c:scaling>
          <c:orientation val="minMax"/>
        </c:scaling>
        <c:delete val="1"/>
        <c:axPos val="b"/>
        <c:tickLblPos val="none"/>
        <c:crossAx val="242463488"/>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style val="13"/>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412</c:v>
                </c:pt>
                <c:pt idx="1">
                  <c:v>344</c:v>
                </c:pt>
                <c:pt idx="2">
                  <c:v>1.56</c:v>
                </c:pt>
                <c:pt idx="3">
                  <c:v>1.2</c:v>
                </c:pt>
              </c:numCache>
            </c:numRef>
          </c:val>
        </c:ser>
        <c:ser>
          <c:idx val="1"/>
          <c:order val="1"/>
          <c:tx>
            <c:strRef>
              <c:f>Sheet1!$C$1</c:f>
              <c:strCache>
                <c:ptCount val="1"/>
                <c:pt idx="0">
                  <c:v>HCB</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2.000000000000005E-4</c:v>
                </c:pt>
                <c:pt idx="1">
                  <c:v>2.000000000000005E-4</c:v>
                </c:pt>
                <c:pt idx="2">
                  <c:v>2.3999999999999998E-3</c:v>
                </c:pt>
                <c:pt idx="3">
                  <c:v>1.7000000000000034E-4</c:v>
                </c:pt>
              </c:numCache>
            </c:numRef>
          </c:val>
        </c:ser>
        <c:shape val="cone"/>
        <c:axId val="242203648"/>
        <c:axId val="242402048"/>
        <c:axId val="242427648"/>
      </c:bar3DChart>
      <c:catAx>
        <c:axId val="242203648"/>
        <c:scaling>
          <c:orientation val="minMax"/>
        </c:scaling>
        <c:axPos val="b"/>
        <c:numFmt formatCode="General" sourceLinked="1"/>
        <c:majorTickMark val="none"/>
        <c:tickLblPos val="nextTo"/>
        <c:txPr>
          <a:bodyPr/>
          <a:lstStyle/>
          <a:p>
            <a:pPr>
              <a:defRPr lang="en-US"/>
            </a:pPr>
            <a:endParaRPr lang="ro-RO"/>
          </a:p>
        </c:txPr>
        <c:crossAx val="242402048"/>
        <c:crossesAt val="0"/>
        <c:auto val="1"/>
        <c:lblAlgn val="ctr"/>
        <c:lblOffset val="100"/>
      </c:catAx>
      <c:valAx>
        <c:axId val="242402048"/>
        <c:scaling>
          <c:orientation val="minMax"/>
          <c:max val="700"/>
          <c:min val="0"/>
        </c:scaling>
        <c:axPos val="l"/>
        <c:majorGridlines/>
        <c:minorGridlines>
          <c:spPr>
            <a:ln>
              <a:solidFill>
                <a:schemeClr val="bg1"/>
              </a:solidFill>
            </a:ln>
          </c:spPr>
        </c:minorGridlines>
        <c:title>
          <c:tx>
            <c:rich>
              <a:bodyPr rot="0" vert="horz"/>
              <a:lstStyle/>
              <a:p>
                <a:pPr>
                  <a:defRPr lang="en-US"/>
                </a:pPr>
                <a:r>
                  <a:rPr lang="ro-RO"/>
                  <a:t>kg</a:t>
                </a:r>
              </a:p>
            </c:rich>
          </c:tx>
          <c:layout>
            <c:manualLayout>
              <c:xMode val="edge"/>
              <c:yMode val="edge"/>
              <c:x val="0.10010017906640303"/>
              <c:y val="0.20270552053569491"/>
            </c:manualLayout>
          </c:layout>
        </c:title>
        <c:numFmt formatCode="General" sourceLinked="1"/>
        <c:majorTickMark val="none"/>
        <c:tickLblPos val="nextTo"/>
        <c:txPr>
          <a:bodyPr/>
          <a:lstStyle/>
          <a:p>
            <a:pPr>
              <a:defRPr lang="en-US"/>
            </a:pPr>
            <a:endParaRPr lang="ro-RO"/>
          </a:p>
        </c:txPr>
        <c:crossAx val="242203648"/>
        <c:crosses val="autoZero"/>
        <c:crossBetween val="between"/>
        <c:majorUnit val="200"/>
      </c:valAx>
      <c:serAx>
        <c:axId val="242427648"/>
        <c:scaling>
          <c:orientation val="minMax"/>
        </c:scaling>
        <c:delete val="1"/>
        <c:axPos val="b"/>
        <c:tickLblPos val="none"/>
        <c:crossAx val="242402048"/>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 din sectorul de activitate energie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c:v>
                </c:pt>
                <c:pt idx="1">
                  <c:v>0</c:v>
                </c:pt>
                <c:pt idx="2">
                  <c:v>0</c:v>
                </c:pt>
                <c:pt idx="3">
                  <c:v>0</c:v>
                </c:pt>
                <c:pt idx="4">
                  <c:v>0</c:v>
                </c:pt>
              </c:numCache>
            </c:numRef>
          </c:val>
        </c:ser>
        <c:shape val="cone"/>
        <c:axId val="242494464"/>
        <c:axId val="242598656"/>
        <c:axId val="242380800"/>
      </c:bar3DChart>
      <c:catAx>
        <c:axId val="242494464"/>
        <c:scaling>
          <c:orientation val="minMax"/>
        </c:scaling>
        <c:axPos val="b"/>
        <c:numFmt formatCode="General" sourceLinked="1"/>
        <c:majorTickMark val="none"/>
        <c:tickLblPos val="nextTo"/>
        <c:txPr>
          <a:bodyPr/>
          <a:lstStyle/>
          <a:p>
            <a:pPr>
              <a:defRPr lang="en-US"/>
            </a:pPr>
            <a:endParaRPr lang="ro-RO"/>
          </a:p>
        </c:txPr>
        <c:crossAx val="242598656"/>
        <c:crossesAt val="0"/>
        <c:auto val="1"/>
        <c:lblAlgn val="ctr"/>
        <c:lblOffset val="100"/>
      </c:catAx>
      <c:valAx>
        <c:axId val="242598656"/>
        <c:scaling>
          <c:orientation val="minMax"/>
          <c:max val="1"/>
        </c:scaling>
        <c:axPos val="l"/>
        <c:majorGridlines/>
        <c:minorGridlines>
          <c:spPr>
            <a:ln>
              <a:solidFill>
                <a:sysClr val="window" lastClr="FFFFFF"/>
              </a:solidFill>
            </a:ln>
          </c:spPr>
        </c:minorGridlines>
        <c:title>
          <c:tx>
            <c:rich>
              <a:bodyPr rot="0" vert="horz"/>
              <a:lstStyle/>
              <a:p>
                <a:pPr>
                  <a:defRPr lang="en-US"/>
                </a:pPr>
                <a:r>
                  <a:rPr lang="ro-RO"/>
                  <a:t>kg</a:t>
                </a:r>
              </a:p>
            </c:rich>
          </c:tx>
          <c:layout>
            <c:manualLayout>
              <c:xMode val="edge"/>
              <c:yMode val="edge"/>
              <c:x val="0.12003787377045159"/>
              <c:y val="0.23594651776561171"/>
            </c:manualLayout>
          </c:layout>
        </c:title>
        <c:numFmt formatCode="General" sourceLinked="1"/>
        <c:majorTickMark val="none"/>
        <c:tickLblPos val="nextTo"/>
        <c:txPr>
          <a:bodyPr/>
          <a:lstStyle/>
          <a:p>
            <a:pPr>
              <a:defRPr lang="en-US"/>
            </a:pPr>
            <a:endParaRPr lang="ro-RO"/>
          </a:p>
        </c:txPr>
        <c:crossAx val="242494464"/>
        <c:crosses val="autoZero"/>
        <c:crossBetween val="between"/>
      </c:valAx>
      <c:serAx>
        <c:axId val="242380800"/>
        <c:scaling>
          <c:orientation val="minMax"/>
        </c:scaling>
        <c:delete val="1"/>
        <c:axPos val="b"/>
        <c:tickLblPos val="none"/>
        <c:crossAx val="242598656"/>
        <c:crossesAt val="0"/>
      </c:serAx>
    </c:plotArea>
    <c:legend>
      <c:legendPos val="r"/>
      <c:txPr>
        <a:bodyPr/>
        <a:lstStyle/>
        <a:p>
          <a:pPr>
            <a:defRPr lang="en-US"/>
          </a:pPr>
          <a:endParaRPr lang="ro-RO"/>
        </a:p>
      </c:txPr>
    </c:legend>
    <c:plotVisOnly val="1"/>
    <c:dispBlanksAs val="gap"/>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 din sectorul de activitate</a:t>
            </a:r>
            <a:r>
              <a:rPr lang="en-US" sz="1200" baseline="0">
                <a:latin typeface="Arial" pitchFamily="34" charset="0"/>
              </a:rPr>
              <a:t> industrie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0</c:v>
                </c:pt>
                <c:pt idx="1">
                  <c:v>0</c:v>
                </c:pt>
                <c:pt idx="2">
                  <c:v>0</c:v>
                </c:pt>
                <c:pt idx="3">
                  <c:v>0</c:v>
                </c:pt>
              </c:numCache>
            </c:numRef>
          </c:val>
        </c:ser>
        <c:ser>
          <c:idx val="1"/>
          <c:order val="1"/>
          <c:tx>
            <c:strRef>
              <c:f>Sheet1!$C$1</c:f>
              <c:strCache>
                <c:ptCount val="1"/>
                <c:pt idx="0">
                  <c:v>HCB</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c:v>
                </c:pt>
                <c:pt idx="1">
                  <c:v>0</c:v>
                </c:pt>
                <c:pt idx="2">
                  <c:v>0</c:v>
                </c:pt>
                <c:pt idx="3">
                  <c:v>1.4000000000000037E-6</c:v>
                </c:pt>
              </c:numCache>
            </c:numRef>
          </c:val>
        </c:ser>
        <c:shape val="cone"/>
        <c:axId val="242691072"/>
        <c:axId val="242709248"/>
        <c:axId val="242382144"/>
      </c:bar3DChart>
      <c:catAx>
        <c:axId val="242691072"/>
        <c:scaling>
          <c:orientation val="minMax"/>
        </c:scaling>
        <c:axPos val="b"/>
        <c:numFmt formatCode="General" sourceLinked="1"/>
        <c:majorTickMark val="none"/>
        <c:tickLblPos val="nextTo"/>
        <c:txPr>
          <a:bodyPr/>
          <a:lstStyle/>
          <a:p>
            <a:pPr>
              <a:defRPr lang="en-US"/>
            </a:pPr>
            <a:endParaRPr lang="ro-RO"/>
          </a:p>
        </c:txPr>
        <c:crossAx val="242709248"/>
        <c:crossesAt val="0"/>
        <c:auto val="1"/>
        <c:lblAlgn val="ctr"/>
        <c:lblOffset val="100"/>
      </c:catAx>
      <c:valAx>
        <c:axId val="242709248"/>
        <c:scaling>
          <c:orientation val="minMax"/>
        </c:scaling>
        <c:axPos val="l"/>
        <c:majorGridlines/>
        <c:minorGridlines>
          <c:spPr>
            <a:ln>
              <a:solidFill>
                <a:sysClr val="window" lastClr="FFFFFF"/>
              </a:solidFill>
            </a:ln>
          </c:spPr>
        </c:minorGridlines>
        <c:title>
          <c:tx>
            <c:rich>
              <a:bodyPr rot="0" vert="horz"/>
              <a:lstStyle/>
              <a:p>
                <a:pPr>
                  <a:defRPr lang="en-US"/>
                </a:pPr>
                <a:r>
                  <a:rPr lang="ro-RO"/>
                  <a:t>kg</a:t>
                </a:r>
              </a:p>
            </c:rich>
          </c:tx>
          <c:layout>
            <c:manualLayout>
              <c:xMode val="edge"/>
              <c:yMode val="edge"/>
              <c:x val="0.12003787377045159"/>
              <c:y val="0.23594651776561171"/>
            </c:manualLayout>
          </c:layout>
        </c:title>
        <c:numFmt formatCode="General" sourceLinked="1"/>
        <c:majorTickMark val="none"/>
        <c:tickLblPos val="nextTo"/>
        <c:txPr>
          <a:bodyPr/>
          <a:lstStyle/>
          <a:p>
            <a:pPr>
              <a:defRPr lang="en-US"/>
            </a:pPr>
            <a:endParaRPr lang="ro-RO"/>
          </a:p>
        </c:txPr>
        <c:crossAx val="242691072"/>
        <c:crosses val="autoZero"/>
        <c:crossBetween val="between"/>
      </c:valAx>
      <c:serAx>
        <c:axId val="242382144"/>
        <c:scaling>
          <c:orientation val="minMax"/>
        </c:scaling>
        <c:delete val="1"/>
        <c:axPos val="b"/>
        <c:tickLblPos val="none"/>
        <c:crossAx val="242709248"/>
        <c:crossesAt val="0"/>
      </c:serAx>
    </c:plotArea>
    <c:legend>
      <c:legendPos val="r"/>
      <c:layout>
        <c:manualLayout>
          <c:xMode val="edge"/>
          <c:yMode val="edge"/>
          <c:x val="0.89361788656036589"/>
          <c:y val="0.35784626138443043"/>
          <c:w val="9.0490178596567064E-2"/>
          <c:h val="0.26218625337786206"/>
        </c:manualLayout>
      </c:layout>
      <c:txPr>
        <a:bodyPr/>
        <a:lstStyle/>
        <a:p>
          <a:pPr>
            <a:defRPr lang="en-US"/>
          </a:pPr>
          <a:endParaRPr lang="ro-RO"/>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spPr>
            <a:solidFill>
              <a:srgbClr val="002060"/>
            </a:solidFill>
            <a:ln w="25400">
              <a:noFill/>
            </a:ln>
          </c:spPr>
          <c:dLbls>
            <c:spPr>
              <a:noFill/>
              <a:ln w="25400">
                <a:noFill/>
              </a:ln>
            </c:spPr>
            <c:txPr>
              <a:bodyPr wrap="square" lIns="38100" tIns="19050" rIns="38100" bIns="19050" anchor="ctr">
                <a:spAutoFit/>
              </a:bodyPr>
              <a:lstStyle/>
              <a:p>
                <a:pPr>
                  <a:defRPr lang="en-US" sz="1000" b="1" i="0" u="none" strike="noStrike" baseline="0">
                    <a:solidFill>
                      <a:srgbClr val="000000"/>
                    </a:solidFill>
                    <a:latin typeface="Arial"/>
                    <a:ea typeface="Arial"/>
                    <a:cs typeface="Arial"/>
                  </a:defRPr>
                </a:pPr>
                <a:endParaRPr lang="ro-RO"/>
              </a:p>
            </c:txPr>
            <c:showVal val="1"/>
            <c:extLst xmlns:c16r2="http://schemas.microsoft.com/office/drawing/2015/06/chart">
              <c:ext xmlns:c15="http://schemas.microsoft.com/office/drawing/2012/chart" uri="{CE6537A1-D6FC-4f65-9D91-7224C49458BB}">
                <c15:showLeaderLines val="0"/>
              </c:ext>
            </c:extLst>
          </c:dLbls>
          <c:cat>
            <c:numRef>
              <c:f>Sheet10!$P$13:$P$18</c:f>
              <c:numCache>
                <c:formatCode>General</c:formatCode>
                <c:ptCount val="6"/>
                <c:pt idx="0">
                  <c:v>2012</c:v>
                </c:pt>
                <c:pt idx="1">
                  <c:v>2013</c:v>
                </c:pt>
                <c:pt idx="2">
                  <c:v>2014</c:v>
                </c:pt>
                <c:pt idx="3">
                  <c:v>2015</c:v>
                </c:pt>
                <c:pt idx="4">
                  <c:v>2016</c:v>
                </c:pt>
                <c:pt idx="5">
                  <c:v>2017</c:v>
                </c:pt>
              </c:numCache>
            </c:numRef>
          </c:cat>
          <c:val>
            <c:numRef>
              <c:f>Sheet10!$Q$13:$Q$18</c:f>
              <c:numCache>
                <c:formatCode>General</c:formatCode>
                <c:ptCount val="6"/>
                <c:pt idx="0">
                  <c:v>24612</c:v>
                </c:pt>
                <c:pt idx="1">
                  <c:v>35571</c:v>
                </c:pt>
                <c:pt idx="2">
                  <c:v>42084</c:v>
                </c:pt>
                <c:pt idx="3">
                  <c:v>35151</c:v>
                </c:pt>
                <c:pt idx="4">
                  <c:v>40268</c:v>
                </c:pt>
                <c:pt idx="5">
                  <c:v>29228</c:v>
                </c:pt>
              </c:numCache>
            </c:numRef>
          </c:val>
          <c:extLst xmlns:c16r2="http://schemas.microsoft.com/office/drawing/2015/06/chart">
            <c:ext xmlns:c16="http://schemas.microsoft.com/office/drawing/2014/chart" uri="{C3380CC4-5D6E-409C-BE32-E72D297353CC}">
              <c16:uniqueId val="{00000000-09C1-4C9F-83D3-F3F0F33FFDA1}"/>
            </c:ext>
          </c:extLst>
        </c:ser>
        <c:gapWidth val="219"/>
        <c:overlap val="-27"/>
        <c:axId val="242765184"/>
        <c:axId val="242766976"/>
      </c:barChart>
      <c:lineChart>
        <c:grouping val="standard"/>
        <c:ser>
          <c:idx val="1"/>
          <c:order val="1"/>
          <c:spPr>
            <a:ln w="25400">
              <a:solidFill>
                <a:srgbClr val="FF0000"/>
              </a:solidFill>
              <a:prstDash val="solid"/>
            </a:ln>
          </c:spPr>
          <c:marker>
            <c:symbol val="none"/>
          </c:marker>
          <c:val>
            <c:numRef>
              <c:f>Sheet10!$R$13:$R$18</c:f>
              <c:numCache>
                <c:formatCode>General</c:formatCode>
                <c:ptCount val="6"/>
                <c:pt idx="0">
                  <c:v>35745</c:v>
                </c:pt>
                <c:pt idx="1">
                  <c:v>35745</c:v>
                </c:pt>
                <c:pt idx="2">
                  <c:v>35745</c:v>
                </c:pt>
                <c:pt idx="3">
                  <c:v>35745</c:v>
                </c:pt>
                <c:pt idx="4">
                  <c:v>35745</c:v>
                </c:pt>
                <c:pt idx="5">
                  <c:v>35745</c:v>
                </c:pt>
              </c:numCache>
            </c:numRef>
          </c:val>
          <c:extLst xmlns:c16r2="http://schemas.microsoft.com/office/drawing/2015/06/chart">
            <c:ext xmlns:c16="http://schemas.microsoft.com/office/drawing/2014/chart" uri="{C3380CC4-5D6E-409C-BE32-E72D297353CC}">
              <c16:uniqueId val="{00000001-09C1-4C9F-83D3-F3F0F33FFDA1}"/>
            </c:ext>
          </c:extLst>
        </c:ser>
        <c:marker val="1"/>
        <c:axId val="242765184"/>
        <c:axId val="242766976"/>
      </c:lineChart>
      <c:catAx>
        <c:axId val="242765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lang="en-US" sz="1100" b="1" i="0" u="none" strike="noStrike" baseline="0">
                <a:solidFill>
                  <a:srgbClr val="000000"/>
                </a:solidFill>
                <a:latin typeface="Calibri"/>
                <a:ea typeface="Calibri"/>
                <a:cs typeface="Calibri"/>
              </a:defRPr>
            </a:pPr>
            <a:endParaRPr lang="ro-RO"/>
          </a:p>
        </c:txPr>
        <c:crossAx val="242766976"/>
        <c:crosses val="autoZero"/>
        <c:auto val="1"/>
        <c:lblAlgn val="ctr"/>
        <c:lblOffset val="100"/>
      </c:catAx>
      <c:valAx>
        <c:axId val="242766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solidFill>
            <a:sysClr val="window" lastClr="FFFFFF"/>
          </a:solidFill>
          <a:ln>
            <a:noFill/>
          </a:ln>
          <a:effectLst/>
        </c:spPr>
        <c:txPr>
          <a:bodyPr rot="0" vert="horz"/>
          <a:lstStyle/>
          <a:p>
            <a:pPr>
              <a:defRPr lang="en-US" sz="900" b="1" i="0" u="none" strike="noStrike" baseline="0">
                <a:solidFill>
                  <a:srgbClr val="000000"/>
                </a:solidFill>
                <a:latin typeface="Calibri"/>
                <a:ea typeface="Calibri"/>
                <a:cs typeface="Calibri"/>
              </a:defRPr>
            </a:pPr>
            <a:endParaRPr lang="ro-RO"/>
          </a:p>
        </c:txPr>
        <c:crossAx val="242765184"/>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en-US"/>
            </a:pPr>
            <a:r>
              <a:rPr lang="en-US" sz="1100">
                <a:latin typeface="Arial" panose="020B0604020202020204" pitchFamily="34" charset="0"/>
                <a:cs typeface="Arial" panose="020B0604020202020204" pitchFamily="34" charset="0"/>
              </a:rPr>
              <a:t>Figura</a:t>
            </a:r>
            <a:r>
              <a:rPr lang="ro-RO" sz="1100">
                <a:latin typeface="Arial" panose="020B0604020202020204" pitchFamily="34" charset="0"/>
                <a:cs typeface="Arial" panose="020B0604020202020204" pitchFamily="34" charset="0"/>
              </a:rPr>
              <a:t>II.1.1.1.- 4 </a:t>
            </a:r>
            <a:r>
              <a:rPr lang="en-US" sz="1100">
                <a:latin typeface="Arial" panose="020B0604020202020204" pitchFamily="34" charset="0"/>
                <a:cs typeface="Arial" panose="020B0604020202020204" pitchFamily="34" charset="0"/>
              </a:rPr>
              <a:t>/Tabel II.1.1.1</a:t>
            </a:r>
            <a:r>
              <a:rPr lang="ro-RO" sz="1100">
                <a:latin typeface="Arial" panose="020B0604020202020204" pitchFamily="34" charset="0"/>
                <a:cs typeface="Arial" panose="020B0604020202020204" pitchFamily="34" charset="0"/>
              </a:rPr>
              <a:t>- 4</a:t>
            </a:r>
            <a:endParaRPr lang="en-US" sz="1100">
              <a:latin typeface="Arial" panose="020B0604020202020204" pitchFamily="34" charset="0"/>
              <a:cs typeface="Arial" panose="020B0604020202020204" pitchFamily="34" charset="0"/>
            </a:endParaRPr>
          </a:p>
          <a:p>
            <a:pPr>
              <a:defRPr lang="en-US"/>
            </a:pPr>
            <a:r>
              <a:rPr lang="en-US" sz="1100" b="0">
                <a:latin typeface="Arial" panose="020B0604020202020204" pitchFamily="34" charset="0"/>
                <a:cs typeface="Arial" panose="020B0604020202020204" pitchFamily="34" charset="0"/>
              </a:rPr>
              <a:t>Evolutia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apa (teoretica si utilizabila) in mii m</a:t>
            </a:r>
            <a:r>
              <a:rPr lang="en-US" sz="1100" b="0" baseline="30000">
                <a:latin typeface="Arial" panose="020B0604020202020204" pitchFamily="34" charset="0"/>
                <a:cs typeface="Arial" panose="020B0604020202020204" pitchFamily="34" charset="0"/>
              </a:rPr>
              <a:t>3</a:t>
            </a:r>
          </a:p>
        </c:rich>
      </c:tx>
    </c:title>
    <c:view3D>
      <c:rAngAx val="1"/>
    </c:view3D>
    <c:plotArea>
      <c:layout/>
      <c:bar3DChart>
        <c:barDir val="col"/>
        <c:grouping val="clustered"/>
        <c:ser>
          <c:idx val="0"/>
          <c:order val="0"/>
          <c:tx>
            <c:strRef>
              <c:f>'Tabel 1_Resursa teoretica'!$B$6</c:f>
              <c:strCache>
                <c:ptCount val="1"/>
                <c:pt idx="0">
                  <c:v>Anii</c:v>
                </c:pt>
              </c:strCache>
            </c:strRef>
          </c:tx>
          <c:val>
            <c:numRef>
              <c:f>'Tabel 1_Resursa teoretica'!$B$7:$B$12</c:f>
              <c:numCache>
                <c:formatCode>General</c:formatCode>
                <c:ptCount val="6"/>
                <c:pt idx="0">
                  <c:v>2012</c:v>
                </c:pt>
                <c:pt idx="1">
                  <c:v>2013</c:v>
                </c:pt>
                <c:pt idx="2">
                  <c:v>2014</c:v>
                </c:pt>
                <c:pt idx="3">
                  <c:v>2015</c:v>
                </c:pt>
                <c:pt idx="4">
                  <c:v>2016</c:v>
                </c:pt>
                <c:pt idx="5">
                  <c:v>2017</c:v>
                </c:pt>
              </c:numCache>
            </c:numRef>
          </c:val>
        </c:ser>
        <c:ser>
          <c:idx val="1"/>
          <c:order val="1"/>
          <c:tx>
            <c:strRef>
              <c:f>'Tabel 1_Resursa teoretica'!$C$6</c:f>
              <c:strCache>
                <c:ptCount val="1"/>
                <c:pt idx="0">
                  <c:v>Resursa teoretica</c:v>
                </c:pt>
              </c:strCache>
            </c:strRef>
          </c:tx>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ser>
        <c:ser>
          <c:idx val="2"/>
          <c:order val="2"/>
          <c:tx>
            <c:strRef>
              <c:f>'Tabel 1_Resursa teoretica'!$D$6</c:f>
              <c:strCache>
                <c:ptCount val="1"/>
                <c:pt idx="0">
                  <c:v>Resursa utilizabila</c:v>
                </c:pt>
              </c:strCache>
            </c:strRef>
          </c:tx>
          <c:val>
            <c:numRef>
              <c:f>'Tabel 1_Resursa teoretica'!$D$7:$D$12</c:f>
              <c:numCache>
                <c:formatCode>General</c:formatCode>
                <c:ptCount val="6"/>
                <c:pt idx="0">
                  <c:v>39270803</c:v>
                </c:pt>
                <c:pt idx="1">
                  <c:v>38346760</c:v>
                </c:pt>
                <c:pt idx="2">
                  <c:v>38346760</c:v>
                </c:pt>
                <c:pt idx="3">
                  <c:v>38346760</c:v>
                </c:pt>
                <c:pt idx="4">
                  <c:v>38346760</c:v>
                </c:pt>
                <c:pt idx="5">
                  <c:v>38346760</c:v>
                </c:pt>
              </c:numCache>
            </c:numRef>
          </c:val>
        </c:ser>
        <c:shape val="box"/>
        <c:axId val="242538368"/>
        <c:axId val="242539904"/>
        <c:axId val="0"/>
      </c:bar3DChart>
      <c:catAx>
        <c:axId val="242538368"/>
        <c:scaling>
          <c:orientation val="minMax"/>
        </c:scaling>
        <c:axPos val="b"/>
        <c:numFmt formatCode="0.0" sourceLinked="1"/>
        <c:majorTickMark val="none"/>
        <c:tickLblPos val="nextTo"/>
        <c:txPr>
          <a:bodyPr/>
          <a:lstStyle/>
          <a:p>
            <a:pPr>
              <a:defRPr lang="en-US"/>
            </a:pPr>
            <a:endParaRPr lang="ro-RO"/>
          </a:p>
        </c:txPr>
        <c:crossAx val="242539904"/>
        <c:crosses val="autoZero"/>
        <c:auto val="1"/>
        <c:lblAlgn val="ctr"/>
        <c:lblOffset val="100"/>
      </c:catAx>
      <c:valAx>
        <c:axId val="242539904"/>
        <c:scaling>
          <c:orientation val="minMax"/>
        </c:scaling>
        <c:axPos val="l"/>
        <c:majorGridlines/>
        <c:title>
          <c:tx>
            <c:rich>
              <a:bodyPr/>
              <a:lstStyle/>
              <a:p>
                <a:pPr>
                  <a:defRPr lang="en-US" b="0" i="1"/>
                </a:pPr>
                <a:r>
                  <a:rPr lang="en-US" b="0" i="1"/>
                  <a:t>Volum</a:t>
                </a:r>
                <a:r>
                  <a:rPr lang="en-US" b="0" i="1" baseline="0"/>
                  <a:t> mii m</a:t>
                </a:r>
                <a:r>
                  <a:rPr lang="en-US" b="0" i="1" baseline="30000"/>
                  <a:t>3</a:t>
                </a:r>
              </a:p>
            </c:rich>
          </c:tx>
          <c:layout>
            <c:manualLayout>
              <c:xMode val="edge"/>
              <c:yMode val="edge"/>
              <c:x val="7.4818341868091609E-2"/>
              <c:y val="0.36308532289078838"/>
            </c:manualLayout>
          </c:layout>
        </c:title>
        <c:numFmt formatCode="General" sourceLinked="1"/>
        <c:majorTickMark val="none"/>
        <c:tickLblPos val="nextTo"/>
        <c:txPr>
          <a:bodyPr/>
          <a:lstStyle/>
          <a:p>
            <a:pPr>
              <a:defRPr lang="en-US"/>
            </a:pPr>
            <a:endParaRPr lang="ro-RO"/>
          </a:p>
        </c:txPr>
        <c:crossAx val="242538368"/>
        <c:crosses val="autoZero"/>
        <c:crossBetween val="between"/>
      </c:valAx>
      <c:dTable>
        <c:showHorzBorder val="1"/>
        <c:showVertBorder val="1"/>
        <c:showOutline val="1"/>
        <c:showKeys val="1"/>
        <c:txPr>
          <a:bodyPr/>
          <a:lstStyle/>
          <a:p>
            <a:pPr rtl="0">
              <a:defRPr lang="en-US"/>
            </a:pPr>
            <a:endParaRPr lang="ro-RO"/>
          </a:p>
        </c:txPr>
      </c:dTable>
    </c:plotArea>
    <c:plotVisOnly val="1"/>
    <c:dispBlanksAs val="gap"/>
  </c:chart>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style val="47"/>
  <c:chart>
    <c:autoTitleDeleted val="1"/>
    <c:plotArea>
      <c:layout>
        <c:manualLayout>
          <c:layoutTarget val="inner"/>
          <c:xMode val="edge"/>
          <c:yMode val="edge"/>
          <c:x val="0.21926244556214314"/>
          <c:y val="5.0519044134685172E-2"/>
          <c:w val="0.74596204565623458"/>
          <c:h val="0.79673682281057556"/>
        </c:manualLayout>
      </c:layout>
      <c:lineChart>
        <c:grouping val="standard"/>
        <c:ser>
          <c:idx val="1"/>
          <c:order val="0"/>
          <c:cat>
            <c:numRef>
              <c:f>total!$K$59:$M$59</c:f>
              <c:numCache>
                <c:formatCode>0</c:formatCode>
                <c:ptCount val="3"/>
                <c:pt idx="0" formatCode="General">
                  <c:v>2015</c:v>
                </c:pt>
                <c:pt idx="1">
                  <c:v>2020</c:v>
                </c:pt>
                <c:pt idx="2" formatCode="General">
                  <c:v>2030</c:v>
                </c:pt>
              </c:numCache>
            </c:numRef>
          </c:cat>
          <c:val>
            <c:numRef>
              <c:f>total!$K$60:$M$60</c:f>
              <c:numCache>
                <c:formatCode>#,##0</c:formatCode>
                <c:ptCount val="3"/>
                <c:pt idx="0">
                  <c:v>10053</c:v>
                </c:pt>
                <c:pt idx="1">
                  <c:v>10304</c:v>
                </c:pt>
                <c:pt idx="2">
                  <c:v>12282</c:v>
                </c:pt>
              </c:numCache>
            </c:numRef>
          </c:val>
        </c:ser>
        <c:marker val="1"/>
        <c:axId val="242557696"/>
        <c:axId val="242559616"/>
      </c:lineChart>
      <c:catAx>
        <c:axId val="242557696"/>
        <c:scaling>
          <c:orientation val="minMax"/>
        </c:scaling>
        <c:axPos val="b"/>
        <c:title>
          <c:tx>
            <c:rich>
              <a:bodyPr/>
              <a:lstStyle/>
              <a:p>
                <a:pPr>
                  <a:defRPr lang="en-US"/>
                </a:pPr>
                <a:r>
                  <a:rPr lang="en-US"/>
                  <a:t>Orizontul de prognoza</a:t>
                </a:r>
                <a:endParaRPr lang="ro-RO"/>
              </a:p>
            </c:rich>
          </c:tx>
        </c:title>
        <c:numFmt formatCode="General" sourceLinked="1"/>
        <c:majorTickMark val="none"/>
        <c:tickLblPos val="nextTo"/>
        <c:txPr>
          <a:bodyPr/>
          <a:lstStyle/>
          <a:p>
            <a:pPr>
              <a:defRPr lang="en-US"/>
            </a:pPr>
            <a:endParaRPr lang="ro-RO"/>
          </a:p>
        </c:txPr>
        <c:crossAx val="242559616"/>
        <c:crosses val="autoZero"/>
        <c:auto val="1"/>
        <c:lblAlgn val="ctr"/>
        <c:lblOffset val="100"/>
      </c:catAx>
      <c:valAx>
        <c:axId val="242559616"/>
        <c:scaling>
          <c:orientation val="minMax"/>
          <c:min val="6000"/>
        </c:scaling>
        <c:axPos val="l"/>
        <c:majorGridlines/>
        <c:title>
          <c:tx>
            <c:rich>
              <a:bodyPr/>
              <a:lstStyle/>
              <a:p>
                <a:pPr>
                  <a:defRPr lang="en-US"/>
                </a:pPr>
                <a:r>
                  <a:rPr lang="en-US"/>
                  <a:t>Cerinta de apa totala (mil.mc)</a:t>
                </a:r>
                <a:endParaRPr lang="ro-RO"/>
              </a:p>
            </c:rich>
          </c:tx>
          <c:layout>
            <c:manualLayout>
              <c:xMode val="edge"/>
              <c:yMode val="edge"/>
              <c:x val="2.2222222222222292E-2"/>
              <c:y val="0.30882370273665127"/>
            </c:manualLayout>
          </c:layout>
        </c:title>
        <c:numFmt formatCode="#,##0" sourceLinked="1"/>
        <c:tickLblPos val="nextTo"/>
        <c:txPr>
          <a:bodyPr/>
          <a:lstStyle/>
          <a:p>
            <a:pPr>
              <a:defRPr lang="en-US"/>
            </a:pPr>
            <a:endParaRPr lang="ro-RO"/>
          </a:p>
        </c:txPr>
        <c:crossAx val="242557696"/>
        <c:crosses val="autoZero"/>
        <c:crossBetween val="between"/>
        <c:minorUnit val="2000"/>
      </c:valAx>
      <c:spPr>
        <a:solidFill>
          <a:srgbClr val="FFFFCC"/>
        </a:solidFill>
      </c:spPr>
    </c:plotArea>
    <c:plotVisOnly val="1"/>
    <c:dispBlanksAs val="gap"/>
  </c:chart>
  <c:spPr>
    <a:solidFill>
      <a:schemeClr val="accent1">
        <a:lumMod val="50000"/>
      </a:schemeClr>
    </a:solidFill>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26039733596074682"/>
          <c:y val="2.9771008596922825E-2"/>
          <c:w val="0.69916177179335759"/>
          <c:h val="0.73306080542960061"/>
        </c:manualLayout>
      </c:layout>
      <c:barChart>
        <c:barDir val="bar"/>
        <c:grouping val="stacked"/>
        <c:ser>
          <c:idx val="0"/>
          <c:order val="0"/>
          <c:tx>
            <c:strRef>
              <c:f>'Km monit.'!$A$4</c:f>
              <c:strCache>
                <c:ptCount val="1"/>
                <c:pt idx="0">
                  <c:v>SE bună / bun (km)</c:v>
                </c:pt>
              </c:strCache>
            </c:strRef>
          </c:tx>
          <c:spPr>
            <a:solidFill>
              <a:srgbClr val="92D050"/>
            </a:solidFill>
            <a:ln>
              <a:noFill/>
            </a:ln>
            <a:effectLst/>
          </c:spPr>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monit.'!$B$4:$L$4</c:f>
              <c:numCache>
                <c:formatCode>0.0</c:formatCode>
                <c:ptCount val="11"/>
                <c:pt idx="0">
                  <c:v>2724.8020000000001</c:v>
                </c:pt>
                <c:pt idx="1">
                  <c:v>1184.0700000000002</c:v>
                </c:pt>
                <c:pt idx="2">
                  <c:v>2714.7599999999998</c:v>
                </c:pt>
                <c:pt idx="3">
                  <c:v>2271.67</c:v>
                </c:pt>
                <c:pt idx="4">
                  <c:v>1687.3300000000002</c:v>
                </c:pt>
                <c:pt idx="5">
                  <c:v>2109.5</c:v>
                </c:pt>
                <c:pt idx="6">
                  <c:v>1168.7600000000002</c:v>
                </c:pt>
                <c:pt idx="7">
                  <c:v>682.8</c:v>
                </c:pt>
                <c:pt idx="8">
                  <c:v>208.26000000000002</c:v>
                </c:pt>
                <c:pt idx="9">
                  <c:v>4026.8470000000002</c:v>
                </c:pt>
                <c:pt idx="10">
                  <c:v>505.01</c:v>
                </c:pt>
              </c:numCache>
            </c:numRef>
          </c:val>
        </c:ser>
        <c:ser>
          <c:idx val="1"/>
          <c:order val="1"/>
          <c:tx>
            <c:strRef>
              <c:f>'Km monit.'!$A$5</c:f>
              <c:strCache>
                <c:ptCount val="1"/>
                <c:pt idx="0">
                  <c:v>SE inferioară stării bune (km)</c:v>
                </c:pt>
              </c:strCache>
            </c:strRef>
          </c:tx>
          <c:spPr>
            <a:solidFill>
              <a:schemeClr val="bg1">
                <a:lumMod val="75000"/>
              </a:schemeClr>
            </a:solidFill>
            <a:ln>
              <a:noFill/>
            </a:ln>
            <a:effectLst/>
          </c:spPr>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monit.'!$B$5:$L$5</c:f>
              <c:numCache>
                <c:formatCode>0.0</c:formatCode>
                <c:ptCount val="11"/>
                <c:pt idx="0">
                  <c:v>2290.6569999999997</c:v>
                </c:pt>
                <c:pt idx="1">
                  <c:v>497.75</c:v>
                </c:pt>
                <c:pt idx="2">
                  <c:v>1634.06</c:v>
                </c:pt>
                <c:pt idx="3">
                  <c:v>1109.3799999999999</c:v>
                </c:pt>
                <c:pt idx="4">
                  <c:v>1719.3</c:v>
                </c:pt>
                <c:pt idx="5">
                  <c:v>1506</c:v>
                </c:pt>
                <c:pt idx="6">
                  <c:v>2529.16</c:v>
                </c:pt>
                <c:pt idx="7">
                  <c:v>1654.6</c:v>
                </c:pt>
                <c:pt idx="8">
                  <c:v>3283.1100000000006</c:v>
                </c:pt>
                <c:pt idx="9">
                  <c:v>1603.0539999999999</c:v>
                </c:pt>
                <c:pt idx="10">
                  <c:v>494.5</c:v>
                </c:pt>
              </c:numCache>
            </c:numRef>
          </c:val>
        </c:ser>
        <c:overlap val="100"/>
        <c:axId val="242817664"/>
        <c:axId val="242971392"/>
      </c:barChart>
      <c:catAx>
        <c:axId val="242817664"/>
        <c:scaling>
          <c:orientation val="minMax"/>
        </c:scaling>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4.7730513442405934E-2"/>
              <c:y val="0.23836736429548491"/>
            </c:manualLayout>
          </c:layout>
          <c:spPr>
            <a:noFill/>
            <a:ln>
              <a:solidFill>
                <a:schemeClr val="tx1"/>
              </a:solid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971392"/>
        <c:crosses val="autoZero"/>
        <c:auto val="1"/>
        <c:lblAlgn val="ctr"/>
        <c:lblOffset val="100"/>
      </c:catAx>
      <c:valAx>
        <c:axId val="24297139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817664"/>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o-RO"/>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25105830106797605"/>
          <c:y val="3.6850921273031828E-2"/>
          <c:w val="0.70208146979468622"/>
          <c:h val="0.705226658225514"/>
        </c:manualLayout>
      </c:layout>
      <c:barChart>
        <c:barDir val="bar"/>
        <c:grouping val="percentStacked"/>
        <c:ser>
          <c:idx val="0"/>
          <c:order val="0"/>
          <c:tx>
            <c:strRef>
              <c:f>'Km monit.'!$A$8</c:f>
              <c:strCache>
                <c:ptCount val="1"/>
                <c:pt idx="0">
                  <c:v>SE bună / bun (%)</c:v>
                </c:pt>
              </c:strCache>
            </c:strRef>
          </c:tx>
          <c:spPr>
            <a:solidFill>
              <a:srgbClr val="92D050"/>
            </a:solidFill>
            <a:ln>
              <a:noFill/>
            </a:ln>
            <a:effectLst/>
          </c:spPr>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monit.'!$B$8:$L$8</c:f>
              <c:numCache>
                <c:formatCode>0.00</c:formatCode>
                <c:ptCount val="11"/>
                <c:pt idx="0">
                  <c:v>54.328068477880095</c:v>
                </c:pt>
                <c:pt idx="1">
                  <c:v>70.404086049636703</c:v>
                </c:pt>
                <c:pt idx="2">
                  <c:v>62.425209597086095</c:v>
                </c:pt>
                <c:pt idx="3">
                  <c:v>67.188299492761118</c:v>
                </c:pt>
                <c:pt idx="4">
                  <c:v>49.530767943686101</c:v>
                </c:pt>
                <c:pt idx="5">
                  <c:v>58.346010233715951</c:v>
                </c:pt>
                <c:pt idx="6">
                  <c:v>31.60587573554875</c:v>
                </c:pt>
                <c:pt idx="7">
                  <c:v>29.211944896038332</c:v>
                </c:pt>
                <c:pt idx="8">
                  <c:v>5.9649936844276024</c:v>
                </c:pt>
                <c:pt idx="9">
                  <c:v>71.526071239973859</c:v>
                </c:pt>
                <c:pt idx="10">
                  <c:v>50.525757621234405</c:v>
                </c:pt>
              </c:numCache>
            </c:numRef>
          </c:val>
        </c:ser>
        <c:ser>
          <c:idx val="1"/>
          <c:order val="1"/>
          <c:tx>
            <c:strRef>
              <c:f>'Km monit.'!$A$9</c:f>
              <c:strCache>
                <c:ptCount val="1"/>
                <c:pt idx="0">
                  <c:v>SE inferioară stării bune (%)</c:v>
                </c:pt>
              </c:strCache>
            </c:strRef>
          </c:tx>
          <c:spPr>
            <a:solidFill>
              <a:schemeClr val="bg1">
                <a:lumMod val="75000"/>
              </a:schemeClr>
            </a:solidFill>
            <a:ln>
              <a:noFill/>
            </a:ln>
            <a:effectLst/>
          </c:spPr>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monit.'!$B$9:$L$9</c:f>
              <c:numCache>
                <c:formatCode>0.00</c:formatCode>
                <c:ptCount val="11"/>
                <c:pt idx="0">
                  <c:v>45.671931522119912</c:v>
                </c:pt>
                <c:pt idx="1">
                  <c:v>29.595913950363158</c:v>
                </c:pt>
                <c:pt idx="2">
                  <c:v>37.574790402913891</c:v>
                </c:pt>
                <c:pt idx="3">
                  <c:v>32.811700507238562</c:v>
                </c:pt>
                <c:pt idx="4">
                  <c:v>50.469232056313714</c:v>
                </c:pt>
                <c:pt idx="5">
                  <c:v>41.653989766283864</c:v>
                </c:pt>
                <c:pt idx="6">
                  <c:v>68.394124264451364</c:v>
                </c:pt>
                <c:pt idx="7">
                  <c:v>70.788055103961227</c:v>
                </c:pt>
                <c:pt idx="8">
                  <c:v>94.035006315572389</c:v>
                </c:pt>
                <c:pt idx="9">
                  <c:v>28.473928760026158</c:v>
                </c:pt>
                <c:pt idx="10">
                  <c:v>49.474242378765595</c:v>
                </c:pt>
              </c:numCache>
            </c:numRef>
          </c:val>
        </c:ser>
        <c:overlap val="100"/>
        <c:axId val="242997120"/>
        <c:axId val="243007488"/>
      </c:barChart>
      <c:catAx>
        <c:axId val="242997120"/>
        <c:scaling>
          <c:orientation val="minMax"/>
        </c:scaling>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7.5299297265261231E-2"/>
              <c:y val="0.24474970421443537"/>
            </c:manualLayout>
          </c:layout>
          <c:spPr>
            <a:noFill/>
            <a:ln>
              <a:solidFill>
                <a:schemeClr val="tx1"/>
              </a:solid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07488"/>
        <c:crosses val="autoZero"/>
        <c:auto val="1"/>
        <c:lblAlgn val="ctr"/>
        <c:lblOffset val="100"/>
      </c:catAx>
      <c:valAx>
        <c:axId val="24300748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99712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o-RO"/>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22378271248332646"/>
          <c:y val="4.2438271604938647E-2"/>
          <c:w val="0.7552921773845187"/>
          <c:h val="0.64172468892777612"/>
        </c:manualLayout>
      </c:layout>
      <c:barChart>
        <c:barDir val="bar"/>
        <c:grouping val="stacked"/>
        <c:ser>
          <c:idx val="0"/>
          <c:order val="0"/>
          <c:tx>
            <c:strRef>
              <c:f>'Subst. priorit. rauri'!$D$55</c:f>
              <c:strCache>
                <c:ptCount val="1"/>
                <c:pt idx="0">
                  <c:v>Metale prioritare (nr.)</c:v>
                </c:pt>
              </c:strCache>
            </c:strRef>
          </c:tx>
          <c:spPr>
            <a:solidFill>
              <a:schemeClr val="accent1"/>
            </a:solidFill>
            <a:ln>
              <a:noFill/>
            </a:ln>
            <a:effectLst/>
          </c:spPr>
          <c:cat>
            <c:strRef>
              <c:f>'Subst. priorit. rauri'!$A$56:$A$66</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rauri'!$D$56:$D$66</c:f>
              <c:numCache>
                <c:formatCode>General</c:formatCode>
                <c:ptCount val="11"/>
                <c:pt idx="0">
                  <c:v>4</c:v>
                </c:pt>
                <c:pt idx="1">
                  <c:v>4</c:v>
                </c:pt>
                <c:pt idx="2">
                  <c:v>4</c:v>
                </c:pt>
                <c:pt idx="3">
                  <c:v>4</c:v>
                </c:pt>
                <c:pt idx="4">
                  <c:v>4</c:v>
                </c:pt>
                <c:pt idx="5">
                  <c:v>4</c:v>
                </c:pt>
                <c:pt idx="6">
                  <c:v>4</c:v>
                </c:pt>
                <c:pt idx="7">
                  <c:v>4</c:v>
                </c:pt>
                <c:pt idx="8">
                  <c:v>4</c:v>
                </c:pt>
                <c:pt idx="9">
                  <c:v>4</c:v>
                </c:pt>
                <c:pt idx="10">
                  <c:v>4</c:v>
                </c:pt>
              </c:numCache>
            </c:numRef>
          </c:val>
        </c:ser>
        <c:ser>
          <c:idx val="1"/>
          <c:order val="1"/>
          <c:tx>
            <c:strRef>
              <c:f>'Subst. priorit. rauri'!$E$55</c:f>
              <c:strCache>
                <c:ptCount val="1"/>
                <c:pt idx="0">
                  <c:v>Micropoluanţi organici (nr.)</c:v>
                </c:pt>
              </c:strCache>
            </c:strRef>
          </c:tx>
          <c:spPr>
            <a:solidFill>
              <a:schemeClr val="accent2"/>
            </a:solidFill>
            <a:ln>
              <a:noFill/>
            </a:ln>
            <a:effectLst/>
          </c:spPr>
          <c:cat>
            <c:strRef>
              <c:f>'Subst. priorit. rauri'!$A$56:$A$66</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rauri'!$E$56:$E$66</c:f>
              <c:numCache>
                <c:formatCode>General</c:formatCode>
                <c:ptCount val="11"/>
                <c:pt idx="0">
                  <c:v>21</c:v>
                </c:pt>
                <c:pt idx="1">
                  <c:v>28</c:v>
                </c:pt>
                <c:pt idx="2">
                  <c:v>17</c:v>
                </c:pt>
                <c:pt idx="3">
                  <c:v>10</c:v>
                </c:pt>
                <c:pt idx="4">
                  <c:v>17</c:v>
                </c:pt>
                <c:pt idx="5">
                  <c:v>25</c:v>
                </c:pt>
                <c:pt idx="6">
                  <c:v>29</c:v>
                </c:pt>
                <c:pt idx="7">
                  <c:v>21</c:v>
                </c:pt>
                <c:pt idx="8">
                  <c:v>23</c:v>
                </c:pt>
                <c:pt idx="9">
                  <c:v>25</c:v>
                </c:pt>
                <c:pt idx="10">
                  <c:v>23</c:v>
                </c:pt>
              </c:numCache>
            </c:numRef>
          </c:val>
        </c:ser>
        <c:overlap val="100"/>
        <c:axId val="243037312"/>
        <c:axId val="243039232"/>
      </c:barChart>
      <c:catAx>
        <c:axId val="243037312"/>
        <c:scaling>
          <c:orientation val="minMax"/>
        </c:scaling>
        <c:axPos val="l"/>
        <c:title>
          <c:tx>
            <c:rich>
              <a:bodyPr rot="-54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Bazine</a:t>
                </a:r>
                <a:r>
                  <a:rPr lang="ro-RO" sz="800"/>
                  <a:t>/spatii hidrografice</a:t>
                </a:r>
              </a:p>
            </c:rich>
          </c:tx>
          <c:layout>
            <c:manualLayout>
              <c:xMode val="edge"/>
              <c:yMode val="edge"/>
              <c:x val="5.2261611571681334E-2"/>
              <c:y val="0.20086486585010221"/>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39232"/>
        <c:crosses val="autoZero"/>
        <c:auto val="1"/>
        <c:lblAlgn val="ctr"/>
        <c:lblOffset val="100"/>
      </c:catAx>
      <c:valAx>
        <c:axId val="24303923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37312"/>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chart>
  <c:spPr>
    <a:solidFill>
      <a:schemeClr val="accent1">
        <a:lumMod val="20000"/>
        <a:lumOff val="80000"/>
      </a:schemeClr>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tx>
            <c:strRef>
              <c:f>Sheet1!$B$3</c:f>
              <c:strCache>
                <c:ptCount val="1"/>
                <c:pt idx="0">
                  <c:v>2017 Maxima zilnica a mediilor pe 8 ore</c:v>
                </c:pt>
              </c:strCache>
            </c:strRef>
          </c:tx>
          <c:cat>
            <c:strRef>
              <c:f>Sheet1!$C$2:$G$2</c:f>
              <c:strCache>
                <c:ptCount val="5"/>
                <c:pt idx="0">
                  <c:v>BR1</c:v>
                </c:pt>
                <c:pt idx="1">
                  <c:v>BR2</c:v>
                </c:pt>
                <c:pt idx="2">
                  <c:v>BR3</c:v>
                </c:pt>
                <c:pt idx="3">
                  <c:v>BR4</c:v>
                </c:pt>
                <c:pt idx="4">
                  <c:v>BR5</c:v>
                </c:pt>
              </c:strCache>
            </c:strRef>
          </c:cat>
          <c:val>
            <c:numRef>
              <c:f>Sheet1!$C$3:$G$3</c:f>
              <c:numCache>
                <c:formatCode>General</c:formatCode>
                <c:ptCount val="5"/>
                <c:pt idx="0">
                  <c:v>1.78</c:v>
                </c:pt>
                <c:pt idx="1">
                  <c:v>1.23</c:v>
                </c:pt>
                <c:pt idx="2">
                  <c:v>1.6800000000000033</c:v>
                </c:pt>
                <c:pt idx="3">
                  <c:v>1.9700000000000033</c:v>
                </c:pt>
                <c:pt idx="4">
                  <c:v>0.79</c:v>
                </c:pt>
              </c:numCache>
            </c:numRef>
          </c:val>
        </c:ser>
        <c:axId val="233961728"/>
        <c:axId val="234180992"/>
      </c:barChart>
      <c:catAx>
        <c:axId val="233961728"/>
        <c:scaling>
          <c:orientation val="minMax"/>
        </c:scaling>
        <c:axPos val="b"/>
        <c:numFmt formatCode="General" sourceLinked="1"/>
        <c:tickLblPos val="nextTo"/>
        <c:crossAx val="234180992"/>
        <c:crosses val="autoZero"/>
        <c:auto val="1"/>
        <c:lblAlgn val="ctr"/>
        <c:lblOffset val="100"/>
      </c:catAx>
      <c:valAx>
        <c:axId val="234180992"/>
        <c:scaling>
          <c:orientation val="minMax"/>
        </c:scaling>
        <c:axPos val="l"/>
        <c:majorGridlines/>
        <c:numFmt formatCode="General" sourceLinked="1"/>
        <c:tickLblPos val="nextTo"/>
        <c:crossAx val="233961728"/>
        <c:crosses val="autoZero"/>
        <c:crossBetween val="between"/>
      </c:valAx>
    </c:plotArea>
    <c:legend>
      <c:legendPos val="r"/>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a:scene3d>
      <a:camera prst="orthographicFront"/>
      <a:lightRig rig="threePt" dir="t"/>
    </a:scene3d>
    <a:sp3d>
      <a:bevelT w="12700"/>
    </a:sp3d>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23488116160763636"/>
          <c:y val="4.3521279631542682E-2"/>
          <c:w val="0.74315566323440774"/>
          <c:h val="0.55347914779290408"/>
        </c:manualLayout>
      </c:layout>
      <c:barChart>
        <c:barDir val="bar"/>
        <c:grouping val="stacked"/>
        <c:ser>
          <c:idx val="0"/>
          <c:order val="0"/>
          <c:tx>
            <c:strRef>
              <c:f>'Subst. priorit. lacuri'!$C$38</c:f>
              <c:strCache>
                <c:ptCount val="1"/>
                <c:pt idx="0">
                  <c:v>Metale prioritare (nr.)</c:v>
                </c:pt>
              </c:strCache>
            </c:strRef>
          </c:tx>
          <c:spPr>
            <a:solidFill>
              <a:schemeClr val="accent1"/>
            </a:solidFill>
            <a:ln>
              <a:noFill/>
            </a:ln>
            <a:effectLst/>
          </c:spPr>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lacuri'!$C$39:$C$49</c:f>
              <c:numCache>
                <c:formatCode>General</c:formatCode>
                <c:ptCount val="11"/>
                <c:pt idx="0">
                  <c:v>4</c:v>
                </c:pt>
                <c:pt idx="1">
                  <c:v>0</c:v>
                </c:pt>
                <c:pt idx="2">
                  <c:v>0</c:v>
                </c:pt>
                <c:pt idx="3">
                  <c:v>4</c:v>
                </c:pt>
                <c:pt idx="4">
                  <c:v>4</c:v>
                </c:pt>
                <c:pt idx="5">
                  <c:v>4</c:v>
                </c:pt>
                <c:pt idx="6">
                  <c:v>0</c:v>
                </c:pt>
                <c:pt idx="7">
                  <c:v>1</c:v>
                </c:pt>
                <c:pt idx="8">
                  <c:v>4</c:v>
                </c:pt>
                <c:pt idx="9">
                  <c:v>4</c:v>
                </c:pt>
                <c:pt idx="10">
                  <c:v>3</c:v>
                </c:pt>
              </c:numCache>
            </c:numRef>
          </c:val>
        </c:ser>
        <c:ser>
          <c:idx val="1"/>
          <c:order val="1"/>
          <c:tx>
            <c:strRef>
              <c:f>'Subst. priorit. lacuri'!$D$38</c:f>
              <c:strCache>
                <c:ptCount val="1"/>
                <c:pt idx="0">
                  <c:v>Micropoluanți organici (nr.)</c:v>
                </c:pt>
              </c:strCache>
            </c:strRef>
          </c:tx>
          <c:spPr>
            <a:solidFill>
              <a:schemeClr val="accent2"/>
            </a:solidFill>
            <a:ln>
              <a:noFill/>
            </a:ln>
            <a:effectLst/>
          </c:spPr>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lacuri'!$D$39:$D$49</c:f>
              <c:numCache>
                <c:formatCode>General</c:formatCode>
                <c:ptCount val="11"/>
                <c:pt idx="0">
                  <c:v>9</c:v>
                </c:pt>
                <c:pt idx="1">
                  <c:v>0</c:v>
                </c:pt>
                <c:pt idx="2">
                  <c:v>2</c:v>
                </c:pt>
                <c:pt idx="3">
                  <c:v>9</c:v>
                </c:pt>
                <c:pt idx="4">
                  <c:v>9</c:v>
                </c:pt>
                <c:pt idx="5">
                  <c:v>9</c:v>
                </c:pt>
                <c:pt idx="6">
                  <c:v>9</c:v>
                </c:pt>
                <c:pt idx="7">
                  <c:v>9</c:v>
                </c:pt>
                <c:pt idx="8">
                  <c:v>8</c:v>
                </c:pt>
                <c:pt idx="9">
                  <c:v>22</c:v>
                </c:pt>
                <c:pt idx="10">
                  <c:v>3</c:v>
                </c:pt>
              </c:numCache>
            </c:numRef>
          </c:val>
        </c:ser>
        <c:overlap val="100"/>
        <c:axId val="243089792"/>
        <c:axId val="243091712"/>
      </c:barChart>
      <c:catAx>
        <c:axId val="243089792"/>
        <c:scaling>
          <c:orientation val="minMax"/>
        </c:scaling>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Bazine/spatii hidrografice</a:t>
                </a:r>
                <a:endParaRPr lang="ro-RO"/>
              </a:p>
            </c:rich>
          </c:tx>
          <c:layout>
            <c:manualLayout>
              <c:xMode val="edge"/>
              <c:yMode val="edge"/>
              <c:x val="5.5961059838485004E-2"/>
              <c:y val="0.15049795571484029"/>
            </c:manualLayout>
          </c:layout>
          <c:spPr>
            <a:noFill/>
            <a:ln>
              <a:noFill/>
            </a:ln>
            <a:effectLst/>
          </c:spPr>
        </c:title>
        <c:numFmt formatCode="General" sourceLinked="1"/>
        <c:maj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91712"/>
        <c:crosses val="autoZero"/>
        <c:auto val="1"/>
        <c:lblAlgn val="ctr"/>
        <c:lblOffset val="100"/>
      </c:catAx>
      <c:valAx>
        <c:axId val="2430917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89792"/>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solidFill>
          <a:schemeClr val="accent5">
            <a:lumMod val="40000"/>
            <a:lumOff val="60000"/>
          </a:schemeClr>
        </a:solidFill>
        <a:ln>
          <a:noFill/>
        </a:ln>
        <a:effectLst/>
      </c:spPr>
    </c:plotArea>
    <c:plotVisOnly val="1"/>
    <c:dispBlanksAs val="gap"/>
  </c:chart>
  <c:spPr>
    <a:solidFill>
      <a:schemeClr val="accent5">
        <a:lumMod val="20000"/>
        <a:lumOff val="80000"/>
      </a:schemeClr>
    </a:solidFill>
    <a:ln w="9525" cap="flat" cmpd="sng" algn="ctr">
      <a:solidFill>
        <a:sysClr val="windowText" lastClr="000000"/>
      </a:solid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ro-RO"/>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35624272606949781"/>
          <c:y val="2.4050437824506801E-2"/>
          <c:w val="0.60596881800031688"/>
          <c:h val="0.6716466180267846"/>
        </c:manualLayout>
      </c:layout>
      <c:barChart>
        <c:barDir val="col"/>
        <c:grouping val="clustered"/>
        <c:ser>
          <c:idx val="0"/>
          <c:order val="0"/>
          <c:tx>
            <c:strRef>
              <c:f>Subterane_NO3!$A$10</c:f>
              <c:strCache>
                <c:ptCount val="1"/>
                <c:pt idx="0">
                  <c:v> Puncte de  monitorizare cu conc. &lt; 50 mg NO₃/l (%)</c:v>
                </c:pt>
              </c:strCache>
            </c:strRef>
          </c:tx>
          <c:spPr>
            <a:solidFill>
              <a:schemeClr val="accent1"/>
            </a:solidFill>
            <a:ln>
              <a:noFill/>
            </a:ln>
            <a:effectLst/>
          </c:spPr>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Subterane_NO3!$B$10:$I$10</c:f>
              <c:numCache>
                <c:formatCode>0.00</c:formatCode>
                <c:ptCount val="8"/>
                <c:pt idx="0">
                  <c:v>89.454322501532801</c:v>
                </c:pt>
                <c:pt idx="1">
                  <c:v>87.442922374429159</c:v>
                </c:pt>
                <c:pt idx="2">
                  <c:v>86.151491966335115</c:v>
                </c:pt>
                <c:pt idx="3">
                  <c:v>85.444531864673493</c:v>
                </c:pt>
                <c:pt idx="4">
                  <c:v>86.646433990895304</c:v>
                </c:pt>
                <c:pt idx="5">
                  <c:v>85.496183206106863</c:v>
                </c:pt>
                <c:pt idx="6">
                  <c:v>86.277084701248</c:v>
                </c:pt>
                <c:pt idx="7">
                  <c:v>86.197916666666657</c:v>
                </c:pt>
              </c:numCache>
            </c:numRef>
          </c:val>
        </c:ser>
        <c:ser>
          <c:idx val="1"/>
          <c:order val="1"/>
          <c:tx>
            <c:strRef>
              <c:f>Subterane_NO3!$A$11</c:f>
              <c:strCache>
                <c:ptCount val="1"/>
                <c:pt idx="0">
                  <c:v>Depășiri ale conc. 50 mg NO₃/L (%)</c:v>
                </c:pt>
              </c:strCache>
            </c:strRef>
          </c:tx>
          <c:spPr>
            <a:solidFill>
              <a:schemeClr val="bg1">
                <a:lumMod val="75000"/>
              </a:schemeClr>
            </a:solidFill>
            <a:ln>
              <a:noFill/>
            </a:ln>
            <a:effectLst/>
          </c:spPr>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Subterane_NO3!$B$11:$I$11</c:f>
              <c:numCache>
                <c:formatCode>0.00</c:formatCode>
                <c:ptCount val="8"/>
                <c:pt idx="0">
                  <c:v>10.545677498467199</c:v>
                </c:pt>
                <c:pt idx="1">
                  <c:v>12.557077625570768</c:v>
                </c:pt>
                <c:pt idx="2">
                  <c:v>13.84850803366488</c:v>
                </c:pt>
                <c:pt idx="3">
                  <c:v>14.555468135326526</c:v>
                </c:pt>
                <c:pt idx="4">
                  <c:v>13.353566009104799</c:v>
                </c:pt>
                <c:pt idx="5">
                  <c:v>14.503816793893128</c:v>
                </c:pt>
                <c:pt idx="6">
                  <c:v>13.722915298752461</c:v>
                </c:pt>
                <c:pt idx="7">
                  <c:v>13.802083333333389</c:v>
                </c:pt>
              </c:numCache>
            </c:numRef>
          </c:val>
        </c:ser>
        <c:gapWidth val="219"/>
        <c:overlap val="-27"/>
        <c:axId val="243117440"/>
        <c:axId val="243147904"/>
      </c:barChart>
      <c:catAx>
        <c:axId val="243117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147904"/>
        <c:crosses val="autoZero"/>
        <c:auto val="1"/>
        <c:lblAlgn val="ctr"/>
        <c:lblOffset val="100"/>
      </c:catAx>
      <c:valAx>
        <c:axId val="2431479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endParaRPr lang="ro-RO"/>
              </a:p>
            </c:rich>
          </c:tx>
          <c:layout>
            <c:manualLayout>
              <c:xMode val="edge"/>
              <c:yMode val="edge"/>
              <c:x val="0.2388888888888889"/>
              <c:y val="0.35468358121901711"/>
            </c:manualLayout>
          </c:layout>
          <c:spPr>
            <a:noFill/>
            <a:ln>
              <a:noFill/>
            </a:ln>
            <a:effectLst/>
          </c:spPr>
        </c:title>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11744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chart>
  <c:spPr>
    <a:solidFill>
      <a:schemeClr val="accent1">
        <a:lumMod val="20000"/>
        <a:lumOff val="80000"/>
      </a:schemeClr>
    </a:solidFill>
    <a:ln w="9525" cap="flat" cmpd="sng" algn="ctr">
      <a:solidFill>
        <a:schemeClr val="tx1"/>
      </a:solid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ro-RO"/>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4.6300743657042884E-2"/>
          <c:y val="2.3148148148148147E-3"/>
          <c:w val="0.71765551181102361"/>
          <c:h val="0.99768518518518523"/>
        </c:manualLayout>
      </c:layout>
      <c:pie3DChart>
        <c:varyColors val="1"/>
        <c:ser>
          <c:idx val="0"/>
          <c:order val="0"/>
          <c:explosion val="25"/>
          <c:dLbls>
            <c:dLbl>
              <c:idx val="0"/>
              <c:layout>
                <c:manualLayout>
                  <c:x val="-0.19915310586176729"/>
                  <c:y val="1.6754520268299985E-2"/>
                </c:manualLayout>
              </c:layout>
              <c:tx>
                <c:rich>
                  <a:bodyPr/>
                  <a:lstStyle/>
                  <a:p>
                    <a:r>
                      <a:rPr lang="en-US"/>
                      <a:t>45,26</a:t>
                    </a:r>
                    <a:r>
                      <a:rPr lang="ro-RO"/>
                      <a:t>%</a:t>
                    </a:r>
                    <a:endParaRPr lang="en-US"/>
                  </a:p>
                </c:rich>
              </c:tx>
              <c:dLblPos val="bestFit"/>
            </c:dLbl>
            <c:dLbl>
              <c:idx val="1"/>
              <c:layout>
                <c:manualLayout>
                  <c:x val="0.14075000000000001"/>
                  <c:y val="-0.14088910761154855"/>
                </c:manualLayout>
              </c:layout>
              <c:tx>
                <c:rich>
                  <a:bodyPr/>
                  <a:lstStyle/>
                  <a:p>
                    <a:r>
                      <a:rPr lang="en-US"/>
                      <a:t>38,83</a:t>
                    </a:r>
                    <a:r>
                      <a:rPr lang="ro-RO"/>
                      <a:t>%</a:t>
                    </a:r>
                    <a:endParaRPr lang="en-US"/>
                  </a:p>
                </c:rich>
              </c:tx>
              <c:dLblPos val="bestFit"/>
            </c:dLbl>
            <c:dLbl>
              <c:idx val="2"/>
              <c:layout>
                <c:manualLayout>
                  <c:x val="3.7405511811024306E-2"/>
                  <c:y val="1.5975867599883373E-2"/>
                </c:manualLayout>
              </c:layout>
              <c:tx>
                <c:rich>
                  <a:bodyPr/>
                  <a:lstStyle/>
                  <a:p>
                    <a:r>
                      <a:rPr lang="en-US"/>
                      <a:t>7,66%</a:t>
                    </a:r>
                  </a:p>
                </c:rich>
              </c:tx>
              <c:dLblPos val="bestFit"/>
            </c:dLbl>
            <c:dLbl>
              <c:idx val="3"/>
              <c:layout>
                <c:manualLayout>
                  <c:x val="6.9302930883641284E-2"/>
                  <c:y val="1.5680956547098283E-2"/>
                </c:manualLayout>
              </c:layout>
              <c:tx>
                <c:rich>
                  <a:bodyPr/>
                  <a:lstStyle/>
                  <a:p>
                    <a:r>
                      <a:rPr lang="en-US"/>
                      <a:t>8,24</a:t>
                    </a:r>
                    <a:r>
                      <a:rPr lang="ro-RO"/>
                      <a:t>%</a:t>
                    </a:r>
                    <a:endParaRPr lang="en-US"/>
                  </a:p>
                </c:rich>
              </c:tx>
              <c:dLblPos val="bestFit"/>
            </c:dLbl>
            <c:spPr>
              <a:solidFill>
                <a:schemeClr val="bg1"/>
              </a:solidFill>
              <a:ln>
                <a:solidFill>
                  <a:schemeClr val="tx1"/>
                </a:solidFill>
              </a:ln>
            </c:spPr>
            <c:txPr>
              <a:bodyPr/>
              <a:lstStyle/>
              <a:p>
                <a:pPr>
                  <a:defRPr lang="en-GB" b="1">
                    <a:latin typeface="Arial" panose="020B0604020202020204" pitchFamily="34" charset="0"/>
                    <a:cs typeface="Arial" panose="020B0604020202020204" pitchFamily="34" charset="0"/>
                  </a:defRPr>
                </a:pPr>
                <a:endParaRPr lang="ro-RO"/>
              </a:p>
            </c:txPr>
            <c:showVal val="1"/>
            <c:showLeaderLines val="1"/>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44.302901627741974</c:v>
                </c:pt>
                <c:pt idx="1">
                  <c:v>40.127388535031862</c:v>
                </c:pt>
                <c:pt idx="2">
                  <c:v>7.5017692852088755</c:v>
                </c:pt>
                <c:pt idx="3">
                  <c:v>8.0679405520170047</c:v>
                </c:pt>
              </c:numCache>
            </c:numRef>
          </c:val>
        </c:ser>
      </c:pie3DChart>
      <c:spPr>
        <a:noFill/>
        <a:ln w="25400">
          <a:noFill/>
        </a:ln>
      </c:spPr>
    </c:plotArea>
    <c:legend>
      <c:legendPos val="r"/>
      <c:layout>
        <c:manualLayout>
          <c:xMode val="edge"/>
          <c:yMode val="edge"/>
          <c:x val="0.69933465443768361"/>
          <c:y val="0.68001688231182167"/>
          <c:w val="0.28696522309711281"/>
          <c:h val="0.31598571011957455"/>
        </c:manualLayout>
      </c:layout>
      <c:txPr>
        <a:bodyPr/>
        <a:lstStyle/>
        <a:p>
          <a:pPr>
            <a:defRPr lang="en-GB" b="1">
              <a:latin typeface="Arial" panose="020B0604020202020204" pitchFamily="34" charset="0"/>
              <a:cs typeface="Arial" panose="020B0604020202020204" pitchFamily="34" charset="0"/>
            </a:defRPr>
          </a:pPr>
          <a:endParaRPr lang="ro-RO"/>
        </a:p>
      </c:txPr>
    </c:legend>
    <c:plotVisOnly val="1"/>
    <c:dispBlanksAs val="zero"/>
  </c:chart>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ro-RO"/>
              <a:t>Număr persoane</a:t>
            </a:r>
          </a:p>
        </c:rich>
      </c:tx>
    </c:title>
    <c:plotArea>
      <c:layout/>
      <c:lineChart>
        <c:grouping val="standard"/>
        <c:ser>
          <c:idx val="0"/>
          <c:order val="0"/>
          <c:tx>
            <c:strRef>
              <c:f>Sheet1!$B$1</c:f>
              <c:strCache>
                <c:ptCount val="1"/>
                <c:pt idx="0">
                  <c:v>numar persoane</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148747</c:v>
                </c:pt>
                <c:pt idx="1">
                  <c:v>154610</c:v>
                </c:pt>
                <c:pt idx="2">
                  <c:v>157770</c:v>
                </c:pt>
                <c:pt idx="3">
                  <c:v>160634</c:v>
                </c:pt>
                <c:pt idx="4">
                  <c:v>167805</c:v>
                </c:pt>
                <c:pt idx="5">
                  <c:v>201629</c:v>
                </c:pt>
              </c:numCache>
            </c:numRef>
          </c:val>
        </c:ser>
        <c:ser>
          <c:idx val="1"/>
          <c:order val="1"/>
          <c:tx>
            <c:strRef>
              <c:f>Sheet1!$C$1</c:f>
              <c:strCache>
                <c:ptCount val="1"/>
                <c:pt idx="0">
                  <c:v>Column1</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Sheet1!$C$2:$C$8</c:f>
            </c:numRef>
          </c:val>
        </c:ser>
        <c:ser>
          <c:idx val="2"/>
          <c:order val="2"/>
          <c:tx>
            <c:strRef>
              <c:f>Sheet1!$D$1</c:f>
              <c:strCache>
                <c:ptCount val="1"/>
                <c:pt idx="0">
                  <c:v>Column2</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Sheet1!$D$2:$D$8</c:f>
            </c:numRef>
          </c:val>
        </c:ser>
        <c:marker val="1"/>
        <c:axId val="243262976"/>
        <c:axId val="243264512"/>
      </c:lineChart>
      <c:catAx>
        <c:axId val="243262976"/>
        <c:scaling>
          <c:orientation val="minMax"/>
        </c:scaling>
        <c:axPos val="b"/>
        <c:numFmt formatCode="General" sourceLinked="1"/>
        <c:tickLblPos val="nextTo"/>
        <c:txPr>
          <a:bodyPr/>
          <a:lstStyle/>
          <a:p>
            <a:pPr>
              <a:defRPr lang="en-US"/>
            </a:pPr>
            <a:endParaRPr lang="ro-RO"/>
          </a:p>
        </c:txPr>
        <c:crossAx val="243264512"/>
        <c:crosses val="autoZero"/>
        <c:auto val="1"/>
        <c:lblAlgn val="ctr"/>
        <c:lblOffset val="100"/>
      </c:catAx>
      <c:valAx>
        <c:axId val="243264512"/>
        <c:scaling>
          <c:orientation val="minMax"/>
        </c:scaling>
        <c:axPos val="l"/>
        <c:majorGridlines/>
        <c:numFmt formatCode="General" sourceLinked="1"/>
        <c:tickLblPos val="nextTo"/>
        <c:txPr>
          <a:bodyPr/>
          <a:lstStyle/>
          <a:p>
            <a:pPr>
              <a:defRPr lang="en-US"/>
            </a:pPr>
            <a:endParaRPr lang="ro-RO"/>
          </a:p>
        </c:txPr>
        <c:crossAx val="243262976"/>
        <c:crosses val="autoZero"/>
        <c:crossBetween val="between"/>
      </c:valAx>
      <c:spPr>
        <a:solidFill>
          <a:schemeClr val="accent2">
            <a:lumMod val="40000"/>
            <a:lumOff val="60000"/>
          </a:schemeClr>
        </a:solidFill>
      </c:spPr>
    </c:plotArea>
    <c:legend>
      <c:legendPos val="r"/>
      <c:txPr>
        <a:bodyPr/>
        <a:lstStyle/>
        <a:p>
          <a:pPr>
            <a:defRPr lang="en-US"/>
          </a:pPr>
          <a:endParaRPr lang="ro-RO"/>
        </a:p>
      </c:txPr>
    </c:legend>
    <c:plotVisOnly val="1"/>
    <c:dispBlanksAs val="gap"/>
  </c:chart>
  <c:spPr>
    <a:solidFill>
      <a:schemeClr val="accent2">
        <a:lumMod val="20000"/>
        <a:lumOff val="80000"/>
      </a:schemeClr>
    </a:soli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-2.</a:t>
            </a:r>
            <a:endParaRPr lang="en-US"/>
          </a:p>
        </c:rich>
      </c:tx>
      <c:layout>
        <c:manualLayout>
          <c:xMode val="edge"/>
          <c:yMode val="edge"/>
          <c:x val="0.41871921017821895"/>
          <c:y val="0.87168185437496248"/>
        </c:manualLayout>
      </c:layout>
      <c:spPr>
        <a:noFill/>
        <a:ln w="17311">
          <a:noFill/>
        </a:ln>
      </c:spPr>
    </c:title>
    <c:view3D>
      <c:perspective val="0"/>
    </c:view3D>
    <c:plotArea>
      <c:layout>
        <c:manualLayout>
          <c:layoutTarget val="inner"/>
          <c:xMode val="edge"/>
          <c:yMode val="edge"/>
          <c:x val="0.2148245323630453"/>
          <c:y val="0.25593344858015354"/>
          <c:w val="0.57612542787866061"/>
          <c:h val="0.61378571335421084"/>
        </c:manualLayout>
      </c:layout>
      <c:pie3DChart>
        <c:varyColors val="1"/>
        <c:ser>
          <c:idx val="0"/>
          <c:order val="0"/>
          <c:tx>
            <c:strRef>
              <c:f>Sheet1!$A$2</c:f>
              <c:strCache>
                <c:ptCount val="1"/>
                <c:pt idx="0">
                  <c:v>387363</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5196"/>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89,68%</a:t>
                    </a:r>
                  </a:p>
                </c:rich>
              </c:tx>
              <c:spPr>
                <a:solidFill>
                  <a:srgbClr val="FFFFFF"/>
                </a:solidFill>
                <a:ln w="17318">
                  <a:noFill/>
                </a:ln>
              </c:spPr>
              <c:dLblPos val="bestFit"/>
            </c:dLbl>
            <c:dLbl>
              <c:idx val="2"/>
              <c:layout>
                <c:manualLayout>
                  <c:x val="-0.14784960055584304"/>
                  <c:y val="-4.8417651501412279E-2"/>
                </c:manualLayout>
              </c:layout>
              <c:tx>
                <c:rich>
                  <a:bodyPr/>
                  <a:lstStyle/>
                  <a:p>
                    <a:pPr>
                      <a:defRPr lang="en-US"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lang="en-US"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en-US" sz="813" b="1" i="0" strike="noStrike">
                        <a:solidFill>
                          <a:srgbClr val="000000"/>
                        </a:solidFill>
                        <a:latin typeface="Arial"/>
                        <a:cs typeface="Arial"/>
                      </a:rPr>
                      <a:t>36</a:t>
                    </a:r>
                    <a:r>
                      <a:rPr lang="vi-VN" sz="813" b="1" i="0" strike="noStrike">
                        <a:solidFill>
                          <a:srgbClr val="000000"/>
                        </a:solidFill>
                        <a:latin typeface="Arial"/>
                        <a:cs typeface="Arial"/>
                      </a:rPr>
                      <a:t>%</a:t>
                    </a:r>
                  </a:p>
                </c:rich>
              </c:tx>
              <c:spPr>
                <a:solidFill>
                  <a:srgbClr val="FFFFFF"/>
                </a:solidFill>
                <a:ln w="17318">
                  <a:noFill/>
                </a:ln>
              </c:spPr>
              <c:dLblPos val="bestFit"/>
            </c:dLbl>
            <c:dLbl>
              <c:idx val="3"/>
              <c:layout>
                <c:manualLayout>
                  <c:x val="-3.0233806981025648E-2"/>
                  <c:y val="-0.11099900123104096"/>
                </c:manualLayout>
              </c:layout>
              <c:tx>
                <c:rich>
                  <a:bodyPr/>
                  <a:lstStyle/>
                  <a:p>
                    <a:pPr>
                      <a:defRPr lang="en-US" sz="819" b="1" i="0" u="none" strike="noStrike" baseline="0">
                        <a:solidFill>
                          <a:srgbClr val="000000"/>
                        </a:solidFill>
                        <a:latin typeface="Arial"/>
                        <a:ea typeface="Arial"/>
                        <a:cs typeface="Arial"/>
                      </a:defRPr>
                    </a:pPr>
                    <a:r>
                      <a:rPr lang="en-US"/>
                      <a:t>vii
1,72%</a:t>
                    </a:r>
                  </a:p>
                </c:rich>
              </c:tx>
              <c:spPr>
                <a:solidFill>
                  <a:srgbClr val="FFFFFF"/>
                </a:solidFill>
                <a:ln w="17318">
                  <a:noFill/>
                </a:ln>
              </c:spPr>
              <c:dLblPos val="bestFit"/>
            </c:dLbl>
            <c:dLbl>
              <c:idx val="4"/>
              <c:layout>
                <c:manualLayout>
                  <c:x val="0.23703168848107894"/>
                  <c:y val="-7.0654647872656781E-2"/>
                </c:manualLayout>
              </c:layout>
              <c:tx>
                <c:rich>
                  <a:bodyPr/>
                  <a:lstStyle/>
                  <a:p>
                    <a:pPr>
                      <a:defRPr lang="en-US" sz="819" b="1" i="0" u="none" strike="noStrike" baseline="0">
                        <a:solidFill>
                          <a:srgbClr val="000000"/>
                        </a:solidFill>
                        <a:latin typeface="Arial"/>
                        <a:ea typeface="Arial"/>
                        <a:cs typeface="Arial"/>
                      </a:defRPr>
                    </a:pPr>
                    <a:r>
                      <a:rPr lang="en-US"/>
                      <a:t>livezi
0,24%</a:t>
                    </a:r>
                  </a:p>
                </c:rich>
              </c:tx>
              <c:spPr>
                <a:solidFill>
                  <a:srgbClr val="FFFFFF"/>
                </a:solidFill>
                <a:ln w="17318">
                  <a:noFill/>
                </a:ln>
              </c:spPr>
              <c:dLblPos val="bestFit"/>
            </c:dLbl>
            <c:dLbl>
              <c:idx val="5"/>
              <c:delete val="1"/>
            </c:dLbl>
            <c:numFmt formatCode="0%" sourceLinked="0"/>
            <c:spPr>
              <a:solidFill>
                <a:srgbClr val="FFFFFF"/>
              </a:solidFill>
              <a:ln w="17318">
                <a:noFill/>
              </a:ln>
            </c:spPr>
            <c:txPr>
              <a:bodyPr/>
              <a:lstStyle/>
              <a:p>
                <a:pPr>
                  <a:defRPr lang="en-US"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350447</c:v>
                </c:pt>
                <c:pt idx="2">
                  <c:v>31743</c:v>
                </c:pt>
                <c:pt idx="3">
                  <c:v>4519</c:v>
                </c:pt>
                <c:pt idx="4">
                  <c:v>654</c:v>
                </c:pt>
              </c:numCache>
            </c:numRef>
          </c:val>
        </c:ser>
        <c:dLbls>
          <c:showCatName val="1"/>
          <c:showPercent val="1"/>
        </c:dLbls>
      </c:pie3DChart>
      <c:spPr>
        <a:solidFill>
          <a:srgbClr val="FFFFFF"/>
        </a:solidFill>
        <a:ln w="17318">
          <a:noFill/>
        </a:ln>
      </c:spPr>
    </c:plotArea>
    <c:plotVisOnly val="1"/>
    <c:dispBlanksAs val="zero"/>
  </c:chart>
  <c:spPr>
    <a:solidFill>
      <a:srgbClr val="F79646">
        <a:lumMod val="20000"/>
        <a:lumOff val="80000"/>
      </a:srgbClr>
    </a:solidFill>
    <a:ln>
      <a:no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240561215267791"/>
          <c:y val="4.5657562582717845E-2"/>
          <c:w val="0.68100249271851165"/>
          <c:h val="0.62748922774238014"/>
        </c:manualLayout>
      </c:layout>
      <c:barChart>
        <c:barDir val="col"/>
        <c:grouping val="clustered"/>
        <c:ser>
          <c:idx val="0"/>
          <c:order val="0"/>
          <c:tx>
            <c:strRef>
              <c:f>Sheet1!$B$1</c:f>
              <c:strCache>
                <c:ptCount val="1"/>
                <c:pt idx="0">
                  <c:v>N</c:v>
                </c:pt>
              </c:strCache>
            </c:strRef>
          </c:tx>
          <c:cat>
            <c:numRef>
              <c:f>Sheet1!$A$2:$A$5</c:f>
              <c:numCache>
                <c:formatCode>General</c:formatCode>
                <c:ptCount val="4"/>
                <c:pt idx="0">
                  <c:v>2013</c:v>
                </c:pt>
                <c:pt idx="1">
                  <c:v>2014</c:v>
                </c:pt>
                <c:pt idx="2">
                  <c:v>2015</c:v>
                </c:pt>
                <c:pt idx="3">
                  <c:v>2016</c:v>
                </c:pt>
              </c:numCache>
            </c:numRef>
          </c:cat>
          <c:val>
            <c:numRef>
              <c:f>Sheet1!$B$2:$B$5</c:f>
              <c:numCache>
                <c:formatCode>#,##0</c:formatCode>
                <c:ptCount val="4"/>
                <c:pt idx="0">
                  <c:v>7908</c:v>
                </c:pt>
                <c:pt idx="1">
                  <c:v>8085</c:v>
                </c:pt>
                <c:pt idx="2">
                  <c:v>12005</c:v>
                </c:pt>
                <c:pt idx="3">
                  <c:v>14005</c:v>
                </c:pt>
              </c:numCache>
            </c:numRef>
          </c:val>
        </c:ser>
        <c:ser>
          <c:idx val="1"/>
          <c:order val="1"/>
          <c:tx>
            <c:strRef>
              <c:f>Sheet1!$C$1</c:f>
              <c:strCache>
                <c:ptCount val="1"/>
                <c:pt idx="0">
                  <c:v>P2O5</c:v>
                </c:pt>
              </c:strCache>
            </c:strRef>
          </c:tx>
          <c:cat>
            <c:numRef>
              <c:f>Sheet1!$A$2:$A$5</c:f>
              <c:numCache>
                <c:formatCode>General</c:formatCode>
                <c:ptCount val="4"/>
                <c:pt idx="0">
                  <c:v>2013</c:v>
                </c:pt>
                <c:pt idx="1">
                  <c:v>2014</c:v>
                </c:pt>
                <c:pt idx="2">
                  <c:v>2015</c:v>
                </c:pt>
                <c:pt idx="3">
                  <c:v>2016</c:v>
                </c:pt>
              </c:numCache>
            </c:numRef>
          </c:cat>
          <c:val>
            <c:numRef>
              <c:f>Sheet1!$C$2:$C$5</c:f>
              <c:numCache>
                <c:formatCode>#,##0</c:formatCode>
                <c:ptCount val="4"/>
                <c:pt idx="0">
                  <c:v>6150</c:v>
                </c:pt>
                <c:pt idx="1">
                  <c:v>6290</c:v>
                </c:pt>
                <c:pt idx="2">
                  <c:v>9150</c:v>
                </c:pt>
                <c:pt idx="3">
                  <c:v>11437</c:v>
                </c:pt>
              </c:numCache>
            </c:numRef>
          </c:val>
        </c:ser>
        <c:ser>
          <c:idx val="2"/>
          <c:order val="2"/>
          <c:tx>
            <c:strRef>
              <c:f>Sheet1!$D$1</c:f>
              <c:strCache>
                <c:ptCount val="1"/>
                <c:pt idx="0">
                  <c:v>K2O5</c:v>
                </c:pt>
              </c:strCache>
            </c:strRef>
          </c:tx>
          <c:cat>
            <c:numRef>
              <c:f>Sheet1!$A$2:$A$5</c:f>
              <c:numCache>
                <c:formatCode>General</c:formatCode>
                <c:ptCount val="4"/>
                <c:pt idx="0">
                  <c:v>2013</c:v>
                </c:pt>
                <c:pt idx="1">
                  <c:v>2014</c:v>
                </c:pt>
                <c:pt idx="2">
                  <c:v>2015</c:v>
                </c:pt>
                <c:pt idx="3">
                  <c:v>2016</c:v>
                </c:pt>
              </c:numCache>
            </c:numRef>
          </c:cat>
          <c:val>
            <c:numRef>
              <c:f>Sheet1!$D$2:$D$5</c:f>
              <c:numCache>
                <c:formatCode>General</c:formatCode>
                <c:ptCount val="4"/>
                <c:pt idx="0" formatCode="#,##0">
                  <c:v>571</c:v>
                </c:pt>
                <c:pt idx="1">
                  <c:v>429</c:v>
                </c:pt>
                <c:pt idx="2" formatCode="#,##0">
                  <c:v>7131</c:v>
                </c:pt>
                <c:pt idx="3" formatCode="#,##0">
                  <c:v>8257</c:v>
                </c:pt>
              </c:numCache>
            </c:numRef>
          </c:val>
        </c:ser>
        <c:axId val="242845568"/>
        <c:axId val="242847104"/>
      </c:barChart>
      <c:catAx>
        <c:axId val="242845568"/>
        <c:scaling>
          <c:orientation val="minMax"/>
        </c:scaling>
        <c:axPos val="b"/>
        <c:numFmt formatCode="General" sourceLinked="1"/>
        <c:tickLblPos val="nextTo"/>
        <c:txPr>
          <a:bodyPr/>
          <a:lstStyle/>
          <a:p>
            <a:pPr>
              <a:defRPr lang="en-US"/>
            </a:pPr>
            <a:endParaRPr lang="ro-RO"/>
          </a:p>
        </c:txPr>
        <c:crossAx val="242847104"/>
        <c:crosses val="autoZero"/>
        <c:auto val="1"/>
        <c:lblAlgn val="ctr"/>
        <c:lblOffset val="100"/>
      </c:catAx>
      <c:valAx>
        <c:axId val="242847104"/>
        <c:scaling>
          <c:orientation val="minMax"/>
        </c:scaling>
        <c:axPos val="l"/>
        <c:majorGridlines/>
        <c:numFmt formatCode="#,##0" sourceLinked="1"/>
        <c:tickLblPos val="nextTo"/>
        <c:txPr>
          <a:bodyPr/>
          <a:lstStyle/>
          <a:p>
            <a:pPr>
              <a:defRPr lang="en-US"/>
            </a:pPr>
            <a:endParaRPr lang="ro-RO"/>
          </a:p>
        </c:txPr>
        <c:crossAx val="242845568"/>
        <c:crosses val="autoZero"/>
        <c:crossBetween val="between"/>
      </c:valAx>
    </c:plotArea>
    <c:legend>
      <c:legendPos val="r"/>
      <c:txPr>
        <a:bodyPr/>
        <a:lstStyle/>
        <a:p>
          <a:pPr>
            <a:defRPr lang="en-US"/>
          </a:pPr>
          <a:endParaRPr lang="ro-RO"/>
        </a:p>
      </c:txPr>
    </c:legend>
    <c:plotVisOnly val="1"/>
    <c:dispBlanksAs val="gap"/>
  </c:chart>
  <c:spPr>
    <a:solidFill>
      <a:srgbClr val="FEF6F0"/>
    </a:solidFill>
    <a:ln>
      <a:solidFill>
        <a:srgbClr val="FEF6F0"/>
      </a:solidFill>
    </a:ln>
    <a:effectLst>
      <a:outerShdw blurRad="50800" dist="50800" dir="5400000" algn="ctr" rotWithShape="0">
        <a:srgbClr val="FEF6F0"/>
      </a:outerShdw>
    </a:effectLst>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lineChart>
        <c:grouping val="standard"/>
        <c:ser>
          <c:idx val="0"/>
          <c:order val="0"/>
          <c:tx>
            <c:strRef>
              <c:f>Sheet1!$B$1</c:f>
              <c:strCache>
                <c:ptCount val="1"/>
                <c:pt idx="0">
                  <c:v>N</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#,##0</c:formatCode>
                <c:ptCount val="5"/>
                <c:pt idx="0">
                  <c:v>7908</c:v>
                </c:pt>
                <c:pt idx="1">
                  <c:v>8085</c:v>
                </c:pt>
                <c:pt idx="2">
                  <c:v>12005</c:v>
                </c:pt>
                <c:pt idx="3">
                  <c:v>14005</c:v>
                </c:pt>
                <c:pt idx="4">
                  <c:v>14982</c:v>
                </c:pt>
              </c:numCache>
            </c:numRef>
          </c:val>
        </c:ser>
        <c:ser>
          <c:idx val="1"/>
          <c:order val="1"/>
          <c:tx>
            <c:strRef>
              <c:f>Sheet1!$C$1</c:f>
              <c:strCache>
                <c:ptCount val="1"/>
                <c:pt idx="0">
                  <c:v>P2O5</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#,##0</c:formatCode>
                <c:ptCount val="5"/>
                <c:pt idx="0">
                  <c:v>6150</c:v>
                </c:pt>
                <c:pt idx="1">
                  <c:v>6290</c:v>
                </c:pt>
                <c:pt idx="2">
                  <c:v>9150</c:v>
                </c:pt>
                <c:pt idx="3">
                  <c:v>11437</c:v>
                </c:pt>
                <c:pt idx="4">
                  <c:v>11594</c:v>
                </c:pt>
              </c:numCache>
            </c:numRef>
          </c:val>
        </c:ser>
        <c:ser>
          <c:idx val="2"/>
          <c:order val="2"/>
          <c:tx>
            <c:strRef>
              <c:f>Sheet1!$D$1</c:f>
              <c:strCache>
                <c:ptCount val="1"/>
                <c:pt idx="0">
                  <c:v>K2O5</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#,##0</c:formatCode>
                <c:ptCount val="5"/>
                <c:pt idx="0">
                  <c:v>571</c:v>
                </c:pt>
                <c:pt idx="1">
                  <c:v>429</c:v>
                </c:pt>
                <c:pt idx="2">
                  <c:v>7131</c:v>
                </c:pt>
                <c:pt idx="3">
                  <c:v>8257</c:v>
                </c:pt>
                <c:pt idx="4">
                  <c:v>1542</c:v>
                </c:pt>
              </c:numCache>
            </c:numRef>
          </c:val>
        </c:ser>
        <c:marker val="1"/>
        <c:axId val="243503488"/>
        <c:axId val="243505024"/>
      </c:lineChart>
      <c:catAx>
        <c:axId val="243503488"/>
        <c:scaling>
          <c:orientation val="minMax"/>
        </c:scaling>
        <c:axPos val="b"/>
        <c:numFmt formatCode="General" sourceLinked="1"/>
        <c:tickLblPos val="nextTo"/>
        <c:txPr>
          <a:bodyPr/>
          <a:lstStyle/>
          <a:p>
            <a:pPr>
              <a:defRPr lang="en-US"/>
            </a:pPr>
            <a:endParaRPr lang="ro-RO"/>
          </a:p>
        </c:txPr>
        <c:crossAx val="243505024"/>
        <c:crosses val="autoZero"/>
        <c:auto val="1"/>
        <c:lblAlgn val="ctr"/>
        <c:lblOffset val="100"/>
      </c:catAx>
      <c:valAx>
        <c:axId val="243505024"/>
        <c:scaling>
          <c:orientation val="minMax"/>
        </c:scaling>
        <c:axPos val="l"/>
        <c:majorGridlines/>
        <c:numFmt formatCode="#,##0" sourceLinked="1"/>
        <c:tickLblPos val="nextTo"/>
        <c:txPr>
          <a:bodyPr/>
          <a:lstStyle/>
          <a:p>
            <a:pPr>
              <a:defRPr lang="en-US"/>
            </a:pPr>
            <a:endParaRPr lang="ro-RO"/>
          </a:p>
        </c:txPr>
        <c:crossAx val="243503488"/>
        <c:crosses val="autoZero"/>
        <c:crossBetween val="between"/>
      </c:valAx>
    </c:plotArea>
    <c:legend>
      <c:legendPos val="r"/>
      <c:txPr>
        <a:bodyPr/>
        <a:lstStyle/>
        <a:p>
          <a:pPr>
            <a:defRPr lang="en-US"/>
          </a:pPr>
          <a:endParaRPr lang="ro-RO"/>
        </a:p>
      </c:txPr>
    </c:legend>
    <c:plotVisOnly val="1"/>
    <c:dispBlanksAs val="gap"/>
  </c:chart>
  <c:spPr>
    <a:solidFill>
      <a:srgbClr val="FEF6F0"/>
    </a:solidFill>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ro-RO" sz="1400"/>
              <a:t>Consum total de p</a:t>
            </a:r>
            <a:r>
              <a:rPr lang="en-US" sz="1400"/>
              <a:t>esticide</a:t>
            </a:r>
          </a:p>
        </c:rich>
      </c:tx>
    </c:title>
    <c:plotArea>
      <c:layout>
        <c:manualLayout>
          <c:layoutTarget val="inner"/>
          <c:xMode val="edge"/>
          <c:yMode val="edge"/>
          <c:x val="0.21719652548267071"/>
          <c:y val="0.19015657525567697"/>
          <c:w val="0.66091453257609356"/>
          <c:h val="0.45744090684316635"/>
        </c:manualLayout>
      </c:layout>
      <c:lineChart>
        <c:grouping val="stacked"/>
        <c:ser>
          <c:idx val="0"/>
          <c:order val="0"/>
          <c:tx>
            <c:strRef>
              <c:f>Sheet1!$B$1</c:f>
              <c:strCache>
                <c:ptCount val="1"/>
                <c:pt idx="0">
                  <c:v>Pesticide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91.815000000000012</c:v>
                </c:pt>
                <c:pt idx="1">
                  <c:v>78.941000000000244</c:v>
                </c:pt>
                <c:pt idx="2">
                  <c:v>78.956000000000003</c:v>
                </c:pt>
                <c:pt idx="3">
                  <c:v>1193.8699999999999</c:v>
                </c:pt>
                <c:pt idx="4">
                  <c:v>1221.8699999999999</c:v>
                </c:pt>
              </c:numCache>
            </c:numRef>
          </c:val>
        </c:ser>
        <c:marker val="1"/>
        <c:axId val="243209344"/>
        <c:axId val="243210880"/>
      </c:lineChart>
      <c:catAx>
        <c:axId val="243209344"/>
        <c:scaling>
          <c:orientation val="minMax"/>
        </c:scaling>
        <c:axPos val="b"/>
        <c:numFmt formatCode="General" sourceLinked="1"/>
        <c:tickLblPos val="nextTo"/>
        <c:txPr>
          <a:bodyPr/>
          <a:lstStyle/>
          <a:p>
            <a:pPr>
              <a:defRPr lang="en-US"/>
            </a:pPr>
            <a:endParaRPr lang="ro-RO"/>
          </a:p>
        </c:txPr>
        <c:crossAx val="243210880"/>
        <c:crosses val="autoZero"/>
        <c:auto val="1"/>
        <c:lblAlgn val="ctr"/>
        <c:lblOffset val="100"/>
      </c:catAx>
      <c:valAx>
        <c:axId val="243210880"/>
        <c:scaling>
          <c:orientation val="minMax"/>
        </c:scaling>
        <c:axPos val="l"/>
        <c:majorGridlines/>
        <c:numFmt formatCode="General" sourceLinked="1"/>
        <c:tickLblPos val="nextTo"/>
        <c:txPr>
          <a:bodyPr/>
          <a:lstStyle/>
          <a:p>
            <a:pPr>
              <a:defRPr lang="en-US"/>
            </a:pPr>
            <a:endParaRPr lang="ro-RO"/>
          </a:p>
        </c:txPr>
        <c:crossAx val="243209344"/>
        <c:crosses val="autoZero"/>
        <c:crossBetween val="between"/>
      </c:valAx>
    </c:plotArea>
    <c:legend>
      <c:legendPos val="r"/>
      <c:layout>
        <c:manualLayout>
          <c:xMode val="edge"/>
          <c:yMode val="edge"/>
          <c:x val="0.8080351537978655"/>
          <c:y val="0.81938156872021295"/>
          <c:w val="0.16685499058380421"/>
          <c:h val="0.11877118808424809"/>
        </c:manualLayout>
      </c:layout>
      <c:txPr>
        <a:bodyPr/>
        <a:lstStyle/>
        <a:p>
          <a:pPr>
            <a:defRPr lang="en-US"/>
          </a:pPr>
          <a:endParaRPr lang="ro-RO"/>
        </a:p>
      </c:txPr>
    </c:legend>
    <c:plotVisOnly val="1"/>
    <c:dispBlanksAs val="zero"/>
  </c:chart>
  <c:spPr>
    <a:solidFill>
      <a:srgbClr val="FFFFCC"/>
    </a:solidFill>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5272266660925937"/>
          <c:y val="4.5657562582717845E-2"/>
          <c:w val="0.68100249271851165"/>
          <c:h val="0.62748922774238014"/>
        </c:manualLayout>
      </c:layout>
      <c:lineChart>
        <c:grouping val="standard"/>
        <c:ser>
          <c:idx val="0"/>
          <c:order val="0"/>
          <c:tx>
            <c:strRef>
              <c:f>Sheet1!$B$1</c:f>
              <c:strCache>
                <c:ptCount val="1"/>
                <c:pt idx="0">
                  <c:v>Erbicide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43</c:v>
                </c:pt>
                <c:pt idx="1">
                  <c:v>36</c:v>
                </c:pt>
                <c:pt idx="2">
                  <c:v>36</c:v>
                </c:pt>
                <c:pt idx="3" formatCode="#,##0">
                  <c:v>636</c:v>
                </c:pt>
                <c:pt idx="4">
                  <c:v>628</c:v>
                </c:pt>
              </c:numCache>
            </c:numRef>
          </c:val>
        </c:ser>
        <c:ser>
          <c:idx val="1"/>
          <c:order val="1"/>
          <c:tx>
            <c:strRef>
              <c:f>Sheet1!$C$1</c:f>
              <c:strCache>
                <c:ptCount val="1"/>
                <c:pt idx="0">
                  <c:v>Fungicide</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38</c:v>
                </c:pt>
                <c:pt idx="1">
                  <c:v>33</c:v>
                </c:pt>
                <c:pt idx="2">
                  <c:v>33</c:v>
                </c:pt>
                <c:pt idx="3">
                  <c:v>430</c:v>
                </c:pt>
                <c:pt idx="4">
                  <c:v>423</c:v>
                </c:pt>
              </c:numCache>
            </c:numRef>
          </c:val>
        </c:ser>
        <c:ser>
          <c:idx val="2"/>
          <c:order val="2"/>
          <c:tx>
            <c:strRef>
              <c:f>Sheet1!$D$1</c:f>
              <c:strCache>
                <c:ptCount val="1"/>
                <c:pt idx="0">
                  <c:v>Insecticide</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10</c:v>
                </c:pt>
                <c:pt idx="1">
                  <c:v>9</c:v>
                </c:pt>
                <c:pt idx="2">
                  <c:v>9</c:v>
                </c:pt>
                <c:pt idx="3">
                  <c:v>111</c:v>
                </c:pt>
                <c:pt idx="4">
                  <c:v>149</c:v>
                </c:pt>
              </c:numCache>
            </c:numRef>
          </c:val>
        </c:ser>
        <c:marker val="1"/>
        <c:axId val="243474432"/>
        <c:axId val="243475968"/>
      </c:lineChart>
      <c:catAx>
        <c:axId val="243474432"/>
        <c:scaling>
          <c:orientation val="minMax"/>
        </c:scaling>
        <c:axPos val="b"/>
        <c:numFmt formatCode="General" sourceLinked="1"/>
        <c:tickLblPos val="nextTo"/>
        <c:txPr>
          <a:bodyPr/>
          <a:lstStyle/>
          <a:p>
            <a:pPr>
              <a:defRPr lang="en-US"/>
            </a:pPr>
            <a:endParaRPr lang="ro-RO"/>
          </a:p>
        </c:txPr>
        <c:crossAx val="243475968"/>
        <c:crosses val="autoZero"/>
        <c:auto val="1"/>
        <c:lblAlgn val="ctr"/>
        <c:lblOffset val="100"/>
      </c:catAx>
      <c:valAx>
        <c:axId val="243475968"/>
        <c:scaling>
          <c:orientation val="minMax"/>
        </c:scaling>
        <c:axPos val="l"/>
        <c:majorGridlines/>
        <c:numFmt formatCode="General" sourceLinked="1"/>
        <c:tickLblPos val="nextTo"/>
        <c:txPr>
          <a:bodyPr/>
          <a:lstStyle/>
          <a:p>
            <a:pPr>
              <a:defRPr lang="en-US"/>
            </a:pPr>
            <a:endParaRPr lang="ro-RO"/>
          </a:p>
        </c:txPr>
        <c:crossAx val="243474432"/>
        <c:crosses val="autoZero"/>
        <c:crossBetween val="between"/>
      </c:valAx>
    </c:plotArea>
    <c:legend>
      <c:legendPos val="r"/>
      <c:txPr>
        <a:bodyPr/>
        <a:lstStyle/>
        <a:p>
          <a:pPr>
            <a:defRPr lang="en-US"/>
          </a:pPr>
          <a:endParaRPr lang="ro-RO"/>
        </a:p>
      </c:txPr>
    </c:legend>
    <c:plotVisOnly val="1"/>
    <c:dispBlanksAs val="gap"/>
  </c:chart>
  <c:spPr>
    <a:solidFill>
      <a:srgbClr val="FFFFCC"/>
    </a:solidFill>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618820702498014"/>
          <c:y val="6.1271521118965687E-2"/>
          <c:w val="0.81366613353019179"/>
          <c:h val="0.59590935831296188"/>
        </c:manualLayout>
      </c:layout>
      <c:lineChart>
        <c:grouping val="standard"/>
        <c:ser>
          <c:idx val="1"/>
          <c:order val="0"/>
          <c:tx>
            <c:strRef>
              <c:f>Sheet1!$A$3</c:f>
              <c:strCache>
                <c:ptCount val="1"/>
                <c:pt idx="0">
                  <c:v>Suprafata irigata-ha</c:v>
                </c:pt>
              </c:strCache>
            </c:strRef>
          </c:tx>
          <c:spPr>
            <a:ln w="19538">
              <a:solidFill>
                <a:srgbClr val="008000"/>
              </a:solidFill>
              <a:prstDash val="solid"/>
            </a:ln>
          </c:spPr>
          <c:marker>
            <c:symbol val="diamond"/>
            <c:size val="2"/>
            <c:spPr>
              <a:solidFill>
                <a:srgbClr val="008000"/>
              </a:solidFill>
              <a:ln>
                <a:solidFill>
                  <a:srgbClr val="008000"/>
                </a:solidFill>
                <a:prstDash val="solid"/>
              </a:ln>
            </c:spPr>
          </c:marker>
          <c:cat>
            <c:strRef>
              <c:f>Sheet1!$B$1:$F$2</c:f>
              <c:strCache>
                <c:ptCount val="5"/>
                <c:pt idx="0">
                  <c:v>2013</c:v>
                </c:pt>
                <c:pt idx="1">
                  <c:v>2014</c:v>
                </c:pt>
                <c:pt idx="2">
                  <c:v>2015</c:v>
                </c:pt>
                <c:pt idx="3">
                  <c:v>2016</c:v>
                </c:pt>
                <c:pt idx="4">
                  <c:v>2017</c:v>
                </c:pt>
              </c:strCache>
            </c:strRef>
          </c:cat>
          <c:val>
            <c:numRef>
              <c:f>Sheet1!$B$3:$F$3</c:f>
              <c:numCache>
                <c:formatCode>General</c:formatCode>
                <c:ptCount val="5"/>
                <c:pt idx="0">
                  <c:v>213736</c:v>
                </c:pt>
                <c:pt idx="1">
                  <c:v>168237</c:v>
                </c:pt>
                <c:pt idx="2">
                  <c:v>236010</c:v>
                </c:pt>
                <c:pt idx="3">
                  <c:v>161310</c:v>
                </c:pt>
                <c:pt idx="4">
                  <c:v>202576</c:v>
                </c:pt>
              </c:numCache>
            </c:numRef>
          </c:val>
        </c:ser>
        <c:ser>
          <c:idx val="2"/>
          <c:order val="1"/>
          <c:tx>
            <c:strRef>
              <c:f>Sheet1!$A$4</c:f>
              <c:strCache>
                <c:ptCount val="1"/>
                <c:pt idx="0">
                  <c:v>Volume de apa consumate- mii mc</c:v>
                </c:pt>
              </c:strCache>
            </c:strRef>
          </c:tx>
          <c:spPr>
            <a:ln w="19538">
              <a:solidFill>
                <a:srgbClr val="3366FF"/>
              </a:solidFill>
              <a:prstDash val="solid"/>
            </a:ln>
          </c:spPr>
          <c:marker>
            <c:symbol val="diamond"/>
            <c:size val="2"/>
            <c:spPr>
              <a:solidFill>
                <a:srgbClr val="3366FF"/>
              </a:solidFill>
              <a:ln>
                <a:solidFill>
                  <a:srgbClr val="3366FF"/>
                </a:solidFill>
                <a:prstDash val="solid"/>
              </a:ln>
            </c:spPr>
          </c:marker>
          <c:cat>
            <c:strRef>
              <c:f>Sheet1!$B$1:$F$2</c:f>
              <c:strCache>
                <c:ptCount val="5"/>
                <c:pt idx="0">
                  <c:v>2013</c:v>
                </c:pt>
                <c:pt idx="1">
                  <c:v>2014</c:v>
                </c:pt>
                <c:pt idx="2">
                  <c:v>2015</c:v>
                </c:pt>
                <c:pt idx="3">
                  <c:v>2016</c:v>
                </c:pt>
                <c:pt idx="4">
                  <c:v>2017</c:v>
                </c:pt>
              </c:strCache>
            </c:strRef>
          </c:cat>
          <c:val>
            <c:numRef>
              <c:f>Sheet1!$B$4:$F$4</c:f>
              <c:numCache>
                <c:formatCode>General</c:formatCode>
                <c:ptCount val="5"/>
                <c:pt idx="0">
                  <c:v>207269</c:v>
                </c:pt>
                <c:pt idx="1">
                  <c:v>155441</c:v>
                </c:pt>
                <c:pt idx="2">
                  <c:v>201791</c:v>
                </c:pt>
                <c:pt idx="3">
                  <c:v>142799</c:v>
                </c:pt>
                <c:pt idx="4">
                  <c:v>138563</c:v>
                </c:pt>
              </c:numCache>
            </c:numRef>
          </c:val>
        </c:ser>
        <c:marker val="1"/>
        <c:axId val="243704960"/>
        <c:axId val="243706880"/>
      </c:lineChart>
      <c:catAx>
        <c:axId val="243704960"/>
        <c:scaling>
          <c:orientation val="minMax"/>
        </c:scaling>
        <c:axPos val="b"/>
        <c:numFmt formatCode="General" sourceLinked="1"/>
        <c:tickLblPos val="nextTo"/>
        <c:spPr>
          <a:ln w="19538">
            <a:solidFill>
              <a:srgbClr val="000000"/>
            </a:solidFill>
            <a:prstDash val="solid"/>
          </a:ln>
        </c:spPr>
        <c:txPr>
          <a:bodyPr rot="0" vert="horz"/>
          <a:lstStyle/>
          <a:p>
            <a:pPr>
              <a:defRPr lang="en-US"/>
            </a:pPr>
            <a:endParaRPr lang="ro-RO"/>
          </a:p>
        </c:txPr>
        <c:crossAx val="243706880"/>
        <c:crosses val="autoZero"/>
        <c:auto val="1"/>
        <c:lblAlgn val="ctr"/>
        <c:lblOffset val="100"/>
        <c:tickLblSkip val="1"/>
        <c:tickMarkSkip val="1"/>
      </c:catAx>
      <c:valAx>
        <c:axId val="243706880"/>
        <c:scaling>
          <c:orientation val="minMax"/>
        </c:scaling>
        <c:axPos val="l"/>
        <c:majorGridlines>
          <c:spPr>
            <a:ln w="2443">
              <a:solidFill>
                <a:srgbClr val="000000"/>
              </a:solidFill>
              <a:prstDash val="solid"/>
            </a:ln>
          </c:spPr>
        </c:majorGridlines>
        <c:numFmt formatCode="General" sourceLinked="0"/>
        <c:tickLblPos val="nextTo"/>
        <c:spPr>
          <a:ln w="19538">
            <a:solidFill>
              <a:srgbClr val="000000"/>
            </a:solidFill>
            <a:prstDash val="solid"/>
          </a:ln>
        </c:spPr>
        <c:txPr>
          <a:bodyPr rot="0" vert="horz"/>
          <a:lstStyle/>
          <a:p>
            <a:pPr>
              <a:defRPr lang="en-US" sz="850" baseline="0"/>
            </a:pPr>
            <a:endParaRPr lang="ro-RO"/>
          </a:p>
        </c:txPr>
        <c:crossAx val="243704960"/>
        <c:crosses val="autoZero"/>
        <c:crossBetween val="between"/>
      </c:valAx>
      <c:spPr>
        <a:solidFill>
          <a:srgbClr val="DEF2F2"/>
        </a:solidFill>
        <a:ln w="25390">
          <a:noFill/>
        </a:ln>
      </c:spPr>
    </c:plotArea>
    <c:legend>
      <c:legendPos val="b"/>
      <c:layout>
        <c:manualLayout>
          <c:xMode val="edge"/>
          <c:yMode val="edge"/>
          <c:x val="0.16334996443201621"/>
          <c:y val="0.82196524704484963"/>
          <c:w val="0.81441479628130586"/>
          <c:h val="6.8073353575901052E-2"/>
        </c:manualLayout>
      </c:layout>
      <c:spPr>
        <a:noFill/>
        <a:ln w="19538">
          <a:noFill/>
        </a:ln>
      </c:spPr>
      <c:txPr>
        <a:bodyPr/>
        <a:lstStyle/>
        <a:p>
          <a:pPr>
            <a:defRPr lang="en-US"/>
          </a:pPr>
          <a:endParaRPr lang="ro-RO"/>
        </a:p>
      </c:txPr>
    </c:legend>
    <c:plotVisOnly val="1"/>
    <c:dispBlanksAs val="gap"/>
  </c:chart>
  <c:spPr>
    <a:noFill/>
    <a:ln w="6350">
      <a:solidFill>
        <a:sysClr val="windowText" lastClr="000000"/>
      </a:solidFill>
    </a:ln>
  </c:spPr>
  <c:txPr>
    <a:bodyPr/>
    <a:lstStyle/>
    <a:p>
      <a:pPr>
        <a:defRPr sz="870" b="1" i="0" u="none" strike="noStrike" baseline="0">
          <a:solidFill>
            <a:srgbClr val="000000"/>
          </a:solidFill>
          <a:latin typeface="Arial"/>
          <a:ea typeface="Arial"/>
          <a:cs typeface="Arial"/>
        </a:defRPr>
      </a:pPr>
      <a:endParaRPr lang="ro-RO"/>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125"/>
          <c:h val="0.72282608695652173"/>
        </c:manualLayout>
      </c:layout>
      <c:bar3DChart>
        <c:barDir val="col"/>
        <c:grouping val="clustered"/>
        <c:ser>
          <c:idx val="7"/>
          <c:order val="0"/>
          <c:tx>
            <c:strRef>
              <c:f>Sheet1!$A$2</c:f>
              <c:strCache>
                <c:ptCount val="1"/>
                <c:pt idx="0">
                  <c:v>Medii anuale 2017</c:v>
                </c:pt>
              </c:strCache>
            </c:strRef>
          </c:tx>
          <c:cat>
            <c:strRef>
              <c:f>Sheet1!$B$1:$E$1</c:f>
              <c:strCache>
                <c:ptCount val="4"/>
                <c:pt idx="0">
                  <c:v>BR1</c:v>
                </c:pt>
                <c:pt idx="1">
                  <c:v>BR2</c:v>
                </c:pt>
                <c:pt idx="2">
                  <c:v>BR3</c:v>
                </c:pt>
                <c:pt idx="3">
                  <c:v>BR5</c:v>
                </c:pt>
              </c:strCache>
            </c:strRef>
          </c:cat>
          <c:val>
            <c:numRef>
              <c:f>Sheet1!$B$2:$E$2</c:f>
              <c:numCache>
                <c:formatCode>General</c:formatCode>
                <c:ptCount val="4"/>
                <c:pt idx="0">
                  <c:v>2.3899999999999997</c:v>
                </c:pt>
                <c:pt idx="1">
                  <c:v>1.4</c:v>
                </c:pt>
                <c:pt idx="2">
                  <c:v>2.71</c:v>
                </c:pt>
                <c:pt idx="3">
                  <c:v>1.9100000000000001</c:v>
                </c:pt>
              </c:numCache>
            </c:numRef>
          </c:val>
        </c:ser>
        <c:gapWidth val="340"/>
        <c:gapDepth val="0"/>
        <c:shape val="box"/>
        <c:axId val="256924288"/>
        <c:axId val="258494848"/>
        <c:axId val="0"/>
      </c:bar3DChart>
      <c:catAx>
        <c:axId val="256924288"/>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8494848"/>
        <c:crosses val="autoZero"/>
        <c:auto val="1"/>
        <c:lblAlgn val="ctr"/>
        <c:lblOffset val="100"/>
        <c:tickLblSkip val="1"/>
        <c:tickMarkSkip val="1"/>
      </c:catAx>
      <c:valAx>
        <c:axId val="258494848"/>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5472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6924288"/>
        <c:crosses val="autoZero"/>
        <c:crossBetween val="between"/>
      </c:valAx>
      <c:spPr>
        <a:noFill/>
        <a:ln w="25399">
          <a:noFill/>
        </a:ln>
      </c:spPr>
    </c:plotArea>
    <c:legend>
      <c:legendPos val="r"/>
      <c:layout>
        <c:manualLayout>
          <c:xMode val="edge"/>
          <c:yMode val="edge"/>
          <c:x val="0.75862068965520146"/>
          <c:y val="0.30513245122710181"/>
          <c:w val="0.21167406705740729"/>
          <c:h val="0.19258922531590766"/>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200">
                <a:latin typeface="Arial" pitchFamily="34" charset="0"/>
                <a:cs typeface="Arial" pitchFamily="34" charset="0"/>
              </a:defRPr>
            </a:pPr>
            <a:r>
              <a:rPr lang="ro-RO" sz="1200">
                <a:latin typeface="Arial" pitchFamily="34" charset="0"/>
                <a:cs typeface="Arial" pitchFamily="34" charset="0"/>
              </a:rPr>
              <a:t>Acoperirea/utilizarea terenurilor în anul 201</a:t>
            </a:r>
            <a:r>
              <a:rPr lang="en-US" sz="1200">
                <a:latin typeface="Arial" pitchFamily="34" charset="0"/>
                <a:cs typeface="Arial" pitchFamily="34" charset="0"/>
              </a:rPr>
              <a:t>5</a:t>
            </a:r>
            <a:r>
              <a:rPr lang="ro-RO" sz="1200">
                <a:latin typeface="Arial" pitchFamily="34" charset="0"/>
                <a:cs typeface="Arial" pitchFamily="34" charset="0"/>
              </a:rPr>
              <a:t> </a:t>
            </a:r>
          </a:p>
        </c:rich>
      </c:tx>
      <c:layout>
        <c:manualLayout>
          <c:xMode val="edge"/>
          <c:yMode val="edge"/>
          <c:x val="6.5940397943651599E-2"/>
          <c:y val="3.8433947257615501E-2"/>
        </c:manualLayout>
      </c:layout>
    </c:title>
    <c:view3D>
      <c:rotX val="30"/>
      <c:perspective val="30"/>
    </c:view3D>
    <c:plotArea>
      <c:layout>
        <c:manualLayout>
          <c:layoutTarget val="inner"/>
          <c:xMode val="edge"/>
          <c:yMode val="edge"/>
          <c:x val="0.10514155141780562"/>
          <c:y val="0.33485080192468486"/>
          <c:w val="0.50946490064134631"/>
          <c:h val="0.51405390843675658"/>
        </c:manualLayout>
      </c:layout>
      <c:pie3DChart>
        <c:varyColors val="1"/>
        <c:ser>
          <c:idx val="0"/>
          <c:order val="0"/>
          <c:tx>
            <c:strRef>
              <c:f>Sheet1!$B$1</c:f>
              <c:strCache>
                <c:ptCount val="1"/>
                <c:pt idx="0">
                  <c:v>Column1</c:v>
                </c:pt>
              </c:strCache>
            </c:strRef>
          </c:tx>
          <c:dPt>
            <c:idx val="0"/>
            <c:spPr>
              <a:solidFill>
                <a:srgbClr val="C00000"/>
              </a:solidFill>
            </c:spPr>
          </c:dPt>
          <c:dPt>
            <c:idx val="1"/>
            <c:spPr>
              <a:solidFill>
                <a:srgbClr val="00B050"/>
              </a:solidFill>
            </c:spPr>
          </c:dPt>
          <c:dPt>
            <c:idx val="2"/>
            <c:spPr>
              <a:solidFill>
                <a:schemeClr val="tx2">
                  <a:lumMod val="60000"/>
                  <a:lumOff val="40000"/>
                </a:schemeClr>
              </a:solidFill>
            </c:spPr>
          </c:dPt>
          <c:dPt>
            <c:idx val="3"/>
            <c:spPr>
              <a:solidFill>
                <a:srgbClr val="FFC000"/>
              </a:solidFill>
            </c:spPr>
          </c:dPt>
          <c:dPt>
            <c:idx val="4"/>
            <c:spPr>
              <a:solidFill>
                <a:schemeClr val="accent2">
                  <a:lumMod val="60000"/>
                  <a:lumOff val="40000"/>
                </a:schemeClr>
              </a:solidFill>
            </c:spPr>
          </c:dPt>
          <c:dPt>
            <c:idx val="5"/>
            <c:spPr>
              <a:solidFill>
                <a:srgbClr val="FF0000"/>
              </a:solidFill>
            </c:spPr>
          </c:dPt>
          <c:cat>
            <c:strRef>
              <c:f>Sheet1!$A$2:$A$7</c:f>
              <c:strCache>
                <c:ptCount val="6"/>
                <c:pt idx="0">
                  <c:v>terenuri agricole</c:v>
                </c:pt>
                <c:pt idx="1">
                  <c:v>păduri</c:v>
                </c:pt>
                <c:pt idx="2">
                  <c:v>ape</c:v>
                </c:pt>
                <c:pt idx="3">
                  <c:v>drumuri și căi ferate</c:v>
                </c:pt>
                <c:pt idx="4">
                  <c:v>curți și construcții</c:v>
                </c:pt>
                <c:pt idx="5">
                  <c:v>neproductive</c:v>
                </c:pt>
              </c:strCache>
            </c:strRef>
          </c:cat>
          <c:val>
            <c:numRef>
              <c:f>Sheet1!$B$2:$B$7</c:f>
              <c:numCache>
                <c:formatCode>General</c:formatCode>
                <c:ptCount val="6"/>
                <c:pt idx="0">
                  <c:v>387363</c:v>
                </c:pt>
                <c:pt idx="1">
                  <c:v>28383</c:v>
                </c:pt>
                <c:pt idx="2">
                  <c:v>30331</c:v>
                </c:pt>
                <c:pt idx="3">
                  <c:v>8586</c:v>
                </c:pt>
                <c:pt idx="4">
                  <c:v>13294</c:v>
                </c:pt>
                <c:pt idx="5">
                  <c:v>7928</c:v>
                </c:pt>
              </c:numCache>
            </c:numRef>
          </c:val>
        </c:ser>
      </c:pie3DChart>
    </c:plotArea>
    <c:legend>
      <c:legendPos val="r"/>
      <c:layout>
        <c:manualLayout>
          <c:xMode val="edge"/>
          <c:yMode val="edge"/>
          <c:x val="0.77267634834510901"/>
          <c:y val="3.5360687012980264E-2"/>
          <c:w val="0.22325857474838987"/>
          <c:h val="0.96463947938570282"/>
        </c:manualLayout>
      </c:layout>
      <c:txPr>
        <a:bodyPr/>
        <a:lstStyle/>
        <a:p>
          <a:pPr>
            <a:defRPr lang="en-US"/>
          </a:pPr>
          <a:endParaRPr lang="ro-RO"/>
        </a:p>
      </c:txPr>
    </c:legend>
    <c:plotVisOnly val="1"/>
    <c:dispBlanksAs val="zero"/>
  </c:chart>
  <c:spPr>
    <a:solidFill>
      <a:srgbClr val="FBF3F3"/>
    </a:solidFill>
  </c:spPr>
  <c:externalData r:id="rId2"/>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91"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spPr>
        <a:noFill/>
        <a:ln w="18850">
          <a:noFill/>
        </a:ln>
      </c:spPr>
    </c:title>
    <c:view3D>
      <c:perspective val="0"/>
    </c:view3D>
    <c:plotArea>
      <c:layout>
        <c:manualLayout>
          <c:layoutTarget val="inner"/>
          <c:xMode val="edge"/>
          <c:yMode val="edge"/>
          <c:x val="0.24805858313955823"/>
          <c:y val="0.27411167512690382"/>
          <c:w val="0.47254394273052375"/>
          <c:h val="0.51588924216900633"/>
        </c:manualLayout>
      </c:layout>
      <c:pie3DChart>
        <c:varyColors val="1"/>
        <c:ser>
          <c:idx val="0"/>
          <c:order val="0"/>
          <c:tx>
            <c:strRef>
              <c:f>Sheet1!$A$2</c:f>
              <c:strCache>
                <c:ptCount val="1"/>
                <c:pt idx="0">
                  <c:v>476576</c:v>
                </c:pt>
              </c:strCache>
            </c:strRef>
          </c:tx>
          <c:spPr>
            <a:ln w="2355">
              <a:solidFill>
                <a:srgbClr val="000000"/>
              </a:solidFill>
              <a:prstDash val="solid"/>
            </a:ln>
          </c:spPr>
          <c:explosion val="8"/>
          <c:dPt>
            <c:idx val="0"/>
            <c:spPr>
              <a:solidFill>
                <a:srgbClr val="99CCFF"/>
              </a:solidFill>
              <a:ln w="18842">
                <a:noFill/>
              </a:ln>
            </c:spPr>
          </c:dPt>
          <c:dPt>
            <c:idx val="1"/>
            <c:spPr/>
          </c:dPt>
          <c:dPt>
            <c:idx val="2"/>
            <c:spPr>
              <a:solidFill>
                <a:srgbClr val="339966"/>
              </a:solidFill>
              <a:ln w="18842">
                <a:noFill/>
              </a:ln>
            </c:spPr>
          </c:dPt>
          <c:dPt>
            <c:idx val="3"/>
            <c:spPr>
              <a:solidFill>
                <a:srgbClr val="FF0000"/>
              </a:solidFill>
              <a:ln w="18842">
                <a:noFill/>
              </a:ln>
            </c:spPr>
          </c:dPt>
          <c:dLbls>
            <c:dLbl>
              <c:idx val="0"/>
              <c:delete val="1"/>
            </c:dLbl>
            <c:dLbl>
              <c:idx val="1"/>
              <c:layout>
                <c:manualLayout>
                  <c:x val="0.15788709068193676"/>
                  <c:y val="8.3433124158972707E-2"/>
                </c:manualLayout>
              </c:layout>
              <c:tx>
                <c:rich>
                  <a:bodyPr/>
                  <a:lstStyle/>
                  <a:p>
                    <a:pPr>
                      <a:defRPr lang="en-US" sz="591"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terenuri agricole</a:t>
                    </a:r>
                    <a:endParaRPr lang="ro-RO" sz="1050" b="0" i="0" strike="noStrike">
                      <a:solidFill>
                        <a:srgbClr val="000000"/>
                      </a:solidFill>
                      <a:latin typeface="Arial"/>
                      <a:cs typeface="Arial"/>
                    </a:endParaRPr>
                  </a:p>
                  <a:p>
                    <a:pPr>
                      <a:defRPr lang="en-US" sz="591"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8</a:t>
                    </a:r>
                    <a:r>
                      <a:rPr lang="en-US" sz="779" b="0" i="0" strike="noStrike">
                        <a:solidFill>
                          <a:srgbClr val="000000"/>
                        </a:solidFill>
                        <a:latin typeface="Arial"/>
                        <a:cs typeface="Arial"/>
                      </a:rPr>
                      <a:t>2</a:t>
                    </a:r>
                    <a:r>
                      <a:rPr lang="ro-RO" sz="779" b="0" i="0" strike="noStrike">
                        <a:solidFill>
                          <a:srgbClr val="000000"/>
                        </a:solidFill>
                        <a:latin typeface="Arial"/>
                        <a:cs typeface="Arial"/>
                      </a:rPr>
                      <a:t>,</a:t>
                    </a:r>
                    <a:r>
                      <a:rPr lang="en-US" sz="779" b="0" i="0" strike="noStrike">
                        <a:solidFill>
                          <a:srgbClr val="000000"/>
                        </a:solidFill>
                        <a:latin typeface="Arial"/>
                        <a:cs typeface="Arial"/>
                      </a:rPr>
                      <a:t>16</a:t>
                    </a:r>
                    <a:r>
                      <a:rPr lang="ro-RO" sz="779" b="0" i="0" strike="noStrike">
                        <a:solidFill>
                          <a:srgbClr val="000000"/>
                        </a:solidFill>
                        <a:latin typeface="Arial"/>
                        <a:cs typeface="Arial"/>
                      </a:rPr>
                      <a:t>%</a:t>
                    </a:r>
                  </a:p>
                  <a:p>
                    <a:pPr>
                      <a:defRPr lang="en-US" sz="591"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2"/>
              <c:layout>
                <c:manualLayout>
                  <c:x val="-0.10856727779876224"/>
                  <c:y val="-0.20347302558744676"/>
                </c:manualLayout>
              </c:layout>
              <c:tx>
                <c:rich>
                  <a:bodyPr/>
                  <a:lstStyle/>
                  <a:p>
                    <a:pPr>
                      <a:defRPr lang="en-US" sz="593" b="1" i="0" u="none" strike="noStrike" baseline="0">
                        <a:solidFill>
                          <a:srgbClr val="000000"/>
                        </a:solidFill>
                        <a:latin typeface="Arial"/>
                        <a:ea typeface="Arial"/>
                        <a:cs typeface="Arial"/>
                      </a:defRPr>
                    </a:pPr>
                    <a:r>
                      <a:rPr lang="vi-VN" sz="814" b="0" i="0" strike="noStrike">
                        <a:solidFill>
                          <a:srgbClr val="000000"/>
                        </a:solidFill>
                        <a:latin typeface="Arial"/>
                        <a:cs typeface="Arial"/>
                      </a:rPr>
                      <a:t>păduri</a:t>
                    </a:r>
                    <a:endParaRPr lang="vi-VN" sz="1050" b="0" i="0" strike="noStrike">
                      <a:solidFill>
                        <a:srgbClr val="000000"/>
                      </a:solidFill>
                      <a:latin typeface="Arial"/>
                      <a:cs typeface="Arial"/>
                    </a:endParaRPr>
                  </a:p>
                  <a:p>
                    <a:pPr>
                      <a:defRPr lang="en-US" sz="593" b="1" i="0" u="none" strike="noStrike" baseline="0">
                        <a:solidFill>
                          <a:srgbClr val="000000"/>
                        </a:solidFill>
                        <a:latin typeface="Arial"/>
                        <a:ea typeface="Arial"/>
                        <a:cs typeface="Arial"/>
                      </a:defRPr>
                    </a:pPr>
                    <a:r>
                      <a:rPr lang="vi-VN" sz="779" b="0" i="0" strike="noStrike">
                        <a:solidFill>
                          <a:srgbClr val="000000"/>
                        </a:solidFill>
                        <a:latin typeface="Arial"/>
                        <a:cs typeface="Arial"/>
                      </a:rPr>
                      <a:t>6,</a:t>
                    </a:r>
                    <a:r>
                      <a:rPr lang="ro-RO" sz="779" b="0" i="0" strike="noStrike">
                        <a:solidFill>
                          <a:srgbClr val="000000"/>
                        </a:solidFill>
                        <a:latin typeface="Arial"/>
                        <a:cs typeface="Arial"/>
                      </a:rPr>
                      <a:t>3</a:t>
                    </a:r>
                    <a:r>
                      <a:rPr lang="vi-VN" sz="779" b="0" i="0" strike="noStrike">
                        <a:solidFill>
                          <a:srgbClr val="000000"/>
                        </a:solidFill>
                        <a:latin typeface="Arial"/>
                        <a:cs typeface="Arial"/>
                      </a:rPr>
                      <a:t>%</a:t>
                    </a:r>
                  </a:p>
                </c:rich>
              </c:tx>
              <c:spPr>
                <a:solidFill>
                  <a:srgbClr val="FBF3F3"/>
                </a:solidFill>
                <a:ln w="18842">
                  <a:noFill/>
                </a:ln>
              </c:spPr>
              <c:dLblPos val="bestFit"/>
            </c:dLbl>
            <c:dLbl>
              <c:idx val="3"/>
              <c:layout>
                <c:manualLayout>
                  <c:x val="0.13025218569188651"/>
                  <c:y val="-5.9214977281919032E-2"/>
                </c:manualLayout>
              </c:layout>
              <c:tx>
                <c:rich>
                  <a:bodyPr/>
                  <a:lstStyle/>
                  <a:p>
                    <a:pPr>
                      <a:defRPr lang="en-US" sz="592"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alte terenuri</a:t>
                    </a:r>
                    <a:endParaRPr lang="ro-RO" sz="1050" b="0" i="0" strike="noStrike">
                      <a:solidFill>
                        <a:srgbClr val="000000"/>
                      </a:solidFill>
                      <a:latin typeface="Arial"/>
                      <a:cs typeface="Arial"/>
                    </a:endParaRPr>
                  </a:p>
                  <a:p>
                    <a:pPr>
                      <a:defRPr lang="en-US" sz="592"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11,89%</a:t>
                    </a:r>
                  </a:p>
                  <a:p>
                    <a:pPr>
                      <a:defRPr lang="en-US" sz="592"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4"/>
              <c:delete val="1"/>
            </c:dLbl>
            <c:dLbl>
              <c:idx val="5"/>
              <c:layout>
                <c:manualLayout>
                  <c:xMode val="edge"/>
                  <c:yMode val="edge"/>
                  <c:x val="0.81796690307328601"/>
                  <c:y val="0.56140350877190237"/>
                </c:manualLayout>
              </c:layout>
              <c:tx>
                <c:rich>
                  <a:bodyPr/>
                  <a:lstStyle/>
                  <a:p>
                    <a:pPr>
                      <a:defRPr lang="en-US" sz="349" b="0" i="1" u="none" strike="noStrike" baseline="0">
                        <a:solidFill>
                          <a:srgbClr val="000000"/>
                        </a:solidFill>
                        <a:latin typeface="Arial"/>
                        <a:ea typeface="Arial"/>
                        <a:cs typeface="Arial"/>
                      </a:defRPr>
                    </a:pPr>
                    <a:r>
                      <a:t>  fâneţe
0,02%</a:t>
                    </a:r>
                  </a:p>
                </c:rich>
              </c:tx>
              <c:numFmt formatCode="0%" sourceLinked="0"/>
              <c:spPr>
                <a:solidFill>
                  <a:srgbClr val="FBF3F3"/>
                </a:solidFill>
                <a:ln w="18842">
                  <a:noFill/>
                </a:ln>
              </c:spPr>
              <c:dLblPos val="bestFit"/>
            </c:dLbl>
            <c:numFmt formatCode="0%" sourceLinked="0"/>
            <c:spPr>
              <a:solidFill>
                <a:srgbClr val="FBF3F3"/>
              </a:solidFill>
              <a:ln w="18842">
                <a:noFill/>
              </a:ln>
            </c:spPr>
            <c:txPr>
              <a:bodyPr/>
              <a:lstStyle/>
              <a:p>
                <a:pPr>
                  <a:defRPr lang="en-US" sz="779" b="0" i="0" u="none" strike="noStrike" baseline="0">
                    <a:solidFill>
                      <a:srgbClr val="000000"/>
                    </a:solidFill>
                    <a:latin typeface="Arial"/>
                    <a:ea typeface="Arial"/>
                    <a:cs typeface="Arial"/>
                  </a:defRPr>
                </a:pPr>
                <a:endParaRPr lang="ro-RO"/>
              </a:p>
            </c:txPr>
            <c:showCatName val="1"/>
            <c:showPercent val="1"/>
            <c:showLeaderLines val="1"/>
            <c:leaderLines>
              <c:spPr>
                <a:ln w="9422">
                  <a:solidFill>
                    <a:srgbClr val="000000"/>
                  </a:solidFill>
                  <a:prstDash val="solid"/>
                </a:ln>
              </c:spPr>
            </c:leaderLines>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ser>
        <c:dLbls>
          <c:showCatName val="1"/>
          <c:showPercent val="1"/>
        </c:dLbls>
      </c:pie3DChart>
      <c:spPr>
        <a:solidFill>
          <a:srgbClr val="FBF3F3"/>
        </a:solidFill>
        <a:ln w="18842">
          <a:noFill/>
        </a:ln>
        <a:effectLst>
          <a:outerShdw blurRad="50800" dist="50800" dir="5400000" algn="ctr" rotWithShape="0">
            <a:srgbClr val="FBF3F3"/>
          </a:outerShdw>
        </a:effectLst>
      </c:spPr>
    </c:plotArea>
    <c:plotVisOnly val="1"/>
    <c:dispBlanksAs val="zero"/>
  </c:chart>
  <c:spPr>
    <a:solidFill>
      <a:srgbClr val="FBF3F3"/>
    </a:solidFill>
    <a:ln>
      <a:solidFill>
        <a:sysClr val="windowText" lastClr="000000"/>
      </a:solidFill>
    </a:ln>
  </c:spPr>
  <c:txPr>
    <a:bodyPr/>
    <a:lstStyle/>
    <a:p>
      <a:pPr>
        <a:defRPr sz="594" b="1" i="0" u="none" strike="noStrike" baseline="0">
          <a:solidFill>
            <a:srgbClr val="000000"/>
          </a:solidFill>
          <a:latin typeface="Arial"/>
          <a:ea typeface="Arial"/>
          <a:cs typeface="Arial"/>
        </a:defRPr>
      </a:pPr>
      <a:endParaRPr lang="ro-RO"/>
    </a:p>
  </c:txPr>
  <c:externalData r:id="rId2"/>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perspective val="0"/>
    </c:view3D>
    <c:plotArea>
      <c:layout>
        <c:manualLayout>
          <c:layoutTarget val="inner"/>
          <c:xMode val="edge"/>
          <c:yMode val="edge"/>
          <c:x val="0.20932973618000042"/>
          <c:y val="0.33960018038125789"/>
          <c:w val="0.56457490747160799"/>
          <c:h val="0.60141459331828762"/>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5163"/>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89,68%</a:t>
                    </a:r>
                  </a:p>
                </c:rich>
              </c:tx>
              <c:spPr>
                <a:solidFill>
                  <a:srgbClr val="DBE6C4">
                    <a:alpha val="15000"/>
                  </a:srgbClr>
                </a:solidFill>
                <a:ln w="17318">
                  <a:noFill/>
                </a:ln>
              </c:spPr>
              <c:dLblPos val="bestFit"/>
            </c:dLbl>
            <c:dLbl>
              <c:idx val="2"/>
              <c:layout>
                <c:manualLayout>
                  <c:x val="-0.14784960055584281"/>
                  <c:y val="-4.8417651501412133E-2"/>
                </c:manualLayout>
              </c:layout>
              <c:tx>
                <c:rich>
                  <a:bodyPr/>
                  <a:lstStyle/>
                  <a:p>
                    <a:pPr>
                      <a:defRPr lang="en-US"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lang="en-US"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en-US" sz="813" b="1" i="0" strike="noStrike">
                        <a:solidFill>
                          <a:srgbClr val="000000"/>
                        </a:solidFill>
                        <a:latin typeface="Arial"/>
                        <a:cs typeface="Arial"/>
                      </a:rPr>
                      <a:t>36</a:t>
                    </a:r>
                    <a:r>
                      <a:rPr lang="vi-VN" sz="813" b="1" i="0" strike="noStrike">
                        <a:solidFill>
                          <a:srgbClr val="000000"/>
                        </a:solidFill>
                        <a:latin typeface="Arial"/>
                        <a:cs typeface="Arial"/>
                      </a:rPr>
                      <a:t>%</a:t>
                    </a:r>
                  </a:p>
                </c:rich>
              </c:tx>
              <c:spPr>
                <a:solidFill>
                  <a:srgbClr val="DBE6C4">
                    <a:alpha val="15000"/>
                  </a:srgbClr>
                </a:solidFill>
                <a:ln w="17318">
                  <a:noFill/>
                </a:ln>
              </c:spPr>
              <c:dLblPos val="bestFit"/>
            </c:dLbl>
            <c:dLbl>
              <c:idx val="3"/>
              <c:layout>
                <c:manualLayout>
                  <c:x val="-3.0233806981025565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1,72%</a:t>
                    </a:r>
                  </a:p>
                </c:rich>
              </c:tx>
              <c:spPr>
                <a:solidFill>
                  <a:srgbClr val="DBE6C4">
                    <a:alpha val="15000"/>
                  </a:srgbClr>
                </a:solidFill>
                <a:ln w="17318">
                  <a:noFill/>
                </a:ln>
              </c:spPr>
              <c:dLblPos val="bestFi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0,24%</a:t>
                    </a:r>
                  </a:p>
                </c:rich>
              </c:tx>
              <c:spPr>
                <a:solidFill>
                  <a:srgbClr val="DBE6C4">
                    <a:alpha val="15000"/>
                  </a:srgbClr>
                </a:solidFill>
                <a:ln w="17318">
                  <a:noFill/>
                </a:ln>
              </c:spPr>
              <c:dLblPos val="bestFit"/>
            </c:dLbl>
            <c:dLbl>
              <c:idx val="5"/>
              <c:delete val="1"/>
            </c:dLbl>
            <c:numFmt formatCode="0%" sourceLinked="0"/>
            <c:spPr>
              <a:solidFill>
                <a:srgbClr val="DBE6C4">
                  <a:alpha val="15000"/>
                </a:srgbClr>
              </a:solidFill>
              <a:ln w="17318">
                <a:noFill/>
              </a:ln>
            </c:spPr>
            <c:txPr>
              <a:bodyPr/>
              <a:lstStyle/>
              <a:p>
                <a:pPr>
                  <a:defRPr lang="en-US"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DBE6C4"/>
        </a:solidFill>
        <a:ln w="17318">
          <a:noFill/>
        </a:ln>
      </c:spPr>
    </c:plotArea>
    <c:plotVisOnly val="1"/>
    <c:dispBlanksAs val="zero"/>
  </c:chart>
  <c:spPr>
    <a:solidFill>
      <a:srgbClr val="DBE6C4">
        <a:alpha val="46000"/>
      </a:srgbClr>
    </a:solidFill>
    <a:ln>
      <a:solidFill>
        <a:sysClr val="windowText" lastClr="000000"/>
      </a:solid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226E-2"/>
          <c:w val="0.60899322192241967"/>
          <c:h val="0.70639481478420063"/>
        </c:manualLayout>
      </c:layout>
      <c:barChart>
        <c:barDir val="col"/>
        <c:grouping val="clustered"/>
        <c:ser>
          <c:idx val="0"/>
          <c:order val="0"/>
          <c:tx>
            <c:strRef>
              <c:f>Sheet1!$B$1</c:f>
              <c:strCache>
                <c:ptCount val="1"/>
                <c:pt idx="0">
                  <c:v>Terenuri agricole</c:v>
                </c:pt>
              </c:strCache>
            </c:strRef>
          </c:tx>
          <c:spPr>
            <a:solidFill>
              <a:srgbClr val="C00000"/>
            </a:solidFill>
          </c:spPr>
          <c:dLbls>
            <c:txPr>
              <a:bodyPr/>
              <a:lstStyle/>
              <a:p>
                <a:pPr>
                  <a:defRPr lang="en-US"/>
                </a:pPr>
                <a:endParaRPr lang="ro-RO"/>
              </a:p>
            </c:txPr>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Păduri</c:v>
                </c:pt>
              </c:strCache>
            </c:strRef>
          </c:tx>
          <c:spPr>
            <a:solidFill>
              <a:srgbClr val="00B050"/>
            </a:solidFill>
          </c:spPr>
          <c:dLbls>
            <c:txPr>
              <a:bodyPr/>
              <a:lstStyle/>
              <a:p>
                <a:pPr>
                  <a:defRPr lang="en-US"/>
                </a:pPr>
                <a:endParaRPr lang="ro-RO"/>
              </a:p>
            </c:txPr>
            <c:showVal val="1"/>
          </c:dLbls>
          <c:cat>
            <c:numRef>
              <c:f>Sheet1!$A$2</c:f>
              <c:numCache>
                <c:formatCode>General</c:formatCode>
                <c:ptCount val="1"/>
              </c:numCache>
            </c:numRef>
          </c:cat>
          <c:val>
            <c:numRef>
              <c:f>Sheet1!$C$2</c:f>
              <c:numCache>
                <c:formatCode>General</c:formatCode>
                <c:ptCount val="1"/>
                <c:pt idx="0">
                  <c:v>1664</c:v>
                </c:pt>
              </c:numCache>
            </c:numRef>
          </c:val>
        </c:ser>
        <c:ser>
          <c:idx val="2"/>
          <c:order val="2"/>
          <c:tx>
            <c:strRef>
              <c:f>Sheet1!$D$1</c:f>
              <c:strCache>
                <c:ptCount val="1"/>
                <c:pt idx="0">
                  <c:v>Ape</c:v>
                </c:pt>
              </c:strCache>
            </c:strRef>
          </c:tx>
          <c:spPr>
            <a:solidFill>
              <a:schemeClr val="accent1"/>
            </a:solidFill>
          </c:spPr>
          <c:dLbls>
            <c:txPr>
              <a:bodyPr/>
              <a:lstStyle/>
              <a:p>
                <a:pPr>
                  <a:defRPr lang="en-US"/>
                </a:pPr>
                <a:endParaRPr lang="ro-RO"/>
              </a:p>
            </c:txPr>
            <c:showVal val="1"/>
          </c:dLbls>
          <c:cat>
            <c:numRef>
              <c:f>Sheet1!$A$2</c:f>
              <c:numCache>
                <c:formatCode>General</c:formatCode>
                <c:ptCount val="1"/>
              </c:numCache>
            </c:numRef>
          </c:cat>
          <c:val>
            <c:numRef>
              <c:f>Sheet1!$D$2</c:f>
              <c:numCache>
                <c:formatCode>General</c:formatCode>
                <c:ptCount val="1"/>
                <c:pt idx="0">
                  <c:v>-4255</c:v>
                </c:pt>
              </c:numCache>
            </c:numRef>
          </c:val>
        </c:ser>
        <c:ser>
          <c:idx val="3"/>
          <c:order val="3"/>
          <c:tx>
            <c:strRef>
              <c:f>Sheet1!$E$1</c:f>
              <c:strCache>
                <c:ptCount val="1"/>
                <c:pt idx="0">
                  <c:v>Drumuri și căi ferate</c:v>
                </c:pt>
              </c:strCache>
            </c:strRef>
          </c:tx>
          <c:spPr>
            <a:solidFill>
              <a:srgbClr val="FFC000"/>
            </a:solidFill>
          </c:spPr>
          <c:dLbls>
            <c:txPr>
              <a:bodyPr/>
              <a:lstStyle/>
              <a:p>
                <a:pPr>
                  <a:defRPr lang="en-US"/>
                </a:pPr>
                <a:endParaRPr lang="ro-RO"/>
              </a:p>
            </c:txPr>
            <c:showVal val="1"/>
          </c:dLbls>
          <c:cat>
            <c:numRef>
              <c:f>Sheet1!$A$2</c:f>
              <c:numCache>
                <c:formatCode>General</c:formatCode>
                <c:ptCount val="1"/>
              </c:numCache>
            </c:numRef>
          </c:cat>
          <c:val>
            <c:numRef>
              <c:f>Sheet1!$E$2</c:f>
              <c:numCache>
                <c:formatCode>General</c:formatCode>
                <c:ptCount val="1"/>
                <c:pt idx="0">
                  <c:v>-451</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txPr>
              <a:bodyPr/>
              <a:lstStyle/>
              <a:p>
                <a:pPr>
                  <a:defRPr lang="en-US"/>
                </a:pPr>
                <a:endParaRPr lang="ro-RO"/>
              </a:p>
            </c:txPr>
            <c:showVal val="1"/>
          </c:dLbls>
          <c:cat>
            <c:numRef>
              <c:f>Sheet1!$A$2</c:f>
              <c:numCache>
                <c:formatCode>General</c:formatCode>
                <c:ptCount val="1"/>
              </c:numCache>
            </c:numRef>
          </c:cat>
          <c:val>
            <c:numRef>
              <c:f>Sheet1!$F$2</c:f>
              <c:numCache>
                <c:formatCode>General</c:formatCode>
                <c:ptCount val="1"/>
                <c:pt idx="0">
                  <c:v>1036</c:v>
                </c:pt>
              </c:numCache>
            </c:numRef>
          </c:val>
        </c:ser>
        <c:ser>
          <c:idx val="5"/>
          <c:order val="5"/>
          <c:tx>
            <c:strRef>
              <c:f>Sheet1!$G$1</c:f>
              <c:strCache>
                <c:ptCount val="1"/>
                <c:pt idx="0">
                  <c:v>Terenuri neproductive</c:v>
                </c:pt>
              </c:strCache>
            </c:strRef>
          </c:tx>
          <c:spPr>
            <a:solidFill>
              <a:srgbClr val="FF0000"/>
            </a:solidFill>
          </c:spPr>
          <c:dLbls>
            <c:txPr>
              <a:bodyPr/>
              <a:lstStyle/>
              <a:p>
                <a:pPr>
                  <a:defRPr lang="en-US"/>
                </a:pPr>
                <a:endParaRPr lang="ro-RO"/>
              </a:p>
            </c:txPr>
            <c:showVal val="1"/>
          </c:dLbls>
          <c:cat>
            <c:numRef>
              <c:f>Sheet1!$A$2</c:f>
              <c:numCache>
                <c:formatCode>General</c:formatCode>
                <c:ptCount val="1"/>
              </c:numCache>
            </c:numRef>
          </c:cat>
          <c:val>
            <c:numRef>
              <c:f>Sheet1!$G$2</c:f>
              <c:numCache>
                <c:formatCode>General</c:formatCode>
                <c:ptCount val="1"/>
                <c:pt idx="0">
                  <c:v>-542</c:v>
                </c:pt>
              </c:numCache>
            </c:numRef>
          </c:val>
        </c:ser>
        <c:axId val="244563328"/>
        <c:axId val="244741248"/>
      </c:barChart>
      <c:catAx>
        <c:axId val="244563328"/>
        <c:scaling>
          <c:orientation val="minMax"/>
        </c:scaling>
        <c:axPos val="b"/>
        <c:numFmt formatCode="General" sourceLinked="1"/>
        <c:tickLblPos val="nextTo"/>
        <c:txPr>
          <a:bodyPr/>
          <a:lstStyle/>
          <a:p>
            <a:pPr>
              <a:defRPr lang="en-US"/>
            </a:pPr>
            <a:endParaRPr lang="ro-RO"/>
          </a:p>
        </c:txPr>
        <c:crossAx val="244741248"/>
        <c:crosses val="autoZero"/>
        <c:auto val="1"/>
        <c:lblAlgn val="ctr"/>
        <c:lblOffset val="100"/>
      </c:catAx>
      <c:valAx>
        <c:axId val="244741248"/>
        <c:scaling>
          <c:orientation val="minMax"/>
        </c:scaling>
        <c:axPos val="l"/>
        <c:majorGridlines/>
        <c:numFmt formatCode="General" sourceLinked="1"/>
        <c:tickLblPos val="nextTo"/>
        <c:txPr>
          <a:bodyPr/>
          <a:lstStyle/>
          <a:p>
            <a:pPr>
              <a:defRPr lang="en-US"/>
            </a:pPr>
            <a:endParaRPr lang="ro-RO"/>
          </a:p>
        </c:txPr>
        <c:crossAx val="244563328"/>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6053"/>
          <c:y val="0.13508960492007155"/>
          <c:w val="0.22436446437288271"/>
          <c:h val="0.78201384462594259"/>
        </c:manualLayout>
      </c:layout>
      <c:txPr>
        <a:bodyPr/>
        <a:lstStyle/>
        <a:p>
          <a:pPr>
            <a:defRPr lang="en-US"/>
          </a:pPr>
          <a:endParaRPr lang="ro-RO"/>
        </a:p>
      </c:txPr>
    </c:legend>
    <c:plotVisOnly val="1"/>
    <c:dispBlanksAs val="gap"/>
  </c:chart>
  <c:spPr>
    <a:solidFill>
      <a:srgbClr val="DBE6C4">
        <a:alpha val="50000"/>
      </a:srgbClr>
    </a:solidFill>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2322E-2"/>
          <c:w val="0.60899322192241967"/>
          <c:h val="0.88921965251130564"/>
        </c:manualLayout>
      </c:layout>
      <c:barChart>
        <c:barDir val="col"/>
        <c:grouping val="clustered"/>
        <c:ser>
          <c:idx val="0"/>
          <c:order val="0"/>
          <c:tx>
            <c:strRef>
              <c:f>Sheet1!$B$1</c:f>
              <c:strCache>
                <c:ptCount val="1"/>
                <c:pt idx="0">
                  <c:v>Terenuri agricole</c:v>
                </c:pt>
              </c:strCache>
            </c:strRef>
          </c:tx>
          <c:spPr>
            <a:solidFill>
              <a:srgbClr val="C00000"/>
            </a:solidFill>
          </c:spPr>
          <c:dLbls>
            <c:txPr>
              <a:bodyPr/>
              <a:lstStyle/>
              <a:p>
                <a:pPr>
                  <a:defRPr lang="en-US"/>
                </a:pPr>
                <a:endParaRPr lang="ro-RO"/>
              </a:p>
            </c:txPr>
            <c:showVal val="1"/>
          </c:dLbls>
          <c:cat>
            <c:numRef>
              <c:f>Sheet1!$A$2</c:f>
              <c:numCache>
                <c:formatCode>General</c:formatCode>
                <c:ptCount val="1"/>
              </c:numCache>
            </c:numRef>
          </c:cat>
          <c:val>
            <c:numRef>
              <c:f>Sheet1!$B$2</c:f>
              <c:numCache>
                <c:formatCode>General</c:formatCode>
                <c:ptCount val="1"/>
                <c:pt idx="0">
                  <c:v>0.65000000000000802</c:v>
                </c:pt>
              </c:numCache>
            </c:numRef>
          </c:val>
        </c:ser>
        <c:ser>
          <c:idx val="1"/>
          <c:order val="1"/>
          <c:tx>
            <c:strRef>
              <c:f>Sheet1!$C$1</c:f>
              <c:strCache>
                <c:ptCount val="1"/>
                <c:pt idx="0">
                  <c:v>Păduri</c:v>
                </c:pt>
              </c:strCache>
            </c:strRef>
          </c:tx>
          <c:spPr>
            <a:solidFill>
              <a:srgbClr val="00B050"/>
            </a:solidFill>
          </c:spPr>
          <c:dLbls>
            <c:txPr>
              <a:bodyPr/>
              <a:lstStyle/>
              <a:p>
                <a:pPr>
                  <a:defRPr lang="en-US"/>
                </a:pPr>
                <a:endParaRPr lang="ro-RO"/>
              </a:p>
            </c:txPr>
            <c:showVal val="1"/>
          </c:dLbls>
          <c:cat>
            <c:numRef>
              <c:f>Sheet1!$A$2</c:f>
              <c:numCache>
                <c:formatCode>General</c:formatCode>
                <c:ptCount val="1"/>
              </c:numCache>
            </c:numRef>
          </c:cat>
          <c:val>
            <c:numRef>
              <c:f>Sheet1!$C$2</c:f>
              <c:numCache>
                <c:formatCode>General</c:formatCode>
                <c:ptCount val="1"/>
                <c:pt idx="0">
                  <c:v>5.8599999999999985</c:v>
                </c:pt>
              </c:numCache>
            </c:numRef>
          </c:val>
        </c:ser>
        <c:ser>
          <c:idx val="2"/>
          <c:order val="2"/>
          <c:tx>
            <c:strRef>
              <c:f>Sheet1!$D$1</c:f>
              <c:strCache>
                <c:ptCount val="1"/>
                <c:pt idx="0">
                  <c:v>Ape</c:v>
                </c:pt>
              </c:strCache>
            </c:strRef>
          </c:tx>
          <c:spPr>
            <a:solidFill>
              <a:schemeClr val="accent1"/>
            </a:solidFill>
          </c:spPr>
          <c:dLbls>
            <c:txPr>
              <a:bodyPr/>
              <a:lstStyle/>
              <a:p>
                <a:pPr>
                  <a:defRPr lang="en-US"/>
                </a:pPr>
                <a:endParaRPr lang="ro-RO"/>
              </a:p>
            </c:txPr>
            <c:showVal val="1"/>
          </c:dLbls>
          <c:cat>
            <c:numRef>
              <c:f>Sheet1!$A$2</c:f>
              <c:numCache>
                <c:formatCode>General</c:formatCode>
                <c:ptCount val="1"/>
              </c:numCache>
            </c:numRef>
          </c:cat>
          <c:val>
            <c:numRef>
              <c:f>Sheet1!$D$2</c:f>
              <c:numCache>
                <c:formatCode>General</c:formatCode>
                <c:ptCount val="1"/>
                <c:pt idx="0">
                  <c:v>-13.860000000000024</c:v>
                </c:pt>
              </c:numCache>
            </c:numRef>
          </c:val>
        </c:ser>
        <c:ser>
          <c:idx val="3"/>
          <c:order val="3"/>
          <c:tx>
            <c:strRef>
              <c:f>Sheet1!$E$1</c:f>
              <c:strCache>
                <c:ptCount val="1"/>
                <c:pt idx="0">
                  <c:v>Drumuri și căi ferate</c:v>
                </c:pt>
              </c:strCache>
            </c:strRef>
          </c:tx>
          <c:spPr>
            <a:solidFill>
              <a:srgbClr val="FFC000"/>
            </a:solidFill>
          </c:spPr>
          <c:dLbls>
            <c:txPr>
              <a:bodyPr/>
              <a:lstStyle/>
              <a:p>
                <a:pPr>
                  <a:defRPr lang="en-US"/>
                </a:pPr>
                <a:endParaRPr lang="ro-RO"/>
              </a:p>
            </c:txPr>
            <c:showVal val="1"/>
          </c:dLbls>
          <c:cat>
            <c:numRef>
              <c:f>Sheet1!$A$2</c:f>
              <c:numCache>
                <c:formatCode>General</c:formatCode>
                <c:ptCount val="1"/>
              </c:numCache>
            </c:numRef>
          </c:cat>
          <c:val>
            <c:numRef>
              <c:f>Sheet1!$E$2</c:f>
              <c:numCache>
                <c:formatCode>General</c:formatCode>
                <c:ptCount val="1"/>
                <c:pt idx="0">
                  <c:v>-5.25</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txPr>
              <a:bodyPr/>
              <a:lstStyle/>
              <a:p>
                <a:pPr>
                  <a:defRPr lang="en-US"/>
                </a:pPr>
                <a:endParaRPr lang="ro-RO"/>
              </a:p>
            </c:txPr>
            <c:showVal val="1"/>
          </c:dLbls>
          <c:cat>
            <c:numRef>
              <c:f>Sheet1!$A$2</c:f>
              <c:numCache>
                <c:formatCode>General</c:formatCode>
                <c:ptCount val="1"/>
              </c:numCache>
            </c:numRef>
          </c:cat>
          <c:val>
            <c:numRef>
              <c:f>Sheet1!$F$2</c:f>
              <c:numCache>
                <c:formatCode>General</c:formatCode>
                <c:ptCount val="1"/>
                <c:pt idx="0">
                  <c:v>7.9300000000000024</c:v>
                </c:pt>
              </c:numCache>
            </c:numRef>
          </c:val>
        </c:ser>
        <c:ser>
          <c:idx val="5"/>
          <c:order val="5"/>
          <c:tx>
            <c:strRef>
              <c:f>Sheet1!$G$1</c:f>
              <c:strCache>
                <c:ptCount val="1"/>
                <c:pt idx="0">
                  <c:v>Terenuri neproductive</c:v>
                </c:pt>
              </c:strCache>
            </c:strRef>
          </c:tx>
          <c:spPr>
            <a:solidFill>
              <a:srgbClr val="FF0000"/>
            </a:solidFill>
          </c:spPr>
          <c:dLbls>
            <c:txPr>
              <a:bodyPr/>
              <a:lstStyle/>
              <a:p>
                <a:pPr>
                  <a:defRPr lang="en-US"/>
                </a:pPr>
                <a:endParaRPr lang="ro-RO"/>
              </a:p>
            </c:txPr>
            <c:showVal val="1"/>
          </c:dLbls>
          <c:cat>
            <c:numRef>
              <c:f>Sheet1!$A$2</c:f>
              <c:numCache>
                <c:formatCode>General</c:formatCode>
                <c:ptCount val="1"/>
              </c:numCache>
            </c:numRef>
          </c:cat>
          <c:val>
            <c:numRef>
              <c:f>Sheet1!$G$2</c:f>
              <c:numCache>
                <c:formatCode>General</c:formatCode>
                <c:ptCount val="1"/>
                <c:pt idx="0">
                  <c:v>-6.3599999999999985</c:v>
                </c:pt>
              </c:numCache>
            </c:numRef>
          </c:val>
        </c:ser>
        <c:axId val="244851456"/>
        <c:axId val="244852992"/>
      </c:barChart>
      <c:catAx>
        <c:axId val="244851456"/>
        <c:scaling>
          <c:orientation val="minMax"/>
        </c:scaling>
        <c:axPos val="b"/>
        <c:numFmt formatCode="General" sourceLinked="1"/>
        <c:tickLblPos val="nextTo"/>
        <c:txPr>
          <a:bodyPr/>
          <a:lstStyle/>
          <a:p>
            <a:pPr>
              <a:defRPr lang="en-US"/>
            </a:pPr>
            <a:endParaRPr lang="ro-RO"/>
          </a:p>
        </c:txPr>
        <c:crossAx val="244852992"/>
        <c:crosses val="autoZero"/>
        <c:auto val="1"/>
        <c:lblAlgn val="ctr"/>
        <c:lblOffset val="100"/>
      </c:catAx>
      <c:valAx>
        <c:axId val="244852992"/>
        <c:scaling>
          <c:orientation val="minMax"/>
        </c:scaling>
        <c:axPos val="l"/>
        <c:majorGridlines/>
        <c:numFmt formatCode="General" sourceLinked="1"/>
        <c:tickLblPos val="nextTo"/>
        <c:txPr>
          <a:bodyPr/>
          <a:lstStyle/>
          <a:p>
            <a:pPr>
              <a:defRPr lang="en-US"/>
            </a:pPr>
            <a:endParaRPr lang="ro-RO"/>
          </a:p>
        </c:txPr>
        <c:crossAx val="244851456"/>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6086"/>
          <c:y val="0.13508960492007155"/>
          <c:w val="0.22436446437288271"/>
          <c:h val="0.78174576265410034"/>
        </c:manualLayout>
      </c:layout>
      <c:txPr>
        <a:bodyPr/>
        <a:lstStyle/>
        <a:p>
          <a:pPr>
            <a:defRPr lang="en-US"/>
          </a:pPr>
          <a:endParaRPr lang="ro-RO"/>
        </a:p>
      </c:txPr>
    </c:legend>
    <c:plotVisOnly val="1"/>
    <c:dispBlanksAs val="gap"/>
  </c:chart>
  <c:spPr>
    <a:solidFill>
      <a:srgbClr val="DBE6C4">
        <a:alpha val="47000"/>
      </a:srgbClr>
    </a:solidFill>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0607103548460932"/>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txPr>
              <a:bodyPr/>
              <a:lstStyle/>
              <a:p>
                <a:pPr>
                  <a:defRPr lang="en-US"/>
                </a:pPr>
                <a:endParaRPr lang="ro-RO"/>
              </a:p>
            </c:txPr>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Pășuni</c:v>
                </c:pt>
              </c:strCache>
            </c:strRef>
          </c:tx>
          <c:spPr>
            <a:solidFill>
              <a:srgbClr val="00B050"/>
            </a:solidFill>
          </c:spPr>
          <c:dLbls>
            <c:txPr>
              <a:bodyPr/>
              <a:lstStyle/>
              <a:p>
                <a:pPr>
                  <a:defRPr lang="en-US"/>
                </a:pPr>
                <a:endParaRPr lang="ro-RO"/>
              </a:p>
            </c:txPr>
            <c:showVal val="1"/>
          </c:dLbls>
          <c:cat>
            <c:numRef>
              <c:f>Sheet1!$A$2</c:f>
              <c:numCache>
                <c:formatCode>General</c:formatCode>
                <c:ptCount val="1"/>
              </c:numCache>
            </c:numRef>
          </c:cat>
          <c:val>
            <c:numRef>
              <c:f>Sheet1!$C$2</c:f>
              <c:numCache>
                <c:formatCode>General</c:formatCode>
                <c:ptCount val="1"/>
                <c:pt idx="0">
                  <c:v>1418</c:v>
                </c:pt>
              </c:numCache>
            </c:numRef>
          </c:val>
        </c:ser>
        <c:ser>
          <c:idx val="2"/>
          <c:order val="2"/>
          <c:tx>
            <c:strRef>
              <c:f>Sheet1!$D$1</c:f>
              <c:strCache>
                <c:ptCount val="1"/>
                <c:pt idx="0">
                  <c:v>Vii</c:v>
                </c:pt>
              </c:strCache>
            </c:strRef>
          </c:tx>
          <c:spPr>
            <a:solidFill>
              <a:schemeClr val="accent1"/>
            </a:solidFill>
          </c:spPr>
          <c:dLbls>
            <c:txPr>
              <a:bodyPr/>
              <a:lstStyle/>
              <a:p>
                <a:pPr>
                  <a:defRPr lang="en-US"/>
                </a:pPr>
                <a:endParaRPr lang="ro-RO"/>
              </a:p>
            </c:txPr>
            <c:showVal val="1"/>
          </c:dLbls>
          <c:cat>
            <c:numRef>
              <c:f>Sheet1!$A$2</c:f>
              <c:numCache>
                <c:formatCode>General</c:formatCode>
                <c:ptCount val="1"/>
              </c:numCache>
            </c:numRef>
          </c:cat>
          <c:val>
            <c:numRef>
              <c:f>Sheet1!$D$2</c:f>
              <c:numCache>
                <c:formatCode>General</c:formatCode>
                <c:ptCount val="1"/>
                <c:pt idx="0">
                  <c:v>-242</c:v>
                </c:pt>
              </c:numCache>
            </c:numRef>
          </c:val>
        </c:ser>
        <c:ser>
          <c:idx val="3"/>
          <c:order val="3"/>
          <c:tx>
            <c:strRef>
              <c:f>Sheet1!$E$1</c:f>
              <c:strCache>
                <c:ptCount val="1"/>
                <c:pt idx="0">
                  <c:v>Livezi</c:v>
                </c:pt>
              </c:strCache>
            </c:strRef>
          </c:tx>
          <c:spPr>
            <a:solidFill>
              <a:srgbClr val="FFC000"/>
            </a:solidFill>
          </c:spPr>
          <c:dLbls>
            <c:txPr>
              <a:bodyPr/>
              <a:lstStyle/>
              <a:p>
                <a:pPr>
                  <a:defRPr lang="en-US"/>
                </a:pPr>
                <a:endParaRPr lang="ro-RO"/>
              </a:p>
            </c:txPr>
            <c:showVal val="1"/>
          </c:dLbls>
          <c:cat>
            <c:numRef>
              <c:f>Sheet1!$A$2</c:f>
              <c:numCache>
                <c:formatCode>General</c:formatCode>
                <c:ptCount val="1"/>
              </c:numCache>
            </c:numRef>
          </c:cat>
          <c:val>
            <c:numRef>
              <c:f>Sheet1!$E$2</c:f>
              <c:numCache>
                <c:formatCode>General</c:formatCode>
                <c:ptCount val="1"/>
                <c:pt idx="0">
                  <c:v>-33</c:v>
                </c:pt>
              </c:numCache>
            </c:numRef>
          </c:val>
        </c:ser>
        <c:axId val="244902912"/>
        <c:axId val="245912320"/>
      </c:barChart>
      <c:catAx>
        <c:axId val="244902912"/>
        <c:scaling>
          <c:orientation val="minMax"/>
        </c:scaling>
        <c:axPos val="b"/>
        <c:numFmt formatCode="General" sourceLinked="1"/>
        <c:tickLblPos val="nextTo"/>
        <c:txPr>
          <a:bodyPr/>
          <a:lstStyle/>
          <a:p>
            <a:pPr>
              <a:defRPr lang="en-US"/>
            </a:pPr>
            <a:endParaRPr lang="ro-RO"/>
          </a:p>
        </c:txPr>
        <c:crossAx val="245912320"/>
        <c:crosses val="autoZero"/>
        <c:auto val="1"/>
        <c:lblAlgn val="ctr"/>
        <c:lblOffset val="100"/>
      </c:catAx>
      <c:valAx>
        <c:axId val="245912320"/>
        <c:scaling>
          <c:orientation val="minMax"/>
        </c:scaling>
        <c:axPos val="l"/>
        <c:majorGridlines/>
        <c:numFmt formatCode="General" sourceLinked="1"/>
        <c:tickLblPos val="nextTo"/>
        <c:txPr>
          <a:bodyPr/>
          <a:lstStyle/>
          <a:p>
            <a:pPr>
              <a:defRPr lang="en-US"/>
            </a:pPr>
            <a:endParaRPr lang="ro-RO"/>
          </a:p>
        </c:txPr>
        <c:crossAx val="244902912"/>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30717"/>
          <c:y val="0.22684781283327871"/>
          <c:w val="0.23265403010651245"/>
          <c:h val="0.41268678632212241"/>
        </c:manualLayout>
      </c:layout>
      <c:txPr>
        <a:bodyPr/>
        <a:lstStyle/>
        <a:p>
          <a:pPr>
            <a:defRPr lang="en-US"/>
          </a:pPr>
          <a:endParaRPr lang="ro-RO"/>
        </a:p>
      </c:txPr>
    </c:legend>
    <c:plotVisOnly val="1"/>
    <c:dispBlanksAs val="gap"/>
  </c:chart>
  <c:spPr>
    <a:solidFill>
      <a:srgbClr val="DBE6C4">
        <a:alpha val="50000"/>
      </a:srgbClr>
    </a:solidFill>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1962785554014481"/>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txPr>
              <a:bodyPr/>
              <a:lstStyle/>
              <a:p>
                <a:pPr>
                  <a:defRPr lang="en-US"/>
                </a:pPr>
                <a:endParaRPr lang="ro-RO"/>
              </a:p>
            </c:txPr>
            <c:showVal val="1"/>
          </c:dLbls>
          <c:cat>
            <c:numRef>
              <c:f>Sheet1!$A$2</c:f>
              <c:numCache>
                <c:formatCode>General</c:formatCode>
                <c:ptCount val="1"/>
              </c:numCache>
            </c:numRef>
          </c:cat>
          <c:val>
            <c:numRef>
              <c:f>Sheet1!$B$2</c:f>
              <c:numCache>
                <c:formatCode>0.00%</c:formatCode>
                <c:ptCount val="1"/>
                <c:pt idx="0">
                  <c:v>3.8000000000000052E-3</c:v>
                </c:pt>
              </c:numCache>
            </c:numRef>
          </c:val>
        </c:ser>
        <c:ser>
          <c:idx val="1"/>
          <c:order val="1"/>
          <c:tx>
            <c:strRef>
              <c:f>Sheet1!$C$1</c:f>
              <c:strCache>
                <c:ptCount val="1"/>
                <c:pt idx="0">
                  <c:v>Pășuni</c:v>
                </c:pt>
              </c:strCache>
            </c:strRef>
          </c:tx>
          <c:spPr>
            <a:solidFill>
              <a:srgbClr val="00B050"/>
            </a:solidFill>
          </c:spPr>
          <c:dLbls>
            <c:txPr>
              <a:bodyPr/>
              <a:lstStyle/>
              <a:p>
                <a:pPr>
                  <a:defRPr lang="en-US"/>
                </a:pPr>
                <a:endParaRPr lang="ro-RO"/>
              </a:p>
            </c:txPr>
            <c:showVal val="1"/>
          </c:dLbls>
          <c:cat>
            <c:numRef>
              <c:f>Sheet1!$A$2</c:f>
              <c:numCache>
                <c:formatCode>General</c:formatCode>
                <c:ptCount val="1"/>
              </c:numCache>
            </c:numRef>
          </c:cat>
          <c:val>
            <c:numRef>
              <c:f>Sheet1!$C$2</c:f>
              <c:numCache>
                <c:formatCode>0.00%</c:formatCode>
                <c:ptCount val="1"/>
                <c:pt idx="0">
                  <c:v>-4.4600000000000022E-2</c:v>
                </c:pt>
              </c:numCache>
            </c:numRef>
          </c:val>
        </c:ser>
        <c:ser>
          <c:idx val="2"/>
          <c:order val="2"/>
          <c:tx>
            <c:strRef>
              <c:f>Sheet1!$D$1</c:f>
              <c:strCache>
                <c:ptCount val="1"/>
                <c:pt idx="0">
                  <c:v>Vii</c:v>
                </c:pt>
              </c:strCache>
            </c:strRef>
          </c:tx>
          <c:spPr>
            <a:solidFill>
              <a:schemeClr val="accent1"/>
            </a:solidFill>
          </c:spPr>
          <c:dLbls>
            <c:txPr>
              <a:bodyPr/>
              <a:lstStyle/>
              <a:p>
                <a:pPr>
                  <a:defRPr lang="en-US"/>
                </a:pPr>
                <a:endParaRPr lang="ro-RO"/>
              </a:p>
            </c:txPr>
            <c:showVal val="1"/>
          </c:dLbls>
          <c:cat>
            <c:numRef>
              <c:f>Sheet1!$A$2</c:f>
              <c:numCache>
                <c:formatCode>General</c:formatCode>
                <c:ptCount val="1"/>
              </c:numCache>
            </c:numRef>
          </c:cat>
          <c:val>
            <c:numRef>
              <c:f>Sheet1!$D$2</c:f>
              <c:numCache>
                <c:formatCode>0.00%</c:formatCode>
                <c:ptCount val="1"/>
                <c:pt idx="0">
                  <c:v>5.3400000000000003E-2</c:v>
                </c:pt>
              </c:numCache>
            </c:numRef>
          </c:val>
        </c:ser>
        <c:ser>
          <c:idx val="3"/>
          <c:order val="3"/>
          <c:tx>
            <c:strRef>
              <c:f>Sheet1!$E$1</c:f>
              <c:strCache>
                <c:ptCount val="1"/>
                <c:pt idx="0">
                  <c:v>Livezi</c:v>
                </c:pt>
              </c:strCache>
            </c:strRef>
          </c:tx>
          <c:spPr>
            <a:solidFill>
              <a:srgbClr val="FFC000"/>
            </a:solidFill>
          </c:spPr>
          <c:dLbls>
            <c:txPr>
              <a:bodyPr/>
              <a:lstStyle/>
              <a:p>
                <a:pPr>
                  <a:defRPr lang="en-US"/>
                </a:pPr>
                <a:endParaRPr lang="ro-RO"/>
              </a:p>
            </c:txPr>
            <c:showVal val="1"/>
          </c:dLbls>
          <c:cat>
            <c:numRef>
              <c:f>Sheet1!$A$2</c:f>
              <c:numCache>
                <c:formatCode>General</c:formatCode>
                <c:ptCount val="1"/>
              </c:numCache>
            </c:numRef>
          </c:cat>
          <c:val>
            <c:numRef>
              <c:f>Sheet1!$E$2</c:f>
              <c:numCache>
                <c:formatCode>0.00%</c:formatCode>
                <c:ptCount val="1"/>
                <c:pt idx="0">
                  <c:v>-5.0400000000000014E-2</c:v>
                </c:pt>
              </c:numCache>
            </c:numRef>
          </c:val>
        </c:ser>
        <c:axId val="244176384"/>
        <c:axId val="244177920"/>
      </c:barChart>
      <c:catAx>
        <c:axId val="244176384"/>
        <c:scaling>
          <c:orientation val="minMax"/>
        </c:scaling>
        <c:axPos val="b"/>
        <c:numFmt formatCode="General" sourceLinked="1"/>
        <c:tickLblPos val="nextTo"/>
        <c:txPr>
          <a:bodyPr/>
          <a:lstStyle/>
          <a:p>
            <a:pPr>
              <a:defRPr lang="en-US"/>
            </a:pPr>
            <a:endParaRPr lang="ro-RO"/>
          </a:p>
        </c:txPr>
        <c:crossAx val="244177920"/>
        <c:crosses val="autoZero"/>
        <c:auto val="1"/>
        <c:lblAlgn val="ctr"/>
        <c:lblOffset val="100"/>
      </c:catAx>
      <c:valAx>
        <c:axId val="244177920"/>
        <c:scaling>
          <c:orientation val="minMax"/>
        </c:scaling>
        <c:axPos val="l"/>
        <c:majorGridlines/>
        <c:numFmt formatCode="0.00%" sourceLinked="1"/>
        <c:tickLblPos val="nextTo"/>
        <c:txPr>
          <a:bodyPr/>
          <a:lstStyle/>
          <a:p>
            <a:pPr>
              <a:defRPr lang="en-US"/>
            </a:pPr>
            <a:endParaRPr lang="ro-RO"/>
          </a:p>
        </c:txPr>
        <c:crossAx val="244176384"/>
        <c:crosses val="autoZero"/>
        <c:crossBetween val="between"/>
      </c:valAx>
    </c:plotArea>
    <c:legend>
      <c:legendPos val="r"/>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egendEntry>
        <c:idx val="0"/>
        <c:txPr>
          <a:bodyPr/>
          <a:lstStyle/>
          <a:p>
            <a:pPr>
              <a:defRPr sz="1200"/>
            </a:pPr>
            <a:endParaRPr lang="ro-RO"/>
          </a:p>
        </c:txPr>
      </c:legendEntry>
      <c:layout>
        <c:manualLayout>
          <c:xMode val="edge"/>
          <c:yMode val="edge"/>
          <c:x val="0.74164164131630761"/>
          <c:y val="0.20503711253806453"/>
          <c:w val="0.23265403010651245"/>
          <c:h val="0.43449748661733206"/>
        </c:manualLayout>
      </c:layout>
      <c:txPr>
        <a:bodyPr/>
        <a:lstStyle/>
        <a:p>
          <a:pPr>
            <a:defRPr lang="en-US"/>
          </a:pPr>
          <a:endParaRPr lang="ro-RO"/>
        </a:p>
      </c:txPr>
    </c:legend>
    <c:plotVisOnly val="1"/>
    <c:dispBlanksAs val="gap"/>
  </c:chart>
  <c:spPr>
    <a:solidFill>
      <a:srgbClr val="DBE6C4">
        <a:alpha val="50000"/>
      </a:srgbClr>
    </a:solidFill>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8.9243965515196727E-2"/>
          <c:y val="5.1523736315508883E-2"/>
          <c:w val="0.62807797462819737"/>
          <c:h val="0.82745688038995058"/>
        </c:manualLayout>
      </c:layout>
      <c:barChart>
        <c:barDir val="bar"/>
        <c:grouping val="clustered"/>
        <c:ser>
          <c:idx val="0"/>
          <c:order val="0"/>
          <c:tx>
            <c:strRef>
              <c:f>Sheet1!$B$1</c:f>
              <c:strCache>
                <c:ptCount val="1"/>
                <c:pt idx="0">
                  <c:v>Drumuri și căi ferate</c:v>
                </c:pt>
              </c:strCache>
            </c:strRef>
          </c:tx>
          <c:spPr>
            <a:solidFill>
              <a:srgbClr val="FFC000"/>
            </a:solidFill>
            <a:ln>
              <a:solidFill>
                <a:srgbClr val="FFC000"/>
              </a:solidFill>
            </a:ln>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8587</c:v>
                </c:pt>
                <c:pt idx="1">
                  <c:v>8597</c:v>
                </c:pt>
                <c:pt idx="2">
                  <c:v>8592</c:v>
                </c:pt>
                <c:pt idx="3">
                  <c:v>8586</c:v>
                </c:pt>
                <c:pt idx="4">
                  <c:v>8136</c:v>
                </c:pt>
              </c:numCache>
            </c:numRef>
          </c:val>
        </c:ser>
        <c:ser>
          <c:idx val="1"/>
          <c:order val="1"/>
          <c:tx>
            <c:strRef>
              <c:f>Sheet1!$C$1</c:f>
              <c:strCache>
                <c:ptCount val="1"/>
                <c:pt idx="0">
                  <c:v>Curți și construcții</c:v>
                </c:pt>
              </c:strCache>
            </c:strRef>
          </c:tx>
          <c:spPr>
            <a:solidFill>
              <a:schemeClr val="accent2">
                <a:lumMod val="60000"/>
                <a:lumOff val="40000"/>
              </a:schemeClr>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Neproductive</c:v>
                </c:pt>
              </c:strCache>
            </c:strRef>
          </c:tx>
          <c:spPr>
            <a:solidFill>
              <a:srgbClr val="FF0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8513</c:v>
                </c:pt>
                <c:pt idx="1">
                  <c:v>8616</c:v>
                </c:pt>
                <c:pt idx="2">
                  <c:v>8110</c:v>
                </c:pt>
                <c:pt idx="3">
                  <c:v>7928</c:v>
                </c:pt>
                <c:pt idx="4">
                  <c:v>7971</c:v>
                </c:pt>
              </c:numCache>
            </c:numRef>
          </c:val>
        </c:ser>
        <c:ser>
          <c:idx val="3"/>
          <c:order val="3"/>
          <c:tx>
            <c:strRef>
              <c:f>Sheet1!$E$1</c:f>
              <c:strCache>
                <c:ptCount val="1"/>
                <c:pt idx="0">
                  <c:v>Păduri</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28383</c:v>
                </c:pt>
                <c:pt idx="1">
                  <c:v>28552</c:v>
                </c:pt>
                <c:pt idx="2" formatCode="General">
                  <c:v>28653</c:v>
                </c:pt>
                <c:pt idx="3" formatCode="General">
                  <c:v>28687</c:v>
                </c:pt>
                <c:pt idx="4" formatCode="General">
                  <c:v>26417</c:v>
                </c:pt>
              </c:numCache>
            </c:numRef>
          </c:val>
        </c:ser>
        <c:ser>
          <c:idx val="4"/>
          <c:order val="4"/>
          <c:tx>
            <c:strRef>
              <c:f>Sheet1!$F$1</c:f>
              <c:strCache>
                <c:ptCount val="1"/>
                <c:pt idx="0">
                  <c:v>Ape</c:v>
                </c:pt>
              </c:strCache>
            </c:strRef>
          </c:tx>
          <c:cat>
            <c:numRef>
              <c:f>Sheet1!$A$2:$A$6</c:f>
              <c:numCache>
                <c:formatCode>General</c:formatCode>
                <c:ptCount val="5"/>
                <c:pt idx="0">
                  <c:v>2011</c:v>
                </c:pt>
                <c:pt idx="1">
                  <c:v>2012</c:v>
                </c:pt>
                <c:pt idx="2">
                  <c:v>2013</c:v>
                </c:pt>
                <c:pt idx="3">
                  <c:v>2014</c:v>
                </c:pt>
                <c:pt idx="4">
                  <c:v>2015</c:v>
                </c:pt>
              </c:numCache>
            </c:numRef>
          </c:cat>
          <c:val>
            <c:numRef>
              <c:f>Sheet1!$F$2:$F$6</c:f>
              <c:numCache>
                <c:formatCode>#,##0</c:formatCode>
                <c:ptCount val="5"/>
                <c:pt idx="0">
                  <c:v>30672</c:v>
                </c:pt>
                <c:pt idx="1">
                  <c:v>30590</c:v>
                </c:pt>
                <c:pt idx="2">
                  <c:v>30556</c:v>
                </c:pt>
                <c:pt idx="3" formatCode="General">
                  <c:v>30331</c:v>
                </c:pt>
                <c:pt idx="4" formatCode="General">
                  <c:v>30047</c:v>
                </c:pt>
              </c:numCache>
            </c:numRef>
          </c:val>
        </c:ser>
        <c:axId val="245984256"/>
        <c:axId val="246096640"/>
      </c:barChart>
      <c:catAx>
        <c:axId val="245984256"/>
        <c:scaling>
          <c:orientation val="minMax"/>
        </c:scaling>
        <c:axPos val="l"/>
        <c:numFmt formatCode="General" sourceLinked="1"/>
        <c:tickLblPos val="nextTo"/>
        <c:txPr>
          <a:bodyPr/>
          <a:lstStyle/>
          <a:p>
            <a:pPr>
              <a:defRPr lang="en-US"/>
            </a:pPr>
            <a:endParaRPr lang="ro-RO"/>
          </a:p>
        </c:txPr>
        <c:crossAx val="246096640"/>
        <c:crosses val="autoZero"/>
        <c:auto val="1"/>
        <c:lblAlgn val="ctr"/>
        <c:lblOffset val="100"/>
      </c:catAx>
      <c:valAx>
        <c:axId val="246096640"/>
        <c:scaling>
          <c:orientation val="minMax"/>
        </c:scaling>
        <c:axPos val="b"/>
        <c:majorGridlines/>
        <c:numFmt formatCode="General" sourceLinked="1"/>
        <c:tickLblPos val="nextTo"/>
        <c:txPr>
          <a:bodyPr/>
          <a:lstStyle/>
          <a:p>
            <a:pPr>
              <a:defRPr lang="en-US"/>
            </a:pPr>
            <a:endParaRPr lang="ro-RO"/>
          </a:p>
        </c:txPr>
        <c:crossAx val="245984256"/>
        <c:crosses val="autoZero"/>
        <c:crossBetween val="between"/>
      </c:valAx>
    </c:plotArea>
    <c:legend>
      <c:legendPos val="r"/>
      <c:txPr>
        <a:bodyPr/>
        <a:lstStyle/>
        <a:p>
          <a:pPr>
            <a:defRPr lang="en-US"/>
          </a:pPr>
          <a:endParaRPr lang="ro-RO"/>
        </a:p>
      </c:txPr>
    </c:legend>
    <c:plotVisOnly val="1"/>
    <c:dispBlanksAs val="gap"/>
  </c:chart>
  <c:spPr>
    <a:solidFill>
      <a:srgbClr val="DBE6C4">
        <a:alpha val="50000"/>
      </a:srgbClr>
    </a:solidFill>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3882538691852873"/>
          <c:h val="0.55055737172328356"/>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246137600"/>
        <c:axId val="246139136"/>
      </c:barChart>
      <c:catAx>
        <c:axId val="246137600"/>
        <c:scaling>
          <c:orientation val="minMax"/>
        </c:scaling>
        <c:axPos val="l"/>
        <c:numFmt formatCode="General" sourceLinked="1"/>
        <c:tickLblPos val="nextTo"/>
        <c:txPr>
          <a:bodyPr/>
          <a:lstStyle/>
          <a:p>
            <a:pPr>
              <a:defRPr lang="en-US"/>
            </a:pPr>
            <a:endParaRPr lang="ro-RO"/>
          </a:p>
        </c:txPr>
        <c:crossAx val="246139136"/>
        <c:crosses val="autoZero"/>
        <c:auto val="1"/>
        <c:lblAlgn val="ctr"/>
        <c:lblOffset val="100"/>
      </c:catAx>
      <c:valAx>
        <c:axId val="246139136"/>
        <c:scaling>
          <c:orientation val="minMax"/>
        </c:scaling>
        <c:axPos val="b"/>
        <c:majorGridlines/>
        <c:numFmt formatCode="General" sourceLinked="1"/>
        <c:tickLblPos val="nextTo"/>
        <c:txPr>
          <a:bodyPr/>
          <a:lstStyle/>
          <a:p>
            <a:pPr>
              <a:defRPr lang="en-US"/>
            </a:pPr>
            <a:endParaRPr lang="ro-RO"/>
          </a:p>
        </c:txPr>
        <c:crossAx val="246137600"/>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7935"/>
          <c:w val="0.74098323348089989"/>
          <c:h val="0.12666709187295774"/>
        </c:manualLayout>
      </c:layout>
      <c:txPr>
        <a:bodyPr/>
        <a:lstStyle/>
        <a:p>
          <a:pPr>
            <a:defRPr lang="en-US"/>
          </a:pPr>
          <a:endParaRPr lang="ro-RO"/>
        </a:p>
      </c:txPr>
    </c:legend>
    <c:plotVisOnly val="1"/>
    <c:dispBlanksAs val="gap"/>
  </c:chart>
  <c:spPr>
    <a:solidFill>
      <a:srgbClr val="DBE6C4">
        <a:alpha val="50000"/>
      </a:srgbClr>
    </a:solidFill>
    <a:ln>
      <a:solidFill>
        <a:sysClr val="windowText" lastClr="000000">
          <a:alpha val="50000"/>
        </a:sysClr>
      </a:solid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l">
              <a:defRPr lang="en-US" sz="837" b="1" i="0" u="none" strike="noStrike" baseline="0">
                <a:solidFill>
                  <a:srgbClr val="000000"/>
                </a:solidFill>
                <a:latin typeface="Arial"/>
                <a:ea typeface="Arial"/>
                <a:cs typeface="Arial"/>
              </a:defRPr>
            </a:pPr>
            <a:r>
              <a:rPr lang="ro-RO" sz="969" b="1" i="1" strike="noStrike">
                <a:solidFill>
                  <a:srgbClr val="000000"/>
                </a:solidFill>
                <a:latin typeface="Arial"/>
                <a:cs typeface="Arial"/>
              </a:rPr>
              <a:t>Evoluţia suprafeţei agricole în perioada 2013-2017</a:t>
            </a: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r>
              <a:rPr lang="ro-RO" sz="704" b="1" i="1" strike="noStrike">
                <a:solidFill>
                  <a:srgbClr val="000000"/>
                </a:solidFill>
                <a:latin typeface="Arial"/>
                <a:cs typeface="Arial"/>
              </a:rPr>
              <a:t> </a:t>
            </a: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3206"/>
          <c:y val="0"/>
        </c:manualLayout>
      </c:layout>
      <c:spPr>
        <a:noFill/>
        <a:ln w="22495">
          <a:noFill/>
        </a:ln>
      </c:spPr>
    </c:title>
    <c:view3D>
      <c:hPercent val="39"/>
      <c:depthPercent val="100"/>
      <c:rAngAx val="1"/>
    </c:view3D>
    <c:floor>
      <c:spPr>
        <a:solidFill>
          <a:srgbClr val="C0C0C0"/>
        </a:solidFill>
        <a:ln w="3175">
          <a:solidFill>
            <a:srgbClr val="000000"/>
          </a:solidFill>
          <a:prstDash val="solid"/>
        </a:ln>
      </c:spPr>
    </c:floor>
    <c:sideWall>
      <c:spPr>
        <a:solidFill>
          <a:srgbClr val="F79646">
            <a:lumMod val="20000"/>
            <a:lumOff val="80000"/>
          </a:srgbClr>
        </a:solidFill>
        <a:ln w="12700">
          <a:solidFill>
            <a:srgbClr val="808080"/>
          </a:solidFill>
          <a:prstDash val="solid"/>
        </a:ln>
      </c:spPr>
    </c:sideWall>
    <c:backWall>
      <c:spPr>
        <a:solidFill>
          <a:srgbClr val="F79646">
            <a:lumMod val="20000"/>
            <a:lumOff val="80000"/>
          </a:srgbClr>
        </a:solidFill>
        <a:ln w="12700">
          <a:solidFill>
            <a:srgbClr val="808080"/>
          </a:solidFill>
          <a:prstDash val="solid"/>
        </a:ln>
      </c:spPr>
    </c:backWall>
    <c:plotArea>
      <c:layout>
        <c:manualLayout>
          <c:layoutTarget val="inner"/>
          <c:xMode val="edge"/>
          <c:yMode val="edge"/>
          <c:x val="8.4508919435917998E-2"/>
          <c:y val="0.16484352081655068"/>
          <c:w val="0.90419164553583364"/>
          <c:h val="0.57777777777777772"/>
        </c:manualLayout>
      </c:layout>
      <c:bar3DChart>
        <c:barDir val="col"/>
        <c:grouping val="clustered"/>
        <c:ser>
          <c:idx val="0"/>
          <c:order val="0"/>
          <c:tx>
            <c:strRef>
              <c:f>Sheet1!$A$2</c:f>
              <c:strCache>
                <c:ptCount val="1"/>
                <c:pt idx="0">
                  <c:v>387163</c:v>
                </c:pt>
              </c:strCache>
            </c:strRef>
          </c:tx>
          <c:spPr>
            <a:solidFill>
              <a:srgbClr val="D20000"/>
            </a:solidFill>
            <a:ln w="11251">
              <a:solidFill>
                <a:srgbClr val="000000"/>
              </a:solidFill>
              <a:prstDash val="solid"/>
            </a:ln>
          </c:spPr>
          <c:dLbls>
            <c:txPr>
              <a:bodyPr/>
              <a:lstStyle/>
              <a:p>
                <a:pPr>
                  <a:defRPr lang="en-US"/>
                </a:pPr>
                <a:endParaRPr lang="ro-RO"/>
              </a:p>
            </c:txPr>
            <c:showVal val="1"/>
          </c:dLbls>
          <c:cat>
            <c:numRef>
              <c:f>Sheet1!$B$1:$G$1</c:f>
              <c:numCache>
                <c:formatCode>General</c:formatCode>
                <c:ptCount val="5"/>
                <c:pt idx="0">
                  <c:v>2013</c:v>
                </c:pt>
                <c:pt idx="1">
                  <c:v>2014</c:v>
                </c:pt>
                <c:pt idx="2">
                  <c:v>2015</c:v>
                </c:pt>
                <c:pt idx="3">
                  <c:v>2016</c:v>
                </c:pt>
                <c:pt idx="4">
                  <c:v>2017</c:v>
                </c:pt>
              </c:numCache>
            </c:numRef>
          </c:cat>
          <c:val>
            <c:numRef>
              <c:f>Sheet1!$B$2:$G$2</c:f>
              <c:numCache>
                <c:formatCode>General</c:formatCode>
                <c:ptCount val="5"/>
                <c:pt idx="0">
                  <c:v>387598</c:v>
                </c:pt>
                <c:pt idx="1">
                  <c:v>387750</c:v>
                </c:pt>
                <c:pt idx="2" formatCode="#,##0">
                  <c:v>389907</c:v>
                </c:pt>
                <c:pt idx="3" formatCode="#,##0">
                  <c:v>391579</c:v>
                </c:pt>
                <c:pt idx="4" formatCode="#,##0">
                  <c:v>391579</c:v>
                </c:pt>
              </c:numCache>
            </c:numRef>
          </c:val>
        </c:ser>
        <c:gapDepth val="0"/>
        <c:shape val="box"/>
        <c:axId val="246172672"/>
        <c:axId val="247026432"/>
        <c:axId val="0"/>
      </c:bar3DChart>
      <c:catAx>
        <c:axId val="246172672"/>
        <c:scaling>
          <c:orientation val="minMax"/>
        </c:scaling>
        <c:axPos val="b"/>
        <c:numFmt formatCode="General" sourceLinked="1"/>
        <c:tickLblPos val="low"/>
        <c:spPr>
          <a:ln w="2813">
            <a:solidFill>
              <a:srgbClr val="000000"/>
            </a:solidFill>
            <a:prstDash val="solid"/>
          </a:ln>
        </c:spPr>
        <c:txPr>
          <a:bodyPr rot="0" vert="horz"/>
          <a:lstStyle/>
          <a:p>
            <a:pPr>
              <a:defRPr lang="en-US" sz="844" b="1" i="0" u="none" strike="noStrike" baseline="0">
                <a:solidFill>
                  <a:srgbClr val="000000"/>
                </a:solidFill>
                <a:latin typeface="Arial"/>
                <a:ea typeface="Arial"/>
                <a:cs typeface="Arial"/>
              </a:defRPr>
            </a:pPr>
            <a:endParaRPr lang="ro-RO"/>
          </a:p>
        </c:txPr>
        <c:crossAx val="247026432"/>
        <c:crosses val="autoZero"/>
        <c:auto val="1"/>
        <c:lblAlgn val="ctr"/>
        <c:lblOffset val="100"/>
        <c:tickLblSkip val="1"/>
        <c:tickMarkSkip val="1"/>
      </c:catAx>
      <c:valAx>
        <c:axId val="247026432"/>
        <c:scaling>
          <c:orientation val="minMax"/>
          <c:min val="380000"/>
        </c:scaling>
        <c:axPos val="l"/>
        <c:majorGridlines>
          <c:spPr>
            <a:ln w="2813">
              <a:solidFill>
                <a:srgbClr val="000000"/>
              </a:solidFill>
              <a:prstDash val="solid"/>
            </a:ln>
          </c:spPr>
        </c:majorGridlines>
        <c:numFmt formatCode="General" sourceLinked="1"/>
        <c:tickLblPos val="nextTo"/>
        <c:spPr>
          <a:ln w="2813">
            <a:solidFill>
              <a:srgbClr val="000000"/>
            </a:solidFill>
            <a:prstDash val="solid"/>
          </a:ln>
        </c:spPr>
        <c:txPr>
          <a:bodyPr rot="0" vert="horz"/>
          <a:lstStyle/>
          <a:p>
            <a:pPr>
              <a:defRPr lang="en-US" sz="844" b="1" i="0" u="none" strike="noStrike" baseline="0">
                <a:solidFill>
                  <a:srgbClr val="000000"/>
                </a:solidFill>
                <a:latin typeface="Arial"/>
                <a:ea typeface="Arial"/>
                <a:cs typeface="Arial"/>
              </a:defRPr>
            </a:pPr>
            <a:endParaRPr lang="ro-RO"/>
          </a:p>
        </c:txPr>
        <c:crossAx val="246172672"/>
        <c:crosses val="autoZero"/>
        <c:crossBetween val="between"/>
      </c:valAx>
      <c:spPr>
        <a:noFill/>
        <a:ln w="25379">
          <a:noFill/>
        </a:ln>
      </c:spPr>
    </c:plotArea>
    <c:plotVisOnly val="1"/>
    <c:dispBlanksAs val="gap"/>
  </c:chart>
  <c:spPr>
    <a:solidFill>
      <a:srgbClr val="C0504D">
        <a:lumMod val="20000"/>
        <a:lumOff val="80000"/>
      </a:srgbClr>
    </a:solidFill>
    <a:ln>
      <a:noFill/>
    </a:ln>
  </c:spPr>
  <c:txPr>
    <a:bodyPr/>
    <a:lstStyle/>
    <a:p>
      <a:pPr>
        <a:defRPr sz="844" b="1" i="0" u="none" strike="noStrike" baseline="0">
          <a:solidFill>
            <a:srgbClr val="000000"/>
          </a:solidFill>
          <a:latin typeface="Arial"/>
          <a:ea typeface="Arial"/>
          <a:cs typeface="Arial"/>
        </a:defRPr>
      </a:pPr>
      <a:endParaRPr lang="ro-RO"/>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08"/>
          <c:h val="0.72282608695652173"/>
        </c:manualLayout>
      </c:layout>
      <c:bar3DChart>
        <c:barDir val="col"/>
        <c:grouping val="clustered"/>
        <c:ser>
          <c:idx val="7"/>
          <c:order val="0"/>
          <c:tx>
            <c:strRef>
              <c:f>Sheet1!$A$2</c:f>
              <c:strCache>
                <c:ptCount val="1"/>
                <c:pt idx="0">
                  <c:v>Medii anuale 2017</c:v>
                </c:pt>
              </c:strCache>
            </c:strRef>
          </c:tx>
          <c:cat>
            <c:strRef>
              <c:f>Sheet1!$B$1:$E$1</c:f>
              <c:strCache>
                <c:ptCount val="4"/>
                <c:pt idx="0">
                  <c:v>BR2</c:v>
                </c:pt>
                <c:pt idx="1">
                  <c:v>BR3</c:v>
                </c:pt>
                <c:pt idx="2">
                  <c:v>BR4</c:v>
                </c:pt>
                <c:pt idx="3">
                  <c:v>BR5</c:v>
                </c:pt>
              </c:strCache>
            </c:strRef>
          </c:cat>
          <c:val>
            <c:numRef>
              <c:f>Sheet1!$B$2:$E$2</c:f>
              <c:numCache>
                <c:formatCode>General</c:formatCode>
                <c:ptCount val="4"/>
                <c:pt idx="0">
                  <c:v>43.37</c:v>
                </c:pt>
                <c:pt idx="1">
                  <c:v>55.63</c:v>
                </c:pt>
                <c:pt idx="2">
                  <c:v>56.33</c:v>
                </c:pt>
                <c:pt idx="3" formatCode="0.00">
                  <c:v>60.09</c:v>
                </c:pt>
              </c:numCache>
            </c:numRef>
          </c:val>
        </c:ser>
        <c:gapWidth val="340"/>
        <c:gapDepth val="0"/>
        <c:shape val="box"/>
        <c:axId val="211628800"/>
        <c:axId val="211630336"/>
        <c:axId val="0"/>
      </c:bar3DChart>
      <c:catAx>
        <c:axId val="211628800"/>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11630336"/>
        <c:crosses val="autoZero"/>
        <c:auto val="1"/>
        <c:lblAlgn val="ctr"/>
        <c:lblOffset val="100"/>
        <c:tickLblSkip val="1"/>
        <c:tickMarkSkip val="1"/>
      </c:catAx>
      <c:valAx>
        <c:axId val="211630336"/>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5438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11628800"/>
        <c:crosses val="autoZero"/>
        <c:crossBetween val="between"/>
      </c:valAx>
      <c:spPr>
        <a:noFill/>
        <a:ln w="25399">
          <a:noFill/>
        </a:ln>
      </c:spPr>
    </c:plotArea>
    <c:legend>
      <c:legendPos val="r"/>
      <c:layout>
        <c:manualLayout>
          <c:xMode val="edge"/>
          <c:yMode val="edge"/>
          <c:x val="0.75862068965520124"/>
          <c:y val="0.30513245122710181"/>
          <c:w val="0.21167406705740729"/>
          <c:h val="0.19258922531590766"/>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en-US"/>
            </a:pPr>
            <a:r>
              <a:rPr lang="vi-VN" sz="1200" b="0"/>
              <a:t>Densitatea populației județului Brăila</a:t>
            </a:r>
            <a:endParaRPr lang="ro-RO" sz="1200" b="0"/>
          </a:p>
          <a:p>
            <a:pPr>
              <a:defRPr lang="en-US"/>
            </a:pPr>
            <a:r>
              <a:rPr lang="ro-RO" sz="1200" b="0"/>
              <a:t> (locuitori/km</a:t>
            </a:r>
            <a:r>
              <a:rPr lang="ro-RO" sz="1200" b="0" baseline="0"/>
              <a:t> 2)</a:t>
            </a:r>
            <a:endParaRPr lang="vi-VN" sz="1200" b="0"/>
          </a:p>
        </c:rich>
      </c:tx>
    </c:title>
    <c:plotArea>
      <c:layout>
        <c:manualLayout>
          <c:layoutTarget val="inner"/>
          <c:xMode val="edge"/>
          <c:yMode val="edge"/>
          <c:x val="9.0553044912753566E-2"/>
          <c:y val="0.23323348177361444"/>
          <c:w val="0.83668490709488286"/>
          <c:h val="0.50791049347708461"/>
        </c:manualLayout>
      </c:layout>
      <c:lineChart>
        <c:grouping val="standard"/>
        <c:ser>
          <c:idx val="0"/>
          <c:order val="0"/>
          <c:tx>
            <c:strRef>
              <c:f>Sheet1!$B$1</c:f>
              <c:strCache>
                <c:ptCount val="1"/>
                <c:pt idx="0">
                  <c:v>64,65</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66.22</c:v>
                </c:pt>
                <c:pt idx="1">
                  <c:v>65.489999999999995</c:v>
                </c:pt>
                <c:pt idx="2">
                  <c:v>64.649999999999991</c:v>
                </c:pt>
                <c:pt idx="3">
                  <c:v>63.720000000000013</c:v>
                </c:pt>
                <c:pt idx="4">
                  <c:v>62.760000000000012</c:v>
                </c:pt>
              </c:numCache>
            </c:numRef>
          </c:val>
        </c:ser>
        <c:marker val="1"/>
        <c:axId val="247095296"/>
        <c:axId val="247096832"/>
      </c:lineChart>
      <c:catAx>
        <c:axId val="247095296"/>
        <c:scaling>
          <c:orientation val="minMax"/>
        </c:scaling>
        <c:axPos val="b"/>
        <c:numFmt formatCode="General" sourceLinked="1"/>
        <c:tickLblPos val="nextTo"/>
        <c:txPr>
          <a:bodyPr/>
          <a:lstStyle/>
          <a:p>
            <a:pPr>
              <a:defRPr lang="en-US"/>
            </a:pPr>
            <a:endParaRPr lang="ro-RO"/>
          </a:p>
        </c:txPr>
        <c:crossAx val="247096832"/>
        <c:crosses val="autoZero"/>
        <c:auto val="1"/>
        <c:lblAlgn val="ctr"/>
        <c:lblOffset val="100"/>
      </c:catAx>
      <c:valAx>
        <c:axId val="247096832"/>
        <c:scaling>
          <c:orientation val="minMax"/>
        </c:scaling>
        <c:axPos val="l"/>
        <c:majorGridlines/>
        <c:numFmt formatCode="General" sourceLinked="1"/>
        <c:tickLblPos val="nextTo"/>
        <c:txPr>
          <a:bodyPr/>
          <a:lstStyle/>
          <a:p>
            <a:pPr>
              <a:defRPr lang="en-US"/>
            </a:pPr>
            <a:endParaRPr lang="ro-RO"/>
          </a:p>
        </c:txPr>
        <c:crossAx val="247095296"/>
        <c:crosses val="autoZero"/>
        <c:crossBetween val="between"/>
      </c:valAx>
    </c:plotArea>
    <c:legend>
      <c:legendPos val="r"/>
      <c:layout>
        <c:manualLayout>
          <c:xMode val="edge"/>
          <c:yMode val="edge"/>
          <c:x val="0.18783109505332643"/>
          <c:y val="0.876976005942952"/>
          <c:w val="0.60504629629630535"/>
          <c:h val="0.11970566179227612"/>
        </c:manualLayout>
      </c:layout>
      <c:txPr>
        <a:bodyPr/>
        <a:lstStyle/>
        <a:p>
          <a:pPr>
            <a:defRPr lang="en-US"/>
          </a:pPr>
          <a:endParaRPr lang="ro-RO"/>
        </a:p>
      </c:txPr>
    </c:legend>
    <c:plotVisOnly val="1"/>
    <c:dispBlanksAs val="gap"/>
  </c:chart>
  <c:spPr>
    <a:solidFill>
      <a:srgbClr val="FFFFC5">
        <a:alpha val="39000"/>
      </a:srgbClr>
    </a:solidFill>
    <a:ln>
      <a:solidFill>
        <a:sysClr val="windowText" lastClr="000000">
          <a:alpha val="41000"/>
        </a:sysClr>
      </a:solidFill>
    </a:ln>
  </c:sp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1458664999133771E-2"/>
          <c:y val="0.10314976545083072"/>
          <c:w val="0.70628747882513432"/>
          <c:h val="0.5216822638615255"/>
        </c:manualLayout>
      </c:layout>
      <c:barChart>
        <c:barDir val="bar"/>
        <c:grouping val="clustered"/>
        <c:ser>
          <c:idx val="0"/>
          <c:order val="0"/>
          <c:tx>
            <c:strRef>
              <c:f>Sheet1!$B$1</c:f>
              <c:strCache>
                <c:ptCount val="1"/>
                <c:pt idx="0">
                  <c:v>Total terenuri urbane și  artificiale</c:v>
                </c:pt>
              </c:strCache>
            </c:strRef>
          </c:tx>
          <c:spPr>
            <a:solidFill>
              <a:schemeClr val="accent4">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21645</c:v>
                </c:pt>
                <c:pt idx="1">
                  <c:v>21663</c:v>
                </c:pt>
                <c:pt idx="2">
                  <c:v>21859</c:v>
                </c:pt>
                <c:pt idx="3">
                  <c:v>21880</c:v>
                </c:pt>
                <c:pt idx="4">
                  <c:v>22230</c:v>
                </c:pt>
              </c:numCache>
            </c:numRef>
          </c:val>
        </c:ser>
        <c:ser>
          <c:idx val="1"/>
          <c:order val="1"/>
          <c:tx>
            <c:strRef>
              <c:f>Sheet1!$C$1</c:f>
              <c:strCache>
                <c:ptCount val="1"/>
                <c:pt idx="0">
                  <c:v>Curți construcții</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8587</c:v>
                </c:pt>
                <c:pt idx="1">
                  <c:v>8597</c:v>
                </c:pt>
                <c:pt idx="2">
                  <c:v>8592</c:v>
                </c:pt>
                <c:pt idx="3">
                  <c:v>8586</c:v>
                </c:pt>
                <c:pt idx="4">
                  <c:v>8136</c:v>
                </c:pt>
              </c:numCache>
            </c:numRef>
          </c:val>
        </c:ser>
        <c:axId val="246168192"/>
        <c:axId val="246206848"/>
      </c:barChart>
      <c:catAx>
        <c:axId val="246168192"/>
        <c:scaling>
          <c:orientation val="minMax"/>
        </c:scaling>
        <c:axPos val="l"/>
        <c:numFmt formatCode="General" sourceLinked="1"/>
        <c:tickLblPos val="nextTo"/>
        <c:txPr>
          <a:bodyPr/>
          <a:lstStyle/>
          <a:p>
            <a:pPr>
              <a:defRPr lang="en-US"/>
            </a:pPr>
            <a:endParaRPr lang="ro-RO"/>
          </a:p>
        </c:txPr>
        <c:crossAx val="246206848"/>
        <c:crosses val="autoZero"/>
        <c:auto val="1"/>
        <c:lblAlgn val="ctr"/>
        <c:lblOffset val="100"/>
      </c:catAx>
      <c:valAx>
        <c:axId val="246206848"/>
        <c:scaling>
          <c:orientation val="minMax"/>
        </c:scaling>
        <c:axPos val="b"/>
        <c:majorGridlines/>
        <c:numFmt formatCode="General" sourceLinked="1"/>
        <c:tickLblPos val="nextTo"/>
        <c:txPr>
          <a:bodyPr/>
          <a:lstStyle/>
          <a:p>
            <a:pPr>
              <a:defRPr lang="en-US"/>
            </a:pPr>
            <a:endParaRPr lang="ro-RO"/>
          </a:p>
        </c:txPr>
        <c:crossAx val="246168192"/>
        <c:crosses val="autoZero"/>
        <c:crossBetween val="between"/>
      </c:valAx>
    </c:plotArea>
    <c:legend>
      <c:legendPos val="r"/>
      <c:legendEntry>
        <c:idx val="2"/>
        <c:txPr>
          <a:bodyPr/>
          <a:lstStyle/>
          <a:p>
            <a:pPr>
              <a:defRPr sz="1100">
                <a:latin typeface="Times New Roman" pitchFamily="18" charset="0"/>
                <a:cs typeface="Times New Roman" pitchFamily="18" charset="0"/>
              </a:defRPr>
            </a:pPr>
            <a:endParaRPr lang="ro-RO"/>
          </a:p>
        </c:txPr>
      </c:legendEntry>
      <c:legendEntry>
        <c:idx val="1"/>
        <c:txPr>
          <a:bodyPr/>
          <a:lstStyle/>
          <a:p>
            <a:pPr>
              <a:defRPr sz="1100">
                <a:latin typeface="Times New Roman" pitchFamily="18" charset="0"/>
                <a:cs typeface="Times New Roman" pitchFamily="18" charset="0"/>
              </a:defRPr>
            </a:pPr>
            <a:endParaRPr lang="ro-RO"/>
          </a:p>
        </c:txPr>
      </c:legendEntry>
      <c:legendEntry>
        <c:idx val="0"/>
        <c:txPr>
          <a:bodyPr/>
          <a:lstStyle/>
          <a:p>
            <a:pPr>
              <a:defRPr sz="1100">
                <a:latin typeface="Times New Roman" pitchFamily="18" charset="0"/>
                <a:cs typeface="Times New Roman" pitchFamily="18" charset="0"/>
              </a:defRPr>
            </a:pPr>
            <a:endParaRPr lang="ro-RO"/>
          </a:p>
        </c:txPr>
      </c:legendEntry>
      <c:layout>
        <c:manualLayout>
          <c:xMode val="edge"/>
          <c:yMode val="edge"/>
          <c:x val="3.3213265432865492E-2"/>
          <c:y val="0.81752914073513738"/>
          <c:w val="0.94231837873753366"/>
          <c:h val="8.2323041634058472E-2"/>
        </c:manualLayout>
      </c:layout>
      <c:txPr>
        <a:bodyPr/>
        <a:lstStyle/>
        <a:p>
          <a:pPr>
            <a:defRPr lang="en-US"/>
          </a:pPr>
          <a:endParaRPr lang="ro-RO"/>
        </a:p>
      </c:txPr>
    </c:legend>
    <c:plotVisOnly val="1"/>
    <c:dispBlanksAs val="gap"/>
  </c:chart>
  <c:spPr>
    <a:solidFill>
      <a:srgbClr val="FFFFDD">
        <a:alpha val="72000"/>
      </a:srgbClr>
    </a:solidFill>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7159649314669065"/>
          <c:h val="0.59275492420762232"/>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247068160"/>
        <c:axId val="247069696"/>
      </c:barChart>
      <c:catAx>
        <c:axId val="247068160"/>
        <c:scaling>
          <c:orientation val="minMax"/>
        </c:scaling>
        <c:axPos val="l"/>
        <c:numFmt formatCode="General" sourceLinked="1"/>
        <c:tickLblPos val="nextTo"/>
        <c:txPr>
          <a:bodyPr/>
          <a:lstStyle/>
          <a:p>
            <a:pPr>
              <a:defRPr lang="en-US"/>
            </a:pPr>
            <a:endParaRPr lang="ro-RO"/>
          </a:p>
        </c:txPr>
        <c:crossAx val="247069696"/>
        <c:crosses val="autoZero"/>
        <c:auto val="1"/>
        <c:lblAlgn val="ctr"/>
        <c:lblOffset val="100"/>
      </c:catAx>
      <c:valAx>
        <c:axId val="247069696"/>
        <c:scaling>
          <c:orientation val="minMax"/>
        </c:scaling>
        <c:axPos val="b"/>
        <c:majorGridlines/>
        <c:numFmt formatCode="General" sourceLinked="1"/>
        <c:tickLblPos val="nextTo"/>
        <c:txPr>
          <a:bodyPr/>
          <a:lstStyle/>
          <a:p>
            <a:pPr>
              <a:defRPr lang="en-US"/>
            </a:pPr>
            <a:endParaRPr lang="ro-RO"/>
          </a:p>
        </c:txPr>
        <c:crossAx val="247068160"/>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8002"/>
          <c:w val="0.74098323348090023"/>
          <c:h val="0.12666709187295774"/>
        </c:manualLayout>
      </c:layout>
      <c:txPr>
        <a:bodyPr/>
        <a:lstStyle/>
        <a:p>
          <a:pPr>
            <a:defRPr lang="en-US"/>
          </a:pPr>
          <a:endParaRPr lang="ro-RO"/>
        </a:p>
      </c:txPr>
    </c:legend>
    <c:plotVisOnly val="1"/>
    <c:dispBlanksAs val="gap"/>
  </c:chart>
  <c:spPr>
    <a:solidFill>
      <a:srgbClr val="FFFFDD">
        <a:alpha val="57000"/>
      </a:srgbClr>
    </a:solidFill>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chart>
    <c:view3D>
      <c:perspective val="30"/>
    </c:view3D>
    <c:plotArea>
      <c:layout/>
      <c:bar3DChart>
        <c:barDir val="col"/>
        <c:grouping val="standard"/>
        <c:ser>
          <c:idx val="0"/>
          <c:order val="0"/>
          <c:tx>
            <c:strRef>
              <c:f>Sheet1!$B$1</c:f>
              <c:strCache>
                <c:ptCount val="1"/>
                <c:pt idx="0">
                  <c:v>Cresterea anuala a fondului forestier (mc/an/ha)</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Cantitatea de masa lemnoasa recoltata anual (mc/an/ha)</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5.2</c:v>
                </c:pt>
                <c:pt idx="1">
                  <c:v>5.5</c:v>
                </c:pt>
                <c:pt idx="2">
                  <c:v>5.3</c:v>
                </c:pt>
                <c:pt idx="3">
                  <c:v>5.3</c:v>
                </c:pt>
                <c:pt idx="4">
                  <c:v>5.3</c:v>
                </c:pt>
              </c:numCache>
            </c:numRef>
          </c:val>
        </c:ser>
        <c:shape val="cone"/>
        <c:axId val="247323648"/>
        <c:axId val="247329536"/>
        <c:axId val="246176832"/>
      </c:bar3DChart>
      <c:catAx>
        <c:axId val="247323648"/>
        <c:scaling>
          <c:orientation val="minMax"/>
        </c:scaling>
        <c:axPos val="b"/>
        <c:numFmt formatCode="General" sourceLinked="1"/>
        <c:tickLblPos val="nextTo"/>
        <c:crossAx val="247329536"/>
        <c:crosses val="autoZero"/>
        <c:auto val="1"/>
        <c:lblAlgn val="ctr"/>
        <c:lblOffset val="100"/>
      </c:catAx>
      <c:valAx>
        <c:axId val="247329536"/>
        <c:scaling>
          <c:orientation val="minMax"/>
        </c:scaling>
        <c:axPos val="l"/>
        <c:majorGridlines/>
        <c:numFmt formatCode="General" sourceLinked="1"/>
        <c:tickLblPos val="nextTo"/>
        <c:crossAx val="247323648"/>
        <c:crosses val="autoZero"/>
        <c:crossBetween val="between"/>
      </c:valAx>
      <c:serAx>
        <c:axId val="246176832"/>
        <c:scaling>
          <c:orientation val="minMax"/>
        </c:scaling>
        <c:delete val="1"/>
        <c:axPos val="b"/>
        <c:tickLblPos val="none"/>
        <c:crossAx val="247329536"/>
        <c:crosses val="autoZero"/>
      </c:serAx>
    </c:plotArea>
    <c:legend>
      <c:legendPos val="r"/>
    </c:legend>
    <c:plotVisOnly val="1"/>
    <c:dispBlanksAs val="gap"/>
  </c:chart>
  <c:spPr>
    <a:solidFill>
      <a:schemeClr val="accent6">
        <a:lumMod val="40000"/>
        <a:lumOff val="60000"/>
      </a:schemeClr>
    </a:solidFill>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t>A</a:t>
            </a:r>
            <a:r>
              <a:rPr lang="en-US" sz="1200"/>
              <a:t>rii naturale protejate</a:t>
            </a:r>
            <a:r>
              <a:rPr lang="ro-RO" sz="1200"/>
              <a:t> desemnate </a:t>
            </a:r>
            <a:endParaRPr lang="en-US" sz="1200"/>
          </a:p>
        </c:rich>
      </c:tx>
    </c:title>
    <c:plotArea>
      <c:layout/>
      <c:barChart>
        <c:barDir val="bar"/>
        <c:grouping val="clustered"/>
        <c:ser>
          <c:idx val="0"/>
          <c:order val="0"/>
          <c:tx>
            <c:strRef>
              <c:f>Sheet1!$B$1</c:f>
              <c:strCache>
                <c:ptCount val="1"/>
                <c:pt idx="0">
                  <c:v>Nr. Arii naturale protejate</c:v>
                </c:pt>
              </c:strCache>
            </c:strRef>
          </c:tx>
          <c:cat>
            <c:numRef>
              <c:f>Sheet1!$A$2:$A$7</c:f>
              <c:numCache>
                <c:formatCode>General</c:formatCode>
                <c:ptCount val="6"/>
                <c:pt idx="0">
                  <c:v>1994</c:v>
                </c:pt>
                <c:pt idx="1">
                  <c:v>2007</c:v>
                </c:pt>
                <c:pt idx="2">
                  <c:v>2011</c:v>
                </c:pt>
                <c:pt idx="3">
                  <c:v>2015</c:v>
                </c:pt>
                <c:pt idx="4">
                  <c:v>2016</c:v>
                </c:pt>
              </c:numCache>
            </c:numRef>
          </c:cat>
          <c:val>
            <c:numRef>
              <c:f>Sheet1!$B$2:$B$7</c:f>
              <c:numCache>
                <c:formatCode>General</c:formatCode>
                <c:ptCount val="6"/>
                <c:pt idx="0">
                  <c:v>5</c:v>
                </c:pt>
                <c:pt idx="1">
                  <c:v>17</c:v>
                </c:pt>
                <c:pt idx="2">
                  <c:v>24</c:v>
                </c:pt>
                <c:pt idx="3">
                  <c:v>25</c:v>
                </c:pt>
                <c:pt idx="4">
                  <c:v>26</c:v>
                </c:pt>
              </c:numCache>
            </c:numRef>
          </c:val>
        </c:ser>
        <c:axId val="247358592"/>
        <c:axId val="247360128"/>
      </c:barChart>
      <c:catAx>
        <c:axId val="247358592"/>
        <c:scaling>
          <c:orientation val="minMax"/>
        </c:scaling>
        <c:axPos val="l"/>
        <c:numFmt formatCode="General" sourceLinked="1"/>
        <c:tickLblPos val="nextTo"/>
        <c:crossAx val="247360128"/>
        <c:crosses val="autoZero"/>
        <c:auto val="1"/>
        <c:lblAlgn val="ctr"/>
        <c:lblOffset val="100"/>
      </c:catAx>
      <c:valAx>
        <c:axId val="247360128"/>
        <c:scaling>
          <c:orientation val="minMax"/>
        </c:scaling>
        <c:axPos val="b"/>
        <c:majorGridlines/>
        <c:numFmt formatCode="General" sourceLinked="1"/>
        <c:tickLblPos val="nextTo"/>
        <c:crossAx val="247358592"/>
        <c:crosses val="autoZero"/>
        <c:crossBetween val="between"/>
      </c:valAx>
    </c:plotArea>
    <c:legend>
      <c:legendPos val="r"/>
    </c:legend>
    <c:plotVisOnly val="1"/>
  </c:chart>
  <c:spPr>
    <a:solidFill>
      <a:srgbClr val="FFFF00"/>
    </a:solidFill>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a:pPr>
            <a:r>
              <a:rPr lang="ro-RO" sz="1200"/>
              <a:t>Evoluția suprafeței totale arii protejate(ha)</a:t>
            </a:r>
          </a:p>
        </c:rich>
      </c:tx>
    </c:title>
    <c:plotArea>
      <c:layout/>
      <c:barChart>
        <c:barDir val="bar"/>
        <c:grouping val="clustered"/>
        <c:ser>
          <c:idx val="0"/>
          <c:order val="0"/>
          <c:tx>
            <c:strRef>
              <c:f>Sheet1!$B$1</c:f>
              <c:strCache>
                <c:ptCount val="1"/>
                <c:pt idx="0">
                  <c:v>Suprafata totala arii protejate(ha)</c:v>
                </c:pt>
              </c:strCache>
            </c:strRef>
          </c:tx>
          <c:cat>
            <c:numRef>
              <c:f>Sheet1!$A$2:$A$5</c:f>
              <c:numCache>
                <c:formatCode>General</c:formatCode>
                <c:ptCount val="4"/>
                <c:pt idx="0">
                  <c:v>1994</c:v>
                </c:pt>
                <c:pt idx="1">
                  <c:v>2011</c:v>
                </c:pt>
              </c:numCache>
            </c:numRef>
          </c:cat>
          <c:val>
            <c:numRef>
              <c:f>Sheet1!$B$2:$B$5</c:f>
              <c:numCache>
                <c:formatCode>General</c:formatCode>
                <c:ptCount val="4"/>
                <c:pt idx="0">
                  <c:v>17511</c:v>
                </c:pt>
                <c:pt idx="1">
                  <c:v>60000</c:v>
                </c:pt>
              </c:numCache>
            </c:numRef>
          </c:val>
        </c:ser>
        <c:axId val="247433472"/>
        <c:axId val="247443456"/>
      </c:barChart>
      <c:catAx>
        <c:axId val="247433472"/>
        <c:scaling>
          <c:orientation val="minMax"/>
        </c:scaling>
        <c:axPos val="l"/>
        <c:numFmt formatCode="General" sourceLinked="1"/>
        <c:tickLblPos val="nextTo"/>
        <c:crossAx val="247443456"/>
        <c:crosses val="autoZero"/>
        <c:auto val="1"/>
        <c:lblAlgn val="ctr"/>
        <c:lblOffset val="100"/>
      </c:catAx>
      <c:valAx>
        <c:axId val="247443456"/>
        <c:scaling>
          <c:orientation val="minMax"/>
        </c:scaling>
        <c:axPos val="b"/>
        <c:majorGridlines/>
        <c:numFmt formatCode="General" sourceLinked="1"/>
        <c:tickLblPos val="nextTo"/>
        <c:crossAx val="247433472"/>
        <c:crosses val="autoZero"/>
        <c:crossBetween val="between"/>
      </c:valAx>
    </c:plotArea>
    <c:plotVisOnly val="1"/>
  </c:chart>
  <c:spPr>
    <a:solidFill>
      <a:srgbClr val="FFFF00"/>
    </a:solidFill>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Fond forestier(ha)</c:v>
                </c:pt>
              </c:strCache>
            </c:strRef>
          </c:tx>
          <c:marker>
            <c:symbol val="none"/>
          </c:marker>
          <c:cat>
            <c:strRef>
              <c:f>Sheet1!$A$2:$A$6</c:f>
              <c:strCache>
                <c:ptCount val="5"/>
                <c:pt idx="0">
                  <c:v>Anul 2013</c:v>
                </c:pt>
                <c:pt idx="1">
                  <c:v>Anul 2014</c:v>
                </c:pt>
                <c:pt idx="2">
                  <c:v>Anul 2015</c:v>
                </c:pt>
                <c:pt idx="3">
                  <c:v>Anul 2016</c:v>
                </c:pt>
                <c:pt idx="4">
                  <c:v>Anul 2017</c:v>
                </c:pt>
              </c:strCache>
            </c:strRef>
          </c:cat>
          <c:val>
            <c:numRef>
              <c:f>Sheet1!$B$2:$B$6</c:f>
              <c:numCache>
                <c:formatCode>General</c:formatCode>
                <c:ptCount val="5"/>
                <c:pt idx="0">
                  <c:v>27835</c:v>
                </c:pt>
                <c:pt idx="1">
                  <c:v>27414</c:v>
                </c:pt>
                <c:pt idx="2">
                  <c:v>28026</c:v>
                </c:pt>
                <c:pt idx="3">
                  <c:v>28230</c:v>
                </c:pt>
                <c:pt idx="4">
                  <c:v>28296</c:v>
                </c:pt>
              </c:numCache>
            </c:numRef>
          </c:val>
        </c:ser>
        <c:marker val="1"/>
        <c:axId val="246217728"/>
        <c:axId val="247010048"/>
      </c:lineChart>
      <c:catAx>
        <c:axId val="246217728"/>
        <c:scaling>
          <c:orientation val="minMax"/>
        </c:scaling>
        <c:axPos val="b"/>
        <c:tickLblPos val="nextTo"/>
        <c:crossAx val="247010048"/>
        <c:crosses val="autoZero"/>
        <c:auto val="1"/>
        <c:lblAlgn val="ctr"/>
        <c:lblOffset val="100"/>
      </c:catAx>
      <c:valAx>
        <c:axId val="247010048"/>
        <c:scaling>
          <c:orientation val="minMax"/>
        </c:scaling>
        <c:axPos val="l"/>
        <c:majorGridlines/>
        <c:numFmt formatCode="General" sourceLinked="1"/>
        <c:tickLblPos val="nextTo"/>
        <c:crossAx val="246217728"/>
        <c:crosses val="autoZero"/>
        <c:crossBetween val="between"/>
      </c:valAx>
    </c:plotArea>
    <c:legend>
      <c:legendPos val="r"/>
    </c:legend>
    <c:plotVisOnly val="1"/>
    <c:dispBlanksAs val="gap"/>
  </c:chart>
  <c:spPr>
    <a:solidFill>
      <a:schemeClr val="accent6">
        <a:lumMod val="60000"/>
        <a:lumOff val="40000"/>
      </a:schemeClr>
    </a:solidFill>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1"/>
          <c:w val="0.67102401088753794"/>
          <c:h val="0.64508116421753015"/>
        </c:manualLayout>
      </c:layout>
      <c:barChart>
        <c:barDir val="col"/>
        <c:grouping val="clustered"/>
        <c:ser>
          <c:idx val="0"/>
          <c:order val="0"/>
          <c:tx>
            <c:strRef>
              <c:f>Sheet1!$B$1</c:f>
              <c:strCache>
                <c:ptCount val="1"/>
                <c:pt idx="0">
                  <c:v>Anul 2013</c:v>
                </c:pt>
              </c:strCache>
            </c:strRef>
          </c:tx>
          <c:cat>
            <c:strRef>
              <c:f>Sheet1!$A$2</c:f>
              <c:strCache>
                <c:ptCount val="1"/>
                <c:pt idx="0">
                  <c:v>Fond forestier/populatie (ha/loc)</c:v>
                </c:pt>
              </c:strCache>
            </c:strRef>
          </c:cat>
          <c:val>
            <c:numRef>
              <c:f>Sheet1!$B$2</c:f>
              <c:numCache>
                <c:formatCode>General</c:formatCode>
                <c:ptCount val="1"/>
                <c:pt idx="0">
                  <c:v>7.3999999999999996E-2</c:v>
                </c:pt>
              </c:numCache>
            </c:numRef>
          </c:val>
        </c:ser>
        <c:ser>
          <c:idx val="1"/>
          <c:order val="1"/>
          <c:tx>
            <c:strRef>
              <c:f>Sheet1!$C$1</c:f>
              <c:strCache>
                <c:ptCount val="1"/>
                <c:pt idx="0">
                  <c:v>Anul 2014</c:v>
                </c:pt>
              </c:strCache>
            </c:strRef>
          </c:tx>
          <c:cat>
            <c:strRef>
              <c:f>Sheet1!$A$2</c:f>
              <c:strCache>
                <c:ptCount val="1"/>
                <c:pt idx="0">
                  <c:v>Fond forestier/populatie (ha/loc)</c:v>
                </c:pt>
              </c:strCache>
            </c:strRef>
          </c:cat>
          <c:val>
            <c:numRef>
              <c:f>Sheet1!$C$2</c:f>
              <c:numCache>
                <c:formatCode>0.000</c:formatCode>
                <c:ptCount val="1"/>
                <c:pt idx="0">
                  <c:v>7.3000000000000009E-2</c:v>
                </c:pt>
              </c:numCache>
            </c:numRef>
          </c:val>
        </c:ser>
        <c:ser>
          <c:idx val="2"/>
          <c:order val="2"/>
          <c:tx>
            <c:strRef>
              <c:f>Sheet1!$D$1</c:f>
              <c:strCache>
                <c:ptCount val="1"/>
                <c:pt idx="0">
                  <c:v>Anul 2015</c:v>
                </c:pt>
              </c:strCache>
            </c:strRef>
          </c:tx>
          <c:cat>
            <c:strRef>
              <c:f>Sheet1!$A$2</c:f>
              <c:strCache>
                <c:ptCount val="1"/>
                <c:pt idx="0">
                  <c:v>Fond forestier/populatie (ha/loc)</c:v>
                </c:pt>
              </c:strCache>
            </c:strRef>
          </c:cat>
          <c:val>
            <c:numRef>
              <c:f>Sheet1!$D$2</c:f>
              <c:numCache>
                <c:formatCode>0.000</c:formatCode>
                <c:ptCount val="1"/>
                <c:pt idx="0">
                  <c:v>7.5000000000000011E-2</c:v>
                </c:pt>
              </c:numCache>
            </c:numRef>
          </c:val>
        </c:ser>
        <c:ser>
          <c:idx val="3"/>
          <c:order val="3"/>
          <c:tx>
            <c:strRef>
              <c:f>Sheet1!$E$1</c:f>
              <c:strCache>
                <c:ptCount val="1"/>
                <c:pt idx="0">
                  <c:v>Anul 2016</c:v>
                </c:pt>
              </c:strCache>
            </c:strRef>
          </c:tx>
          <c:cat>
            <c:strRef>
              <c:f>Sheet1!$A$2</c:f>
              <c:strCache>
                <c:ptCount val="1"/>
                <c:pt idx="0">
                  <c:v>Fond forestier/populatie (ha/loc)</c:v>
                </c:pt>
              </c:strCache>
            </c:strRef>
          </c:cat>
          <c:val>
            <c:numRef>
              <c:f>Sheet1!$E$2</c:f>
              <c:numCache>
                <c:formatCode>General</c:formatCode>
                <c:ptCount val="1"/>
                <c:pt idx="0">
                  <c:v>7.5999999999999998E-2</c:v>
                </c:pt>
              </c:numCache>
            </c:numRef>
          </c:val>
        </c:ser>
        <c:ser>
          <c:idx val="4"/>
          <c:order val="4"/>
          <c:tx>
            <c:strRef>
              <c:f>Sheet1!$F$1</c:f>
              <c:strCache>
                <c:ptCount val="1"/>
                <c:pt idx="0">
                  <c:v>Anul 2017</c:v>
                </c:pt>
              </c:strCache>
            </c:strRef>
          </c:tx>
          <c:cat>
            <c:strRef>
              <c:f>Sheet1!$A$2</c:f>
              <c:strCache>
                <c:ptCount val="1"/>
                <c:pt idx="0">
                  <c:v>Fond forestier/populatie (ha/loc)</c:v>
                </c:pt>
              </c:strCache>
            </c:strRef>
          </c:cat>
          <c:val>
            <c:numRef>
              <c:f>Sheet1!$F$2</c:f>
              <c:numCache>
                <c:formatCode>General</c:formatCode>
                <c:ptCount val="1"/>
                <c:pt idx="0">
                  <c:v>7.5999999999999998E-2</c:v>
                </c:pt>
              </c:numCache>
            </c:numRef>
          </c:val>
        </c:ser>
        <c:axId val="247540736"/>
        <c:axId val="247558912"/>
      </c:barChart>
      <c:catAx>
        <c:axId val="247540736"/>
        <c:scaling>
          <c:orientation val="minMax"/>
        </c:scaling>
        <c:axPos val="b"/>
        <c:tickLblPos val="nextTo"/>
        <c:crossAx val="247558912"/>
        <c:crosses val="autoZero"/>
        <c:auto val="1"/>
        <c:lblAlgn val="ctr"/>
        <c:lblOffset val="100"/>
      </c:catAx>
      <c:valAx>
        <c:axId val="247558912"/>
        <c:scaling>
          <c:orientation val="minMax"/>
        </c:scaling>
        <c:axPos val="l"/>
        <c:majorGridlines/>
        <c:numFmt formatCode="General" sourceLinked="1"/>
        <c:tickLblPos val="nextTo"/>
        <c:crossAx val="247540736"/>
        <c:crosses val="autoZero"/>
        <c:crossBetween val="between"/>
      </c:valAx>
    </c:plotArea>
    <c:legend>
      <c:legendPos val="r"/>
    </c:legend>
    <c:plotVisOnly val="1"/>
    <c:dispBlanksAs val="gap"/>
  </c:chart>
  <c:spPr>
    <a:solidFill>
      <a:schemeClr val="accent4">
        <a:lumMod val="20000"/>
        <a:lumOff val="80000"/>
      </a:schemeClr>
    </a:solidFill>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Cresteri</c:v>
                </c:pt>
              </c:strCache>
            </c:strRef>
          </c:tx>
          <c:cat>
            <c:strRef>
              <c:f>Sheet1!$A$2:$A$6</c:f>
              <c:strCache>
                <c:ptCount val="5"/>
                <c:pt idx="0">
                  <c:v>Anul 2013</c:v>
                </c:pt>
                <c:pt idx="1">
                  <c:v>Anul 2014</c:v>
                </c:pt>
                <c:pt idx="2">
                  <c:v>Anul 2015</c:v>
                </c:pt>
                <c:pt idx="3">
                  <c:v>Anul 2016</c:v>
                </c:pt>
                <c:pt idx="4">
                  <c:v>Anul 2017</c:v>
                </c:pt>
              </c:strCache>
            </c:str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Taieri</c:v>
                </c:pt>
              </c:strCache>
            </c:strRef>
          </c:tx>
          <c:cat>
            <c:strRef>
              <c:f>Sheet1!$A$2:$A$6</c:f>
              <c:strCache>
                <c:ptCount val="5"/>
                <c:pt idx="0">
                  <c:v>Anul 2013</c:v>
                </c:pt>
                <c:pt idx="1">
                  <c:v>Anul 2014</c:v>
                </c:pt>
                <c:pt idx="2">
                  <c:v>Anul 2015</c:v>
                </c:pt>
                <c:pt idx="3">
                  <c:v>Anul 2016</c:v>
                </c:pt>
                <c:pt idx="4">
                  <c:v>Anul 2017</c:v>
                </c:pt>
              </c:strCache>
            </c:strRef>
          </c:cat>
          <c:val>
            <c:numRef>
              <c:f>Sheet1!$C$2:$C$6</c:f>
              <c:numCache>
                <c:formatCode>General</c:formatCode>
                <c:ptCount val="5"/>
                <c:pt idx="0">
                  <c:v>5.2</c:v>
                </c:pt>
                <c:pt idx="1">
                  <c:v>5.5</c:v>
                </c:pt>
                <c:pt idx="2">
                  <c:v>5.3</c:v>
                </c:pt>
                <c:pt idx="3">
                  <c:v>5.3</c:v>
                </c:pt>
                <c:pt idx="4">
                  <c:v>5.3</c:v>
                </c:pt>
              </c:numCache>
            </c:numRef>
          </c:val>
        </c:ser>
        <c:axId val="247563008"/>
        <c:axId val="247564544"/>
      </c:barChart>
      <c:catAx>
        <c:axId val="247563008"/>
        <c:scaling>
          <c:orientation val="minMax"/>
        </c:scaling>
        <c:axPos val="b"/>
        <c:tickLblPos val="nextTo"/>
        <c:crossAx val="247564544"/>
        <c:crosses val="autoZero"/>
        <c:auto val="1"/>
        <c:lblAlgn val="ctr"/>
        <c:lblOffset val="100"/>
      </c:catAx>
      <c:valAx>
        <c:axId val="247564544"/>
        <c:scaling>
          <c:orientation val="minMax"/>
        </c:scaling>
        <c:axPos val="l"/>
        <c:majorGridlines/>
        <c:numFmt formatCode="General" sourceLinked="1"/>
        <c:tickLblPos val="nextTo"/>
        <c:crossAx val="247563008"/>
        <c:crosses val="autoZero"/>
        <c:crossBetween val="between"/>
      </c:valAx>
    </c:plotArea>
    <c:legend>
      <c:legendPos val="r"/>
    </c:legend>
    <c:plotVisOnly val="1"/>
    <c:dispBlanksAs val="gap"/>
  </c:chart>
  <c:spPr>
    <a:solidFill>
      <a:schemeClr val="bg2">
        <a:lumMod val="90000"/>
      </a:schemeClr>
    </a:solidFill>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Plop</c:v>
                </c:pt>
              </c:strCache>
            </c:strRef>
          </c:tx>
          <c:cat>
            <c:strRef>
              <c:f>Sheet1!$A$2:$A$5</c:f>
              <c:strCache>
                <c:ptCount val="4"/>
                <c:pt idx="0">
                  <c:v>Principale</c:v>
                </c:pt>
                <c:pt idx="1">
                  <c:v>Secundare</c:v>
                </c:pt>
                <c:pt idx="2">
                  <c:v>Accidentale</c:v>
                </c:pt>
                <c:pt idx="3">
                  <c:v>Total</c:v>
                </c:pt>
              </c:strCache>
            </c:strRef>
          </c:cat>
          <c:val>
            <c:numRef>
              <c:f>Sheet1!$B$2:$B$5</c:f>
              <c:numCache>
                <c:formatCode>General</c:formatCode>
                <c:ptCount val="4"/>
                <c:pt idx="0">
                  <c:v>30</c:v>
                </c:pt>
                <c:pt idx="1">
                  <c:v>3.5</c:v>
                </c:pt>
                <c:pt idx="2">
                  <c:v>0</c:v>
                </c:pt>
                <c:pt idx="3">
                  <c:v>33.5</c:v>
                </c:pt>
              </c:numCache>
            </c:numRef>
          </c:val>
        </c:ser>
        <c:ser>
          <c:idx val="1"/>
          <c:order val="1"/>
          <c:tx>
            <c:strRef>
              <c:f>Sheet1!$C$1</c:f>
              <c:strCache>
                <c:ptCount val="1"/>
                <c:pt idx="0">
                  <c:v>Salcie</c:v>
                </c:pt>
              </c:strCache>
            </c:strRef>
          </c:tx>
          <c:cat>
            <c:strRef>
              <c:f>Sheet1!$A$2:$A$5</c:f>
              <c:strCache>
                <c:ptCount val="4"/>
                <c:pt idx="0">
                  <c:v>Principale</c:v>
                </c:pt>
                <c:pt idx="1">
                  <c:v>Secundare</c:v>
                </c:pt>
                <c:pt idx="2">
                  <c:v>Accidentale</c:v>
                </c:pt>
                <c:pt idx="3">
                  <c:v>Total</c:v>
                </c:pt>
              </c:strCache>
            </c:strRef>
          </c:cat>
          <c:val>
            <c:numRef>
              <c:f>Sheet1!$C$2:$C$5</c:f>
              <c:numCache>
                <c:formatCode>General</c:formatCode>
                <c:ptCount val="4"/>
                <c:pt idx="0">
                  <c:v>20.100000000000001</c:v>
                </c:pt>
                <c:pt idx="1">
                  <c:v>2.2000000000000002</c:v>
                </c:pt>
                <c:pt idx="2">
                  <c:v>0</c:v>
                </c:pt>
                <c:pt idx="3">
                  <c:v>22.1</c:v>
                </c:pt>
              </c:numCache>
            </c:numRef>
          </c:val>
        </c:ser>
        <c:ser>
          <c:idx val="2"/>
          <c:order val="2"/>
          <c:tx>
            <c:strRef>
              <c:f>Sheet1!$D$1</c:f>
              <c:strCache>
                <c:ptCount val="1"/>
                <c:pt idx="0">
                  <c:v>Alte esente</c:v>
                </c:pt>
              </c:strCache>
            </c:strRef>
          </c:tx>
          <c:cat>
            <c:strRef>
              <c:f>Sheet1!$A$2:$A$5</c:f>
              <c:strCache>
                <c:ptCount val="4"/>
                <c:pt idx="0">
                  <c:v>Principale</c:v>
                </c:pt>
                <c:pt idx="1">
                  <c:v>Secundare</c:v>
                </c:pt>
                <c:pt idx="2">
                  <c:v>Accidentale</c:v>
                </c:pt>
                <c:pt idx="3">
                  <c:v>Total</c:v>
                </c:pt>
              </c:strCache>
            </c:strRef>
          </c:cat>
          <c:val>
            <c:numRef>
              <c:f>Sheet1!$D$2:$D$5</c:f>
              <c:numCache>
                <c:formatCode>General</c:formatCode>
                <c:ptCount val="4"/>
                <c:pt idx="0">
                  <c:v>1.5</c:v>
                </c:pt>
                <c:pt idx="1">
                  <c:v>2</c:v>
                </c:pt>
                <c:pt idx="2">
                  <c:v>0</c:v>
                </c:pt>
                <c:pt idx="3">
                  <c:v>3.5</c:v>
                </c:pt>
              </c:numCache>
            </c:numRef>
          </c:val>
        </c:ser>
        <c:axId val="247794688"/>
        <c:axId val="247841536"/>
      </c:barChart>
      <c:catAx>
        <c:axId val="247794688"/>
        <c:scaling>
          <c:orientation val="minMax"/>
        </c:scaling>
        <c:axPos val="b"/>
        <c:tickLblPos val="nextTo"/>
        <c:crossAx val="247841536"/>
        <c:crosses val="autoZero"/>
        <c:auto val="1"/>
        <c:lblAlgn val="ctr"/>
        <c:lblOffset val="100"/>
      </c:catAx>
      <c:valAx>
        <c:axId val="247841536"/>
        <c:scaling>
          <c:orientation val="minMax"/>
        </c:scaling>
        <c:axPos val="l"/>
        <c:majorGridlines/>
        <c:numFmt formatCode="General" sourceLinked="1"/>
        <c:tickLblPos val="nextTo"/>
        <c:crossAx val="247794688"/>
        <c:crosses val="autoZero"/>
        <c:crossBetween val="between"/>
      </c:valAx>
      <c:spPr>
        <a:solidFill>
          <a:schemeClr val="accent3">
            <a:lumMod val="20000"/>
            <a:lumOff val="80000"/>
          </a:schemeClr>
        </a:solidFill>
      </c:spPr>
    </c:plotArea>
    <c:legend>
      <c:legendPos val="r"/>
    </c:legend>
    <c:plotVisOnly val="1"/>
    <c:dispBlanksAs val="gap"/>
  </c:chart>
  <c:spPr>
    <a:solidFill>
      <a:srgbClr val="8064A2">
        <a:lumMod val="20000"/>
        <a:lumOff val="80000"/>
      </a:srgb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6.1326167562388026E-2"/>
          <c:y val="0.2259730319969547"/>
          <c:w val="0.92531065003735846"/>
          <c:h val="0.6294343976233947"/>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dLbls>
            <c:showVal val="1"/>
          </c:dLbls>
          <c:cat>
            <c:strRef>
              <c:f>Sheet1!$B$1:$B$1</c:f>
              <c:strCache>
                <c:ptCount val="1"/>
                <c:pt idx="0">
                  <c:v>Media an 2017</c:v>
                </c:pt>
              </c:strCache>
            </c:strRef>
          </c:cat>
          <c:val>
            <c:numRef>
              <c:f>Sheet1!$B$2:$B$2</c:f>
              <c:numCache>
                <c:formatCode>General</c:formatCode>
                <c:ptCount val="1"/>
                <c:pt idx="0">
                  <c:v>3.29</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dLbls>
            <c:showVal val="1"/>
          </c:dLbls>
          <c:trendline>
            <c:trendlineType val="linear"/>
          </c:trendline>
          <c:cat>
            <c:strRef>
              <c:f>Sheet1!$B$1:$B$1</c:f>
              <c:strCache>
                <c:ptCount val="1"/>
                <c:pt idx="0">
                  <c:v>Media an 2017</c:v>
                </c:pt>
              </c:strCache>
            </c:strRef>
          </c:cat>
          <c:val>
            <c:numRef>
              <c:f>Sheet1!$B$3:$B$3</c:f>
              <c:numCache>
                <c:formatCode>General</c:formatCode>
                <c:ptCount val="1"/>
                <c:pt idx="0">
                  <c:v>5.87</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dLbls>
            <c:dLbl>
              <c:idx val="0"/>
              <c:layout>
                <c:manualLayout>
                  <c:x val="5.5026455026455062E-2"/>
                  <c:y val="5.0890585241731026E-2"/>
                </c:manualLayout>
              </c:layout>
              <c:showVal val="1"/>
            </c:dLbl>
            <c:showVal val="1"/>
          </c:dLbls>
          <c:cat>
            <c:strRef>
              <c:f>Sheet1!$B$1:$B$1</c:f>
              <c:strCache>
                <c:ptCount val="1"/>
                <c:pt idx="0">
                  <c:v>Media an 2017</c:v>
                </c:pt>
              </c:strCache>
            </c:strRef>
          </c:cat>
          <c:val>
            <c:numRef>
              <c:f>Sheet1!$B$4:$B$4</c:f>
              <c:numCache>
                <c:formatCode>General</c:formatCode>
                <c:ptCount val="1"/>
                <c:pt idx="0">
                  <c:v>11.58</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dLbls>
            <c:showVal val="1"/>
          </c:dLbls>
          <c:cat>
            <c:strRef>
              <c:f>Sheet1!$B$1:$B$1</c:f>
              <c:strCache>
                <c:ptCount val="1"/>
                <c:pt idx="0">
                  <c:v>Media an 2017</c:v>
                </c:pt>
              </c:strCache>
            </c:strRef>
          </c:cat>
          <c:val>
            <c:numRef>
              <c:f>Sheet1!$B$5:$B$5</c:f>
              <c:numCache>
                <c:formatCode>General</c:formatCode>
                <c:ptCount val="1"/>
                <c:pt idx="0">
                  <c:v>8.09</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dLbls>
            <c:showVal val="1"/>
          </c:dLbls>
          <c:cat>
            <c:strRef>
              <c:f>Sheet1!$B$1:$B$1</c:f>
              <c:strCache>
                <c:ptCount val="1"/>
                <c:pt idx="0">
                  <c:v>Media an 2017</c:v>
                </c:pt>
              </c:strCache>
            </c:strRef>
          </c:cat>
          <c:val>
            <c:numRef>
              <c:f>Sheet1!$B$6:$B$6</c:f>
              <c:numCache>
                <c:formatCode>General</c:formatCode>
                <c:ptCount val="1"/>
                <c:pt idx="0">
                  <c:v>5.33</c:v>
                </c:pt>
              </c:numCache>
            </c:numRef>
          </c:val>
        </c:ser>
        <c:ser>
          <c:idx val="6"/>
          <c:order val="5"/>
          <c:tx>
            <c:strRef>
              <c:f>Sheet1!$A$7</c:f>
              <c:strCache>
                <c:ptCount val="1"/>
                <c:pt idx="0">
                  <c:v>SC Hercules</c:v>
                </c:pt>
              </c:strCache>
            </c:strRef>
          </c:tx>
          <c:spPr>
            <a:solidFill>
              <a:srgbClr val="0066CC"/>
            </a:solidFill>
            <a:ln w="9290">
              <a:solidFill>
                <a:srgbClr val="000000"/>
              </a:solidFill>
              <a:prstDash val="solid"/>
            </a:ln>
          </c:spPr>
          <c:dLbls>
            <c:showVal val="1"/>
          </c:dLbls>
          <c:cat>
            <c:strRef>
              <c:f>Sheet1!$B$1:$B$1</c:f>
              <c:strCache>
                <c:ptCount val="1"/>
                <c:pt idx="0">
                  <c:v>Media an 2017</c:v>
                </c:pt>
              </c:strCache>
            </c:strRef>
          </c:cat>
          <c:val>
            <c:numRef>
              <c:f>Sheet1!$B$7:$B$7</c:f>
              <c:numCache>
                <c:formatCode>General</c:formatCode>
                <c:ptCount val="1"/>
                <c:pt idx="0">
                  <c:v>6.6</c:v>
                </c:pt>
              </c:numCache>
            </c:numRef>
          </c:val>
        </c:ser>
        <c:ser>
          <c:idx val="0"/>
          <c:order val="6"/>
          <c:tx>
            <c:strRef>
              <c:f>Sheet1!$A$8</c:f>
              <c:strCache>
                <c:ptCount val="1"/>
                <c:pt idx="0">
                  <c:v>Termoelectrica Chiscani</c:v>
                </c:pt>
              </c:strCache>
            </c:strRef>
          </c:tx>
          <c:dLbls>
            <c:showVal val="1"/>
          </c:dLbls>
          <c:cat>
            <c:strRef>
              <c:f>Sheet1!$B$1:$B$1</c:f>
              <c:strCache>
                <c:ptCount val="1"/>
                <c:pt idx="0">
                  <c:v>Media an 2017</c:v>
                </c:pt>
              </c:strCache>
            </c:strRef>
          </c:cat>
          <c:val>
            <c:numRef>
              <c:f>Sheet1!$B$8:$B$8</c:f>
              <c:numCache>
                <c:formatCode>General</c:formatCode>
                <c:ptCount val="1"/>
                <c:pt idx="0">
                  <c:v>3.98</c:v>
                </c:pt>
              </c:numCache>
            </c:numRef>
          </c:val>
        </c:ser>
        <c:ser>
          <c:idx val="7"/>
          <c:order val="7"/>
          <c:tx>
            <c:strRef>
              <c:f>Sheet1!$A$9</c:f>
              <c:strCache>
                <c:ptCount val="1"/>
                <c:pt idx="0">
                  <c:v>Str.Galați</c:v>
                </c:pt>
              </c:strCache>
            </c:strRef>
          </c:tx>
          <c:dLbls>
            <c:showVal val="1"/>
          </c:dLbls>
          <c:cat>
            <c:strRef>
              <c:f>Sheet1!$B$1:$B$1</c:f>
              <c:strCache>
                <c:ptCount val="1"/>
                <c:pt idx="0">
                  <c:v>Media an 2017</c:v>
                </c:pt>
              </c:strCache>
            </c:strRef>
          </c:cat>
          <c:val>
            <c:numRef>
              <c:f>Sheet1!$B$9:$B$9</c:f>
              <c:numCache>
                <c:formatCode>General</c:formatCode>
                <c:ptCount val="1"/>
                <c:pt idx="0">
                  <c:v>7.2700000000000014</c:v>
                </c:pt>
              </c:numCache>
            </c:numRef>
          </c:val>
        </c:ser>
        <c:ser>
          <c:idx val="8"/>
          <c:order val="8"/>
          <c:tx>
            <c:strRef>
              <c:f>Sheet1!$A$10</c:f>
              <c:strCache>
                <c:ptCount val="1"/>
                <c:pt idx="0">
                  <c:v>Cazasu</c:v>
                </c:pt>
              </c:strCache>
            </c:strRef>
          </c:tx>
          <c:dLbls>
            <c:showVal val="1"/>
          </c:dLbls>
          <c:cat>
            <c:strRef>
              <c:f>Sheet1!$B$1:$B$1</c:f>
              <c:strCache>
                <c:ptCount val="1"/>
                <c:pt idx="0">
                  <c:v>Media an 2017</c:v>
                </c:pt>
              </c:strCache>
            </c:strRef>
          </c:cat>
          <c:val>
            <c:numRef>
              <c:f>Sheet1!$B$10:$B$10</c:f>
              <c:numCache>
                <c:formatCode>General</c:formatCode>
                <c:ptCount val="1"/>
                <c:pt idx="0">
                  <c:v>4.4700000000000024</c:v>
                </c:pt>
              </c:numCache>
            </c:numRef>
          </c:val>
        </c:ser>
        <c:ser>
          <c:idx val="9"/>
          <c:order val="9"/>
          <c:tx>
            <c:strRef>
              <c:f>Sheet1!$A$11</c:f>
              <c:strCache>
                <c:ptCount val="1"/>
                <c:pt idx="0">
                  <c:v>Primaria Brăila</c:v>
                </c:pt>
              </c:strCache>
            </c:strRef>
          </c:tx>
          <c:dLbls>
            <c:showVal val="1"/>
          </c:dLbls>
          <c:cat>
            <c:strRef>
              <c:f>Sheet1!$B$1:$B$1</c:f>
              <c:strCache>
                <c:ptCount val="1"/>
                <c:pt idx="0">
                  <c:v>Media an 2017</c:v>
                </c:pt>
              </c:strCache>
            </c:strRef>
          </c:cat>
          <c:val>
            <c:numRef>
              <c:f>Sheet1!$B$11:$B$11</c:f>
              <c:numCache>
                <c:formatCode>General</c:formatCode>
                <c:ptCount val="1"/>
                <c:pt idx="0">
                  <c:v>5.42</c:v>
                </c:pt>
              </c:numCache>
            </c:numRef>
          </c:val>
        </c:ser>
        <c:gapWidth val="113"/>
        <c:overlap val="-76"/>
        <c:axId val="216205184"/>
        <c:axId val="216206720"/>
      </c:barChart>
      <c:catAx>
        <c:axId val="216205184"/>
        <c:scaling>
          <c:orientation val="minMax"/>
        </c:scaling>
        <c:axPos val="b"/>
        <c:numFmt formatCode="General" sourceLinked="1"/>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o-RO"/>
          </a:p>
        </c:txPr>
        <c:crossAx val="216206720"/>
        <c:crosses val="autoZero"/>
        <c:auto val="1"/>
        <c:lblAlgn val="ctr"/>
        <c:lblOffset val="100"/>
        <c:tickLblSkip val="1"/>
        <c:tickMarkSkip val="1"/>
      </c:catAx>
      <c:valAx>
        <c:axId val="216206720"/>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1620518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title/>
    <c:plotArea>
      <c:layout/>
      <c:pieChart>
        <c:varyColors val="1"/>
        <c:ser>
          <c:idx val="0"/>
          <c:order val="0"/>
          <c:tx>
            <c:strRef>
              <c:f>Sheet1!$B$1</c:f>
              <c:strCache>
                <c:ptCount val="1"/>
                <c:pt idx="0">
                  <c:v>Pondere</c:v>
                </c:pt>
              </c:strCache>
            </c:strRef>
          </c:tx>
          <c:explosion val="25"/>
          <c:cat>
            <c:strRef>
              <c:f>Sheet1!$A$2:$A$4</c:f>
              <c:strCache>
                <c:ptCount val="3"/>
                <c:pt idx="0">
                  <c:v>Foioase</c:v>
                </c:pt>
                <c:pt idx="1">
                  <c:v>Cvercinee</c:v>
                </c:pt>
                <c:pt idx="2">
                  <c:v>Alte terenuri</c:v>
                </c:pt>
              </c:strCache>
            </c:strRef>
          </c:cat>
          <c:val>
            <c:numRef>
              <c:f>Sheet1!$B$2:$B$4</c:f>
              <c:numCache>
                <c:formatCode>General</c:formatCode>
                <c:ptCount val="3"/>
                <c:pt idx="0">
                  <c:v>98</c:v>
                </c:pt>
                <c:pt idx="1">
                  <c:v>1</c:v>
                </c:pt>
                <c:pt idx="2">
                  <c:v>1</c:v>
                </c:pt>
              </c:numCache>
            </c:numRef>
          </c:val>
        </c:ser>
        <c:firstSliceAng val="0"/>
      </c:pieChart>
    </c:plotArea>
    <c:legend>
      <c:legendPos val="r"/>
    </c:legend>
    <c:plotVisOnly val="1"/>
    <c:dispBlanksAs val="zero"/>
  </c:chart>
  <c:spPr>
    <a:solidFill>
      <a:schemeClr val="accent4">
        <a:lumMod val="20000"/>
        <a:lumOff val="80000"/>
        <a:alpha val="41000"/>
      </a:schemeClr>
    </a:solidFill>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pieChart>
        <c:varyColors val="1"/>
        <c:ser>
          <c:idx val="0"/>
          <c:order val="0"/>
          <c:tx>
            <c:strRef>
              <c:f>Sheet1!$B$1</c:f>
              <c:strCache>
                <c:ptCount val="1"/>
                <c:pt idx="0">
                  <c:v>Suprafata (ha)</c:v>
                </c:pt>
              </c:strCache>
            </c:strRef>
          </c:tx>
          <c:dLbls>
            <c:showVal val="1"/>
            <c:showLeaderLines val="1"/>
          </c:dLbls>
          <c:cat>
            <c:strRef>
              <c:f>Sheet1!$A$2:$A$6</c:f>
              <c:strCache>
                <c:ptCount val="5"/>
                <c:pt idx="0">
                  <c:v>Protectia apelor</c:v>
                </c:pt>
                <c:pt idx="1">
                  <c:v>Protectia terenurilor degradate</c:v>
                </c:pt>
                <c:pt idx="2">
                  <c:v>Recreere</c:v>
                </c:pt>
                <c:pt idx="3">
                  <c:v>Rezervatii seminte</c:v>
                </c:pt>
                <c:pt idx="4">
                  <c:v>Ocrotirii faunei</c:v>
                </c:pt>
              </c:strCache>
            </c:strRef>
          </c:cat>
          <c:val>
            <c:numRef>
              <c:f>Sheet1!$B$2:$B$6</c:f>
              <c:numCache>
                <c:formatCode>General</c:formatCode>
                <c:ptCount val="5"/>
                <c:pt idx="0">
                  <c:v>12764</c:v>
                </c:pt>
                <c:pt idx="1">
                  <c:v>364</c:v>
                </c:pt>
                <c:pt idx="2">
                  <c:v>150</c:v>
                </c:pt>
                <c:pt idx="3">
                  <c:v>320</c:v>
                </c:pt>
                <c:pt idx="4">
                  <c:v>14585</c:v>
                </c:pt>
              </c:numCache>
            </c:numRef>
          </c:val>
        </c:ser>
        <c:firstSliceAng val="0"/>
      </c:pieChart>
    </c:plotArea>
    <c:legend>
      <c:legendPos val="r"/>
      <c:layout>
        <c:manualLayout>
          <c:xMode val="edge"/>
          <c:yMode val="edge"/>
          <c:x val="0.6377563509522145"/>
          <c:y val="2.3823840201792981E-2"/>
          <c:w val="0.32046819212872674"/>
          <c:h val="0.97543988819579375"/>
        </c:manualLayout>
      </c:layout>
    </c:legend>
    <c:plotVisOnly val="1"/>
    <c:dispBlanksAs val="zero"/>
  </c:chart>
  <c:spPr>
    <a:solidFill>
      <a:schemeClr val="accent6">
        <a:lumMod val="20000"/>
        <a:lumOff val="80000"/>
      </a:schemeClr>
    </a:solidFill>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areaChart>
        <c:grouping val="stacked"/>
        <c:ser>
          <c:idx val="0"/>
          <c:order val="0"/>
          <c:tx>
            <c:strRef>
              <c:f>Sheet1!$B$1</c:f>
              <c:strCache>
                <c:ptCount val="1"/>
                <c:pt idx="0">
                  <c:v>Impadurire</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c:v>
                </c:pt>
                <c:pt idx="1">
                  <c:v>444</c:v>
                </c:pt>
                <c:pt idx="2">
                  <c:v>324</c:v>
                </c:pt>
                <c:pt idx="3">
                  <c:v>330</c:v>
                </c:pt>
                <c:pt idx="4">
                  <c:v>365</c:v>
                </c:pt>
              </c:numCache>
            </c:numRef>
          </c:val>
        </c:ser>
        <c:ser>
          <c:idx val="1"/>
          <c:order val="1"/>
          <c:tx>
            <c:strRef>
              <c:f>Sheet1!$C$1</c:f>
              <c:strCache>
                <c:ptCount val="1"/>
                <c:pt idx="0">
                  <c:v>Regenerare naturala</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191</c:v>
                </c:pt>
                <c:pt idx="1">
                  <c:v>130</c:v>
                </c:pt>
                <c:pt idx="2">
                  <c:v>121</c:v>
                </c:pt>
                <c:pt idx="3">
                  <c:v>125</c:v>
                </c:pt>
                <c:pt idx="4">
                  <c:v>151</c:v>
                </c:pt>
              </c:numCache>
            </c:numRef>
          </c:val>
        </c:ser>
        <c:axId val="248034048"/>
        <c:axId val="248035584"/>
      </c:areaChart>
      <c:catAx>
        <c:axId val="248034048"/>
        <c:scaling>
          <c:orientation val="minMax"/>
        </c:scaling>
        <c:axPos val="b"/>
        <c:numFmt formatCode="General" sourceLinked="1"/>
        <c:tickLblPos val="nextTo"/>
        <c:crossAx val="248035584"/>
        <c:crosses val="autoZero"/>
        <c:auto val="1"/>
        <c:lblAlgn val="ctr"/>
        <c:lblOffset val="100"/>
      </c:catAx>
      <c:valAx>
        <c:axId val="248035584"/>
        <c:scaling>
          <c:orientation val="minMax"/>
        </c:scaling>
        <c:axPos val="l"/>
        <c:majorGridlines/>
        <c:numFmt formatCode="General" sourceLinked="1"/>
        <c:tickLblPos val="nextTo"/>
        <c:crossAx val="248034048"/>
        <c:crosses val="autoZero"/>
        <c:crossBetween val="midCat"/>
      </c:valAx>
    </c:plotArea>
    <c:legend>
      <c:legendPos val="r"/>
    </c:legend>
    <c:plotVisOnly val="1"/>
    <c:dispBlanksAs val="zero"/>
  </c:chart>
  <c:spPr>
    <a:solidFill>
      <a:schemeClr val="accent4">
        <a:lumMod val="20000"/>
        <a:lumOff val="80000"/>
      </a:schemeClr>
    </a:solidFill>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Tăieri de regenerare în crâng</c:v>
                </c:pt>
              </c:strCache>
            </c:strRef>
          </c:tx>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70.7</c:v>
                </c:pt>
                <c:pt idx="1">
                  <c:v>64.8</c:v>
                </c:pt>
                <c:pt idx="2">
                  <c:v>46.7</c:v>
                </c:pt>
                <c:pt idx="3">
                  <c:v>48</c:v>
                </c:pt>
                <c:pt idx="4">
                  <c:v>47</c:v>
                </c:pt>
              </c:numCache>
            </c:numRef>
          </c:val>
        </c:ser>
        <c:ser>
          <c:idx val="1"/>
          <c:order val="1"/>
          <c:tx>
            <c:strRef>
              <c:f>Sheet1!$C$1</c:f>
              <c:strCache>
                <c:ptCount val="1"/>
                <c:pt idx="0">
                  <c:v>Tăieri de substituiri-refacere </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70.7</c:v>
                </c:pt>
                <c:pt idx="1">
                  <c:v>64.8</c:v>
                </c:pt>
                <c:pt idx="2">
                  <c:v>46.7</c:v>
                </c:pt>
                <c:pt idx="3">
                  <c:v>48</c:v>
                </c:pt>
                <c:pt idx="4">
                  <c:v>47</c:v>
                </c:pt>
              </c:numCache>
            </c:numRef>
          </c:val>
        </c:ser>
        <c:axId val="248121600"/>
        <c:axId val="248127488"/>
      </c:barChart>
      <c:catAx>
        <c:axId val="248121600"/>
        <c:scaling>
          <c:orientation val="minMax"/>
        </c:scaling>
        <c:axPos val="b"/>
        <c:numFmt formatCode="General" sourceLinked="1"/>
        <c:tickLblPos val="nextTo"/>
        <c:crossAx val="248127488"/>
        <c:crosses val="autoZero"/>
        <c:auto val="1"/>
        <c:lblAlgn val="ctr"/>
        <c:lblOffset val="100"/>
      </c:catAx>
      <c:valAx>
        <c:axId val="248127488"/>
        <c:scaling>
          <c:orientation val="minMax"/>
        </c:scaling>
        <c:axPos val="l"/>
        <c:majorGridlines/>
        <c:numFmt formatCode="General" sourceLinked="1"/>
        <c:tickLblPos val="nextTo"/>
        <c:crossAx val="248121600"/>
        <c:crosses val="autoZero"/>
        <c:crossBetween val="between"/>
      </c:valAx>
    </c:plotArea>
    <c:legend>
      <c:legendPos val="r"/>
    </c:legend>
    <c:plotVisOnly val="1"/>
    <c:dispBlanksAs val="gap"/>
  </c:chart>
  <c:spPr>
    <a:solidFill>
      <a:schemeClr val="accent4">
        <a:lumMod val="20000"/>
        <a:lumOff val="80000"/>
      </a:schemeClr>
    </a:solidFill>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Suprafata afectata de incendii</c:v>
                </c:pt>
              </c:strCache>
            </c:strRef>
          </c:tx>
          <c:marker>
            <c:symbol val="none"/>
          </c:marker>
          <c:cat>
            <c:strRef>
              <c:f>Sheet1!$A$2:$A$6</c:f>
              <c:strCache>
                <c:ptCount val="5"/>
                <c:pt idx="0">
                  <c:v>Anul 2013</c:v>
                </c:pt>
                <c:pt idx="1">
                  <c:v>Anul 2014</c:v>
                </c:pt>
                <c:pt idx="2">
                  <c:v>Anul 2015</c:v>
                </c:pt>
                <c:pt idx="3">
                  <c:v>Anul 2016</c:v>
                </c:pt>
                <c:pt idx="4">
                  <c:v>Anul 2017</c:v>
                </c:pt>
              </c:strCache>
            </c:strRef>
          </c:cat>
          <c:val>
            <c:numRef>
              <c:f>Sheet1!$B$2:$B$6</c:f>
              <c:numCache>
                <c:formatCode>0.0</c:formatCode>
                <c:ptCount val="5"/>
                <c:pt idx="0">
                  <c:v>1.6</c:v>
                </c:pt>
                <c:pt idx="1">
                  <c:v>2.2000000000000002</c:v>
                </c:pt>
                <c:pt idx="2">
                  <c:v>0.2</c:v>
                </c:pt>
                <c:pt idx="3">
                  <c:v>0</c:v>
                </c:pt>
                <c:pt idx="4">
                  <c:v>0</c:v>
                </c:pt>
              </c:numCache>
            </c:numRef>
          </c:val>
        </c:ser>
        <c:marker val="1"/>
        <c:axId val="248155136"/>
        <c:axId val="248140544"/>
      </c:lineChart>
      <c:catAx>
        <c:axId val="248155136"/>
        <c:scaling>
          <c:orientation val="minMax"/>
        </c:scaling>
        <c:axPos val="b"/>
        <c:tickLblPos val="nextTo"/>
        <c:crossAx val="248140544"/>
        <c:crosses val="autoZero"/>
        <c:auto val="1"/>
        <c:lblAlgn val="ctr"/>
        <c:lblOffset val="100"/>
      </c:catAx>
      <c:valAx>
        <c:axId val="248140544"/>
        <c:scaling>
          <c:orientation val="minMax"/>
        </c:scaling>
        <c:axPos val="l"/>
        <c:majorGridlines/>
        <c:numFmt formatCode="0.0" sourceLinked="1"/>
        <c:tickLblPos val="nextTo"/>
        <c:crossAx val="248155136"/>
        <c:crosses val="autoZero"/>
        <c:crossBetween val="between"/>
      </c:valAx>
    </c:plotArea>
    <c:legend>
      <c:legendPos val="r"/>
    </c:legend>
    <c:plotVisOnly val="1"/>
    <c:dispBlanksAs val="gap"/>
  </c:chart>
  <c:spPr>
    <a:solidFill>
      <a:schemeClr val="accent4">
        <a:lumMod val="20000"/>
        <a:lumOff val="80000"/>
      </a:schemeClr>
    </a:solidFill>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44827586206895"/>
          <c:y val="3.1141868512110937E-2"/>
          <c:w val="0.54679802955665024"/>
          <c:h val="0.84429065743945109"/>
        </c:manualLayout>
      </c:layout>
      <c:bar3DChart>
        <c:barDir val="col"/>
        <c:grouping val="percentStacked"/>
        <c:ser>
          <c:idx val="0"/>
          <c:order val="0"/>
          <c:tx>
            <c:strRef>
              <c:f>Sheet1!$A$2</c:f>
              <c:strCache>
                <c:ptCount val="1"/>
                <c:pt idx="0">
                  <c:v>deseuri din constructii si demolari</c:v>
                </c:pt>
              </c:strCache>
            </c:strRef>
          </c:tx>
          <c:spPr>
            <a:solidFill>
              <a:srgbClr val="9999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10</c:v>
                </c:pt>
                <c:pt idx="1">
                  <c:v>4.9000000000000004</c:v>
                </c:pt>
                <c:pt idx="2">
                  <c:v>4.4000000000000004</c:v>
                </c:pt>
                <c:pt idx="3">
                  <c:v>30.5</c:v>
                </c:pt>
                <c:pt idx="4">
                  <c:v>28.7</c:v>
                </c:pt>
                <c:pt idx="5">
                  <c:v>4.21</c:v>
                </c:pt>
              </c:numCache>
            </c:numRef>
          </c:val>
        </c:ser>
        <c:ser>
          <c:idx val="1"/>
          <c:order val="1"/>
          <c:tx>
            <c:strRef>
              <c:f>Sheet1!$A$3</c:f>
              <c:strCache>
                <c:ptCount val="1"/>
                <c:pt idx="0">
                  <c:v>deseuri din servicii municipale</c:v>
                </c:pt>
              </c:strCache>
            </c:strRef>
          </c:tx>
          <c:spPr>
            <a:solidFill>
              <a:srgbClr val="FF8080"/>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14.1</c:v>
                </c:pt>
                <c:pt idx="1">
                  <c:v>16.7</c:v>
                </c:pt>
                <c:pt idx="2">
                  <c:v>18.8</c:v>
                </c:pt>
                <c:pt idx="3">
                  <c:v>18.600000000000001</c:v>
                </c:pt>
                <c:pt idx="4">
                  <c:v>19.600000000000001</c:v>
                </c:pt>
                <c:pt idx="5">
                  <c:v>22.01</c:v>
                </c:pt>
              </c:numCache>
            </c:numRef>
          </c:val>
        </c:ser>
        <c:ser>
          <c:idx val="2"/>
          <c:order val="2"/>
          <c:tx>
            <c:strRef>
              <c:f>Sheet1!$A$4</c:f>
              <c:strCache>
                <c:ptCount val="1"/>
                <c:pt idx="0">
                  <c:v>deseuri menajere si asimilabile</c:v>
                </c:pt>
              </c:strCache>
            </c:strRef>
          </c:tx>
          <c:spPr>
            <a:solidFill>
              <a:srgbClr val="FFFFCC"/>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2011</c:v>
                </c:pt>
                <c:pt idx="1">
                  <c:v>2012</c:v>
                </c:pt>
                <c:pt idx="2">
                  <c:v>2013</c:v>
                </c:pt>
                <c:pt idx="3">
                  <c:v>2014</c:v>
                </c:pt>
                <c:pt idx="4">
                  <c:v>2015</c:v>
                </c:pt>
                <c:pt idx="5">
                  <c:v>2016</c:v>
                </c:pt>
              </c:numCache>
            </c:numRef>
          </c:cat>
          <c:val>
            <c:numRef>
              <c:f>Sheet1!$B$4:$G$4</c:f>
              <c:numCache>
                <c:formatCode>General</c:formatCode>
                <c:ptCount val="6"/>
                <c:pt idx="0">
                  <c:v>50.7</c:v>
                </c:pt>
                <c:pt idx="1">
                  <c:v>49.3</c:v>
                </c:pt>
                <c:pt idx="2">
                  <c:v>53.8</c:v>
                </c:pt>
                <c:pt idx="3">
                  <c:v>46.9</c:v>
                </c:pt>
                <c:pt idx="4">
                  <c:v>52.9</c:v>
                </c:pt>
                <c:pt idx="5">
                  <c:v>56.8</c:v>
                </c:pt>
              </c:numCache>
            </c:numRef>
          </c:val>
        </c:ser>
        <c:ser>
          <c:idx val="3"/>
          <c:order val="3"/>
          <c:tx>
            <c:strRef>
              <c:f>Sheet1!$A$5</c:f>
              <c:strCache>
                <c:ptCount val="1"/>
                <c:pt idx="0">
                  <c:v>deseuri municipale generate si necolectate</c:v>
                </c:pt>
              </c:strCache>
            </c:strRef>
          </c:tx>
          <c:spPr>
            <a:solidFill>
              <a:srgbClr val="CCFF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2011</c:v>
                </c:pt>
                <c:pt idx="1">
                  <c:v>2012</c:v>
                </c:pt>
                <c:pt idx="2">
                  <c:v>2013</c:v>
                </c:pt>
                <c:pt idx="3">
                  <c:v>2014</c:v>
                </c:pt>
                <c:pt idx="4">
                  <c:v>2015</c:v>
                </c:pt>
                <c:pt idx="5">
                  <c:v>2016</c:v>
                </c:pt>
              </c:numCache>
            </c:numRef>
          </c:cat>
          <c:val>
            <c:numRef>
              <c:f>Sheet1!$B$5:$G$5</c:f>
              <c:numCache>
                <c:formatCode>General</c:formatCode>
                <c:ptCount val="6"/>
                <c:pt idx="0">
                  <c:v>74.8</c:v>
                </c:pt>
                <c:pt idx="1">
                  <c:v>70.900000000000006</c:v>
                </c:pt>
                <c:pt idx="2">
                  <c:v>77</c:v>
                </c:pt>
                <c:pt idx="3">
                  <c:v>96</c:v>
                </c:pt>
                <c:pt idx="4">
                  <c:v>101</c:v>
                </c:pt>
                <c:pt idx="5">
                  <c:v>83</c:v>
                </c:pt>
              </c:numCache>
            </c:numRef>
          </c:val>
        </c:ser>
        <c:dLbls>
          <c:showVal val="1"/>
        </c:dLbls>
        <c:gapDepth val="0"/>
        <c:shape val="box"/>
        <c:axId val="248260096"/>
        <c:axId val="248261632"/>
        <c:axId val="0"/>
      </c:bar3DChart>
      <c:catAx>
        <c:axId val="248260096"/>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248261632"/>
        <c:crosses val="autoZero"/>
        <c:auto val="1"/>
        <c:lblAlgn val="ctr"/>
        <c:lblOffset val="100"/>
        <c:tickLblSkip val="1"/>
        <c:tickMarkSkip val="1"/>
      </c:catAx>
      <c:valAx>
        <c:axId val="24826163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248260096"/>
        <c:crosses val="autoZero"/>
        <c:crossBetween val="between"/>
      </c:valAx>
      <c:spPr>
        <a:gradFill rotWithShape="0">
          <a:gsLst>
            <a:gs pos="0">
              <a:srgbClr val="FFFFFF"/>
            </a:gs>
            <a:gs pos="100000">
              <a:srgbClr val="FFFFFF">
                <a:gamma/>
                <a:shade val="46275"/>
                <a:invGamma/>
              </a:srgbClr>
            </a:gs>
          </a:gsLst>
          <a:path path="rect">
            <a:fillToRect l="50000" t="50000" r="50000" b="50000"/>
          </a:path>
        </a:gradFill>
        <a:ln w="25399">
          <a:noFill/>
        </a:ln>
      </c:spPr>
    </c:plotArea>
    <c:legend>
      <c:legendPos val="r"/>
      <c:layout>
        <c:manualLayout>
          <c:xMode val="edge"/>
          <c:yMode val="edge"/>
          <c:x val="0.6683087027914616"/>
          <c:y val="0.24221453287197375"/>
          <c:w val="0.32512315270935982"/>
          <c:h val="0.51557093425605538"/>
        </c:manualLayout>
      </c:layout>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o-RO"/>
        </a:p>
      </c:txPr>
    </c:legend>
    <c:plotVisOnly val="1"/>
    <c:dispBlanksAs val="gap"/>
  </c:chart>
  <c:spPr>
    <a:solidFill>
      <a:schemeClr val="accent4">
        <a:lumMod val="20000"/>
        <a:lumOff val="80000"/>
      </a:schemeClr>
    </a:solid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o-RO"/>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2349914236706692"/>
          <c:y val="4.1353383458646954E-2"/>
          <c:w val="0.61921097770154376"/>
          <c:h val="0.69548872180451127"/>
        </c:manualLayout>
      </c:layout>
      <c:lineChart>
        <c:grouping val="standard"/>
        <c:ser>
          <c:idx val="0"/>
          <c:order val="0"/>
          <c:tx>
            <c:strRef>
              <c:f>Sheet1!$A$2</c:f>
              <c:strCache>
                <c:ptCount val="1"/>
                <c:pt idx="0">
                  <c:v>Romania</c:v>
                </c:pt>
              </c:strCache>
            </c:strRef>
          </c:tx>
          <c:spPr>
            <a:ln w="25380">
              <a:solidFill>
                <a:srgbClr val="00FF00"/>
              </a:solidFill>
              <a:prstDash val="solid"/>
            </a:ln>
          </c:spPr>
          <c:marker>
            <c:symbol val="diamond"/>
            <c:size val="6"/>
            <c:spPr>
              <a:solidFill>
                <a:srgbClr val="000080"/>
              </a:solidFill>
              <a:ln>
                <a:solidFill>
                  <a:srgbClr val="000080"/>
                </a:solidFill>
                <a:prstDash val="solid"/>
              </a:ln>
            </c:spPr>
          </c:marker>
          <c:dLbls>
            <c:dLbl>
              <c:idx val="0"/>
              <c:layout>
                <c:manualLayout>
                  <c:x val="2.3036908504400441E-3"/>
                  <c:y val="-5.3238368252446183E-2"/>
                </c:manualLayout>
              </c:layout>
              <c:dLblPos val="r"/>
              <c:showVal val="1"/>
            </c:dLbl>
            <c:spPr>
              <a:noFill/>
              <a:ln w="25380">
                <a:noFill/>
              </a:ln>
            </c:spPr>
            <c:txPr>
              <a:bodyPr/>
              <a:lstStyle/>
              <a:p>
                <a:pPr>
                  <a:defRPr sz="974"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330</c:v>
                </c:pt>
                <c:pt idx="1">
                  <c:v>312</c:v>
                </c:pt>
                <c:pt idx="2">
                  <c:v>300</c:v>
                </c:pt>
                <c:pt idx="3">
                  <c:v>291</c:v>
                </c:pt>
                <c:pt idx="4">
                  <c:v>285</c:v>
                </c:pt>
                <c:pt idx="5">
                  <c:v>280</c:v>
                </c:pt>
                <c:pt idx="6">
                  <c:v>275</c:v>
                </c:pt>
              </c:numCache>
            </c:numRef>
          </c:val>
        </c:ser>
        <c:ser>
          <c:idx val="1"/>
          <c:order val="1"/>
          <c:tx>
            <c:strRef>
              <c:f>Sheet1!$A$3</c:f>
              <c:strCache>
                <c:ptCount val="1"/>
                <c:pt idx="0">
                  <c:v>EU-27</c:v>
                </c:pt>
              </c:strCache>
            </c:strRef>
          </c:tx>
          <c:spPr>
            <a:ln w="25380">
              <a:solidFill>
                <a:srgbClr val="FF00FF"/>
              </a:solidFill>
              <a:prstDash val="solid"/>
            </a:ln>
          </c:spPr>
          <c:marker>
            <c:symbol val="square"/>
            <c:size val="6"/>
            <c:spPr>
              <a:solidFill>
                <a:srgbClr val="FF00FF"/>
              </a:solidFill>
              <a:ln>
                <a:solidFill>
                  <a:srgbClr val="FF00FF"/>
                </a:solidFill>
                <a:prstDash val="solid"/>
              </a:ln>
            </c:spPr>
          </c:marker>
          <c:dLbls>
            <c:spPr>
              <a:noFill/>
              <a:ln w="25380">
                <a:noFill/>
              </a:ln>
            </c:spPr>
            <c:txPr>
              <a:bodyPr/>
              <a:lstStyle/>
              <a:p>
                <a:pPr>
                  <a:defRPr sz="974"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505</c:v>
                </c:pt>
                <c:pt idx="1">
                  <c:v>500</c:v>
                </c:pt>
                <c:pt idx="2">
                  <c:v>495</c:v>
                </c:pt>
                <c:pt idx="3">
                  <c:v>490</c:v>
                </c:pt>
                <c:pt idx="4">
                  <c:v>485</c:v>
                </c:pt>
                <c:pt idx="5">
                  <c:v>480</c:v>
                </c:pt>
                <c:pt idx="6">
                  <c:v>475</c:v>
                </c:pt>
              </c:numCache>
            </c:numRef>
          </c:val>
        </c:ser>
        <c:ser>
          <c:idx val="2"/>
          <c:order val="2"/>
          <c:tx>
            <c:strRef>
              <c:f>Sheet1!$A$4</c:f>
              <c:strCache>
                <c:ptCount val="1"/>
                <c:pt idx="0">
                  <c:v>județul Brăila</c:v>
                </c:pt>
              </c:strCache>
            </c:strRef>
          </c:tx>
          <c:spPr>
            <a:ln w="25380">
              <a:solidFill>
                <a:srgbClr val="FFFF00"/>
              </a:solidFill>
              <a:prstDash val="solid"/>
            </a:ln>
          </c:spPr>
          <c:marker>
            <c:symbol val="triangle"/>
            <c:size val="6"/>
            <c:spPr>
              <a:solidFill>
                <a:srgbClr val="FFFF00"/>
              </a:solidFill>
              <a:ln>
                <a:solidFill>
                  <a:srgbClr val="FFFF00"/>
                </a:solidFill>
                <a:prstDash val="solid"/>
              </a:ln>
            </c:spPr>
          </c:marker>
          <c:dLbls>
            <c:dLbl>
              <c:idx val="0"/>
              <c:layout>
                <c:manualLayout>
                  <c:x val="-1.3133701945443409E-2"/>
                  <c:y val="7.5051116115677566E-2"/>
                </c:manualLayout>
              </c:layout>
              <c:dLblPos val="r"/>
              <c:showVal val="1"/>
            </c:dLbl>
            <c:dLbl>
              <c:idx val="1"/>
              <c:layout>
                <c:manualLayout>
                  <c:x val="-2.0974855248115782E-2"/>
                  <c:y val="-7.451015966097288E-2"/>
                </c:manualLayout>
              </c:layout>
              <c:dLblPos val="r"/>
              <c:showVal val="1"/>
            </c:dLbl>
            <c:spPr>
              <a:noFill/>
              <a:ln w="25380">
                <a:noFill/>
              </a:ln>
            </c:spPr>
            <c:txPr>
              <a:bodyPr/>
              <a:lstStyle/>
              <a:p>
                <a:pPr>
                  <a:defRPr sz="974" b="0" i="0" u="none" strike="noStrike" baseline="0">
                    <a:solidFill>
                      <a:srgbClr val="000000"/>
                    </a:solidFill>
                    <a:latin typeface="Arial"/>
                    <a:ea typeface="Arial"/>
                    <a:cs typeface="Arial"/>
                  </a:defRPr>
                </a:pPr>
                <a:endParaRPr lang="ro-RO"/>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General</c:formatCode>
                <c:ptCount val="7"/>
                <c:pt idx="0">
                  <c:v>165</c:v>
                </c:pt>
                <c:pt idx="1">
                  <c:v>143</c:v>
                </c:pt>
                <c:pt idx="2">
                  <c:v>140</c:v>
                </c:pt>
                <c:pt idx="3">
                  <c:v>154</c:v>
                </c:pt>
                <c:pt idx="4">
                  <c:v>150</c:v>
                </c:pt>
                <c:pt idx="5">
                  <c:v>172</c:v>
                </c:pt>
                <c:pt idx="6">
                  <c:v>184</c:v>
                </c:pt>
              </c:numCache>
            </c:numRef>
          </c:val>
        </c:ser>
        <c:dLbls>
          <c:showVal val="1"/>
        </c:dLbls>
        <c:marker val="1"/>
        <c:axId val="248910976"/>
        <c:axId val="248912896"/>
      </c:lineChart>
      <c:catAx>
        <c:axId val="248910976"/>
        <c:scaling>
          <c:orientation val="minMax"/>
        </c:scaling>
        <c:axPos val="b"/>
        <c:title>
          <c:tx>
            <c:rich>
              <a:bodyPr/>
              <a:lstStyle/>
              <a:p>
                <a:pPr>
                  <a:defRPr sz="974" b="0" i="0" u="none" strike="noStrike" baseline="0">
                    <a:solidFill>
                      <a:srgbClr val="000000"/>
                    </a:solidFill>
                    <a:latin typeface="Arial"/>
                    <a:ea typeface="Arial"/>
                    <a:cs typeface="Arial"/>
                  </a:defRPr>
                </a:pPr>
                <a:r>
                  <a:rPr lang="ro-RO"/>
                  <a:t>An</a:t>
                </a:r>
              </a:p>
            </c:rich>
          </c:tx>
          <c:layout>
            <c:manualLayout>
              <c:xMode val="edge"/>
              <c:yMode val="edge"/>
              <c:x val="0.41509433962264353"/>
              <c:y val="0.85338345864661669"/>
            </c:manualLayout>
          </c:layout>
          <c:spPr>
            <a:noFill/>
            <a:ln w="25380">
              <a:noFill/>
            </a:ln>
          </c:spPr>
        </c:title>
        <c:numFmt formatCode="General" sourceLinked="1"/>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ro-RO"/>
          </a:p>
        </c:txPr>
        <c:crossAx val="248912896"/>
        <c:crosses val="autoZero"/>
        <c:auto val="1"/>
        <c:lblAlgn val="ctr"/>
        <c:lblOffset val="100"/>
        <c:tickLblSkip val="1"/>
        <c:tickMarkSkip val="1"/>
      </c:catAx>
      <c:valAx>
        <c:axId val="248912896"/>
        <c:scaling>
          <c:orientation val="minMax"/>
        </c:scaling>
        <c:axPos val="l"/>
        <c:majorGridlines>
          <c:spPr>
            <a:ln w="3172">
              <a:solidFill>
                <a:srgbClr val="000000"/>
              </a:solidFill>
              <a:prstDash val="solid"/>
            </a:ln>
          </c:spPr>
        </c:majorGridlines>
        <c:title>
          <c:tx>
            <c:rich>
              <a:bodyPr/>
              <a:lstStyle/>
              <a:p>
                <a:pPr>
                  <a:defRPr sz="974" b="0" i="0" u="none" strike="noStrike" baseline="0">
                    <a:solidFill>
                      <a:srgbClr val="000000"/>
                    </a:solidFill>
                    <a:latin typeface="Arial"/>
                    <a:ea typeface="Arial"/>
                    <a:cs typeface="Arial"/>
                  </a:defRPr>
                </a:pPr>
                <a:r>
                  <a:rPr lang="ro-RO"/>
                  <a:t>kg/loc./an</a:t>
                </a:r>
              </a:p>
            </c:rich>
          </c:tx>
          <c:layout>
            <c:manualLayout>
              <c:xMode val="edge"/>
              <c:yMode val="edge"/>
              <c:x val="2.7444253859348202E-2"/>
              <c:y val="0.27443609022556392"/>
            </c:manualLayout>
          </c:layout>
          <c:spPr>
            <a:noFill/>
            <a:ln w="25380">
              <a:noFill/>
            </a:ln>
          </c:spPr>
        </c:title>
        <c:numFmt formatCode="0" sourceLinked="0"/>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ro-RO"/>
          </a:p>
        </c:txPr>
        <c:crossAx val="248910976"/>
        <c:crosses val="autoZero"/>
        <c:crossBetween val="between"/>
      </c:valAx>
      <c:spPr>
        <a:gradFill rotWithShape="0">
          <a:gsLst>
            <a:gs pos="0">
              <a:srgbClr val="FFFFFF"/>
            </a:gs>
            <a:gs pos="100000">
              <a:srgbClr val="FFFFFF">
                <a:gamma/>
                <a:shade val="46275"/>
                <a:invGamma/>
              </a:srgbClr>
            </a:gs>
          </a:gsLst>
          <a:path path="rect">
            <a:fillToRect r="100000" b="100000"/>
          </a:path>
        </a:gradFill>
        <a:ln w="12690">
          <a:solidFill>
            <a:srgbClr val="C0C0C0"/>
          </a:solidFill>
          <a:prstDash val="solid"/>
        </a:ln>
      </c:spPr>
    </c:plotArea>
    <c:legend>
      <c:legendPos val="r"/>
      <c:layout>
        <c:manualLayout>
          <c:xMode val="edge"/>
          <c:yMode val="edge"/>
          <c:x val="0.79759862778730706"/>
          <c:y val="0.31203007518797238"/>
          <c:w val="0.19554030874785591"/>
          <c:h val="0.24060150375939848"/>
        </c:manualLayout>
      </c:layout>
      <c:spPr>
        <a:noFill/>
        <a:ln w="1269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o-RO"/>
        </a:p>
      </c:txPr>
    </c:legend>
    <c:plotVisOnly val="1"/>
    <c:dispBlanksAs val="gap"/>
  </c:chart>
  <c:spPr>
    <a:gradFill flip="none" rotWithShape="1">
      <a:gsLst>
        <a:gs pos="0">
          <a:srgbClr val="EEECE1">
            <a:gamma/>
            <a:shade val="46275"/>
            <a:invGamma/>
          </a:srgbClr>
        </a:gs>
        <a:gs pos="100000">
          <a:srgbClr val="EEECE1"/>
        </a:gs>
      </a:gsLst>
      <a:path path="shape">
        <a:fillToRect l="50000" t="50000" r="50000" b="50000"/>
      </a:path>
      <a:tileRect/>
    </a:gradFill>
    <a:ln w="6350" cap="flat" cmpd="sng" algn="ctr">
      <a:solidFill>
        <a:srgbClr val="000080"/>
      </a:solidFill>
      <a:prstDash val="solid"/>
      <a:miter lim="800000"/>
      <a:headEnd type="none" w="med" len="med"/>
      <a:tailEnd type="none" w="med" len="med"/>
    </a:ln>
  </c:spPr>
  <c:txPr>
    <a:bodyPr/>
    <a:lstStyle/>
    <a:p>
      <a:pPr>
        <a:defRPr sz="1174" b="1" i="0" u="none" strike="noStrike" baseline="0">
          <a:solidFill>
            <a:srgbClr val="000000"/>
          </a:solidFill>
          <a:latin typeface="Calibri"/>
          <a:ea typeface="Calibri"/>
          <a:cs typeface="Calibri"/>
        </a:defRPr>
      </a:pPr>
      <a:endParaRPr lang="ro-RO"/>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9.3357271095152725E-2"/>
          <c:y val="5.7220708446866476E-2"/>
          <c:w val="0.7576301615798956"/>
          <c:h val="0.83378746594005448"/>
        </c:manualLayout>
      </c:layout>
      <c:lineChart>
        <c:grouping val="standard"/>
        <c:ser>
          <c:idx val="0"/>
          <c:order val="0"/>
          <c:tx>
            <c:strRef>
              <c:f>Sheet1!$A$2</c:f>
              <c:strCache>
                <c:ptCount val="1"/>
                <c:pt idx="0">
                  <c:v>urban</c:v>
                </c:pt>
              </c:strCache>
            </c:strRef>
          </c:tx>
          <c:spPr>
            <a:ln w="25424">
              <a:solidFill>
                <a:srgbClr val="0000FF"/>
              </a:solidFill>
              <a:prstDash val="solid"/>
            </a:ln>
          </c:spPr>
          <c:marker>
            <c:symbol val="triangle"/>
            <c:size val="9"/>
            <c:spPr>
              <a:solidFill>
                <a:srgbClr val="000080"/>
              </a:solidFill>
              <a:ln>
                <a:solidFill>
                  <a:srgbClr val="000080"/>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Sheet1!$B$2:$I$2</c:f>
              <c:numCache>
                <c:formatCode>General</c:formatCode>
                <c:ptCount val="8"/>
                <c:pt idx="0">
                  <c:v>48570</c:v>
                </c:pt>
                <c:pt idx="1">
                  <c:v>55789</c:v>
                </c:pt>
                <c:pt idx="2">
                  <c:v>46294</c:v>
                </c:pt>
                <c:pt idx="3">
                  <c:v>46846</c:v>
                </c:pt>
                <c:pt idx="4">
                  <c:v>49656</c:v>
                </c:pt>
                <c:pt idx="5">
                  <c:v>44322</c:v>
                </c:pt>
                <c:pt idx="6">
                  <c:v>50135</c:v>
                </c:pt>
                <c:pt idx="7">
                  <c:v>53302</c:v>
                </c:pt>
              </c:numCache>
            </c:numRef>
          </c:val>
        </c:ser>
        <c:ser>
          <c:idx val="1"/>
          <c:order val="1"/>
          <c:tx>
            <c:strRef>
              <c:f>Sheet1!$A$3</c:f>
              <c:strCache>
                <c:ptCount val="1"/>
                <c:pt idx="0">
                  <c:v>rural</c:v>
                </c:pt>
              </c:strCache>
            </c:strRef>
          </c:tx>
          <c:spPr>
            <a:ln w="25424">
              <a:solidFill>
                <a:srgbClr val="008000"/>
              </a:solidFill>
              <a:prstDash val="solid"/>
            </a:ln>
          </c:spPr>
          <c:marker>
            <c:symbol val="triangle"/>
            <c:size val="9"/>
            <c:spPr>
              <a:solidFill>
                <a:srgbClr val="FF00FF"/>
              </a:solidFill>
              <a:ln>
                <a:solidFill>
                  <a:srgbClr val="FF00FF"/>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Sheet1!$B$3:$I$3</c:f>
              <c:numCache>
                <c:formatCode>General</c:formatCode>
                <c:ptCount val="8"/>
                <c:pt idx="0">
                  <c:v>0</c:v>
                </c:pt>
                <c:pt idx="1">
                  <c:v>3699</c:v>
                </c:pt>
                <c:pt idx="2">
                  <c:v>4418</c:v>
                </c:pt>
                <c:pt idx="3">
                  <c:v>2425</c:v>
                </c:pt>
                <c:pt idx="4">
                  <c:v>4150</c:v>
                </c:pt>
                <c:pt idx="5">
                  <c:v>5182</c:v>
                </c:pt>
                <c:pt idx="6">
                  <c:v>5825</c:v>
                </c:pt>
                <c:pt idx="7">
                  <c:v>6520</c:v>
                </c:pt>
              </c:numCache>
            </c:numRef>
          </c:val>
        </c:ser>
        <c:ser>
          <c:idx val="2"/>
          <c:order val="2"/>
          <c:tx>
            <c:strRef>
              <c:f>Sheet1!$A$4</c:f>
              <c:strCache>
                <c:ptCount val="1"/>
                <c:pt idx="0">
                  <c:v>total</c:v>
                </c:pt>
              </c:strCache>
            </c:strRef>
          </c:tx>
          <c:spPr>
            <a:ln w="25424">
              <a:solidFill>
                <a:srgbClr val="FF6600"/>
              </a:solidFill>
              <a:prstDash val="solid"/>
            </a:ln>
          </c:spPr>
          <c:marker>
            <c:symbol val="triangle"/>
            <c:size val="9"/>
            <c:spPr>
              <a:solidFill>
                <a:srgbClr val="FFFF00"/>
              </a:solidFill>
              <a:ln>
                <a:solidFill>
                  <a:srgbClr val="FF6600"/>
                </a:solidFill>
                <a:prstDash val="solid"/>
              </a:ln>
            </c:spPr>
          </c:marker>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Sheet1!$B$4:$I$4</c:f>
              <c:numCache>
                <c:formatCode>General</c:formatCode>
                <c:ptCount val="8"/>
                <c:pt idx="0">
                  <c:v>48570</c:v>
                </c:pt>
                <c:pt idx="1">
                  <c:v>59488</c:v>
                </c:pt>
                <c:pt idx="2">
                  <c:v>50712</c:v>
                </c:pt>
                <c:pt idx="3">
                  <c:v>49271</c:v>
                </c:pt>
                <c:pt idx="4">
                  <c:v>53807</c:v>
                </c:pt>
                <c:pt idx="5">
                  <c:v>49504</c:v>
                </c:pt>
                <c:pt idx="6">
                  <c:v>55960</c:v>
                </c:pt>
                <c:pt idx="7">
                  <c:v>59823</c:v>
                </c:pt>
              </c:numCache>
            </c:numRef>
          </c:val>
        </c:ser>
        <c:marker val="1"/>
        <c:axId val="249012224"/>
        <c:axId val="249014144"/>
      </c:lineChart>
      <c:catAx>
        <c:axId val="249012224"/>
        <c:scaling>
          <c:orientation val="minMax"/>
        </c:scaling>
        <c:axPos val="b"/>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249014144"/>
        <c:crosses val="autoZero"/>
        <c:auto val="1"/>
        <c:lblAlgn val="ctr"/>
        <c:lblOffset val="100"/>
        <c:tickLblSkip val="1"/>
        <c:tickMarkSkip val="1"/>
      </c:catAx>
      <c:valAx>
        <c:axId val="249014144"/>
        <c:scaling>
          <c:orientation val="minMax"/>
        </c:scaling>
        <c:axPos val="l"/>
        <c:majorGridlines>
          <c:spPr>
            <a:ln w="12712">
              <a:solidFill>
                <a:srgbClr val="FFFFFF"/>
              </a:solidFill>
              <a:prstDash val="solid"/>
            </a:ln>
          </c:spPr>
        </c:majorGridlines>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249012224"/>
        <c:crosses val="autoZero"/>
        <c:crossBetween val="between"/>
      </c:valAx>
      <c:spPr>
        <a:gradFill rotWithShape="0">
          <a:gsLst>
            <a:gs pos="0">
              <a:srgbClr val="FFFFFF"/>
            </a:gs>
            <a:gs pos="100000">
              <a:srgbClr val="FFFFFF">
                <a:gamma/>
                <a:shade val="46275"/>
                <a:invGamma/>
              </a:srgbClr>
            </a:gs>
          </a:gsLst>
          <a:lin ang="5400000" scaled="1"/>
        </a:gradFill>
        <a:ln w="12712">
          <a:solidFill>
            <a:srgbClr val="FFFFFF"/>
          </a:solidFill>
          <a:prstDash val="solid"/>
        </a:ln>
      </c:spPr>
    </c:plotArea>
    <c:legend>
      <c:legendPos val="r"/>
      <c:layout>
        <c:manualLayout>
          <c:xMode val="edge"/>
          <c:yMode val="edge"/>
          <c:x val="0.87073608617594267"/>
          <c:y val="0.3923705722070881"/>
          <c:w val="0.12208258527827691"/>
          <c:h val="0.16621253405994554"/>
        </c:manualLayout>
      </c:layout>
      <c:spPr>
        <a:noFill/>
        <a:ln w="3178">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o-RO"/>
        </a:p>
      </c:txPr>
    </c:legend>
    <c:plotVisOnly val="1"/>
    <c:dispBlanksAs val="gap"/>
  </c:chart>
  <c:spPr>
    <a:solidFill>
      <a:srgbClr val="FFFFFF"/>
    </a:solidFill>
    <a:ln>
      <a:noFill/>
    </a:ln>
  </c:spPr>
  <c:txPr>
    <a:bodyPr/>
    <a:lstStyle/>
    <a:p>
      <a:pPr>
        <a:defRPr sz="1602" b="1" i="0" u="none" strike="noStrike" baseline="0">
          <a:solidFill>
            <a:srgbClr val="000000"/>
          </a:solidFill>
          <a:latin typeface="Calibri"/>
          <a:ea typeface="Calibri"/>
          <a:cs typeface="Calibri"/>
        </a:defRPr>
      </a:pPr>
      <a:endParaRPr lang="ro-RO"/>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8.1993569131833366E-2"/>
          <c:y val="5.7471264367816112E-2"/>
          <c:w val="0.82958199356913265"/>
          <c:h val="0.7931034482758621"/>
        </c:manualLayout>
      </c:layout>
      <c:lineChart>
        <c:grouping val="standard"/>
        <c:ser>
          <c:idx val="0"/>
          <c:order val="0"/>
          <c:tx>
            <c:strRef>
              <c:f>Sheet1!$B$1</c:f>
              <c:strCache>
                <c:ptCount val="1"/>
                <c:pt idx="0">
                  <c:v> </c:v>
                </c:pt>
              </c:strCache>
            </c:strRef>
          </c:tx>
          <c:spPr>
            <a:ln w="25403">
              <a:solidFill>
                <a:srgbClr val="00CCFF"/>
              </a:solidFill>
              <a:prstDash val="solid"/>
            </a:ln>
          </c:spPr>
          <c:marker>
            <c:symbol val="diamond"/>
            <c:size val="7"/>
            <c:spPr>
              <a:solidFill>
                <a:srgbClr val="000080"/>
              </a:solidFill>
              <a:ln>
                <a:solidFill>
                  <a:srgbClr val="000080"/>
                </a:solidFill>
                <a:prstDash val="solid"/>
              </a:ln>
            </c:spPr>
          </c:marker>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Sheet1!$B$2:$B$9</c:f>
              <c:numCache>
                <c:formatCode>General</c:formatCode>
                <c:ptCount val="8"/>
                <c:pt idx="0">
                  <c:v>18089</c:v>
                </c:pt>
                <c:pt idx="1">
                  <c:v>14279</c:v>
                </c:pt>
                <c:pt idx="2">
                  <c:v>14072</c:v>
                </c:pt>
                <c:pt idx="3">
                  <c:v>16711</c:v>
                </c:pt>
                <c:pt idx="4">
                  <c:v>18827</c:v>
                </c:pt>
                <c:pt idx="5">
                  <c:v>18595</c:v>
                </c:pt>
                <c:pt idx="6">
                  <c:v>19590</c:v>
                </c:pt>
                <c:pt idx="7">
                  <c:v>22010</c:v>
                </c:pt>
              </c:numCache>
            </c:numRef>
          </c:val>
        </c:ser>
        <c:marker val="1"/>
        <c:axId val="249025280"/>
        <c:axId val="249027200"/>
      </c:lineChart>
      <c:catAx>
        <c:axId val="24902528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9027200"/>
        <c:crosses val="autoZero"/>
        <c:auto val="1"/>
        <c:lblAlgn val="ctr"/>
        <c:lblOffset val="100"/>
        <c:tickMarkSkip val="1"/>
      </c:catAx>
      <c:valAx>
        <c:axId val="249027200"/>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9025280"/>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2">
          <a:solidFill>
            <a:srgbClr val="FFFFFF"/>
          </a:solidFill>
          <a:prstDash val="solid"/>
        </a:ln>
      </c:spPr>
    </c:plotArea>
    <c:legend>
      <c:legendPos val="r"/>
      <c:layout>
        <c:manualLayout>
          <c:xMode val="edge"/>
          <c:yMode val="edge"/>
          <c:x val="0.92926045016077174"/>
          <c:y val="0.42528735632183906"/>
          <c:w val="6.4308681672026094E-2"/>
          <c:h val="5.7471264367816112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o-RO"/>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8.1730769230769246E-2"/>
          <c:y val="7.7821011673151752E-2"/>
          <c:w val="0.83012820512820562"/>
          <c:h val="0.71984435797665369"/>
        </c:manualLayout>
      </c:layout>
      <c:lineChart>
        <c:grouping val="standard"/>
        <c:ser>
          <c:idx val="0"/>
          <c:order val="0"/>
          <c:tx>
            <c:strRef>
              <c:f>Sheet1!$B$1</c:f>
              <c:strCache>
                <c:ptCount val="1"/>
                <c:pt idx="0">
                  <c:v> </c:v>
                </c:pt>
              </c:strCache>
            </c:strRef>
          </c:tx>
          <c:spPr>
            <a:ln w="25416">
              <a:solidFill>
                <a:srgbClr val="008000"/>
              </a:solidFill>
              <a:prstDash val="solid"/>
            </a:ln>
          </c:spPr>
          <c:marker>
            <c:symbol val="diamond"/>
            <c:size val="7"/>
            <c:spPr>
              <a:solidFill>
                <a:srgbClr val="000080"/>
              </a:solidFill>
              <a:ln>
                <a:solidFill>
                  <a:srgbClr val="000080"/>
                </a:solidFill>
                <a:prstDash val="solid"/>
              </a:ln>
            </c:spPr>
          </c:marker>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Sheet1!$B$2:$B$9</c:f>
              <c:numCache>
                <c:formatCode>General</c:formatCode>
                <c:ptCount val="8"/>
                <c:pt idx="0">
                  <c:v>12790</c:v>
                </c:pt>
                <c:pt idx="1">
                  <c:v>10853</c:v>
                </c:pt>
                <c:pt idx="2">
                  <c:v>10051</c:v>
                </c:pt>
                <c:pt idx="3">
                  <c:v>4990</c:v>
                </c:pt>
                <c:pt idx="4">
                  <c:v>4467</c:v>
                </c:pt>
                <c:pt idx="5">
                  <c:v>30515</c:v>
                </c:pt>
                <c:pt idx="6">
                  <c:v>28670</c:v>
                </c:pt>
                <c:pt idx="7">
                  <c:v>4210</c:v>
                </c:pt>
              </c:numCache>
            </c:numRef>
          </c:val>
        </c:ser>
        <c:marker val="1"/>
        <c:axId val="248196096"/>
        <c:axId val="248996992"/>
      </c:lineChart>
      <c:catAx>
        <c:axId val="248196096"/>
        <c:scaling>
          <c:orientation val="minMax"/>
        </c:scaling>
        <c:axPos val="b"/>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8996992"/>
        <c:crosses val="autoZero"/>
        <c:auto val="1"/>
        <c:lblAlgn val="ctr"/>
        <c:lblOffset val="100"/>
        <c:tickMarkSkip val="1"/>
      </c:catAx>
      <c:valAx>
        <c:axId val="248996992"/>
        <c:scaling>
          <c:orientation val="minMax"/>
        </c:scaling>
        <c:axPos val="l"/>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248196096"/>
        <c:crosses val="autoZero"/>
        <c:crossBetween val="between"/>
      </c:valAx>
      <c:dTable>
        <c:showHorzBorder val="1"/>
        <c:showVertBorder val="1"/>
        <c:showOutline val="1"/>
        <c:showKeys val="1"/>
        <c:spPr>
          <a:ln w="3177">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8">
          <a:solidFill>
            <a:srgbClr val="FFFFFF"/>
          </a:solidFill>
          <a:prstDash val="solid"/>
        </a:ln>
      </c:spPr>
    </c:plotArea>
    <c:legend>
      <c:legendPos val="r"/>
      <c:layout>
        <c:manualLayout>
          <c:xMode val="edge"/>
          <c:yMode val="edge"/>
          <c:x val="0.92948717948717952"/>
          <c:y val="0.40077821011673154"/>
          <c:w val="6.4102564102564111E-2"/>
          <c:h val="7.7821011673151752E-2"/>
        </c:manualLayout>
      </c:layout>
      <c:spPr>
        <a:solidFill>
          <a:srgbClr val="FFFFFF"/>
        </a:solid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o-RO"/>
    </a:p>
  </c:txPr>
  <c:externalData r:id="rId1"/>
</c:chartSpace>
</file>

<file path=word/drawings/drawing1.xml><?xml version="1.0" encoding="utf-8"?>
<c:userShapes xmlns:c="http://schemas.openxmlformats.org/drawingml/2006/chart">
  <cdr:relSizeAnchor xmlns:cdr="http://schemas.openxmlformats.org/drawingml/2006/chartDrawing">
    <cdr:from>
      <cdr:x>0.0256</cdr:x>
      <cdr:y>0.66809</cdr:y>
    </cdr:from>
    <cdr:to>
      <cdr:x>0.1472</cdr:x>
      <cdr:y>0.75161</cdr:y>
    </cdr:to>
    <cdr:sp macro="" textlink="">
      <cdr:nvSpPr>
        <cdr:cNvPr id="2" name="TextBox 1"/>
        <cdr:cNvSpPr txBox="1"/>
      </cdr:nvSpPr>
      <cdr:spPr>
        <a:xfrm xmlns:a="http://schemas.openxmlformats.org/drawingml/2006/main">
          <a:off x="152400" y="2971800"/>
          <a:ext cx="7239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0.06107</cdr:x>
      <cdr:y>0.1345</cdr:y>
    </cdr:from>
    <cdr:to>
      <cdr:x>0.1859</cdr:x>
      <cdr:y>0.22328</cdr:y>
    </cdr:to>
    <cdr:sp macro="" textlink="">
      <cdr:nvSpPr>
        <cdr:cNvPr id="2" name="TextBox 1">
          <a:extLst xmlns:a="http://schemas.openxmlformats.org/drawingml/2006/main">
            <a:ext uri="{FF2B5EF4-FFF2-40B4-BE49-F238E27FC236}">
              <a16:creationId xmlns="" xmlns:a16="http://schemas.microsoft.com/office/drawing/2014/main" id="{48A44E8B-9258-4608-B8C5-055982A14E2C}"/>
            </a:ext>
          </a:extLst>
        </cdr:cNvPr>
        <cdr:cNvSpPr txBox="1"/>
      </cdr:nvSpPr>
      <cdr:spPr>
        <a:xfrm xmlns:a="http://schemas.openxmlformats.org/drawingml/2006/main">
          <a:off x="358332" y="366743"/>
          <a:ext cx="732565" cy="2420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100" b="1" i="1">
              <a:solidFill>
                <a:srgbClr val="FF0000"/>
              </a:solidFill>
            </a:rPr>
            <a:t>media 2012-2016</a:t>
          </a:r>
          <a:endParaRPr lang="en-US" sz="1100" b="1" i="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0.37414</cdr:x>
      <cdr:y>0.59091</cdr:y>
    </cdr:from>
    <cdr:to>
      <cdr:x>0.50697</cdr:x>
      <cdr:y>0.67727</cdr:y>
    </cdr:to>
    <cdr:sp macro="" textlink="">
      <cdr:nvSpPr>
        <cdr:cNvPr id="4" name="TextBox 3"/>
        <cdr:cNvSpPr txBox="1"/>
      </cdr:nvSpPr>
      <cdr:spPr>
        <a:xfrm xmlns:a="http://schemas.openxmlformats.org/drawingml/2006/main">
          <a:off x="2016784" y="1121434"/>
          <a:ext cx="715993" cy="163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1100"/>
            <a:t>81,81%</a:t>
          </a:r>
        </a:p>
        <a:p xmlns:a="http://schemas.openxmlformats.org/drawingml/2006/main">
          <a:endParaRPr lang="ro-RO" sz="1100"/>
        </a:p>
      </cdr:txBody>
    </cdr:sp>
  </cdr:relSizeAnchor>
  <cdr:relSizeAnchor xmlns:cdr="http://schemas.openxmlformats.org/drawingml/2006/chartDrawing">
    <cdr:from>
      <cdr:x>0.19651</cdr:x>
      <cdr:y>0.33636</cdr:y>
    </cdr:from>
    <cdr:to>
      <cdr:x>0.28612</cdr:x>
      <cdr:y>0.46364</cdr:y>
    </cdr:to>
    <cdr:sp macro="" textlink="">
      <cdr:nvSpPr>
        <cdr:cNvPr id="5" name="TextBox 4"/>
        <cdr:cNvSpPr txBox="1"/>
      </cdr:nvSpPr>
      <cdr:spPr>
        <a:xfrm xmlns:a="http://schemas.openxmlformats.org/drawingml/2006/main">
          <a:off x="1059252" y="638354"/>
          <a:ext cx="483079" cy="24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6,3</a:t>
          </a:r>
        </a:p>
        <a:p xmlns:a="http://schemas.openxmlformats.org/drawingml/2006/main">
          <a:endParaRPr lang="ro-RO" sz="1100"/>
        </a:p>
      </cdr:txBody>
    </cdr:sp>
  </cdr:relSizeAnchor>
  <cdr:relSizeAnchor xmlns:cdr="http://schemas.openxmlformats.org/drawingml/2006/chartDrawing">
    <cdr:from>
      <cdr:x>0.26052</cdr:x>
      <cdr:y>0.31818</cdr:y>
    </cdr:from>
    <cdr:to>
      <cdr:x>0.37414</cdr:x>
      <cdr:y>0.42727</cdr:y>
    </cdr:to>
    <cdr:sp macro="" textlink="">
      <cdr:nvSpPr>
        <cdr:cNvPr id="6" name="TextBox 5"/>
        <cdr:cNvSpPr txBox="1"/>
      </cdr:nvSpPr>
      <cdr:spPr>
        <a:xfrm xmlns:a="http://schemas.openxmlformats.org/drawingml/2006/main">
          <a:off x="1404308" y="603849"/>
          <a:ext cx="612476" cy="207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5,14</a:t>
          </a:r>
        </a:p>
        <a:p xmlns:a="http://schemas.openxmlformats.org/drawingml/2006/main">
          <a:endParaRPr lang="ro-RO" sz="1100"/>
        </a:p>
      </cdr:txBody>
    </cdr:sp>
  </cdr:relSizeAnchor>
  <cdr:relSizeAnchor xmlns:cdr="http://schemas.openxmlformats.org/drawingml/2006/chartDrawing">
    <cdr:from>
      <cdr:x>0.26372</cdr:x>
      <cdr:y>0.25</cdr:y>
    </cdr:from>
    <cdr:to>
      <cdr:x>0.3664</cdr:x>
      <cdr:y>0.38182</cdr:y>
    </cdr:to>
    <cdr:sp macro="" textlink="">
      <cdr:nvSpPr>
        <cdr:cNvPr id="7" name="TextBox 6"/>
        <cdr:cNvSpPr txBox="1"/>
      </cdr:nvSpPr>
      <cdr:spPr>
        <a:xfrm xmlns:a="http://schemas.openxmlformats.org/drawingml/2006/main">
          <a:off x="1323147" y="480923"/>
          <a:ext cx="515178" cy="2535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cdr:txBody>
    </cdr:sp>
  </cdr:relSizeAnchor>
  <cdr:relSizeAnchor xmlns:cdr="http://schemas.openxmlformats.org/drawingml/2006/chartDrawing">
    <cdr:from>
      <cdr:x>0.29699</cdr:x>
      <cdr:y>0.1911</cdr:y>
    </cdr:from>
    <cdr:to>
      <cdr:x>0.38821</cdr:x>
      <cdr:y>0.34564</cdr:y>
    </cdr:to>
    <cdr:sp macro="" textlink="">
      <cdr:nvSpPr>
        <cdr:cNvPr id="8" name="TextBox 7"/>
        <cdr:cNvSpPr txBox="1"/>
      </cdr:nvSpPr>
      <cdr:spPr>
        <a:xfrm xmlns:a="http://schemas.openxmlformats.org/drawingml/2006/main">
          <a:off x="1490510" y="334651"/>
          <a:ext cx="457813" cy="270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800"/>
            <a:t>2,96</a:t>
          </a:r>
        </a:p>
        <a:p xmlns:a="http://schemas.openxmlformats.org/drawingml/2006/main">
          <a:endParaRPr lang="ro-RO" sz="1100"/>
        </a:p>
      </cdr:txBody>
    </cdr:sp>
  </cdr:relSizeAnchor>
  <cdr:relSizeAnchor xmlns:cdr="http://schemas.openxmlformats.org/drawingml/2006/chartDrawing">
    <cdr:from>
      <cdr:x>0.33881</cdr:x>
      <cdr:y>0.22628</cdr:y>
    </cdr:from>
    <cdr:to>
      <cdr:x>0.42683</cdr:x>
      <cdr:y>0.34901</cdr:y>
    </cdr:to>
    <cdr:sp macro="" textlink="">
      <cdr:nvSpPr>
        <cdr:cNvPr id="9" name="TextBox 8"/>
        <cdr:cNvSpPr txBox="1"/>
      </cdr:nvSpPr>
      <cdr:spPr>
        <a:xfrm xmlns:a="http://schemas.openxmlformats.org/drawingml/2006/main">
          <a:off x="1804252" y="482134"/>
          <a:ext cx="468729" cy="26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a:p xmlns:a="http://schemas.openxmlformats.org/drawingml/2006/main">
          <a:endParaRPr lang="ro-RO" sz="1100"/>
        </a:p>
      </cdr:txBody>
    </cdr:sp>
  </cdr:relSizeAnchor>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dr:relSizeAnchor xmlns:cdr="http://schemas.openxmlformats.org/drawingml/2006/chartDrawing">
    <cdr:from>
      <cdr:x>0.48272</cdr:x>
      <cdr:y>0.5027</cdr:y>
    </cdr:from>
    <cdr:to>
      <cdr:x>0.47653</cdr:x>
      <cdr:y>0.63205</cdr:y>
    </cdr:to>
    <cdr:sp macro="" textlink="">
      <cdr:nvSpPr>
        <cdr:cNvPr id="2"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314</TotalTime>
  <Pages>167</Pages>
  <Words>59849</Words>
  <Characters>347130</Characters>
  <Application>Microsoft Office Word</Application>
  <DocSecurity>0</DocSecurity>
  <Lines>2892</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aurel.banuta</dc:creator>
  <cp:keywords/>
  <dc:description/>
  <cp:lastModifiedBy>aurel.banuta</cp:lastModifiedBy>
  <cp:revision>57</cp:revision>
  <dcterms:created xsi:type="dcterms:W3CDTF">2018-08-06T10:10:00Z</dcterms:created>
  <dcterms:modified xsi:type="dcterms:W3CDTF">2018-08-07T10:31:00Z</dcterms:modified>
</cp:coreProperties>
</file>