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62486">
        <w:rPr>
          <w:i/>
          <w:sz w:val="28"/>
          <w:lang w:val="ro-RO"/>
        </w:rPr>
        <w:t>construire ansamblu rezidenţial – locuinţe colective, amenajare incintă, împrejmuire teren şi organizare executare lucrări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E62486" w:rsidRPr="00BE2EB5">
        <w:rPr>
          <w:sz w:val="28"/>
          <w:lang w:val="ro-RO"/>
        </w:rPr>
        <w:t>Bucureşti</w:t>
      </w:r>
      <w:r w:rsidR="00E62486">
        <w:rPr>
          <w:sz w:val="28"/>
          <w:lang w:val="ro-RO"/>
        </w:rPr>
        <w:t>, sector 6, Splaiul Independenţei nr. 294E şi 294F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E62486">
        <w:rPr>
          <w:b/>
          <w:sz w:val="28"/>
          <w:szCs w:val="28"/>
          <w:lang w:val="ro-RO"/>
        </w:rPr>
        <w:t>S.C. AQUAPROIECT S.A.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E62486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bookmarkStart w:id="0" w:name="_GoBack"/>
      <w:bookmarkEnd w:id="0"/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3BBD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2486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E741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2019-11-08T08:35:00Z</dcterms:created>
  <dcterms:modified xsi:type="dcterms:W3CDTF">2019-11-08T08:37:00Z</dcterms:modified>
</cp:coreProperties>
</file>