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E4607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692AE1" w:rsidRPr="00F60D64">
        <w:rPr>
          <w:i/>
          <w:sz w:val="28"/>
          <w:szCs w:val="28"/>
        </w:rPr>
        <w:t>„</w:t>
      </w:r>
      <w:r w:rsidR="00FE4607">
        <w:rPr>
          <w:i/>
          <w:sz w:val="28"/>
          <w:szCs w:val="28"/>
        </w:rPr>
        <w:t>desființare construcții existente și realizare ansamblu rezidențial și de afaceri 2S+P+14E, 2S+P+11E, 2S+P+1E</w:t>
      </w:r>
      <w:r w:rsidR="00692AE1" w:rsidRPr="00F60D64">
        <w:rPr>
          <w:i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FE4607">
        <w:rPr>
          <w:sz w:val="28"/>
          <w:szCs w:val="28"/>
        </w:rPr>
        <w:t>Drumul Nisipoasa nr. 46-52, sector 1, Bucureşti</w:t>
      </w:r>
      <w:r w:rsidR="00692AE1" w:rsidRPr="00F60D64">
        <w:rPr>
          <w:sz w:val="28"/>
          <w:szCs w:val="28"/>
        </w:rPr>
        <w:t>,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FE4607">
        <w:rPr>
          <w:b/>
          <w:sz w:val="28"/>
          <w:szCs w:val="28"/>
        </w:rPr>
        <w:t>S.C. ONIX RESIDENCE S.R.L.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AA7026">
        <w:rPr>
          <w:color w:val="000000"/>
          <w:sz w:val="28"/>
          <w:szCs w:val="28"/>
        </w:rPr>
        <w:t xml:space="preserve">Bucuresti, </w:t>
      </w:r>
      <w:r w:rsidR="00FE4607">
        <w:rPr>
          <w:sz w:val="28"/>
          <w:szCs w:val="28"/>
        </w:rPr>
        <w:t>sect. 6, Splaiul Independenței nr. 202H, bl. 2, sc. A, parter, ap. 5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E460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D0B28">
        <w:rPr>
          <w:sz w:val="28"/>
          <w:szCs w:val="28"/>
        </w:rPr>
        <w:t>.</w:t>
      </w:r>
      <w:r w:rsidR="00AA7026">
        <w:rPr>
          <w:sz w:val="28"/>
          <w:szCs w:val="28"/>
        </w:rPr>
        <w:t>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4E7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7BB0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AE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1836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1B4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026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4607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2020-07-28T09:39:00Z</dcterms:created>
  <dcterms:modified xsi:type="dcterms:W3CDTF">2020-07-28T09:42:00Z</dcterms:modified>
</cp:coreProperties>
</file>