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21"/>
        <w:gridCol w:w="222"/>
      </w:tblGrid>
      <w:tr w:rsidR="0011343F" w:rsidRPr="00AA0D1C" w:rsidTr="00F4592A">
        <w:tc>
          <w:tcPr>
            <w:tcW w:w="0" w:type="auto"/>
          </w:tcPr>
          <w:p w:rsidR="0011343F" w:rsidRPr="00AA0D1C"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bookmarkStart w:id="0" w:name="_GoBack"/>
            <w:bookmarkEnd w:id="0"/>
          </w:p>
          <w:p w:rsidR="0011343F" w:rsidRPr="00AA0D1C" w:rsidRDefault="0011343F" w:rsidP="0011343F">
            <w:pPr>
              <w:spacing w:after="0" w:line="240" w:lineRule="auto"/>
              <w:jc w:val="center"/>
              <w:rPr>
                <w:rFonts w:ascii="Times New Roman" w:eastAsia="Calibri" w:hAnsi="Times New Roman" w:cs="Times New Roman"/>
                <w:b/>
                <w:bCs/>
                <w:smallCaps/>
                <w:spacing w:val="50"/>
                <w:sz w:val="24"/>
                <w:szCs w:val="24"/>
                <w:lang w:eastAsia="ro-RO"/>
              </w:rPr>
            </w:pPr>
            <w:r w:rsidRPr="00AA0D1C">
              <w:rPr>
                <w:rFonts w:ascii="Times New Roman" w:eastAsia="Calibri" w:hAnsi="Times New Roman" w:cs="Times New Roman"/>
                <w:b/>
                <w:bCs/>
                <w:smallCaps/>
                <w:spacing w:val="50"/>
                <w:sz w:val="24"/>
                <w:szCs w:val="24"/>
                <w:lang w:eastAsia="ro-RO"/>
              </w:rPr>
              <w:t>PROIECTUL DECIZIEI ETAPEI DE ÎNCADRARE</w:t>
            </w:r>
          </w:p>
          <w:p w:rsidR="0011343F" w:rsidRPr="00AA0D1C" w:rsidRDefault="0011343F" w:rsidP="0011343F">
            <w:pPr>
              <w:spacing w:after="0" w:line="240" w:lineRule="auto"/>
              <w:rPr>
                <w:rFonts w:ascii="Times New Roman" w:eastAsia="Calibri" w:hAnsi="Times New Roman" w:cs="Times New Roman"/>
                <w:b/>
                <w:bCs/>
                <w:smallCaps/>
                <w:spacing w:val="50"/>
                <w:sz w:val="24"/>
                <w:szCs w:val="24"/>
                <w:lang w:eastAsia="ro-RO"/>
              </w:rPr>
            </w:pPr>
          </w:p>
          <w:p w:rsidR="0011343F" w:rsidRPr="00AA0D1C" w:rsidRDefault="0011343F" w:rsidP="0011343F">
            <w:pPr>
              <w:tabs>
                <w:tab w:val="left" w:leader="dot" w:pos="11334"/>
              </w:tabs>
              <w:spacing w:after="0" w:line="240" w:lineRule="auto"/>
              <w:jc w:val="center"/>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 xml:space="preserve">Nr. 2195 </w:t>
            </w:r>
            <w:r w:rsidRPr="00AA0D1C">
              <w:rPr>
                <w:rFonts w:ascii="Times New Roman" w:eastAsia="Calibri" w:hAnsi="Times New Roman" w:cs="Times New Roman"/>
                <w:color w:val="FF0000"/>
                <w:sz w:val="24"/>
                <w:szCs w:val="24"/>
                <w:lang w:eastAsia="ro-RO"/>
              </w:rPr>
              <w:t xml:space="preserve"> </w:t>
            </w:r>
            <w:r w:rsidRPr="00AA0D1C">
              <w:rPr>
                <w:rFonts w:ascii="Times New Roman" w:eastAsia="Calibri" w:hAnsi="Times New Roman" w:cs="Times New Roman"/>
                <w:sz w:val="24"/>
                <w:szCs w:val="24"/>
                <w:lang w:eastAsia="ro-RO"/>
              </w:rPr>
              <w:t>din  16.05.2017</w:t>
            </w:r>
          </w:p>
          <w:p w:rsidR="0011343F" w:rsidRPr="00AA0D1C" w:rsidRDefault="0011343F" w:rsidP="0011343F">
            <w:pPr>
              <w:tabs>
                <w:tab w:val="left" w:leader="dot" w:pos="11334"/>
              </w:tabs>
              <w:spacing w:after="0" w:line="240" w:lineRule="auto"/>
              <w:jc w:val="both"/>
              <w:rPr>
                <w:rFonts w:ascii="Times New Roman" w:eastAsia="Calibri" w:hAnsi="Times New Roman" w:cs="Times New Roman"/>
                <w:sz w:val="24"/>
                <w:szCs w:val="24"/>
                <w:lang w:eastAsia="ro-RO"/>
              </w:rPr>
            </w:pPr>
          </w:p>
          <w:p w:rsidR="0011343F" w:rsidRPr="00AA0D1C" w:rsidRDefault="0011343F" w:rsidP="0011343F">
            <w:pPr>
              <w:spacing w:after="0" w:line="240" w:lineRule="auto"/>
              <w:ind w:firstLine="720"/>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Ca urmare a solicitării de emitere a acordului de mediu adresate de </w:t>
            </w:r>
            <w:r w:rsidRPr="00AA0D1C">
              <w:rPr>
                <w:rFonts w:ascii="Times New Roman" w:eastAsia="Calibri" w:hAnsi="Times New Roman" w:cs="Times New Roman"/>
                <w:b/>
                <w:sz w:val="24"/>
                <w:szCs w:val="24"/>
              </w:rPr>
              <w:t>S.C. ALPHA SERVICES TECHNIQUE S.R.L. D,</w:t>
            </w:r>
            <w:r w:rsidRPr="00AA0D1C">
              <w:rPr>
                <w:rFonts w:ascii="Times New Roman" w:eastAsia="Calibri" w:hAnsi="Times New Roman" w:cs="Times New Roman"/>
                <w:sz w:val="24"/>
                <w:szCs w:val="24"/>
              </w:rPr>
              <w:t xml:space="preserve"> cu sediul în municipiul Giurgiu, bulevardul Daciei, nr. 21, camera 3, jud. Giurgiu, înregistrată la A.P.M. Giurgiu cu nr. 2195</w:t>
            </w:r>
            <w:r w:rsidRPr="00AA0D1C">
              <w:rPr>
                <w:rFonts w:ascii="Times New Roman" w:eastAsia="Calibri" w:hAnsi="Times New Roman" w:cs="Times New Roman"/>
                <w:color w:val="FF0000"/>
                <w:sz w:val="24"/>
                <w:szCs w:val="24"/>
                <w:lang w:eastAsia="ro-RO"/>
              </w:rPr>
              <w:t xml:space="preserve"> </w:t>
            </w:r>
            <w:r w:rsidRPr="00AA0D1C">
              <w:rPr>
                <w:rFonts w:ascii="Times New Roman" w:eastAsia="Calibri" w:hAnsi="Times New Roman" w:cs="Times New Roman"/>
                <w:sz w:val="24"/>
                <w:szCs w:val="24"/>
                <w:lang w:eastAsia="ro-RO"/>
              </w:rPr>
              <w:t xml:space="preserve">din data de 16.03.2017, </w:t>
            </w:r>
            <w:r w:rsidRPr="00AA0D1C">
              <w:rPr>
                <w:rFonts w:ascii="Times New Roman" w:eastAsia="Calibri"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11343F" w:rsidRPr="00AA0D1C" w:rsidRDefault="0011343F" w:rsidP="0011343F">
            <w:pPr>
              <w:spacing w:after="0" w:line="240" w:lineRule="auto"/>
              <w:jc w:val="both"/>
              <w:rPr>
                <w:rFonts w:ascii="Times New Roman" w:eastAsia="Calibri" w:hAnsi="Times New Roman" w:cs="Times New Roman"/>
                <w:b/>
                <w:sz w:val="24"/>
                <w:szCs w:val="24"/>
                <w:lang w:eastAsia="ro-RO"/>
              </w:rPr>
            </w:pPr>
            <w:r w:rsidRPr="00AA0D1C">
              <w:rPr>
                <w:rFonts w:ascii="Times New Roman" w:eastAsia="Calibri" w:hAnsi="Times New Roman" w:cs="Times New Roman"/>
                <w:sz w:val="24"/>
                <w:szCs w:val="24"/>
                <w:lang w:eastAsia="ro-RO"/>
              </w:rPr>
              <w:tab/>
              <w:t xml:space="preserve">A.P.M. Giurgiu decide, ca urmare a consultărilor desfăşurate în cadrul şedinţei Comisiei de Analiză Tehnică din data de 15.05.2017, că proiectul </w:t>
            </w:r>
            <w:r w:rsidRPr="00AA0D1C">
              <w:rPr>
                <w:rFonts w:ascii="Times New Roman" w:eastAsia="Times New Roman" w:hAnsi="Times New Roman" w:cs="Times New Roman"/>
                <w:b/>
                <w:noProof/>
                <w:sz w:val="24"/>
                <w:szCs w:val="24"/>
                <w:lang w:eastAsia="ro-RO"/>
              </w:rPr>
              <w:t xml:space="preserve">„Amenajare albie- fluviul Dunărea, cu extragere de balast, pietriș și nisip construcție provizorie” </w:t>
            </w:r>
            <w:r w:rsidRPr="00AA0D1C">
              <w:rPr>
                <w:rFonts w:ascii="Times New Roman" w:eastAsia="Times New Roman" w:hAnsi="Times New Roman" w:cs="Times New Roman"/>
                <w:noProof/>
                <w:sz w:val="24"/>
                <w:szCs w:val="24"/>
                <w:lang w:eastAsia="ro-RO"/>
              </w:rPr>
              <w:t>propus a fi realizat în albia minoră a fluviului Dunărea, comuna Oinacu,  jud. Giurgiu</w:t>
            </w:r>
            <w:r w:rsidRPr="00AA0D1C">
              <w:rPr>
                <w:rFonts w:ascii="Times New Roman" w:eastAsia="Calibri" w:hAnsi="Times New Roman" w:cs="Times New Roman"/>
                <w:sz w:val="24"/>
                <w:szCs w:val="24"/>
                <w:lang w:eastAsia="ro-RO"/>
              </w:rPr>
              <w:t xml:space="preserve">,  </w:t>
            </w:r>
            <w:r w:rsidRPr="00AA0D1C">
              <w:rPr>
                <w:rFonts w:ascii="Times New Roman" w:eastAsia="Calibri" w:hAnsi="Times New Roman" w:cs="Times New Roman"/>
                <w:b/>
                <w:sz w:val="24"/>
                <w:szCs w:val="24"/>
                <w:lang w:eastAsia="ro-RO"/>
              </w:rPr>
              <w:t xml:space="preserve">se supune evaluării impactului asupra mediului şi  evaluării adecvate. </w:t>
            </w:r>
          </w:p>
          <w:p w:rsidR="0011343F" w:rsidRPr="00AA0D1C" w:rsidRDefault="0011343F" w:rsidP="0011343F">
            <w:pPr>
              <w:spacing w:after="0" w:line="240" w:lineRule="auto"/>
              <w:ind w:firstLine="720"/>
              <w:jc w:val="both"/>
              <w:rPr>
                <w:rFonts w:ascii="Times New Roman" w:eastAsia="Calibri" w:hAnsi="Times New Roman" w:cs="Times New Roman"/>
                <w:b/>
                <w:sz w:val="24"/>
                <w:szCs w:val="24"/>
                <w:lang w:eastAsia="ro-RO"/>
              </w:rPr>
            </w:pPr>
          </w:p>
          <w:p w:rsidR="0011343F" w:rsidRPr="00AA0D1C" w:rsidRDefault="0011343F" w:rsidP="0011343F">
            <w:pPr>
              <w:spacing w:after="0" w:line="240" w:lineRule="auto"/>
              <w:ind w:firstLine="720"/>
              <w:jc w:val="both"/>
              <w:rPr>
                <w:rFonts w:ascii="Times New Roman" w:eastAsia="Calibri" w:hAnsi="Times New Roman" w:cs="Times New Roman"/>
                <w:sz w:val="24"/>
                <w:szCs w:val="24"/>
                <w:lang w:eastAsia="ro-RO"/>
              </w:rPr>
            </w:pPr>
            <w:r w:rsidRPr="00AA0D1C">
              <w:rPr>
                <w:rFonts w:ascii="Times New Roman" w:eastAsia="Calibri" w:hAnsi="Times New Roman" w:cs="Times New Roman"/>
                <w:b/>
                <w:sz w:val="24"/>
                <w:szCs w:val="24"/>
                <w:lang w:eastAsia="ro-RO"/>
              </w:rPr>
              <w:t>Justificarea prezentei decizii</w:t>
            </w:r>
            <w:r w:rsidRPr="00AA0D1C">
              <w:rPr>
                <w:rFonts w:ascii="Times New Roman" w:eastAsia="Calibri" w:hAnsi="Times New Roman" w:cs="Times New Roman"/>
                <w:sz w:val="24"/>
                <w:szCs w:val="24"/>
                <w:lang w:eastAsia="ro-RO"/>
              </w:rPr>
              <w:t xml:space="preserve">: </w:t>
            </w:r>
          </w:p>
          <w:p w:rsidR="0011343F" w:rsidRPr="00AA0D1C" w:rsidRDefault="0011343F" w:rsidP="0011343F">
            <w:pPr>
              <w:spacing w:after="0" w:line="240" w:lineRule="auto"/>
              <w:ind w:firstLine="720"/>
              <w:jc w:val="both"/>
              <w:rPr>
                <w:rFonts w:ascii="Times New Roman" w:eastAsia="Calibri" w:hAnsi="Times New Roman" w:cs="Times New Roman"/>
                <w:sz w:val="24"/>
                <w:szCs w:val="24"/>
                <w:lang w:eastAsia="ro-RO"/>
              </w:rPr>
            </w:pPr>
          </w:p>
          <w:p w:rsidR="0011343F" w:rsidRPr="00AA0D1C" w:rsidRDefault="0011343F" w:rsidP="0011343F">
            <w:pPr>
              <w:spacing w:after="0" w:line="240" w:lineRule="auto"/>
              <w:ind w:firstLine="720"/>
              <w:jc w:val="both"/>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I. Motivele care au stat la baza luării deciziei etapei de încadrare în procedura de evaluare a impactului asupra mediului sunt următoarele:</w:t>
            </w:r>
          </w:p>
          <w:p w:rsidR="0011343F" w:rsidRPr="00AA0D1C" w:rsidRDefault="0011343F" w:rsidP="0011343F">
            <w:pPr>
              <w:numPr>
                <w:ilvl w:val="0"/>
                <w:numId w:val="1"/>
              </w:numPr>
              <w:tabs>
                <w:tab w:val="left" w:pos="1210"/>
                <w:tab w:val="left" w:leader="dot" w:pos="8680"/>
                <w:tab w:val="left" w:leader="dot" w:pos="9448"/>
              </w:tabs>
              <w:spacing w:after="0" w:line="240" w:lineRule="auto"/>
              <w:jc w:val="both"/>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proiectul se încadrează în prevederile Hotărârii Guvernului nr. 445/2009, anexa nr. 2, pct. 2, lit. c) – extracția mineralelor prin dragare fluvială sau marină;</w:t>
            </w:r>
          </w:p>
          <w:p w:rsidR="0011343F" w:rsidRPr="00AA0D1C"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AA0D1C">
              <w:rPr>
                <w:rFonts w:ascii="Times New Roman" w:eastAsia="Calibri" w:hAnsi="Times New Roman" w:cs="Times New Roman"/>
                <w:b/>
                <w:sz w:val="24"/>
                <w:szCs w:val="24"/>
              </w:rPr>
              <w:t>1</w:t>
            </w:r>
            <w:r w:rsidRPr="00AA0D1C">
              <w:rPr>
                <w:rFonts w:ascii="Times New Roman" w:eastAsia="Calibri" w:hAnsi="Times New Roman" w:cs="Times New Roman"/>
                <w:sz w:val="24"/>
                <w:szCs w:val="24"/>
              </w:rPr>
              <w:t xml:space="preserve">. </w:t>
            </w:r>
            <w:r w:rsidRPr="00AA0D1C">
              <w:rPr>
                <w:rFonts w:ascii="Times New Roman" w:eastAsia="Calibri" w:hAnsi="Times New Roman" w:cs="Times New Roman"/>
                <w:i/>
                <w:sz w:val="24"/>
                <w:szCs w:val="24"/>
                <w:u w:val="single"/>
              </w:rPr>
              <w:t>Caracteristicile proiectului</w:t>
            </w:r>
            <w:r w:rsidRPr="00AA0D1C">
              <w:rPr>
                <w:rFonts w:ascii="Times New Roman" w:eastAsia="Calibri" w:hAnsi="Times New Roman" w:cs="Times New Roman"/>
                <w:i/>
                <w:sz w:val="24"/>
                <w:szCs w:val="24"/>
              </w:rPr>
              <w:t>:</w:t>
            </w:r>
          </w:p>
          <w:p w:rsidR="0011343F" w:rsidRPr="00AA0D1C" w:rsidRDefault="0011343F" w:rsidP="0011343F">
            <w:p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     a)      mărimea proiectului:</w:t>
            </w:r>
          </w:p>
          <w:p w:rsidR="0011343F" w:rsidRPr="00AA0D1C" w:rsidRDefault="0011343F" w:rsidP="0011343F">
            <w:pPr>
              <w:spacing w:after="0" w:line="240" w:lineRule="auto"/>
              <w:ind w:firstLine="288"/>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Perimetrul de exploatare este amplasat în albia minoră a fluviului Dunarea, între km 487+300 - km 487+790 canal navigabil, în extravilanul comunei Oinacu, judetul Giurgiu si are forma aproximativ dreptunghiulară (S=26250 mp), având latura scurtă (B=54 m) perpendiculară pe axul fluviului si latura lungă (L=490 m) paralelă cu  axul.</w:t>
            </w:r>
          </w:p>
          <w:p w:rsidR="0011343F" w:rsidRPr="00AA0D1C" w:rsidRDefault="0011343F" w:rsidP="0011343F">
            <w:pPr>
              <w:spacing w:after="0" w:line="240" w:lineRule="auto"/>
              <w:ind w:firstLine="288"/>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Suprafata propusă pentru extragere de agregate minerale este de cca. 2,625 ha (26250 mp = 490 m x 54 m).</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Coordonatele în sistem STEREO ‘70 ale punctelor care delimitează tronsonul propus pentru exploatare în perioada 2017-2018 sunt următoarele:</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960"/>
              <w:gridCol w:w="2097"/>
            </w:tblGrid>
            <w:tr w:rsidR="0011343F" w:rsidRPr="00AA0D1C" w:rsidTr="00F4592A">
              <w:trPr>
                <w:jc w:val="center"/>
              </w:trPr>
              <w:tc>
                <w:tcPr>
                  <w:tcW w:w="1371" w:type="dxa"/>
                </w:tcPr>
                <w:p w:rsidR="0011343F" w:rsidRPr="00AA0D1C" w:rsidRDefault="0011343F" w:rsidP="0011343F">
                  <w:pPr>
                    <w:spacing w:after="0" w:line="240" w:lineRule="auto"/>
                    <w:jc w:val="center"/>
                    <w:rPr>
                      <w:rFonts w:ascii="Times New Roman" w:eastAsia="Times New Roman" w:hAnsi="Times New Roman" w:cs="Times New Roman"/>
                      <w:b/>
                      <w:bCs/>
                      <w:noProof/>
                      <w:kern w:val="28"/>
                      <w:sz w:val="24"/>
                      <w:szCs w:val="24"/>
                    </w:rPr>
                  </w:pPr>
                  <w:r w:rsidRPr="00AA0D1C">
                    <w:rPr>
                      <w:rFonts w:ascii="Times New Roman" w:eastAsia="Times New Roman" w:hAnsi="Times New Roman" w:cs="Times New Roman"/>
                      <w:b/>
                      <w:bCs/>
                      <w:noProof/>
                      <w:kern w:val="28"/>
                      <w:sz w:val="24"/>
                      <w:szCs w:val="24"/>
                    </w:rPr>
                    <w:t xml:space="preserve">Nr. pct. </w:t>
                  </w:r>
                </w:p>
              </w:tc>
              <w:tc>
                <w:tcPr>
                  <w:tcW w:w="1960" w:type="dxa"/>
                </w:tcPr>
                <w:p w:rsidR="0011343F" w:rsidRPr="00AA0D1C" w:rsidRDefault="0011343F" w:rsidP="0011343F">
                  <w:pPr>
                    <w:spacing w:after="0" w:line="240" w:lineRule="auto"/>
                    <w:jc w:val="center"/>
                    <w:rPr>
                      <w:rFonts w:ascii="Times New Roman" w:eastAsia="Times New Roman" w:hAnsi="Times New Roman" w:cs="Times New Roman"/>
                      <w:b/>
                      <w:bCs/>
                      <w:noProof/>
                      <w:kern w:val="28"/>
                      <w:sz w:val="24"/>
                      <w:szCs w:val="24"/>
                    </w:rPr>
                  </w:pPr>
                  <w:r w:rsidRPr="00AA0D1C">
                    <w:rPr>
                      <w:rFonts w:ascii="Times New Roman" w:eastAsia="Times New Roman" w:hAnsi="Times New Roman" w:cs="Times New Roman"/>
                      <w:b/>
                      <w:bCs/>
                      <w:noProof/>
                      <w:kern w:val="28"/>
                      <w:sz w:val="24"/>
                      <w:szCs w:val="24"/>
                    </w:rPr>
                    <w:t>X</w:t>
                  </w:r>
                </w:p>
              </w:tc>
              <w:tc>
                <w:tcPr>
                  <w:tcW w:w="2097" w:type="dxa"/>
                </w:tcPr>
                <w:p w:rsidR="0011343F" w:rsidRPr="00AA0D1C" w:rsidRDefault="0011343F" w:rsidP="0011343F">
                  <w:pPr>
                    <w:spacing w:after="0" w:line="240" w:lineRule="auto"/>
                    <w:jc w:val="center"/>
                    <w:rPr>
                      <w:rFonts w:ascii="Times New Roman" w:eastAsia="Times New Roman" w:hAnsi="Times New Roman" w:cs="Times New Roman"/>
                      <w:b/>
                      <w:bCs/>
                      <w:noProof/>
                      <w:kern w:val="28"/>
                      <w:sz w:val="24"/>
                      <w:szCs w:val="24"/>
                    </w:rPr>
                  </w:pPr>
                  <w:r w:rsidRPr="00AA0D1C">
                    <w:rPr>
                      <w:rFonts w:ascii="Times New Roman" w:eastAsia="Times New Roman" w:hAnsi="Times New Roman" w:cs="Times New Roman"/>
                      <w:b/>
                      <w:bCs/>
                      <w:noProof/>
                      <w:kern w:val="28"/>
                      <w:sz w:val="24"/>
                      <w:szCs w:val="24"/>
                    </w:rPr>
                    <w:t>Y</w:t>
                  </w:r>
                </w:p>
              </w:tc>
            </w:tr>
            <w:tr w:rsidR="0011343F" w:rsidRPr="00AA0D1C" w:rsidTr="00F4592A">
              <w:trPr>
                <w:jc w:val="center"/>
              </w:trPr>
              <w:tc>
                <w:tcPr>
                  <w:tcW w:w="1371"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67</w:t>
                  </w:r>
                </w:p>
              </w:tc>
              <w:tc>
                <w:tcPr>
                  <w:tcW w:w="1960"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266949.9995</w:t>
                  </w:r>
                </w:p>
              </w:tc>
              <w:tc>
                <w:tcPr>
                  <w:tcW w:w="2097"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582999.9998</w:t>
                  </w:r>
                </w:p>
              </w:tc>
            </w:tr>
            <w:tr w:rsidR="0011343F" w:rsidRPr="00AA0D1C" w:rsidTr="00F4592A">
              <w:trPr>
                <w:jc w:val="center"/>
              </w:trPr>
              <w:tc>
                <w:tcPr>
                  <w:tcW w:w="1371"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68</w:t>
                  </w:r>
                </w:p>
              </w:tc>
              <w:tc>
                <w:tcPr>
                  <w:tcW w:w="1960"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266992.9915</w:t>
                  </w:r>
                </w:p>
              </w:tc>
              <w:tc>
                <w:tcPr>
                  <w:tcW w:w="2097"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582989.5278</w:t>
                  </w:r>
                </w:p>
              </w:tc>
            </w:tr>
            <w:tr w:rsidR="0011343F" w:rsidRPr="00AA0D1C" w:rsidTr="00F4592A">
              <w:trPr>
                <w:jc w:val="center"/>
              </w:trPr>
              <w:tc>
                <w:tcPr>
                  <w:tcW w:w="1371"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69</w:t>
                  </w:r>
                </w:p>
              </w:tc>
              <w:tc>
                <w:tcPr>
                  <w:tcW w:w="1960"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267249.9995</w:t>
                  </w:r>
                </w:p>
              </w:tc>
              <w:tc>
                <w:tcPr>
                  <w:tcW w:w="2097"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583374.9998</w:t>
                  </w:r>
                </w:p>
              </w:tc>
            </w:tr>
            <w:tr w:rsidR="0011343F" w:rsidRPr="00AA0D1C" w:rsidTr="00F4592A">
              <w:trPr>
                <w:jc w:val="center"/>
              </w:trPr>
              <w:tc>
                <w:tcPr>
                  <w:tcW w:w="1371"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70</w:t>
                  </w:r>
                </w:p>
              </w:tc>
              <w:tc>
                <w:tcPr>
                  <w:tcW w:w="1960"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267200.7605</w:t>
                  </w:r>
                </w:p>
              </w:tc>
              <w:tc>
                <w:tcPr>
                  <w:tcW w:w="2097" w:type="dxa"/>
                </w:tcPr>
                <w:p w:rsidR="0011343F" w:rsidRPr="00AA0D1C" w:rsidRDefault="0011343F" w:rsidP="0011343F">
                  <w:pPr>
                    <w:spacing w:after="0" w:line="240" w:lineRule="auto"/>
                    <w:jc w:val="center"/>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583424.2388</w:t>
                  </w:r>
                </w:p>
              </w:tc>
            </w:tr>
          </w:tbl>
          <w:p w:rsidR="0011343F" w:rsidRPr="00AA0D1C" w:rsidRDefault="0011343F" w:rsidP="0011343F">
            <w:pPr>
              <w:spacing w:after="0" w:line="240" w:lineRule="auto"/>
              <w:ind w:firstLine="288"/>
              <w:jc w:val="both"/>
              <w:rPr>
                <w:rFonts w:ascii="Times New Roman" w:eastAsia="Times New Roman" w:hAnsi="Times New Roman" w:cs="Times New Roman"/>
                <w:b/>
                <w:i/>
                <w:noProof/>
                <w:color w:val="008000"/>
                <w:kern w:val="28"/>
                <w:sz w:val="24"/>
                <w:szCs w:val="24"/>
              </w:rPr>
            </w:pPr>
          </w:p>
          <w:p w:rsidR="0011343F" w:rsidRPr="00AA0D1C" w:rsidRDefault="0011343F" w:rsidP="0011343F">
            <w:pPr>
              <w:spacing w:after="0" w:line="240" w:lineRule="auto"/>
              <w:ind w:firstLine="284"/>
              <w:jc w:val="both"/>
              <w:rPr>
                <w:rFonts w:ascii="Times New Roman" w:eastAsia="Times New Roman" w:hAnsi="Times New Roman" w:cs="Times New Roman"/>
                <w:iCs/>
                <w:noProof/>
                <w:kern w:val="28"/>
                <w:sz w:val="24"/>
                <w:szCs w:val="24"/>
                <w:u w:val="single"/>
              </w:rPr>
            </w:pPr>
            <w:r w:rsidRPr="00AA0D1C">
              <w:rPr>
                <w:rFonts w:ascii="Times New Roman" w:eastAsia="Times New Roman" w:hAnsi="Times New Roman" w:cs="Times New Roman"/>
                <w:iCs/>
                <w:noProof/>
                <w:kern w:val="28"/>
                <w:sz w:val="24"/>
                <w:szCs w:val="24"/>
                <w:u w:val="single"/>
              </w:rPr>
              <w:t>Accesul in zonă</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Accesul in zonă se face numai pe cale fluvială, cu ambarcatiuni, pe o distantă de cca. 6 km de la portul Giurgiu.</w:t>
            </w:r>
          </w:p>
          <w:p w:rsidR="0011343F" w:rsidRPr="00AA0D1C" w:rsidRDefault="0011343F" w:rsidP="0011343F">
            <w:pPr>
              <w:spacing w:after="0" w:line="240" w:lineRule="auto"/>
              <w:ind w:firstLine="288"/>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lastRenderedPageBreak/>
              <w:t>Scopul lucrărilor constă în îndepartarea materialului aluvionar si extragerea de agregate minerale din albia minora a fluviului Dunarea, în vederea măririi sectiunii de scurgere si  imbunatatirea regimului de curgere la ape mari.</w:t>
            </w:r>
          </w:p>
          <w:p w:rsidR="0011343F" w:rsidRPr="00AA0D1C" w:rsidRDefault="0011343F" w:rsidP="0011343F">
            <w:pPr>
              <w:spacing w:after="0" w:line="240" w:lineRule="auto"/>
              <w:ind w:firstLine="288"/>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 xml:space="preserve">Exploatarea de agregate minerale se va face astfel incat </w:t>
            </w:r>
            <w:r w:rsidRPr="00AA0D1C">
              <w:rPr>
                <w:rFonts w:ascii="Times New Roman" w:eastAsia="Times New Roman" w:hAnsi="Times New Roman" w:cs="Times New Roman"/>
                <w:noProof/>
                <w:kern w:val="28"/>
                <w:sz w:val="24"/>
                <w:szCs w:val="24"/>
                <w:u w:val="single"/>
              </w:rPr>
              <w:t>cota minima sa fie peste cota talvegului fluviului Dunarea</w:t>
            </w:r>
            <w:r w:rsidRPr="00AA0D1C">
              <w:rPr>
                <w:rFonts w:ascii="Times New Roman" w:eastAsia="Times New Roman" w:hAnsi="Times New Roman" w:cs="Times New Roman"/>
                <w:noProof/>
                <w:kern w:val="28"/>
                <w:sz w:val="24"/>
                <w:szCs w:val="24"/>
              </w:rPr>
              <w:t xml:space="preserve">, in zona perimetrului Oinacu. </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Excavarea se face cu ajutorul unei dragi maritime cu cupe cu o capacitate de productie de 400 mc/h, iar procesul de lucru parcurge doua etape: fixarea pe pozitia de lucru si excavarea propriu-zisa.</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 xml:space="preserve"> 1. </w:t>
            </w:r>
            <w:r w:rsidRPr="00AA0D1C">
              <w:rPr>
                <w:rFonts w:ascii="Times New Roman" w:eastAsia="Times New Roman" w:hAnsi="Times New Roman" w:cs="Times New Roman"/>
                <w:noProof/>
                <w:kern w:val="28"/>
                <w:sz w:val="24"/>
                <w:szCs w:val="24"/>
                <w:u w:val="single"/>
              </w:rPr>
              <w:t>Fixarea pe pozitia de lucru</w:t>
            </w:r>
            <w:r w:rsidRPr="00AA0D1C">
              <w:rPr>
                <w:rFonts w:ascii="Times New Roman" w:eastAsia="Times New Roman" w:hAnsi="Times New Roman" w:cs="Times New Roman"/>
                <w:noProof/>
                <w:kern w:val="28"/>
                <w:sz w:val="24"/>
                <w:szCs w:val="24"/>
              </w:rPr>
              <w:t xml:space="preserve"> se face de dragorul sef insotit de capitanul remorcherului care se deplaseaza cu salupa la locul care urmeaza a fi dragat si il balizeaza cu geamanduri. Se deplaseaza pe pozitia de lucru draga si remorcherul si se procedeaza la fundarisirea ancorei de avant (5,0 tone), la moinarea elindei pentru fixarea dragii si la fundarisirea ancorelor de papionaj (a cate 1,5 tone fiecare), cate doua in fiecare bord, in ordinea stabilita de seful dragii, in asa fel incat sa nu impiedice navigatia pe senal. Fixarea papionajelor se executa cu salupa sau remorcherul. Ancora de avant si ancorele de papionaj vor fi prevazute cu geamanduri de balizaj, in scopul evitarii pierderii acestora in cazuri neprevazute (rupere cabluri sau gase).</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 xml:space="preserve">      </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 xml:space="preserve">2. </w:t>
            </w:r>
            <w:r w:rsidRPr="00AA0D1C">
              <w:rPr>
                <w:rFonts w:ascii="Times New Roman" w:eastAsia="Times New Roman" w:hAnsi="Times New Roman" w:cs="Times New Roman"/>
                <w:noProof/>
                <w:kern w:val="28"/>
                <w:sz w:val="24"/>
                <w:szCs w:val="24"/>
                <w:u w:val="single"/>
              </w:rPr>
              <w:t>Excavarea</w:t>
            </w:r>
            <w:r w:rsidRPr="00AA0D1C">
              <w:rPr>
                <w:rFonts w:ascii="Times New Roman" w:eastAsia="Times New Roman" w:hAnsi="Times New Roman" w:cs="Times New Roman"/>
                <w:noProof/>
                <w:kern w:val="28"/>
                <w:sz w:val="24"/>
                <w:szCs w:val="24"/>
              </w:rPr>
              <w:t xml:space="preserve"> se face dupa fixarea pe pozitia de lucru. Se incepe cu dragajul pentru formarea taluzului, prin inceperea lucrului la o distanta de cca. 20 m aval de latura marcata in proiect.</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Operatiunea de atacare a materialului dragat se face in asa fel incat cupele sa faca un unghi de 45 de grade si sa nu cada centura cupelor de pe hexagon.</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Cu elinda la cota indicata se fac 2-3 drumuri pe toata latimea suprafetei care urmeaza a fi dragata, iar la fiecare drum si la fiecare limita, avand toate papionajele stopate, se avanseaza prin virarea sarmei pe vinciul de inaintare cate 1 m.</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Excavarea se face din aval spre amonte, in fasii de 20 m latime si dinspre axul albiei inspre mal in fasii de 20 respectiv 10 m latime.</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Deversarea materialului extras se face in barje de 1500 t prin intermediul a doua jgheaburi.</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Deplasarea barjelor se face cu ajutorul unui impingator de 2x300 CP.</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Unitatea nu dispune de statie de sortare, materialul fiind livrat in stare bruta.</w:t>
            </w:r>
          </w:p>
          <w:p w:rsidR="0011343F" w:rsidRPr="00AA0D1C" w:rsidRDefault="0011343F" w:rsidP="0011343F">
            <w:pPr>
              <w:spacing w:after="0" w:line="240" w:lineRule="auto"/>
              <w:ind w:firstLine="284"/>
              <w:jc w:val="both"/>
              <w:rPr>
                <w:rFonts w:ascii="Times New Roman" w:eastAsia="Times New Roman" w:hAnsi="Times New Roman" w:cs="Times New Roman"/>
                <w:noProof/>
                <w:kern w:val="28"/>
                <w:sz w:val="24"/>
                <w:szCs w:val="24"/>
              </w:rPr>
            </w:pPr>
            <w:r w:rsidRPr="00AA0D1C">
              <w:rPr>
                <w:rFonts w:ascii="Times New Roman" w:eastAsia="Times New Roman" w:hAnsi="Times New Roman" w:cs="Times New Roman"/>
                <w:noProof/>
                <w:kern w:val="28"/>
                <w:sz w:val="24"/>
                <w:szCs w:val="24"/>
              </w:rPr>
              <w:t>Evidenta volumelor exploatate se va tine la punctul de lucru.</w:t>
            </w:r>
          </w:p>
          <w:p w:rsidR="0011343F" w:rsidRPr="00AA0D1C" w:rsidRDefault="0011343F" w:rsidP="0011343F">
            <w:pPr>
              <w:tabs>
                <w:tab w:val="left" w:pos="1000"/>
                <w:tab w:val="left" w:leader="dot" w:pos="8680"/>
                <w:tab w:val="left" w:leader="dot" w:pos="9448"/>
              </w:tabs>
              <w:spacing w:after="0" w:line="240" w:lineRule="auto"/>
              <w:ind w:left="20"/>
              <w:jc w:val="both"/>
              <w:rPr>
                <w:rFonts w:ascii="Times New Roman" w:eastAsia="Calibri" w:hAnsi="Times New Roman" w:cs="Times New Roman"/>
                <w:bCs/>
                <w:sz w:val="24"/>
                <w:szCs w:val="24"/>
              </w:rPr>
            </w:pPr>
            <w:r w:rsidRPr="00AA0D1C">
              <w:rPr>
                <w:rFonts w:ascii="Times New Roman" w:eastAsia="Calibri" w:hAnsi="Times New Roman" w:cs="Times New Roman"/>
                <w:bCs/>
                <w:sz w:val="24"/>
                <w:szCs w:val="24"/>
              </w:rPr>
              <w:t xml:space="preserve">     b)     proiectul nu se cumulează cu alte proiecte;</w:t>
            </w:r>
          </w:p>
          <w:p w:rsidR="0011343F" w:rsidRPr="00AA0D1C" w:rsidRDefault="0011343F" w:rsidP="0011343F">
            <w:pPr>
              <w:tabs>
                <w:tab w:val="left" w:pos="770"/>
              </w:tabs>
              <w:autoSpaceDE w:val="0"/>
              <w:autoSpaceDN w:val="0"/>
              <w:adjustRightInd w:val="0"/>
              <w:spacing w:after="0" w:line="240" w:lineRule="auto"/>
              <w:jc w:val="both"/>
              <w:rPr>
                <w:rFonts w:ascii="Times New Roman" w:eastAsia="Times New Roman" w:hAnsi="Times New Roman" w:cs="Times New Roman"/>
                <w:bCs/>
                <w:sz w:val="24"/>
                <w:szCs w:val="24"/>
              </w:rPr>
            </w:pPr>
            <w:r w:rsidRPr="00AA0D1C">
              <w:rPr>
                <w:rFonts w:ascii="Times New Roman" w:eastAsia="Calibri" w:hAnsi="Times New Roman" w:cs="Times New Roman"/>
                <w:bCs/>
                <w:sz w:val="24"/>
                <w:szCs w:val="24"/>
              </w:rPr>
              <w:t xml:space="preserve">     c)     </w:t>
            </w:r>
            <w:r w:rsidRPr="00AA0D1C">
              <w:rPr>
                <w:rFonts w:ascii="Times New Roman" w:eastAsia="Times New Roman" w:hAnsi="Times New Roman" w:cs="Times New Roman"/>
                <w:bCs/>
                <w:sz w:val="24"/>
                <w:szCs w:val="24"/>
              </w:rPr>
              <w:t>proiectul presupune utilizarea resurselor naturale  - agregate minerale;</w:t>
            </w:r>
            <w:r w:rsidRPr="00AA0D1C">
              <w:rPr>
                <w:rFonts w:ascii="Times New Roman" w:eastAsia="Calibri" w:hAnsi="Times New Roman" w:cs="Times New Roman"/>
                <w:sz w:val="24"/>
                <w:szCs w:val="24"/>
              </w:rPr>
              <w:t xml:space="preserve"> în perioada 2017-2018 se propune pentru exploatare cantitatea de </w:t>
            </w:r>
            <w:r w:rsidRPr="00AA0D1C">
              <w:rPr>
                <w:rFonts w:ascii="Times New Roman" w:eastAsia="Calibri" w:hAnsi="Times New Roman" w:cs="Times New Roman"/>
                <w:b/>
                <w:sz w:val="24"/>
                <w:szCs w:val="24"/>
              </w:rPr>
              <w:t>117632 mc</w:t>
            </w:r>
            <w:r w:rsidRPr="00AA0D1C">
              <w:rPr>
                <w:rFonts w:ascii="Times New Roman" w:eastAsia="Calibri" w:hAnsi="Times New Roman" w:cs="Times New Roman"/>
                <w:sz w:val="24"/>
                <w:szCs w:val="24"/>
              </w:rPr>
              <w:t xml:space="preserve">, de pe </w:t>
            </w:r>
            <w:proofErr w:type="spellStart"/>
            <w:r w:rsidRPr="00AA0D1C">
              <w:rPr>
                <w:rFonts w:ascii="Times New Roman" w:eastAsia="Calibri" w:hAnsi="Times New Roman" w:cs="Times New Roman"/>
                <w:sz w:val="24"/>
                <w:szCs w:val="24"/>
              </w:rPr>
              <w:t>suprafata</w:t>
            </w:r>
            <w:proofErr w:type="spellEnd"/>
            <w:r w:rsidRPr="00AA0D1C">
              <w:rPr>
                <w:rFonts w:ascii="Times New Roman" w:eastAsia="Calibri" w:hAnsi="Times New Roman" w:cs="Times New Roman"/>
                <w:sz w:val="24"/>
                <w:szCs w:val="24"/>
              </w:rPr>
              <w:t xml:space="preserve"> de cca. </w:t>
            </w:r>
            <w:r w:rsidRPr="00AA0D1C">
              <w:rPr>
                <w:rFonts w:ascii="Times New Roman" w:eastAsia="Calibri" w:hAnsi="Times New Roman" w:cs="Times New Roman"/>
                <w:b/>
                <w:sz w:val="24"/>
                <w:szCs w:val="24"/>
              </w:rPr>
              <w:t>26250 mp</w:t>
            </w:r>
            <w:r w:rsidRPr="00AA0D1C">
              <w:rPr>
                <w:rFonts w:ascii="Times New Roman" w:eastAsia="Calibri" w:hAnsi="Times New Roman" w:cs="Times New Roman"/>
                <w:sz w:val="24"/>
                <w:szCs w:val="24"/>
              </w:rPr>
              <w:t xml:space="preserve">, pe o lungime de </w:t>
            </w:r>
            <w:r w:rsidRPr="00AA0D1C">
              <w:rPr>
                <w:rFonts w:ascii="Times New Roman" w:eastAsia="Calibri" w:hAnsi="Times New Roman" w:cs="Times New Roman"/>
                <w:b/>
                <w:sz w:val="24"/>
                <w:szCs w:val="24"/>
              </w:rPr>
              <w:t>490 m</w:t>
            </w:r>
            <w:r w:rsidRPr="00AA0D1C">
              <w:rPr>
                <w:rFonts w:ascii="Times New Roman" w:eastAsia="Calibri" w:hAnsi="Times New Roman" w:cs="Times New Roman"/>
                <w:sz w:val="24"/>
                <w:szCs w:val="24"/>
              </w:rPr>
              <w:t xml:space="preserve"> si o </w:t>
            </w:r>
            <w:proofErr w:type="spellStart"/>
            <w:r w:rsidRPr="00AA0D1C">
              <w:rPr>
                <w:rFonts w:ascii="Times New Roman" w:eastAsia="Calibri" w:hAnsi="Times New Roman" w:cs="Times New Roman"/>
                <w:sz w:val="24"/>
                <w:szCs w:val="24"/>
              </w:rPr>
              <w:t>latime</w:t>
            </w:r>
            <w:proofErr w:type="spellEnd"/>
            <w:r w:rsidRPr="00AA0D1C">
              <w:rPr>
                <w:rFonts w:ascii="Times New Roman" w:eastAsia="Calibri" w:hAnsi="Times New Roman" w:cs="Times New Roman"/>
                <w:sz w:val="24"/>
                <w:szCs w:val="24"/>
              </w:rPr>
              <w:t xml:space="preserve"> medie de </w:t>
            </w:r>
            <w:r w:rsidRPr="00AA0D1C">
              <w:rPr>
                <w:rFonts w:ascii="Times New Roman" w:eastAsia="Calibri" w:hAnsi="Times New Roman" w:cs="Times New Roman"/>
                <w:b/>
                <w:sz w:val="24"/>
                <w:szCs w:val="24"/>
              </w:rPr>
              <w:t>54 m,</w:t>
            </w:r>
            <w:r w:rsidRPr="00AA0D1C">
              <w:rPr>
                <w:rFonts w:ascii="Times New Roman" w:eastAsia="Calibri" w:hAnsi="Times New Roman" w:cs="Times New Roman"/>
                <w:sz w:val="24"/>
                <w:szCs w:val="24"/>
              </w:rPr>
              <w:t xml:space="preserve"> intre profilele P1-10 si P44-54, intre km 487+300 - km 487+790</w:t>
            </w:r>
          </w:p>
          <w:p w:rsidR="0011343F" w:rsidRPr="00AA0D1C" w:rsidRDefault="0011343F" w:rsidP="0011343F">
            <w:pPr>
              <w:tabs>
                <w:tab w:val="left" w:pos="770"/>
                <w:tab w:val="left" w:pos="990"/>
                <w:tab w:val="left" w:leader="dot" w:pos="8680"/>
                <w:tab w:val="left" w:leader="dot" w:pos="9448"/>
              </w:tabs>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     d)</w:t>
            </w:r>
            <w:r w:rsidRPr="00AA0D1C">
              <w:rPr>
                <w:rFonts w:ascii="Times New Roman" w:eastAsia="Calibri" w:hAnsi="Times New Roman" w:cs="Times New Roman"/>
                <w:color w:val="FF0000"/>
                <w:sz w:val="24"/>
                <w:szCs w:val="24"/>
              </w:rPr>
              <w:t xml:space="preserve">   </w:t>
            </w:r>
            <w:r w:rsidRPr="00AA0D1C">
              <w:rPr>
                <w:rFonts w:ascii="Times New Roman" w:eastAsia="Calibri" w:hAnsi="Times New Roman" w:cs="Times New Roman"/>
                <w:sz w:val="24"/>
                <w:szCs w:val="24"/>
              </w:rPr>
              <w:t>proiectul presupune producţia de</w:t>
            </w:r>
            <w:r w:rsidRPr="00AA0D1C">
              <w:rPr>
                <w:rFonts w:ascii="Times New Roman" w:eastAsia="Calibri" w:hAnsi="Times New Roman" w:cs="Arial"/>
                <w:sz w:val="24"/>
                <w:szCs w:val="24"/>
              </w:rPr>
              <w:t xml:space="preserve"> </w:t>
            </w:r>
            <w:proofErr w:type="spellStart"/>
            <w:r w:rsidRPr="00AA0D1C">
              <w:rPr>
                <w:rFonts w:ascii="Times New Roman" w:eastAsia="Calibri" w:hAnsi="Times New Roman" w:cs="Arial"/>
                <w:sz w:val="24"/>
                <w:szCs w:val="24"/>
              </w:rPr>
              <w:t>deseuri</w:t>
            </w:r>
            <w:proofErr w:type="spellEnd"/>
            <w:r w:rsidRPr="00AA0D1C">
              <w:rPr>
                <w:rFonts w:ascii="Times New Roman" w:eastAsia="Calibri" w:hAnsi="Times New Roman" w:cs="Arial"/>
                <w:sz w:val="24"/>
                <w:szCs w:val="24"/>
              </w:rPr>
              <w:t xml:space="preserve"> menajere (cod </w:t>
            </w:r>
            <w:proofErr w:type="spellStart"/>
            <w:r w:rsidRPr="00AA0D1C">
              <w:rPr>
                <w:rFonts w:ascii="Times New Roman" w:eastAsia="Calibri" w:hAnsi="Times New Roman" w:cs="Arial"/>
                <w:sz w:val="24"/>
                <w:szCs w:val="24"/>
              </w:rPr>
              <w:t>deseu</w:t>
            </w:r>
            <w:proofErr w:type="spellEnd"/>
            <w:r w:rsidRPr="00AA0D1C">
              <w:rPr>
                <w:rFonts w:ascii="Times New Roman" w:eastAsia="Calibri" w:hAnsi="Times New Roman" w:cs="Arial"/>
                <w:sz w:val="24"/>
                <w:szCs w:val="24"/>
              </w:rPr>
              <w:t xml:space="preserve"> - 20 03 01) de la personalul angajat;</w:t>
            </w:r>
          </w:p>
          <w:p w:rsidR="0011343F" w:rsidRPr="00AA0D1C" w:rsidRDefault="0011343F" w:rsidP="0011343F">
            <w:pPr>
              <w:tabs>
                <w:tab w:val="left" w:pos="770"/>
                <w:tab w:val="left" w:pos="1000"/>
                <w:tab w:val="left" w:leader="dot" w:pos="8680"/>
                <w:tab w:val="left" w:leader="dot" w:pos="9448"/>
              </w:tabs>
              <w:spacing w:after="0" w:line="240" w:lineRule="auto"/>
              <w:ind w:left="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w:t>
            </w:r>
            <w:r w:rsidRPr="00AA0D1C">
              <w:rPr>
                <w:rFonts w:ascii="Times New Roman" w:eastAsia="Calibri" w:hAnsi="Times New Roman" w:cs="Times New Roman"/>
                <w:color w:val="FF0000"/>
                <w:sz w:val="24"/>
                <w:szCs w:val="24"/>
              </w:rPr>
              <w:t xml:space="preserve"> </w:t>
            </w:r>
            <w:r w:rsidRPr="00AA0D1C">
              <w:rPr>
                <w:rFonts w:ascii="Times New Roman" w:eastAsia="Calibri" w:hAnsi="Times New Roman" w:cs="Times New Roman"/>
                <w:sz w:val="24"/>
                <w:szCs w:val="24"/>
              </w:rPr>
              <w:t xml:space="preserve"> emisii poluante, inclusiv zgomotul și alte surse de disconfort; </w:t>
            </w:r>
            <w:r w:rsidRPr="00AA0D1C">
              <w:rPr>
                <w:rFonts w:ascii="Times New Roman" w:eastAsia="Calibri" w:hAnsi="Times New Roman" w:cs="Arial"/>
                <w:sz w:val="24"/>
                <w:szCs w:val="24"/>
              </w:rPr>
              <w:t xml:space="preserve">având in vedere că nisipul este manipulat numai sub flux de apă, emisia de pulberi în atmosferă este nulă. </w:t>
            </w:r>
            <w:r w:rsidRPr="00AA0D1C">
              <w:rPr>
                <w:rFonts w:ascii="Times New Roman" w:eastAsia="Calibri" w:hAnsi="Times New Roman" w:cs="Times New Roman"/>
                <w:sz w:val="24"/>
                <w:szCs w:val="24"/>
              </w:rPr>
              <w:t xml:space="preserve">Sursa posibilă de poluare a aerului din perimetrul de extragere balast este reprezentata de gazele emanate in atmosfera ca urmare a </w:t>
            </w:r>
            <w:proofErr w:type="spellStart"/>
            <w:r w:rsidRPr="00AA0D1C">
              <w:rPr>
                <w:rFonts w:ascii="Times New Roman" w:eastAsia="Calibri" w:hAnsi="Times New Roman" w:cs="Times New Roman"/>
                <w:sz w:val="24"/>
                <w:szCs w:val="24"/>
              </w:rPr>
              <w:t>functionarii</w:t>
            </w:r>
            <w:proofErr w:type="spellEnd"/>
            <w:r w:rsidRPr="00AA0D1C">
              <w:rPr>
                <w:rFonts w:ascii="Times New Roman" w:eastAsia="Calibri" w:hAnsi="Times New Roman" w:cs="Times New Roman"/>
                <w:sz w:val="24"/>
                <w:szCs w:val="24"/>
              </w:rPr>
              <w:t xml:space="preserve"> motoarelor cu ardere internă ale navei.</w:t>
            </w:r>
          </w:p>
          <w:p w:rsidR="0011343F" w:rsidRPr="00AA0D1C" w:rsidRDefault="0011343F" w:rsidP="0011343F">
            <w:pPr>
              <w:tabs>
                <w:tab w:val="left" w:pos="770"/>
                <w:tab w:val="left" w:pos="990"/>
                <w:tab w:val="left" w:leader="dot" w:pos="8680"/>
                <w:tab w:val="left" w:leader="dot" w:pos="9448"/>
              </w:tabs>
              <w:spacing w:after="0" w:line="240" w:lineRule="auto"/>
              <w:ind w:left="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f)   proiectul nu presupune risc de accident.</w:t>
            </w:r>
          </w:p>
          <w:p w:rsidR="0011343F" w:rsidRPr="00AA0D1C"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AA0D1C">
              <w:rPr>
                <w:rFonts w:ascii="Times New Roman" w:eastAsia="Calibri" w:hAnsi="Times New Roman" w:cs="Times New Roman"/>
                <w:b/>
                <w:sz w:val="24"/>
                <w:szCs w:val="24"/>
              </w:rPr>
              <w:t>2</w:t>
            </w:r>
            <w:r w:rsidRPr="00AA0D1C">
              <w:rPr>
                <w:rFonts w:ascii="Times New Roman" w:eastAsia="Calibri" w:hAnsi="Times New Roman" w:cs="Times New Roman"/>
                <w:sz w:val="24"/>
                <w:szCs w:val="24"/>
              </w:rPr>
              <w:t xml:space="preserve">. </w:t>
            </w:r>
            <w:r w:rsidRPr="00AA0D1C">
              <w:rPr>
                <w:rFonts w:ascii="Times New Roman" w:eastAsia="Calibri" w:hAnsi="Times New Roman" w:cs="Times New Roman"/>
                <w:i/>
                <w:sz w:val="24"/>
                <w:szCs w:val="24"/>
                <w:u w:val="single"/>
              </w:rPr>
              <w:t>Localizarea proiectelor</w:t>
            </w:r>
            <w:r w:rsidRPr="00AA0D1C">
              <w:rPr>
                <w:rFonts w:ascii="Times New Roman" w:eastAsia="Calibri" w:hAnsi="Times New Roman" w:cs="Times New Roman"/>
                <w:i/>
                <w:sz w:val="24"/>
                <w:szCs w:val="24"/>
              </w:rPr>
              <w:t>:</w:t>
            </w:r>
          </w:p>
          <w:p w:rsidR="0011343F" w:rsidRPr="00AA0D1C" w:rsidRDefault="0011343F" w:rsidP="0011343F">
            <w:p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lastRenderedPageBreak/>
              <w:t xml:space="preserve">2.1. utilizarea existentă a terenului – folosinţa actuală a terenului, conform certificatului de urbanism nr. 2/21.02.2017: teren domeniu public –luciu de apă ;  </w:t>
            </w: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2.2. relativa abundenţă a resurselor naturale din zonă, calitatea şi capacitatea regenerativă a acestora – resurse de agregate minerale;</w:t>
            </w:r>
          </w:p>
          <w:p w:rsidR="0011343F" w:rsidRPr="00AA0D1C" w:rsidRDefault="0011343F" w:rsidP="0011343F">
            <w:p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2.3. capacitatea de absorbţie a mediului, cu atenţie deosebită pentru:</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zonele umede: –perimetrul de exploatare este amplasat in albia minora a fluviului </w:t>
            </w:r>
            <w:proofErr w:type="spellStart"/>
            <w:r w:rsidRPr="00AA0D1C">
              <w:rPr>
                <w:rFonts w:ascii="Times New Roman" w:eastAsia="Calibri" w:hAnsi="Times New Roman" w:cs="Times New Roman"/>
                <w:sz w:val="24"/>
                <w:szCs w:val="24"/>
              </w:rPr>
              <w:t>Dunarea</w:t>
            </w:r>
            <w:proofErr w:type="spellEnd"/>
            <w:r w:rsidRPr="00AA0D1C">
              <w:rPr>
                <w:rFonts w:ascii="Times New Roman" w:eastAsia="Calibri" w:hAnsi="Times New Roman" w:cs="Times New Roman"/>
                <w:sz w:val="24"/>
                <w:szCs w:val="24"/>
              </w:rPr>
              <w:t xml:space="preserve">, intre km 487+300 - km 487+790 canal navigabil, in extravilanul comunei Oinacu, </w:t>
            </w:r>
            <w:proofErr w:type="spellStart"/>
            <w:r w:rsidRPr="00AA0D1C">
              <w:rPr>
                <w:rFonts w:ascii="Times New Roman" w:eastAsia="Calibri" w:hAnsi="Times New Roman" w:cs="Times New Roman"/>
                <w:sz w:val="24"/>
                <w:szCs w:val="24"/>
              </w:rPr>
              <w:t>judetul</w:t>
            </w:r>
            <w:proofErr w:type="spellEnd"/>
            <w:r w:rsidRPr="00AA0D1C">
              <w:rPr>
                <w:rFonts w:ascii="Times New Roman" w:eastAsia="Calibri" w:hAnsi="Times New Roman" w:cs="Times New Roman"/>
                <w:sz w:val="24"/>
                <w:szCs w:val="24"/>
              </w:rPr>
              <w:t xml:space="preserve"> Giurgiu si are forma aproximativ dreptunghiulara (S=26250 mp), </w:t>
            </w:r>
            <w:proofErr w:type="spellStart"/>
            <w:r w:rsidRPr="00AA0D1C">
              <w:rPr>
                <w:rFonts w:ascii="Times New Roman" w:eastAsia="Calibri" w:hAnsi="Times New Roman" w:cs="Times New Roman"/>
                <w:sz w:val="24"/>
                <w:szCs w:val="24"/>
              </w:rPr>
              <w:t>avand</w:t>
            </w:r>
            <w:proofErr w:type="spellEnd"/>
            <w:r w:rsidRPr="00AA0D1C">
              <w:rPr>
                <w:rFonts w:ascii="Times New Roman" w:eastAsia="Calibri" w:hAnsi="Times New Roman" w:cs="Times New Roman"/>
                <w:sz w:val="24"/>
                <w:szCs w:val="24"/>
              </w:rPr>
              <w:t xml:space="preserve"> latura scurta (B=54 m) perpendiculara pe axul fluviului si latura lunga (L=490 m) paralela cu  axul ;</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zonele costiere – obiectivul nu este amplasat în zone costiere;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zonele montane şi cele împădurite – obiectivul nu este amplasat în zone montane şi împădurite;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parcurile şi rezervaţiile naturale – obiectivul nu este amplasat în parcuri şi rezervaţii naturale;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zonele de protecţie specială, mai ales cele desemnate prin Ordonanţa de urgenţă a Guvernului nr. </w:t>
            </w:r>
            <w:hyperlink r:id="rId8" w:history="1">
              <w:r w:rsidRPr="00AA0D1C">
                <w:rPr>
                  <w:rFonts w:ascii="Times New Roman" w:eastAsia="Calibri" w:hAnsi="Times New Roman" w:cs="Times New Roman"/>
                  <w:color w:val="0000FF"/>
                  <w:sz w:val="24"/>
                  <w:szCs w:val="24"/>
                  <w:u w:val="single"/>
                </w:rPr>
                <w:t>57/2007</w:t>
              </w:r>
            </w:hyperlink>
            <w:r w:rsidRPr="00AA0D1C">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9" w:history="1">
              <w:r w:rsidRPr="00AA0D1C">
                <w:rPr>
                  <w:rFonts w:ascii="Times New Roman" w:eastAsia="Calibri" w:hAnsi="Times New Roman" w:cs="Times New Roman"/>
                  <w:color w:val="0000FF"/>
                  <w:sz w:val="24"/>
                  <w:szCs w:val="24"/>
                  <w:u w:val="single"/>
                </w:rPr>
                <w:t>5/2000</w:t>
              </w:r>
            </w:hyperlink>
            <w:r w:rsidRPr="00AA0D1C">
              <w:rPr>
                <w:rFonts w:ascii="Times New Roman" w:eastAsia="Calibri" w:hAnsi="Times New Roman" w:cs="Times New Roman"/>
                <w:sz w:val="24"/>
                <w:szCs w:val="24"/>
              </w:rPr>
              <w:t xml:space="preserve"> privind aprobarea Planului de amenajare a teritoriului naţional – Secţiunea a III- a – zone protejate, zonele de protecţie instituite conform prevederilor Legii apelor nr. </w:t>
            </w:r>
            <w:hyperlink r:id="rId10" w:history="1">
              <w:r w:rsidRPr="00AA0D1C">
                <w:rPr>
                  <w:rFonts w:ascii="Times New Roman" w:eastAsia="Calibri" w:hAnsi="Times New Roman" w:cs="Times New Roman"/>
                  <w:color w:val="0000FF"/>
                  <w:sz w:val="24"/>
                  <w:szCs w:val="24"/>
                  <w:u w:val="single"/>
                </w:rPr>
                <w:t>107/1996</w:t>
              </w:r>
            </w:hyperlink>
            <w:r w:rsidRPr="00AA0D1C">
              <w:rPr>
                <w:rFonts w:ascii="Times New Roman" w:eastAsia="Calibri" w:hAnsi="Times New Roman" w:cs="Times New Roman"/>
                <w:sz w:val="24"/>
                <w:szCs w:val="24"/>
              </w:rPr>
              <w:t xml:space="preserve">, cu modificările şi completările ulterioare şi Hotărârea Guvernului nr. </w:t>
            </w:r>
            <w:hyperlink r:id="rId11" w:history="1">
              <w:r w:rsidRPr="00AA0D1C">
                <w:rPr>
                  <w:rFonts w:ascii="Times New Roman" w:eastAsia="Calibri" w:hAnsi="Times New Roman" w:cs="Times New Roman"/>
                  <w:color w:val="0000FF"/>
                  <w:sz w:val="24"/>
                  <w:szCs w:val="24"/>
                  <w:u w:val="single"/>
                </w:rPr>
                <w:t>930/2005</w:t>
              </w:r>
            </w:hyperlink>
            <w:r w:rsidRPr="00AA0D1C">
              <w:rPr>
                <w:rFonts w:ascii="Times New Roman" w:eastAsia="Calibri" w:hAnsi="Times New Roman" w:cs="Times New Roman"/>
                <w:sz w:val="24"/>
                <w:szCs w:val="24"/>
              </w:rPr>
              <w:t xml:space="preserve"> pentru aprobarea Normelor speciale privind caracterul şi mărimea zonelor de protecţie sanitară şi hidrogeologică – amplasamentul proiectului va fi situat in situl de interes comunitar ROSCI0088 Gura </w:t>
            </w:r>
            <w:proofErr w:type="spellStart"/>
            <w:r w:rsidRPr="00AA0D1C">
              <w:rPr>
                <w:rFonts w:ascii="Times New Roman" w:eastAsia="Calibri" w:hAnsi="Times New Roman" w:cs="Times New Roman"/>
                <w:sz w:val="24"/>
                <w:szCs w:val="24"/>
              </w:rPr>
              <w:t>Vedei-Saica-Slobozia</w:t>
            </w:r>
            <w:proofErr w:type="spellEnd"/>
            <w:r w:rsidRPr="00AA0D1C">
              <w:rPr>
                <w:rFonts w:ascii="Times New Roman" w:eastAsia="Calibri" w:hAnsi="Times New Roman" w:cs="Times New Roman"/>
                <w:sz w:val="24"/>
                <w:szCs w:val="24"/>
              </w:rPr>
              <w:t>;</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ariile în care standardele de calitate a mediului stabilite de legislaţie au fost deja depăşite – nu au fost înregistrate astfel de situaţii; </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ariile dens populate – nu este cazul; </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peisajele cu semnificaţie istorică, culturală şi arheologică – nu este cazul.</w:t>
            </w:r>
          </w:p>
          <w:p w:rsidR="0011343F" w:rsidRPr="00AA0D1C" w:rsidRDefault="0011343F" w:rsidP="0011343F">
            <w:pPr>
              <w:tabs>
                <w:tab w:val="num" w:pos="2880"/>
              </w:tabs>
              <w:spacing w:after="0" w:line="240" w:lineRule="auto"/>
              <w:ind w:left="660"/>
              <w:jc w:val="both"/>
              <w:rPr>
                <w:rFonts w:ascii="Times New Roman" w:eastAsia="Calibri" w:hAnsi="Times New Roman" w:cs="Times New Roman"/>
                <w:i/>
                <w:sz w:val="24"/>
                <w:szCs w:val="24"/>
              </w:rPr>
            </w:pPr>
            <w:r w:rsidRPr="00AA0D1C">
              <w:rPr>
                <w:rFonts w:ascii="Times New Roman" w:eastAsia="Calibri" w:hAnsi="Times New Roman" w:cs="Times New Roman"/>
                <w:b/>
                <w:sz w:val="24"/>
                <w:szCs w:val="24"/>
              </w:rPr>
              <w:t>3</w:t>
            </w:r>
            <w:r w:rsidRPr="00AA0D1C">
              <w:rPr>
                <w:rFonts w:ascii="Times New Roman" w:eastAsia="Calibri" w:hAnsi="Times New Roman" w:cs="Times New Roman"/>
                <w:sz w:val="24"/>
                <w:szCs w:val="24"/>
              </w:rPr>
              <w:t xml:space="preserve">. </w:t>
            </w:r>
            <w:r w:rsidRPr="00AA0D1C">
              <w:rPr>
                <w:rFonts w:ascii="Times New Roman" w:eastAsia="Calibri" w:hAnsi="Times New Roman" w:cs="Times New Roman"/>
                <w:i/>
                <w:sz w:val="24"/>
                <w:szCs w:val="24"/>
                <w:u w:val="single"/>
              </w:rPr>
              <w:t>Caracteristicile impactului potenţial</w:t>
            </w:r>
            <w:r w:rsidRPr="00AA0D1C">
              <w:rPr>
                <w:rFonts w:ascii="Times New Roman" w:eastAsia="Calibri" w:hAnsi="Times New Roman" w:cs="Times New Roman"/>
                <w:i/>
                <w:sz w:val="24"/>
                <w:szCs w:val="24"/>
              </w:rPr>
              <w:t>:</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extinderea impactului: aria geografică şi numărul persoanelor afectate – impact local fără afectarea populației;</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natura </w:t>
            </w:r>
            <w:proofErr w:type="spellStart"/>
            <w:r w:rsidRPr="00AA0D1C">
              <w:rPr>
                <w:rFonts w:ascii="Times New Roman" w:eastAsia="Calibri" w:hAnsi="Times New Roman" w:cs="Times New Roman"/>
                <w:sz w:val="24"/>
                <w:szCs w:val="24"/>
              </w:rPr>
              <w:t>transfrontieră</w:t>
            </w:r>
            <w:proofErr w:type="spellEnd"/>
            <w:r w:rsidRPr="00AA0D1C">
              <w:rPr>
                <w:rFonts w:ascii="Times New Roman" w:eastAsia="Calibri" w:hAnsi="Times New Roman" w:cs="Times New Roman"/>
                <w:sz w:val="24"/>
                <w:szCs w:val="24"/>
              </w:rPr>
              <w:t xml:space="preserve"> a impactului – nu este cazul;</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mărimea şi complexitatea impactului – impact redus şi local, pe perioada execuţiei proiectului; </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probabilitatea impactului – impact cu probabilitate mare pe parcursul realizării proiectului, deoarece lucrările prevăzute de proiect vor afecta semnificativ factorii de mediu și biodiversitatea locală;</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durata, frecvenţa şi reversibilitatea impactului – impact local pe perioada desfășurării proiectului cu probabilitate crescută de afectare a zonei</w:t>
            </w:r>
          </w:p>
          <w:p w:rsidR="0011343F" w:rsidRPr="00AA0D1C" w:rsidRDefault="0011343F" w:rsidP="0011343F">
            <w:pPr>
              <w:spacing w:before="120" w:after="0" w:line="240" w:lineRule="auto"/>
              <w:jc w:val="both"/>
              <w:rPr>
                <w:rFonts w:ascii="Times New Roman" w:eastAsia="Calibri" w:hAnsi="Times New Roman" w:cs="Times New Roman"/>
                <w:sz w:val="24"/>
                <w:szCs w:val="24"/>
                <w:lang w:eastAsia="ro-RO"/>
              </w:rPr>
            </w:pPr>
            <w:r w:rsidRPr="00AA0D1C">
              <w:rPr>
                <w:rFonts w:ascii="Times New Roman" w:eastAsia="Calibri" w:hAnsi="Times New Roman" w:cs="Times New Roman"/>
                <w:color w:val="000000"/>
                <w:sz w:val="24"/>
                <w:szCs w:val="24"/>
                <w:lang w:eastAsia="ro-RO"/>
              </w:rPr>
              <w:t>Pe parcursul derulării procedurii de evaluare a impactului asupra mediului publicul interesat de proiectul propus a fost informat despre s</w:t>
            </w:r>
            <w:r w:rsidRPr="00AA0D1C">
              <w:rPr>
                <w:rFonts w:ascii="Times New Roman" w:eastAsia="Calibri" w:hAnsi="Times New Roman" w:cs="Times New Roman"/>
                <w:sz w:val="24"/>
                <w:szCs w:val="24"/>
                <w:lang w:eastAsia="ro-RO"/>
              </w:rPr>
              <w:t>olicitarea acordului de mediu, de către:</w:t>
            </w:r>
          </w:p>
          <w:p w:rsidR="0011343F" w:rsidRPr="00AA0D1C" w:rsidRDefault="0011343F" w:rsidP="0011343F">
            <w:pPr>
              <w:spacing w:before="120" w:after="0" w:line="240" w:lineRule="auto"/>
              <w:jc w:val="both"/>
              <w:rPr>
                <w:rFonts w:ascii="Times New Roman" w:eastAsia="Calibri"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529"/>
              <w:gridCol w:w="2168"/>
              <w:gridCol w:w="2052"/>
            </w:tblGrid>
            <w:tr w:rsidR="0011343F" w:rsidRPr="00AA0D1C" w:rsidTr="00F4592A">
              <w:tc>
                <w:tcPr>
                  <w:tcW w:w="2088" w:type="dxa"/>
                  <w:shd w:val="clear" w:color="auto" w:fill="auto"/>
                </w:tcPr>
                <w:p w:rsidR="0011343F" w:rsidRPr="00AA0D1C" w:rsidRDefault="0011343F" w:rsidP="0011343F">
                  <w:pPr>
                    <w:spacing w:after="0" w:line="240" w:lineRule="auto"/>
                    <w:jc w:val="center"/>
                    <w:rPr>
                      <w:rFonts w:ascii="Times New Roman" w:eastAsia="Times New Roman" w:hAnsi="Times New Roman" w:cs="Times New Roman"/>
                      <w:b/>
                      <w:sz w:val="24"/>
                      <w:szCs w:val="24"/>
                    </w:rPr>
                  </w:pPr>
                  <w:r w:rsidRPr="00AA0D1C">
                    <w:rPr>
                      <w:rFonts w:ascii="Times New Roman" w:eastAsia="Times New Roman" w:hAnsi="Times New Roman" w:cs="Times New Roman"/>
                      <w:b/>
                      <w:sz w:val="24"/>
                      <w:szCs w:val="24"/>
                    </w:rPr>
                    <w:t>Etapa din procedura de reglementare</w:t>
                  </w:r>
                </w:p>
              </w:tc>
              <w:tc>
                <w:tcPr>
                  <w:tcW w:w="2640" w:type="dxa"/>
                  <w:shd w:val="clear" w:color="auto" w:fill="auto"/>
                </w:tcPr>
                <w:p w:rsidR="0011343F" w:rsidRPr="00AA0D1C" w:rsidRDefault="0011343F" w:rsidP="0011343F">
                  <w:pPr>
                    <w:spacing w:after="0" w:line="240" w:lineRule="auto"/>
                    <w:jc w:val="center"/>
                    <w:rPr>
                      <w:rFonts w:ascii="Times New Roman" w:eastAsia="Times New Roman" w:hAnsi="Times New Roman" w:cs="Times New Roman"/>
                      <w:b/>
                      <w:sz w:val="24"/>
                      <w:szCs w:val="24"/>
                    </w:rPr>
                  </w:pPr>
                  <w:r w:rsidRPr="00AA0D1C">
                    <w:rPr>
                      <w:rFonts w:ascii="Times New Roman" w:eastAsia="Times New Roman" w:hAnsi="Times New Roman" w:cs="Times New Roman"/>
                      <w:b/>
                      <w:sz w:val="24"/>
                      <w:szCs w:val="24"/>
                    </w:rPr>
                    <w:t>A.P.M. Giurgiu</w:t>
                  </w:r>
                </w:p>
              </w:tc>
              <w:tc>
                <w:tcPr>
                  <w:tcW w:w="2200" w:type="dxa"/>
                  <w:shd w:val="clear" w:color="auto" w:fill="auto"/>
                </w:tcPr>
                <w:p w:rsidR="0011343F" w:rsidRPr="00AA0D1C" w:rsidRDefault="0011343F" w:rsidP="0011343F">
                  <w:pPr>
                    <w:spacing w:after="0" w:line="240" w:lineRule="auto"/>
                    <w:jc w:val="center"/>
                    <w:rPr>
                      <w:rFonts w:ascii="Times New Roman" w:eastAsia="Times New Roman" w:hAnsi="Times New Roman" w:cs="Times New Roman"/>
                      <w:b/>
                      <w:sz w:val="24"/>
                      <w:szCs w:val="24"/>
                    </w:rPr>
                  </w:pPr>
                  <w:r w:rsidRPr="00AA0D1C">
                    <w:rPr>
                      <w:rFonts w:ascii="Times New Roman" w:eastAsia="Times New Roman" w:hAnsi="Times New Roman" w:cs="Times New Roman"/>
                      <w:b/>
                      <w:sz w:val="24"/>
                      <w:szCs w:val="24"/>
                    </w:rPr>
                    <w:t xml:space="preserve">  Titular proiect</w:t>
                  </w:r>
                </w:p>
              </w:tc>
              <w:tc>
                <w:tcPr>
                  <w:tcW w:w="2090" w:type="dxa"/>
                  <w:shd w:val="clear" w:color="auto" w:fill="auto"/>
                </w:tcPr>
                <w:p w:rsidR="0011343F" w:rsidRPr="00AA0D1C" w:rsidRDefault="0011343F" w:rsidP="0011343F">
                  <w:pPr>
                    <w:spacing w:after="0" w:line="240" w:lineRule="auto"/>
                    <w:jc w:val="center"/>
                    <w:rPr>
                      <w:rFonts w:ascii="Times New Roman" w:eastAsia="Times New Roman" w:hAnsi="Times New Roman" w:cs="Times New Roman"/>
                      <w:b/>
                      <w:sz w:val="24"/>
                      <w:szCs w:val="24"/>
                    </w:rPr>
                  </w:pPr>
                  <w:r w:rsidRPr="00AA0D1C">
                    <w:rPr>
                      <w:rFonts w:ascii="Times New Roman" w:eastAsia="Times New Roman" w:hAnsi="Times New Roman" w:cs="Times New Roman"/>
                      <w:b/>
                      <w:sz w:val="24"/>
                      <w:szCs w:val="24"/>
                    </w:rPr>
                    <w:t xml:space="preserve">Participări ale publicului în procedura </w:t>
                  </w:r>
                  <w:r w:rsidRPr="00AA0D1C">
                    <w:rPr>
                      <w:rFonts w:ascii="Times New Roman" w:eastAsia="Times New Roman" w:hAnsi="Times New Roman" w:cs="Times New Roman"/>
                      <w:b/>
                      <w:sz w:val="24"/>
                      <w:szCs w:val="24"/>
                    </w:rPr>
                    <w:lastRenderedPageBreak/>
                    <w:t>derulată</w:t>
                  </w:r>
                </w:p>
              </w:tc>
            </w:tr>
            <w:tr w:rsidR="0011343F" w:rsidRPr="00AA0D1C" w:rsidTr="00F4592A">
              <w:tc>
                <w:tcPr>
                  <w:tcW w:w="2088" w:type="dxa"/>
                  <w:shd w:val="clear" w:color="auto" w:fill="auto"/>
                </w:tcPr>
                <w:p w:rsidR="0011343F" w:rsidRPr="00AA0D1C" w:rsidRDefault="0011343F" w:rsidP="0011343F">
                  <w:pPr>
                    <w:spacing w:after="0" w:line="240" w:lineRule="auto"/>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lastRenderedPageBreak/>
                    <w:t>Solicitare acord de mediu</w:t>
                  </w:r>
                </w:p>
              </w:tc>
              <w:tc>
                <w:tcPr>
                  <w:tcW w:w="2640" w:type="dxa"/>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t>Afişare pe pagina web în data de 24.03.2017</w:t>
                  </w:r>
                </w:p>
              </w:tc>
              <w:tc>
                <w:tcPr>
                  <w:tcW w:w="2200" w:type="dxa"/>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t>Ziarul „Giurgiuveanul” din 10.04.2017 şi afişare la Primăria Oinacu în data de 10.04.2017.</w:t>
                  </w:r>
                </w:p>
              </w:tc>
              <w:tc>
                <w:tcPr>
                  <w:tcW w:w="2090" w:type="dxa"/>
                  <w:vMerge w:val="restart"/>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t>Nu s-au înregistrat comentarii, contestaţii din partea publicului şi nu s-au înregistrat solicitări privind consultarea documentaţiei.</w:t>
                  </w:r>
                </w:p>
              </w:tc>
            </w:tr>
            <w:tr w:rsidR="0011343F" w:rsidRPr="00AA0D1C" w:rsidTr="00F4592A">
              <w:tc>
                <w:tcPr>
                  <w:tcW w:w="2088" w:type="dxa"/>
                  <w:shd w:val="clear" w:color="auto" w:fill="auto"/>
                </w:tcPr>
                <w:p w:rsidR="0011343F" w:rsidRPr="00AA0D1C" w:rsidRDefault="0011343F" w:rsidP="0011343F">
                  <w:pPr>
                    <w:spacing w:after="0" w:line="240" w:lineRule="auto"/>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t>Etapa de încadrare</w:t>
                  </w:r>
                </w:p>
              </w:tc>
              <w:tc>
                <w:tcPr>
                  <w:tcW w:w="2640" w:type="dxa"/>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r w:rsidRPr="00AA0D1C">
                    <w:rPr>
                      <w:rFonts w:ascii="Times New Roman" w:eastAsia="Times New Roman" w:hAnsi="Times New Roman" w:cs="Times New Roman"/>
                      <w:sz w:val="24"/>
                      <w:szCs w:val="24"/>
                    </w:rPr>
                    <w:t>Afişare pe pagina web în data de 16.05.2017</w:t>
                  </w:r>
                </w:p>
              </w:tc>
              <w:tc>
                <w:tcPr>
                  <w:tcW w:w="2200" w:type="dxa"/>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p>
              </w:tc>
              <w:tc>
                <w:tcPr>
                  <w:tcW w:w="2090" w:type="dxa"/>
                  <w:vMerge/>
                  <w:shd w:val="clear" w:color="auto" w:fill="auto"/>
                </w:tcPr>
                <w:p w:rsidR="0011343F" w:rsidRPr="00AA0D1C" w:rsidRDefault="0011343F" w:rsidP="0011343F">
                  <w:pPr>
                    <w:spacing w:after="0" w:line="240" w:lineRule="auto"/>
                    <w:jc w:val="both"/>
                    <w:rPr>
                      <w:rFonts w:ascii="Times New Roman" w:eastAsia="Times New Roman" w:hAnsi="Times New Roman" w:cs="Times New Roman"/>
                      <w:sz w:val="24"/>
                      <w:szCs w:val="24"/>
                    </w:rPr>
                  </w:pPr>
                </w:p>
              </w:tc>
            </w:tr>
          </w:tbl>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ind w:firstLine="72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II. Motivele care au stat la baza luării deciziei etapei de încadrare în procedura de evaluare adecvată – conform deciziei etapei de evaluare iniţială nr. 2195/24.03.2017, proiectul intră sub incidența art. 28 din Ordonanţa de Urgenţă a Guvernului nr. 57/2007 privind regimul ariilor naturale protejate, conservarea habitatelor naturale, a florei şi faunei sălbatice, cu modificările şi completările ulterioare, Sit Natura 2000 ROSCI0088 Gura –</w:t>
            </w:r>
            <w:proofErr w:type="spellStart"/>
            <w:r w:rsidRPr="00AA0D1C">
              <w:rPr>
                <w:rFonts w:ascii="Times New Roman" w:eastAsia="Calibri" w:hAnsi="Times New Roman" w:cs="Times New Roman"/>
                <w:sz w:val="24"/>
                <w:szCs w:val="24"/>
              </w:rPr>
              <w:t>Vedei-Șaica-Slobozia</w:t>
            </w:r>
            <w:proofErr w:type="spellEnd"/>
            <w:r w:rsidRPr="00AA0D1C">
              <w:rPr>
                <w:rFonts w:ascii="Times New Roman" w:eastAsia="Calibri" w:hAnsi="Times New Roman" w:cs="Times New Roman"/>
                <w:sz w:val="24"/>
                <w:szCs w:val="24"/>
              </w:rPr>
              <w:t>.</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Exploatarea de agregate minerale se realizează de pe </w:t>
            </w:r>
            <w:proofErr w:type="spellStart"/>
            <w:r w:rsidRPr="00AA0D1C">
              <w:rPr>
                <w:rFonts w:ascii="Times New Roman" w:eastAsia="Calibri" w:hAnsi="Times New Roman" w:cs="Times New Roman"/>
                <w:sz w:val="24"/>
                <w:szCs w:val="24"/>
              </w:rPr>
              <w:t>suprafata</w:t>
            </w:r>
            <w:proofErr w:type="spellEnd"/>
            <w:r w:rsidRPr="00AA0D1C">
              <w:rPr>
                <w:rFonts w:ascii="Times New Roman" w:eastAsia="Calibri" w:hAnsi="Times New Roman" w:cs="Times New Roman"/>
                <w:sz w:val="24"/>
                <w:szCs w:val="24"/>
              </w:rPr>
              <w:t xml:space="preserve"> de cca. </w:t>
            </w:r>
            <w:r w:rsidRPr="00AA0D1C">
              <w:rPr>
                <w:rFonts w:ascii="Times New Roman" w:eastAsia="Calibri" w:hAnsi="Times New Roman" w:cs="Times New Roman"/>
                <w:b/>
                <w:sz w:val="24"/>
                <w:szCs w:val="24"/>
              </w:rPr>
              <w:t>26250 mp</w:t>
            </w:r>
            <w:r w:rsidRPr="00AA0D1C">
              <w:rPr>
                <w:rFonts w:ascii="Times New Roman" w:eastAsia="Calibri" w:hAnsi="Times New Roman" w:cs="Times New Roman"/>
                <w:sz w:val="24"/>
                <w:szCs w:val="24"/>
              </w:rPr>
              <w:t xml:space="preserve">, pe o lungime de </w:t>
            </w:r>
            <w:r w:rsidRPr="00AA0D1C">
              <w:rPr>
                <w:rFonts w:ascii="Times New Roman" w:eastAsia="Calibri" w:hAnsi="Times New Roman" w:cs="Times New Roman"/>
                <w:b/>
                <w:sz w:val="24"/>
                <w:szCs w:val="24"/>
              </w:rPr>
              <w:t>490 m</w:t>
            </w:r>
            <w:r w:rsidRPr="00AA0D1C">
              <w:rPr>
                <w:rFonts w:ascii="Times New Roman" w:eastAsia="Calibri" w:hAnsi="Times New Roman" w:cs="Times New Roman"/>
                <w:sz w:val="24"/>
                <w:szCs w:val="24"/>
              </w:rPr>
              <w:t xml:space="preserve"> si o </w:t>
            </w:r>
            <w:proofErr w:type="spellStart"/>
            <w:r w:rsidRPr="00AA0D1C">
              <w:rPr>
                <w:rFonts w:ascii="Times New Roman" w:eastAsia="Calibri" w:hAnsi="Times New Roman" w:cs="Times New Roman"/>
                <w:sz w:val="24"/>
                <w:szCs w:val="24"/>
              </w:rPr>
              <w:t>latime</w:t>
            </w:r>
            <w:proofErr w:type="spellEnd"/>
            <w:r w:rsidRPr="00AA0D1C">
              <w:rPr>
                <w:rFonts w:ascii="Times New Roman" w:eastAsia="Calibri" w:hAnsi="Times New Roman" w:cs="Times New Roman"/>
                <w:sz w:val="24"/>
                <w:szCs w:val="24"/>
              </w:rPr>
              <w:t xml:space="preserve"> medie de </w:t>
            </w:r>
            <w:r w:rsidRPr="00AA0D1C">
              <w:rPr>
                <w:rFonts w:ascii="Times New Roman" w:eastAsia="Calibri" w:hAnsi="Times New Roman" w:cs="Times New Roman"/>
                <w:b/>
                <w:sz w:val="24"/>
                <w:szCs w:val="24"/>
              </w:rPr>
              <w:t>54 m</w:t>
            </w:r>
            <w:r w:rsidRPr="00AA0D1C">
              <w:rPr>
                <w:rFonts w:ascii="Times New Roman" w:eastAsia="Calibri" w:hAnsi="Times New Roman" w:cs="Times New Roman"/>
                <w:sz w:val="24"/>
                <w:szCs w:val="24"/>
              </w:rPr>
              <w:t xml:space="preserve"> între profilele P1-10 si P44-54, între km 487+300 - km 487+790;</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este posibil ca impactul să fie semnificativ, deoarece în timpul execuției, utilajele necesare executării lucrărilor vor produce zgomot care pot alunga </w:t>
            </w:r>
            <w:proofErr w:type="spellStart"/>
            <w:r w:rsidRPr="00AA0D1C">
              <w:rPr>
                <w:rFonts w:ascii="Times New Roman" w:eastAsia="Calibri" w:hAnsi="Times New Roman" w:cs="Times New Roman"/>
                <w:sz w:val="24"/>
                <w:szCs w:val="24"/>
              </w:rPr>
              <w:t>săpeciile</w:t>
            </w:r>
            <w:proofErr w:type="spellEnd"/>
            <w:r w:rsidRPr="00AA0D1C">
              <w:rPr>
                <w:rFonts w:ascii="Times New Roman" w:eastAsia="Calibri" w:hAnsi="Times New Roman" w:cs="Times New Roman"/>
                <w:sz w:val="24"/>
                <w:szCs w:val="24"/>
              </w:rPr>
              <w:t xml:space="preserve"> de faună și ihtiofaună, pot duce la pierderea habitatului prin ocupare temporară a suprafeței de exploatare, excavările în apă pot duce la creșterea turbidității;</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există pe amplasamentul proiectului și în imediata apropiere a acestuia specii sălbatice de interes comunitar ce pot fi afectate de implementarea proiectului</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este posibil ca impactul să fie semnificativ deoarece în perioada de execuție este posibilă afectarea calității apelor de către lucrările necesare implementării proiectului prin scurgeri accidentale de carburanți sau lubrefianți de la utilajele folosite;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proiectul influențează prin emisii în aer, perturbarea prin zgomot speciile de interes comunitar;</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este posibil ca proiectul să ducă la pierderea totală a unor habitate naturale de interes comunitar;</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este posibil că proiectul să ducă la o izolare reproductivă a unei specii de interes comunitar sau a speciilor tipice care intră în compoziția unui habitat de interes comunitar.</w:t>
            </w:r>
          </w:p>
          <w:p w:rsidR="0011343F" w:rsidRPr="00AA0D1C" w:rsidRDefault="0011343F" w:rsidP="0011343F">
            <w:pPr>
              <w:spacing w:after="0" w:line="240" w:lineRule="auto"/>
              <w:ind w:firstLine="720"/>
              <w:jc w:val="both"/>
              <w:rPr>
                <w:rFonts w:ascii="Times New Roman" w:eastAsia="Calibri" w:hAnsi="Times New Roman" w:cs="Times New Roman"/>
                <w:sz w:val="24"/>
                <w:szCs w:val="24"/>
              </w:rPr>
            </w:pPr>
          </w:p>
          <w:p w:rsidR="0011343F" w:rsidRPr="00AA0D1C" w:rsidRDefault="0011343F" w:rsidP="0011343F">
            <w:pPr>
              <w:spacing w:after="0" w:line="240" w:lineRule="auto"/>
              <w:ind w:firstLine="360"/>
              <w:jc w:val="both"/>
              <w:rPr>
                <w:rFonts w:ascii="Times New Roman" w:eastAsia="Calibri" w:hAnsi="Times New Roman" w:cs="Times New Roman"/>
                <w:sz w:val="24"/>
                <w:szCs w:val="24"/>
                <w:lang w:eastAsia="ro-RO"/>
              </w:rPr>
            </w:pPr>
            <w:r w:rsidRPr="00AA0D1C">
              <w:rPr>
                <w:rFonts w:ascii="Times New Roman" w:eastAsia="Calibri" w:hAnsi="Times New Roman" w:cs="Times New Roman"/>
                <w:b/>
                <w:sz w:val="24"/>
                <w:szCs w:val="24"/>
                <w:lang w:eastAsia="ro-RO"/>
              </w:rPr>
              <w:t>Condiţiile de realizare a proiectului:</w:t>
            </w:r>
            <w:r w:rsidRPr="00AA0D1C">
              <w:rPr>
                <w:rFonts w:ascii="Times New Roman" w:eastAsia="Calibri" w:hAnsi="Times New Roman" w:cs="Times New Roman"/>
                <w:sz w:val="24"/>
                <w:szCs w:val="24"/>
                <w:lang w:eastAsia="ro-RO"/>
              </w:rPr>
              <w:t xml:space="preserve"> </w:t>
            </w:r>
          </w:p>
          <w:p w:rsidR="0011343F" w:rsidRPr="00AA0D1C"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AA0D1C">
              <w:rPr>
                <w:rFonts w:ascii="Times New Roman" w:eastAsia="Calibri" w:hAnsi="Times New Roman" w:cs="Times New Roman"/>
                <w:b/>
                <w:i/>
                <w:sz w:val="24"/>
                <w:szCs w:val="24"/>
              </w:rPr>
              <w:t>Măsuri pentru protejarea factorului de mediu „ APA”:</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apa utilizată în scop potabil va fi asigurată din comerț;</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în scop tehnologic nu se folosește apă</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evacuarea apelor uzate – se va realiza în toalete ecologice;</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se vor respecta prevederile </w:t>
            </w:r>
            <w:r w:rsidRPr="00AA0D1C">
              <w:rPr>
                <w:rFonts w:ascii="Times New Roman" w:eastAsia="Times New Roman" w:hAnsi="Times New Roman" w:cs="Times New Roman"/>
                <w:sz w:val="24"/>
                <w:szCs w:val="24"/>
              </w:rPr>
              <w:t>H.G. nr. 188/2002 pentru aprobarea unor norme privind condiţiile de descărcare în mediul acvatic al apelor uzate, modificată şi completată prin H.G. nr. 352/2005 şi H.G. nr. 210/2007</w:t>
            </w:r>
          </w:p>
          <w:p w:rsidR="0011343F" w:rsidRPr="00AA0D1C" w:rsidRDefault="0011343F" w:rsidP="0011343F">
            <w:pPr>
              <w:spacing w:before="120" w:after="0" w:line="240" w:lineRule="auto"/>
              <w:ind w:left="390"/>
              <w:jc w:val="both"/>
              <w:outlineLvl w:val="0"/>
              <w:rPr>
                <w:rFonts w:ascii="Times New Roman" w:eastAsia="Calibri" w:hAnsi="Times New Roman" w:cs="Times New Roman"/>
                <w:b/>
                <w:i/>
                <w:sz w:val="24"/>
                <w:szCs w:val="24"/>
              </w:rPr>
            </w:pPr>
            <w:r w:rsidRPr="00AA0D1C">
              <w:rPr>
                <w:rFonts w:ascii="Times New Roman" w:eastAsia="Calibri" w:hAnsi="Times New Roman" w:cs="Times New Roman"/>
                <w:b/>
                <w:i/>
                <w:sz w:val="24"/>
                <w:szCs w:val="24"/>
              </w:rPr>
              <w:t>Măsuri pentru protejarea factorului de mediu „SOL, SUBSOL, APE SUBTERANE”:</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lastRenderedPageBreak/>
              <w:t xml:space="preserve">deşeurile menajere se vor colecta în saci de plastic şi vor fi preluate de către serviciul de salubrizare al localităţii; </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se va asigura încheierea unui contract ferm pentru eliminarea deşeurilor, cu o firmă de salubritate autorizată;</w:t>
            </w:r>
          </w:p>
          <w:p w:rsidR="0011343F" w:rsidRPr="00AA0D1C" w:rsidRDefault="0011343F" w:rsidP="0011343F">
            <w:pPr>
              <w:spacing w:before="120" w:after="0" w:line="240" w:lineRule="auto"/>
              <w:jc w:val="both"/>
              <w:outlineLvl w:val="0"/>
              <w:rPr>
                <w:rFonts w:ascii="Times New Roman" w:eastAsia="Calibri" w:hAnsi="Times New Roman" w:cs="Times New Roman"/>
                <w:b/>
                <w:i/>
                <w:sz w:val="24"/>
                <w:szCs w:val="24"/>
              </w:rPr>
            </w:pPr>
            <w:r w:rsidRPr="00AA0D1C">
              <w:rPr>
                <w:rFonts w:ascii="Times New Roman" w:eastAsia="Calibri" w:hAnsi="Times New Roman" w:cs="Times New Roman"/>
                <w:b/>
                <w:i/>
                <w:sz w:val="24"/>
                <w:szCs w:val="24"/>
              </w:rPr>
              <w:t xml:space="preserve">      Depozitarea deşeurilor:</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deșeurile mai sus menționate se vor colecta controlat, pe categorii şi vor fi gestionate de unităţi abilitate;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se vor respecta prevederile Legii 211/2011 privind regimul deşeurilor;</w:t>
            </w:r>
          </w:p>
          <w:p w:rsidR="0011343F" w:rsidRPr="00AA0D1C" w:rsidRDefault="0011343F" w:rsidP="0011343F">
            <w:pPr>
              <w:spacing w:before="120" w:after="0" w:line="240" w:lineRule="auto"/>
              <w:jc w:val="both"/>
              <w:outlineLvl w:val="0"/>
              <w:rPr>
                <w:rFonts w:ascii="Times New Roman" w:eastAsia="Calibri" w:hAnsi="Times New Roman" w:cs="Times New Roman"/>
                <w:b/>
                <w:i/>
                <w:sz w:val="24"/>
                <w:szCs w:val="24"/>
              </w:rPr>
            </w:pPr>
            <w:r w:rsidRPr="00AA0D1C">
              <w:rPr>
                <w:rFonts w:ascii="Times New Roman" w:eastAsia="Calibri" w:hAnsi="Times New Roman" w:cs="Times New Roman"/>
                <w:b/>
                <w:i/>
                <w:sz w:val="24"/>
                <w:szCs w:val="24"/>
              </w:rPr>
              <w:t xml:space="preserve">      Măsuri pentru protejarea factorului de mediu „ AER”:</w:t>
            </w:r>
          </w:p>
          <w:p w:rsidR="0011343F" w:rsidRPr="00AA0D1C" w:rsidRDefault="0011343F" w:rsidP="0011343F">
            <w:pPr>
              <w:numPr>
                <w:ilvl w:val="0"/>
                <w:numId w:val="1"/>
              </w:numPr>
              <w:spacing w:after="0" w:line="240" w:lineRule="auto"/>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se vor respecta standardele de calitate a aerului ambiental în orice condiţii atmosferice;</w:t>
            </w:r>
          </w:p>
          <w:p w:rsidR="0011343F" w:rsidRPr="00AA0D1C" w:rsidRDefault="0011343F" w:rsidP="0011343F">
            <w:pPr>
              <w:spacing w:after="0" w:line="240" w:lineRule="auto"/>
              <w:ind w:left="720"/>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(Legea 104/2011 privind calitatea aerului înconjurător, S.T.A.S. 12574-87 privind condiţiile de calitate a aerului în zonele protejate).</w:t>
            </w:r>
          </w:p>
          <w:p w:rsidR="0011343F" w:rsidRPr="00AA0D1C" w:rsidRDefault="0011343F" w:rsidP="0011343F">
            <w:pPr>
              <w:spacing w:after="0" w:line="240" w:lineRule="auto"/>
              <w:jc w:val="both"/>
              <w:rPr>
                <w:rFonts w:ascii="Times New Roman" w:eastAsia="Calibri" w:hAnsi="Times New Roman" w:cs="Times New Roman"/>
                <w:b/>
                <w:i/>
                <w:sz w:val="24"/>
                <w:szCs w:val="24"/>
              </w:rPr>
            </w:pPr>
            <w:r w:rsidRPr="00AA0D1C">
              <w:rPr>
                <w:rFonts w:ascii="Times New Roman" w:eastAsia="Calibri" w:hAnsi="Times New Roman" w:cs="Times New Roman"/>
                <w:sz w:val="24"/>
                <w:szCs w:val="24"/>
              </w:rPr>
              <w:t xml:space="preserve">      </w:t>
            </w:r>
            <w:r w:rsidRPr="00AA0D1C">
              <w:rPr>
                <w:rFonts w:ascii="Times New Roman" w:eastAsia="Calibri" w:hAnsi="Times New Roman" w:cs="Times New Roman"/>
                <w:b/>
                <w:i/>
                <w:sz w:val="24"/>
                <w:szCs w:val="24"/>
              </w:rPr>
              <w:t>Alte condiții:</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este interzisă evacuarea apelor uzate în cursurile de suprafaţă sau în subteran;</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se vor lua măsuri astfel încât pe perioada de execuţie a lucrărilor să nu se producă zgomote şi disconfort care ar putea afecta vecinătăţile;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se va evita depozitarea necontrolată a tuturor deşeurilor rezultate din activitate;</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supravegherea executării lucrărilor în vederea respectării proiectului de execuţie;</w:t>
            </w:r>
          </w:p>
          <w:p w:rsidR="0011343F" w:rsidRPr="00AA0D1C" w:rsidRDefault="0011343F" w:rsidP="0011343F">
            <w:pPr>
              <w:numPr>
                <w:ilvl w:val="0"/>
                <w:numId w:val="1"/>
              </w:numPr>
              <w:spacing w:after="0" w:line="240" w:lineRule="auto"/>
              <w:jc w:val="both"/>
              <w:rPr>
                <w:rFonts w:ascii="Times New Roman" w:eastAsia="Times New Roman" w:hAnsi="Times New Roman" w:cs="Times New Roman"/>
                <w:color w:val="000000"/>
                <w:sz w:val="24"/>
                <w:szCs w:val="24"/>
              </w:rPr>
            </w:pPr>
            <w:r w:rsidRPr="00AA0D1C">
              <w:rPr>
                <w:rFonts w:ascii="Times New Roman" w:eastAsia="Times New Roman" w:hAnsi="Times New Roman" w:cs="Times New Roman"/>
                <w:color w:val="000000"/>
                <w:sz w:val="24"/>
                <w:szCs w:val="24"/>
              </w:rPr>
              <w:t>anunţarea A.P.M. Giurgiu, când apar elemente noi neprecizate în documentaţie în vederea revizuirii acesteia;</w:t>
            </w:r>
          </w:p>
          <w:p w:rsidR="0011343F" w:rsidRPr="00AA0D1C" w:rsidRDefault="0011343F" w:rsidP="0011343F">
            <w:pPr>
              <w:numPr>
                <w:ilvl w:val="0"/>
                <w:numId w:val="1"/>
              </w:numPr>
              <w:spacing w:after="0" w:line="240" w:lineRule="auto"/>
              <w:jc w:val="both"/>
              <w:rPr>
                <w:rFonts w:ascii="Times New Roman" w:eastAsia="Calibri" w:hAnsi="Times New Roman" w:cs="Times New Roman"/>
                <w:b/>
                <w:sz w:val="24"/>
                <w:szCs w:val="24"/>
              </w:rPr>
            </w:pPr>
            <w:r w:rsidRPr="00AA0D1C">
              <w:rPr>
                <w:rFonts w:ascii="Times New Roman" w:eastAsia="Calibri" w:hAnsi="Times New Roman" w:cs="Times New Roman"/>
                <w:sz w:val="24"/>
                <w:szCs w:val="24"/>
                <w:lang w:eastAsia="ro-RO"/>
              </w:rPr>
              <w:t>anunţarea A.P.M. Giurgiu în maxim două ore în cazul când apar situaţii deosebite care ar putea să afecteze mediul înconjurător;</w:t>
            </w:r>
          </w:p>
          <w:p w:rsidR="0011343F" w:rsidRPr="00AA0D1C" w:rsidRDefault="0011343F" w:rsidP="0011343F">
            <w:pPr>
              <w:numPr>
                <w:ilvl w:val="0"/>
                <w:numId w:val="1"/>
              </w:numPr>
              <w:spacing w:after="0" w:line="240" w:lineRule="auto"/>
              <w:jc w:val="both"/>
              <w:rPr>
                <w:rFonts w:ascii="Times New Roman" w:eastAsia="Calibri" w:hAnsi="Times New Roman" w:cs="Times New Roman"/>
                <w:b/>
                <w:sz w:val="24"/>
                <w:szCs w:val="24"/>
              </w:rPr>
            </w:pPr>
            <w:r w:rsidRPr="00AA0D1C">
              <w:rPr>
                <w:rFonts w:ascii="Times New Roman" w:eastAsia="Calibri" w:hAnsi="Times New Roman" w:cs="Times New Roman"/>
                <w:sz w:val="24"/>
                <w:szCs w:val="24"/>
                <w:lang w:eastAsia="ro-RO"/>
              </w:rPr>
              <w:t>se vor respecta prevederile OUG 57/2007 privind regimul ariilor naturale protejate, conservarea habitatelor naturale, a florei și faunei sălbatice cu modificările și completările ulterioare;</w:t>
            </w:r>
          </w:p>
          <w:p w:rsidR="0011343F" w:rsidRPr="00AA0D1C" w:rsidRDefault="0011343F" w:rsidP="0011343F">
            <w:pPr>
              <w:numPr>
                <w:ilvl w:val="0"/>
                <w:numId w:val="1"/>
              </w:numPr>
              <w:spacing w:after="0" w:line="240" w:lineRule="auto"/>
              <w:jc w:val="both"/>
              <w:rPr>
                <w:rFonts w:ascii="Times New Roman" w:eastAsia="Calibri" w:hAnsi="Times New Roman" w:cs="Times New Roman"/>
                <w:b/>
                <w:sz w:val="24"/>
                <w:szCs w:val="24"/>
              </w:rPr>
            </w:pPr>
            <w:r w:rsidRPr="00AA0D1C">
              <w:rPr>
                <w:rFonts w:ascii="Times New Roman" w:eastAsia="Calibri" w:hAnsi="Times New Roman" w:cs="Times New Roman"/>
                <w:sz w:val="24"/>
                <w:szCs w:val="24"/>
                <w:lang w:eastAsia="ro-RO"/>
              </w:rPr>
              <w:t>se vor respecta prevederile Ord. 19/2010 pentru aprobarea Ghidului metodologic privind evaluarea adecvată a efectelor potențiale ale planurilor sau proiectelor asupra ariilor naturale protejate de interes comunitar;</w:t>
            </w:r>
          </w:p>
          <w:p w:rsidR="0011343F" w:rsidRPr="00AA0D1C" w:rsidRDefault="0011343F" w:rsidP="0011343F">
            <w:pPr>
              <w:numPr>
                <w:ilvl w:val="0"/>
                <w:numId w:val="1"/>
              </w:numPr>
              <w:spacing w:after="0" w:line="240" w:lineRule="auto"/>
              <w:jc w:val="both"/>
              <w:rPr>
                <w:rFonts w:ascii="Times New Roman" w:eastAsia="Calibri" w:hAnsi="Times New Roman" w:cs="Times New Roman"/>
                <w:b/>
                <w:sz w:val="24"/>
                <w:szCs w:val="24"/>
              </w:rPr>
            </w:pPr>
            <w:r w:rsidRPr="00AA0D1C">
              <w:rPr>
                <w:rFonts w:ascii="Times New Roman" w:eastAsia="Calibri" w:hAnsi="Times New Roman" w:cs="Times New Roman"/>
                <w:sz w:val="24"/>
                <w:szCs w:val="24"/>
              </w:rPr>
              <w:t>respectarea prevederilor H.G. nr. 1061/2008 privind transportul deşeurilor periculoase şi nepericuloase pe teritoriul României;</w:t>
            </w:r>
          </w:p>
          <w:p w:rsidR="0011343F" w:rsidRPr="00AA0D1C" w:rsidRDefault="0011343F" w:rsidP="0011343F">
            <w:pPr>
              <w:numPr>
                <w:ilvl w:val="0"/>
                <w:numId w:val="1"/>
              </w:numPr>
              <w:spacing w:after="0" w:line="240" w:lineRule="auto"/>
              <w:jc w:val="both"/>
              <w:rPr>
                <w:rFonts w:ascii="Times New Roman" w:eastAsia="Calibri" w:hAnsi="Times New Roman" w:cs="Times New Roman"/>
                <w:sz w:val="24"/>
                <w:szCs w:val="24"/>
                <w:lang w:eastAsia="ro-RO"/>
              </w:rPr>
            </w:pPr>
            <w:r w:rsidRPr="00AA0D1C">
              <w:rPr>
                <w:rFonts w:ascii="Times New Roman" w:eastAsia="Calibri" w:hAnsi="Times New Roman" w:cs="Times New Roman"/>
                <w:sz w:val="24"/>
                <w:szCs w:val="24"/>
                <w:lang w:eastAsia="ro-RO"/>
              </w:rPr>
              <w:t>la finalizarea proiectului se va anunţa G.N.M.- Serviciul Comisariatul Județean Giurgiu în vederea efectuării unui control de specialitate pentru verificarea respectării condiţiilor din decizia etapei de încadrare și încheierea procesului-verbal de constatare conform prevederilor art. 49, alin. (3) din Ord. 135/2010.</w:t>
            </w:r>
          </w:p>
          <w:p w:rsidR="0011343F" w:rsidRPr="00AA0D1C" w:rsidRDefault="0011343F" w:rsidP="0011343F">
            <w:pPr>
              <w:spacing w:after="0" w:line="240" w:lineRule="auto"/>
              <w:ind w:left="720"/>
              <w:jc w:val="both"/>
              <w:rPr>
                <w:rFonts w:ascii="Times New Roman" w:eastAsia="Calibri" w:hAnsi="Times New Roman" w:cs="Times New Roman"/>
                <w:sz w:val="24"/>
                <w:szCs w:val="24"/>
                <w:lang w:eastAsia="ro-RO"/>
              </w:rPr>
            </w:pP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Prezenta decizie poate fi contestată în conformitate cu prevederile H.G. nr. 445/2009, art. 24, 25 şi 29 şi ale Legii Contenciosului Administrativ nr. 554/2004, cu modificările şi completările ulterioare.</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1343F" w:rsidRPr="00AA0D1C" w:rsidRDefault="0011343F" w:rsidP="0011343F">
            <w:pPr>
              <w:spacing w:after="0" w:line="240" w:lineRule="auto"/>
              <w:ind w:firstLine="360"/>
              <w:jc w:val="both"/>
              <w:rPr>
                <w:rFonts w:ascii="Times New Roman" w:eastAsia="Times New Roman" w:hAnsi="Times New Roman" w:cs="Times New Roman"/>
                <w:b/>
                <w:sz w:val="24"/>
                <w:szCs w:val="24"/>
              </w:rPr>
            </w:pPr>
            <w:r w:rsidRPr="00AA0D1C">
              <w:rPr>
                <w:rFonts w:ascii="Times New Roman" w:eastAsia="Times New Roman" w:hAnsi="Times New Roman" w:cs="Times New Roman"/>
                <w:b/>
                <w:sz w:val="24"/>
                <w:szCs w:val="24"/>
              </w:rPr>
              <w:t xml:space="preserve">Menţiuni despre procedura de contestare administrativă şi contencios administrativ  </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lastRenderedPageBreak/>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Autoritatea publică emitentă are obligaţia de a răspunde la plângerea prealabilă prevăzută la alin. (1) în termen de 30 zile de la data înregistrării acestei la acea autoritate.</w:t>
            </w:r>
          </w:p>
          <w:p w:rsidR="0011343F" w:rsidRPr="00AA0D1C" w:rsidRDefault="0011343F" w:rsidP="0011343F">
            <w:pPr>
              <w:autoSpaceDE w:val="0"/>
              <w:autoSpaceDN w:val="0"/>
              <w:adjustRightInd w:val="0"/>
              <w:spacing w:after="0" w:line="240" w:lineRule="auto"/>
              <w:ind w:firstLine="360"/>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Procedura de soluţionare a plângerii prealabile prevăzute la alin. (1) şi (2) este gratuită şi trebuie să fie echitabilă, rapidă şi corectă”.</w:t>
            </w: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r w:rsidRPr="00AA0D1C">
              <w:rPr>
                <w:rFonts w:ascii="Times New Roman" w:eastAsia="Calibri" w:hAnsi="Times New Roman" w:cs="Times New Roman"/>
                <w:sz w:val="24"/>
                <w:szCs w:val="24"/>
              </w:rPr>
              <w:tab/>
            </w:r>
            <w:r w:rsidRPr="00AA0D1C">
              <w:rPr>
                <w:rFonts w:ascii="Times New Roman" w:eastAsia="Calibri" w:hAnsi="Times New Roman" w:cs="Times New Roman"/>
                <w:sz w:val="24"/>
                <w:szCs w:val="24"/>
              </w:rPr>
              <w:tab/>
            </w: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p w:rsidR="0011343F" w:rsidRPr="00AA0D1C" w:rsidRDefault="0011343F" w:rsidP="0011343F">
            <w:pPr>
              <w:spacing w:after="0" w:line="240" w:lineRule="auto"/>
              <w:jc w:val="both"/>
              <w:rPr>
                <w:rFonts w:ascii="Times New Roman" w:eastAsia="Calibri" w:hAnsi="Times New Roman" w:cs="Times New Roman"/>
                <w:sz w:val="24"/>
                <w:szCs w:val="24"/>
              </w:rPr>
            </w:pPr>
          </w:p>
          <w:tbl>
            <w:tblPr>
              <w:tblW w:w="9346" w:type="dxa"/>
              <w:tblLook w:val="04A0" w:firstRow="1" w:lastRow="0" w:firstColumn="1" w:lastColumn="0" w:noHBand="0" w:noVBand="1"/>
            </w:tblPr>
            <w:tblGrid>
              <w:gridCol w:w="8583"/>
              <w:gridCol w:w="222"/>
            </w:tblGrid>
            <w:tr w:rsidR="0011343F" w:rsidRPr="00AA0D1C" w:rsidTr="00F4592A">
              <w:tc>
                <w:tcPr>
                  <w:tcW w:w="9124" w:type="dxa"/>
                </w:tcPr>
                <w:p w:rsidR="0011343F" w:rsidRPr="00AA0D1C" w:rsidRDefault="0011343F" w:rsidP="0011343F">
                  <w:pPr>
                    <w:spacing w:after="0"/>
                    <w:jc w:val="both"/>
                    <w:outlineLvl w:val="0"/>
                    <w:rPr>
                      <w:rFonts w:ascii="Times New Roman" w:eastAsia="Calibri" w:hAnsi="Times New Roman" w:cs="Times New Roman"/>
                      <w:color w:val="000000"/>
                      <w:sz w:val="24"/>
                      <w:szCs w:val="24"/>
                    </w:rPr>
                  </w:pPr>
                </w:p>
              </w:tc>
              <w:tc>
                <w:tcPr>
                  <w:tcW w:w="222" w:type="dxa"/>
                </w:tcPr>
                <w:p w:rsidR="0011343F" w:rsidRPr="00AA0D1C" w:rsidRDefault="0011343F" w:rsidP="0011343F">
                  <w:pPr>
                    <w:spacing w:after="0"/>
                    <w:jc w:val="both"/>
                    <w:outlineLvl w:val="0"/>
                    <w:rPr>
                      <w:rFonts w:ascii="Times New Roman" w:eastAsia="Calibri" w:hAnsi="Times New Roman" w:cs="Times New Roman"/>
                      <w:sz w:val="24"/>
                      <w:szCs w:val="24"/>
                    </w:rPr>
                  </w:pPr>
                </w:p>
              </w:tc>
            </w:tr>
            <w:tr w:rsidR="0011343F" w:rsidRPr="00AA0D1C" w:rsidTr="00F4592A">
              <w:tc>
                <w:tcPr>
                  <w:tcW w:w="9124" w:type="dxa"/>
                </w:tcPr>
                <w:p w:rsidR="0011343F" w:rsidRPr="00AA0D1C" w:rsidRDefault="0011343F" w:rsidP="0011343F">
                  <w:pPr>
                    <w:spacing w:after="0"/>
                    <w:jc w:val="both"/>
                    <w:outlineLvl w:val="0"/>
                    <w:rPr>
                      <w:rFonts w:ascii="Times New Roman" w:eastAsia="Calibri" w:hAnsi="Times New Roman" w:cs="Times New Roman"/>
                      <w:sz w:val="24"/>
                      <w:szCs w:val="24"/>
                    </w:rPr>
                  </w:pPr>
                </w:p>
                <w:tbl>
                  <w:tblPr>
                    <w:tblW w:w="8908" w:type="dxa"/>
                    <w:tblLook w:val="04A0" w:firstRow="1" w:lastRow="0" w:firstColumn="1" w:lastColumn="0" w:noHBand="0" w:noVBand="1"/>
                  </w:tblPr>
                  <w:tblGrid>
                    <w:gridCol w:w="8908"/>
                  </w:tblGrid>
                  <w:tr w:rsidR="0011343F" w:rsidRPr="00AA0D1C" w:rsidTr="00F4592A">
                    <w:tc>
                      <w:tcPr>
                        <w:tcW w:w="8908" w:type="dxa"/>
                      </w:tcPr>
                      <w:p w:rsidR="0011343F" w:rsidRPr="00AA0D1C" w:rsidRDefault="0011343F" w:rsidP="0011343F">
                        <w:pPr>
                          <w:spacing w:after="0"/>
                          <w:jc w:val="both"/>
                          <w:outlineLvl w:val="0"/>
                          <w:rPr>
                            <w:rFonts w:ascii="Times New Roman" w:eastAsia="Calibri" w:hAnsi="Times New Roman" w:cs="Times New Roman"/>
                            <w:sz w:val="24"/>
                            <w:szCs w:val="24"/>
                          </w:rPr>
                        </w:pPr>
                      </w:p>
                    </w:tc>
                  </w:tr>
                  <w:tr w:rsidR="0011343F" w:rsidRPr="00AA0D1C" w:rsidTr="00F4592A">
                    <w:tc>
                      <w:tcPr>
                        <w:tcW w:w="8908" w:type="dxa"/>
                      </w:tcPr>
                      <w:p w:rsidR="0011343F" w:rsidRPr="00AA0D1C" w:rsidRDefault="0011343F" w:rsidP="0011343F">
                        <w:pPr>
                          <w:spacing w:after="0"/>
                          <w:jc w:val="both"/>
                          <w:outlineLvl w:val="0"/>
                          <w:rPr>
                            <w:rFonts w:ascii="Times New Roman" w:eastAsia="Calibri" w:hAnsi="Times New Roman" w:cs="Times New Roman"/>
                            <w:sz w:val="24"/>
                            <w:szCs w:val="24"/>
                          </w:rPr>
                        </w:pPr>
                      </w:p>
                    </w:tc>
                  </w:tr>
                </w:tbl>
                <w:p w:rsidR="0011343F" w:rsidRPr="00AA0D1C" w:rsidRDefault="0011343F" w:rsidP="0011343F">
                  <w:pPr>
                    <w:spacing w:after="0"/>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t xml:space="preserve"> </w:t>
                  </w:r>
                </w:p>
              </w:tc>
              <w:tc>
                <w:tcPr>
                  <w:tcW w:w="222" w:type="dxa"/>
                </w:tcPr>
                <w:p w:rsidR="0011343F" w:rsidRPr="00AA0D1C" w:rsidRDefault="0011343F" w:rsidP="0011343F">
                  <w:pPr>
                    <w:spacing w:after="0"/>
                    <w:jc w:val="both"/>
                    <w:outlineLvl w:val="0"/>
                    <w:rPr>
                      <w:rFonts w:ascii="Times New Roman" w:eastAsia="Calibri" w:hAnsi="Times New Roman" w:cs="Times New Roman"/>
                      <w:sz w:val="24"/>
                      <w:szCs w:val="24"/>
                    </w:rPr>
                  </w:pPr>
                </w:p>
              </w:tc>
            </w:tr>
            <w:tr w:rsidR="0011343F" w:rsidRPr="00AA0D1C" w:rsidTr="00F4592A">
              <w:tc>
                <w:tcPr>
                  <w:tcW w:w="9124" w:type="dxa"/>
                </w:tcPr>
                <w:p w:rsidR="0011343F" w:rsidRPr="00AA0D1C" w:rsidRDefault="0011343F" w:rsidP="0011343F">
                  <w:pPr>
                    <w:spacing w:after="0"/>
                    <w:jc w:val="both"/>
                    <w:outlineLvl w:val="0"/>
                    <w:rPr>
                      <w:rFonts w:ascii="Times New Roman" w:eastAsia="Calibri" w:hAnsi="Times New Roman" w:cs="Times New Roman"/>
                      <w:sz w:val="24"/>
                      <w:szCs w:val="24"/>
                    </w:rPr>
                  </w:pPr>
                </w:p>
              </w:tc>
              <w:tc>
                <w:tcPr>
                  <w:tcW w:w="222" w:type="dxa"/>
                </w:tcPr>
                <w:p w:rsidR="0011343F" w:rsidRPr="00AA0D1C" w:rsidRDefault="0011343F" w:rsidP="0011343F">
                  <w:pPr>
                    <w:spacing w:after="0"/>
                    <w:jc w:val="both"/>
                    <w:outlineLvl w:val="0"/>
                    <w:rPr>
                      <w:rFonts w:ascii="Times New Roman" w:eastAsia="Calibri" w:hAnsi="Times New Roman" w:cs="Times New Roman"/>
                      <w:sz w:val="24"/>
                      <w:szCs w:val="24"/>
                    </w:rPr>
                  </w:pPr>
                </w:p>
              </w:tc>
            </w:tr>
          </w:tbl>
          <w:p w:rsidR="0011343F" w:rsidRPr="00AA0D1C"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AA0D1C" w:rsidRDefault="0011343F" w:rsidP="0011343F">
            <w:pPr>
              <w:spacing w:after="0"/>
              <w:jc w:val="both"/>
              <w:outlineLvl w:val="0"/>
              <w:rPr>
                <w:rFonts w:ascii="Times New Roman" w:eastAsia="Calibri" w:hAnsi="Times New Roman" w:cs="Times New Roman"/>
                <w:sz w:val="24"/>
                <w:szCs w:val="24"/>
              </w:rPr>
            </w:pPr>
            <w:r w:rsidRPr="00AA0D1C">
              <w:rPr>
                <w:rFonts w:ascii="Times New Roman" w:eastAsia="Calibri" w:hAnsi="Times New Roman" w:cs="Times New Roman"/>
                <w:sz w:val="24"/>
                <w:szCs w:val="24"/>
              </w:rPr>
              <w:lastRenderedPageBreak/>
              <w:t xml:space="preserve"> </w:t>
            </w:r>
          </w:p>
        </w:tc>
      </w:tr>
      <w:tr w:rsidR="0011343F" w:rsidRPr="00AA0D1C" w:rsidTr="00F4592A">
        <w:tc>
          <w:tcPr>
            <w:tcW w:w="0" w:type="auto"/>
          </w:tcPr>
          <w:p w:rsidR="0011343F" w:rsidRPr="00AA0D1C" w:rsidRDefault="0011343F" w:rsidP="0011343F">
            <w:pPr>
              <w:tabs>
                <w:tab w:val="left" w:pos="870"/>
              </w:tabs>
              <w:spacing w:after="0"/>
              <w:jc w:val="both"/>
              <w:outlineLvl w:val="0"/>
              <w:rPr>
                <w:rFonts w:ascii="Times New Roman" w:eastAsia="Calibri" w:hAnsi="Times New Roman" w:cs="Times New Roman"/>
                <w:sz w:val="24"/>
                <w:szCs w:val="24"/>
              </w:rPr>
            </w:pPr>
          </w:p>
        </w:tc>
        <w:tc>
          <w:tcPr>
            <w:tcW w:w="0" w:type="auto"/>
          </w:tcPr>
          <w:p w:rsidR="0011343F" w:rsidRPr="00AA0D1C" w:rsidRDefault="0011343F" w:rsidP="0011343F">
            <w:pPr>
              <w:spacing w:after="0"/>
              <w:jc w:val="both"/>
              <w:outlineLvl w:val="0"/>
              <w:rPr>
                <w:rFonts w:ascii="Times New Roman" w:eastAsia="Calibri" w:hAnsi="Times New Roman" w:cs="Times New Roman"/>
                <w:sz w:val="24"/>
                <w:szCs w:val="24"/>
              </w:rPr>
            </w:pPr>
          </w:p>
        </w:tc>
      </w:tr>
      <w:tr w:rsidR="0011343F" w:rsidRPr="00AA0D1C" w:rsidTr="00F4592A">
        <w:tc>
          <w:tcPr>
            <w:tcW w:w="0" w:type="auto"/>
          </w:tcPr>
          <w:p w:rsidR="0011343F" w:rsidRPr="00AA0D1C"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AA0D1C" w:rsidRDefault="0011343F" w:rsidP="0011343F">
            <w:pPr>
              <w:spacing w:after="0"/>
              <w:jc w:val="both"/>
              <w:rPr>
                <w:rFonts w:ascii="Times New Roman" w:eastAsia="Calibri" w:hAnsi="Times New Roman" w:cs="Times New Roman"/>
                <w:sz w:val="24"/>
                <w:szCs w:val="24"/>
              </w:rPr>
            </w:pPr>
          </w:p>
        </w:tc>
      </w:tr>
      <w:tr w:rsidR="0011343F" w:rsidRPr="00AA0D1C" w:rsidTr="00F4592A">
        <w:tc>
          <w:tcPr>
            <w:tcW w:w="0" w:type="auto"/>
          </w:tcPr>
          <w:p w:rsidR="0011343F" w:rsidRPr="00AA0D1C" w:rsidRDefault="0011343F" w:rsidP="0011343F">
            <w:pPr>
              <w:spacing w:after="0"/>
              <w:jc w:val="both"/>
              <w:outlineLvl w:val="0"/>
              <w:rPr>
                <w:rFonts w:ascii="Times New Roman" w:eastAsia="Calibri" w:hAnsi="Times New Roman" w:cs="Times New Roman"/>
                <w:sz w:val="24"/>
                <w:szCs w:val="24"/>
              </w:rPr>
            </w:pPr>
          </w:p>
        </w:tc>
        <w:tc>
          <w:tcPr>
            <w:tcW w:w="0" w:type="auto"/>
          </w:tcPr>
          <w:p w:rsidR="0011343F" w:rsidRPr="00AA0D1C" w:rsidRDefault="0011343F" w:rsidP="0011343F">
            <w:pPr>
              <w:spacing w:after="0" w:line="60" w:lineRule="atLeast"/>
              <w:jc w:val="both"/>
              <w:rPr>
                <w:rFonts w:ascii="Times New Roman" w:eastAsia="Calibri" w:hAnsi="Times New Roman" w:cs="Times New Roman"/>
                <w:sz w:val="24"/>
                <w:szCs w:val="24"/>
              </w:rPr>
            </w:pPr>
          </w:p>
        </w:tc>
      </w:tr>
    </w:tbl>
    <w:p w:rsidR="0011343F" w:rsidRPr="00AA0D1C" w:rsidRDefault="0011343F" w:rsidP="0011343F">
      <w:pPr>
        <w:spacing w:line="60" w:lineRule="atLeast"/>
        <w:jc w:val="both"/>
        <w:outlineLvl w:val="0"/>
        <w:rPr>
          <w:rFonts w:ascii="Times New Roman" w:eastAsia="Calibri" w:hAnsi="Times New Roman" w:cs="Times New Roman"/>
          <w:b/>
          <w:sz w:val="24"/>
          <w:szCs w:val="24"/>
        </w:rPr>
      </w:pPr>
      <w:r w:rsidRPr="00AA0D1C">
        <w:rPr>
          <w:rFonts w:ascii="Times New Roman" w:eastAsia="Calibri" w:hAnsi="Times New Roman" w:cs="Times New Roman"/>
          <w:color w:val="FFFFFF"/>
          <w:sz w:val="24"/>
          <w:szCs w:val="24"/>
        </w:rPr>
        <w:t>2 ex</w:t>
      </w:r>
    </w:p>
    <w:p w:rsidR="009A01D0" w:rsidRPr="00AA0D1C" w:rsidRDefault="009A01D0"/>
    <w:sectPr w:rsidR="009A01D0" w:rsidRPr="00AA0D1C" w:rsidSect="00A65725">
      <w:headerReference w:type="default" r:id="rId12"/>
      <w:footerReference w:type="default" r:id="rId13"/>
      <w:headerReference w:type="first" r:id="rId14"/>
      <w:footerReference w:type="first" r:id="rId15"/>
      <w:pgSz w:w="11907" w:h="16839" w:code="9"/>
      <w:pgMar w:top="1440" w:right="1440" w:bottom="1440" w:left="1440" w:header="71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D1C">
      <w:pPr>
        <w:spacing w:after="0" w:line="240" w:lineRule="auto"/>
      </w:pPr>
      <w:r>
        <w:separator/>
      </w:r>
    </w:p>
  </w:endnote>
  <w:endnote w:type="continuationSeparator" w:id="0">
    <w:p w:rsidR="00000000" w:rsidRDefault="00AA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68" w:rsidRDefault="00AA0D1C" w:rsidP="00115568">
    <w:pPr>
      <w:pStyle w:val="Antet"/>
      <w:jc w:val="center"/>
      <w:rPr>
        <w:rFonts w:ascii="Times New Roman" w:hAnsi="Times New Roman"/>
        <w:b/>
        <w:color w:val="00214E"/>
        <w:sz w:val="20"/>
        <w:szCs w:val="20"/>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65pt;margin-top:-33.6pt;width:41.9pt;height:34.45pt;z-index:-251653120">
          <v:imagedata r:id="rId1" o:title=""/>
        </v:shape>
        <o:OLEObject Type="Embed" ProgID="CorelDRAW.Graphic.13" ShapeID="_x0000_s1029" DrawAspect="Content" ObjectID="_1556442805" r:id="rId2"/>
      </w:pict>
    </w:r>
    <w:r w:rsidR="0011343F">
      <w:rPr>
        <w:noProof/>
        <w:sz w:val="20"/>
        <w:szCs w:val="20"/>
        <w:lang w:eastAsia="ro-RO"/>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11343F" w:rsidRPr="00B4760B">
      <w:rPr>
        <w:rFonts w:ascii="Times New Roman" w:hAnsi="Times New Roman"/>
        <w:b/>
        <w:color w:val="00214E"/>
        <w:sz w:val="24"/>
        <w:szCs w:val="24"/>
        <w:lang w:val="it-IT"/>
      </w:rPr>
      <w:t>A</w:t>
    </w:r>
    <w:r w:rsidR="0011343F" w:rsidRPr="00B4760B">
      <w:rPr>
        <w:rFonts w:ascii="Times New Roman" w:hAnsi="Times New Roman"/>
        <w:b/>
        <w:color w:val="00214E"/>
        <w:sz w:val="20"/>
        <w:szCs w:val="20"/>
        <w:lang w:val="it-IT"/>
      </w:rPr>
      <w:t>GEN</w:t>
    </w:r>
    <w:r w:rsidR="0011343F" w:rsidRPr="00575325">
      <w:rPr>
        <w:rFonts w:ascii="Times New Roman" w:hAnsi="Times New Roman"/>
        <w:b/>
        <w:color w:val="00214E"/>
        <w:sz w:val="20"/>
        <w:szCs w:val="20"/>
      </w:rPr>
      <w:t>ŢIA</w:t>
    </w:r>
    <w:r w:rsidR="0011343F">
      <w:rPr>
        <w:rFonts w:ascii="Times New Roman" w:hAnsi="Times New Roman"/>
        <w:b/>
        <w:color w:val="00214E"/>
        <w:sz w:val="20"/>
        <w:szCs w:val="20"/>
      </w:rPr>
      <w:t xml:space="preserve"> </w:t>
    </w:r>
    <w:r w:rsidR="0011343F" w:rsidRPr="00575325">
      <w:rPr>
        <w:rFonts w:ascii="Times New Roman" w:hAnsi="Times New Roman"/>
        <w:b/>
        <w:color w:val="00214E"/>
        <w:sz w:val="20"/>
        <w:szCs w:val="20"/>
      </w:rPr>
      <w:t xml:space="preserve">PENTRU </w:t>
    </w:r>
    <w:r w:rsidR="0011343F" w:rsidRPr="00575325">
      <w:rPr>
        <w:rFonts w:ascii="Times New Roman" w:hAnsi="Times New Roman"/>
        <w:b/>
        <w:color w:val="00214E"/>
        <w:sz w:val="24"/>
        <w:szCs w:val="24"/>
      </w:rPr>
      <w:t>P</w:t>
    </w:r>
    <w:r w:rsidR="0011343F" w:rsidRPr="00575325">
      <w:rPr>
        <w:rFonts w:ascii="Times New Roman" w:hAnsi="Times New Roman"/>
        <w:b/>
        <w:color w:val="00214E"/>
        <w:sz w:val="20"/>
        <w:szCs w:val="20"/>
      </w:rPr>
      <w:t xml:space="preserve">ROTECŢIA </w:t>
    </w:r>
    <w:r w:rsidR="0011343F" w:rsidRPr="00575325">
      <w:rPr>
        <w:rFonts w:ascii="Times New Roman" w:hAnsi="Times New Roman"/>
        <w:b/>
        <w:color w:val="00214E"/>
        <w:sz w:val="24"/>
        <w:szCs w:val="24"/>
      </w:rPr>
      <w:t>M</w:t>
    </w:r>
    <w:r w:rsidR="0011343F" w:rsidRPr="00575325">
      <w:rPr>
        <w:rFonts w:ascii="Times New Roman" w:hAnsi="Times New Roman"/>
        <w:b/>
        <w:color w:val="00214E"/>
        <w:sz w:val="20"/>
        <w:szCs w:val="20"/>
      </w:rPr>
      <w:t>EDIULUI</w:t>
    </w:r>
    <w:r w:rsidR="0011343F">
      <w:rPr>
        <w:rFonts w:ascii="Times New Roman" w:hAnsi="Times New Roman"/>
        <w:b/>
        <w:color w:val="00214E"/>
        <w:sz w:val="20"/>
        <w:szCs w:val="20"/>
      </w:rPr>
      <w:t xml:space="preserve"> GIURGIU</w:t>
    </w:r>
  </w:p>
  <w:p w:rsidR="00115568" w:rsidRDefault="0011343F" w:rsidP="00115568">
    <w:pPr>
      <w:pStyle w:val="Antet"/>
      <w:jc w:val="center"/>
      <w:rPr>
        <w:rFonts w:ascii="Times New Roman" w:hAnsi="Times New Roman"/>
        <w:color w:val="00214E"/>
        <w:sz w:val="20"/>
        <w:szCs w:val="20"/>
      </w:rPr>
    </w:pPr>
    <w:r>
      <w:rPr>
        <w:rFonts w:ascii="Times New Roman" w:hAnsi="Times New Roman"/>
        <w:color w:val="00214E"/>
        <w:sz w:val="20"/>
        <w:szCs w:val="20"/>
      </w:rPr>
      <w:t xml:space="preserve">Adresa Sos. </w:t>
    </w:r>
    <w:proofErr w:type="spellStart"/>
    <w:r>
      <w:rPr>
        <w:rFonts w:ascii="Times New Roman" w:hAnsi="Times New Roman"/>
        <w:color w:val="00214E"/>
        <w:sz w:val="20"/>
        <w:szCs w:val="20"/>
      </w:rPr>
      <w:t>Bucuresti</w:t>
    </w:r>
    <w:proofErr w:type="spellEnd"/>
    <w:r>
      <w:rPr>
        <w:rFonts w:ascii="Times New Roman" w:hAnsi="Times New Roman"/>
        <w:color w:val="00214E"/>
        <w:sz w:val="20"/>
        <w:szCs w:val="20"/>
      </w:rPr>
      <w:t>, Bl 111, Sc A+B</w:t>
    </w:r>
  </w:p>
  <w:p w:rsidR="00115568" w:rsidRDefault="0011343F" w:rsidP="00115568">
    <w:pPr>
      <w:pStyle w:val="Antet"/>
      <w:jc w:val="center"/>
      <w:rPr>
        <w:rFonts w:ascii="Times New Roman" w:hAnsi="Times New Roman"/>
        <w:color w:val="00214E"/>
        <w:sz w:val="20"/>
        <w:szCs w:val="20"/>
      </w:rPr>
    </w:pPr>
    <w:r>
      <w:rPr>
        <w:rFonts w:ascii="Times New Roman" w:hAnsi="Times New Roman"/>
        <w:color w:val="00214E"/>
        <w:sz w:val="20"/>
        <w:szCs w:val="20"/>
      </w:rPr>
      <w:t>Tel : 0246214760; 0246216980; 0746248733  Fax : 0246211410</w:t>
    </w:r>
  </w:p>
  <w:p w:rsidR="00115568" w:rsidRPr="00B4760B" w:rsidRDefault="0011343F" w:rsidP="00115568">
    <w:pPr>
      <w:pStyle w:val="Antet"/>
      <w:jc w:val="center"/>
      <w:rPr>
        <w:rFonts w:ascii="Times New Roman" w:hAnsi="Times New Roman"/>
        <w:color w:val="00214E"/>
        <w:sz w:val="20"/>
        <w:szCs w:val="20"/>
        <w:lang w:val="it-IT"/>
      </w:rPr>
    </w:pPr>
    <w:r>
      <w:rPr>
        <w:rFonts w:ascii="Times New Roman" w:hAnsi="Times New Roman"/>
        <w:color w:val="00214E"/>
        <w:sz w:val="20"/>
        <w:szCs w:val="20"/>
      </w:rPr>
      <w:t xml:space="preserve">e-mail : </w:t>
    </w:r>
    <w:r w:rsidRPr="0098461D">
      <w:rPr>
        <w:rFonts w:ascii="Times New Roman" w:hAnsi="Times New Roman"/>
        <w:color w:val="00214E"/>
        <w:sz w:val="20"/>
        <w:szCs w:val="20"/>
      </w:rPr>
      <w:t>office@apmgr.</w:t>
    </w:r>
    <w:r>
      <w:rPr>
        <w:rFonts w:ascii="Times New Roman" w:hAnsi="Times New Roman"/>
        <w:color w:val="00214E"/>
        <w:sz w:val="20"/>
        <w:szCs w:val="20"/>
      </w:rPr>
      <w:t>anpm.</w:t>
    </w:r>
    <w:r w:rsidRPr="0098461D">
      <w:rPr>
        <w:rFonts w:ascii="Times New Roman" w:hAnsi="Times New Roman"/>
        <w:color w:val="00214E"/>
        <w:sz w:val="20"/>
        <w:szCs w:val="20"/>
      </w:rPr>
      <w:t>ro</w:t>
    </w:r>
    <w:r>
      <w:rPr>
        <w:rFonts w:ascii="Times New Roman" w:hAnsi="Times New Roman"/>
        <w:color w:val="00214E"/>
        <w:sz w:val="20"/>
        <w:szCs w:val="20"/>
      </w:rPr>
      <w:t xml:space="preserve"> </w:t>
    </w:r>
  </w:p>
  <w:p w:rsidR="00115568" w:rsidRDefault="0011343F">
    <w:pPr>
      <w:pStyle w:val="Subsol"/>
      <w:jc w:val="right"/>
    </w:pPr>
    <w:r>
      <w:fldChar w:fldCharType="begin"/>
    </w:r>
    <w:r>
      <w:instrText>PAGE   \* MERGEFORMAT</w:instrText>
    </w:r>
    <w:r>
      <w:fldChar w:fldCharType="separate"/>
    </w:r>
    <w:r w:rsidR="00AA0D1C">
      <w:rPr>
        <w:noProof/>
      </w:rPr>
      <w:t>6</w:t>
    </w:r>
    <w:r>
      <w:fldChar w:fldCharType="end"/>
    </w:r>
  </w:p>
  <w:p w:rsidR="007D459B" w:rsidRDefault="00AA0D1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E4" w:rsidRDefault="00AA0D1C" w:rsidP="00F330E4">
    <w:pPr>
      <w:pStyle w:val="Antet"/>
      <w:jc w:val="center"/>
      <w:rPr>
        <w:rFonts w:ascii="Times New Roman" w:hAnsi="Times New Roman"/>
        <w:b/>
        <w:color w:val="00214E"/>
        <w:sz w:val="20"/>
        <w:szCs w:val="20"/>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7216">
          <v:imagedata r:id="rId1" o:title=""/>
        </v:shape>
        <o:OLEObject Type="Embed" ProgID="CorelDRAW.Graphic.13" ShapeID="_x0000_s1025" DrawAspect="Content" ObjectID="_1556442807" r:id="rId2"/>
      </w:pict>
    </w:r>
    <w:r w:rsidR="0011343F">
      <w:rPr>
        <w:noProof/>
        <w:sz w:val="20"/>
        <w:szCs w:val="20"/>
        <w:lang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11343F" w:rsidRPr="00B4760B">
      <w:rPr>
        <w:rFonts w:ascii="Times New Roman" w:hAnsi="Times New Roman"/>
        <w:b/>
        <w:color w:val="00214E"/>
        <w:sz w:val="24"/>
        <w:szCs w:val="24"/>
        <w:lang w:val="it-IT"/>
      </w:rPr>
      <w:t>A</w:t>
    </w:r>
    <w:r w:rsidR="0011343F" w:rsidRPr="00B4760B">
      <w:rPr>
        <w:rFonts w:ascii="Times New Roman" w:hAnsi="Times New Roman"/>
        <w:b/>
        <w:color w:val="00214E"/>
        <w:sz w:val="20"/>
        <w:szCs w:val="20"/>
        <w:lang w:val="it-IT"/>
      </w:rPr>
      <w:t>GEN</w:t>
    </w:r>
    <w:r w:rsidR="0011343F" w:rsidRPr="00575325">
      <w:rPr>
        <w:rFonts w:ascii="Times New Roman" w:hAnsi="Times New Roman"/>
        <w:b/>
        <w:color w:val="00214E"/>
        <w:sz w:val="20"/>
        <w:szCs w:val="20"/>
      </w:rPr>
      <w:t>ŢIA</w:t>
    </w:r>
    <w:r w:rsidR="0011343F">
      <w:rPr>
        <w:rFonts w:ascii="Times New Roman" w:hAnsi="Times New Roman"/>
        <w:b/>
        <w:color w:val="00214E"/>
        <w:sz w:val="20"/>
        <w:szCs w:val="20"/>
      </w:rPr>
      <w:t xml:space="preserve"> </w:t>
    </w:r>
    <w:r w:rsidR="0011343F" w:rsidRPr="00575325">
      <w:rPr>
        <w:rFonts w:ascii="Times New Roman" w:hAnsi="Times New Roman"/>
        <w:b/>
        <w:color w:val="00214E"/>
        <w:sz w:val="20"/>
        <w:szCs w:val="20"/>
      </w:rPr>
      <w:t xml:space="preserve">PENTRU </w:t>
    </w:r>
    <w:r w:rsidR="0011343F" w:rsidRPr="00575325">
      <w:rPr>
        <w:rFonts w:ascii="Times New Roman" w:hAnsi="Times New Roman"/>
        <w:b/>
        <w:color w:val="00214E"/>
        <w:sz w:val="24"/>
        <w:szCs w:val="24"/>
      </w:rPr>
      <w:t>P</w:t>
    </w:r>
    <w:r w:rsidR="0011343F" w:rsidRPr="00575325">
      <w:rPr>
        <w:rFonts w:ascii="Times New Roman" w:hAnsi="Times New Roman"/>
        <w:b/>
        <w:color w:val="00214E"/>
        <w:sz w:val="20"/>
        <w:szCs w:val="20"/>
      </w:rPr>
      <w:t xml:space="preserve">ROTECŢIA </w:t>
    </w:r>
    <w:r w:rsidR="0011343F" w:rsidRPr="00575325">
      <w:rPr>
        <w:rFonts w:ascii="Times New Roman" w:hAnsi="Times New Roman"/>
        <w:b/>
        <w:color w:val="00214E"/>
        <w:sz w:val="24"/>
        <w:szCs w:val="24"/>
      </w:rPr>
      <w:t>M</w:t>
    </w:r>
    <w:r w:rsidR="0011343F" w:rsidRPr="00575325">
      <w:rPr>
        <w:rFonts w:ascii="Times New Roman" w:hAnsi="Times New Roman"/>
        <w:b/>
        <w:color w:val="00214E"/>
        <w:sz w:val="20"/>
        <w:szCs w:val="20"/>
      </w:rPr>
      <w:t>EDIULUI</w:t>
    </w:r>
    <w:r w:rsidR="0011343F">
      <w:rPr>
        <w:rFonts w:ascii="Times New Roman" w:hAnsi="Times New Roman"/>
        <w:b/>
        <w:color w:val="00214E"/>
        <w:sz w:val="20"/>
        <w:szCs w:val="20"/>
      </w:rPr>
      <w:t xml:space="preserve"> GIURGIU</w:t>
    </w:r>
  </w:p>
  <w:p w:rsidR="00F330E4" w:rsidRDefault="0011343F" w:rsidP="00F330E4">
    <w:pPr>
      <w:pStyle w:val="Antet"/>
      <w:jc w:val="center"/>
      <w:rPr>
        <w:rFonts w:ascii="Times New Roman" w:hAnsi="Times New Roman"/>
        <w:color w:val="00214E"/>
        <w:sz w:val="20"/>
        <w:szCs w:val="20"/>
      </w:rPr>
    </w:pPr>
    <w:r>
      <w:rPr>
        <w:rFonts w:ascii="Times New Roman" w:hAnsi="Times New Roman"/>
        <w:color w:val="00214E"/>
        <w:sz w:val="20"/>
        <w:szCs w:val="20"/>
      </w:rPr>
      <w:t xml:space="preserve">Adresa Sos. </w:t>
    </w:r>
    <w:proofErr w:type="spellStart"/>
    <w:r>
      <w:rPr>
        <w:rFonts w:ascii="Times New Roman" w:hAnsi="Times New Roman"/>
        <w:color w:val="00214E"/>
        <w:sz w:val="20"/>
        <w:szCs w:val="20"/>
      </w:rPr>
      <w:t>Bucuresti</w:t>
    </w:r>
    <w:proofErr w:type="spellEnd"/>
    <w:r>
      <w:rPr>
        <w:rFonts w:ascii="Times New Roman" w:hAnsi="Times New Roman"/>
        <w:color w:val="00214E"/>
        <w:sz w:val="20"/>
        <w:szCs w:val="20"/>
      </w:rPr>
      <w:t>, Bl 111, Sc A+B</w:t>
    </w:r>
  </w:p>
  <w:p w:rsidR="00F330E4" w:rsidRDefault="0011343F" w:rsidP="00F330E4">
    <w:pPr>
      <w:pStyle w:val="Antet"/>
      <w:jc w:val="center"/>
      <w:rPr>
        <w:rFonts w:ascii="Times New Roman" w:hAnsi="Times New Roman"/>
        <w:color w:val="00214E"/>
        <w:sz w:val="20"/>
        <w:szCs w:val="20"/>
      </w:rPr>
    </w:pPr>
    <w:r>
      <w:rPr>
        <w:rFonts w:ascii="Times New Roman" w:hAnsi="Times New Roman"/>
        <w:color w:val="00214E"/>
        <w:sz w:val="20"/>
        <w:szCs w:val="20"/>
      </w:rPr>
      <w:t>Tel : 0246214760; 0246216980; 0746248733  Fax : 0246211410</w:t>
    </w:r>
  </w:p>
  <w:p w:rsidR="00F330E4" w:rsidRPr="00B4760B" w:rsidRDefault="0011343F" w:rsidP="00F330E4">
    <w:pPr>
      <w:pStyle w:val="Antet"/>
      <w:jc w:val="center"/>
      <w:rPr>
        <w:rFonts w:ascii="Times New Roman" w:hAnsi="Times New Roman"/>
        <w:color w:val="00214E"/>
        <w:sz w:val="20"/>
        <w:szCs w:val="20"/>
        <w:lang w:val="it-IT"/>
      </w:rPr>
    </w:pPr>
    <w:r>
      <w:rPr>
        <w:rFonts w:ascii="Times New Roman" w:hAnsi="Times New Roman"/>
        <w:color w:val="00214E"/>
        <w:sz w:val="20"/>
        <w:szCs w:val="20"/>
      </w:rPr>
      <w:t xml:space="preserve">e-mail : </w:t>
    </w:r>
    <w:r w:rsidRPr="0098461D">
      <w:rPr>
        <w:rFonts w:ascii="Times New Roman" w:hAnsi="Times New Roman"/>
        <w:color w:val="00214E"/>
        <w:sz w:val="20"/>
        <w:szCs w:val="20"/>
      </w:rPr>
      <w:t>office@apmgr.</w:t>
    </w:r>
    <w:r>
      <w:rPr>
        <w:rFonts w:ascii="Times New Roman" w:hAnsi="Times New Roman"/>
        <w:color w:val="00214E"/>
        <w:sz w:val="20"/>
        <w:szCs w:val="20"/>
      </w:rPr>
      <w:t>anpm.</w:t>
    </w:r>
    <w:r w:rsidRPr="0098461D">
      <w:rPr>
        <w:rFonts w:ascii="Times New Roman" w:hAnsi="Times New Roman"/>
        <w:color w:val="00214E"/>
        <w:sz w:val="20"/>
        <w:szCs w:val="20"/>
      </w:rPr>
      <w:t>ro</w:t>
    </w:r>
    <w:r>
      <w:rPr>
        <w:rFonts w:ascii="Times New Roman" w:hAnsi="Times New Roman"/>
        <w:color w:val="00214E"/>
        <w:sz w:val="20"/>
        <w:szCs w:val="20"/>
      </w:rPr>
      <w:t xml:space="preserve"> </w:t>
    </w:r>
  </w:p>
  <w:p w:rsidR="00F330E4" w:rsidRPr="00B4760B" w:rsidRDefault="00AA0D1C">
    <w:pPr>
      <w:pStyle w:val="Subsol"/>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D1C">
      <w:pPr>
        <w:spacing w:after="0" w:line="240" w:lineRule="auto"/>
      </w:pPr>
      <w:r>
        <w:separator/>
      </w:r>
    </w:p>
  </w:footnote>
  <w:footnote w:type="continuationSeparator" w:id="0">
    <w:p w:rsidR="00000000" w:rsidRDefault="00AA0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6" w:rsidRDefault="00AA0D1C" w:rsidP="0010560A">
    <w:pPr>
      <w:pStyle w:val="Antet"/>
    </w:pPr>
  </w:p>
  <w:p w:rsidR="0010560A" w:rsidRDefault="0011343F" w:rsidP="00C6462A">
    <w:pPr>
      <w:pStyle w:val="Antet"/>
      <w:tabs>
        <w:tab w:val="left" w:pos="1920"/>
        <w:tab w:val="left" w:pos="43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A1" w:rsidRDefault="0011343F" w:rsidP="001242A1">
    <w:pPr>
      <w:pStyle w:val="Antet"/>
      <w:jc w:val="center"/>
      <w:rPr>
        <w:rFonts w:cs="Calibri"/>
        <w:lang w:eastAsia="ar-SA"/>
      </w:rPr>
    </w:pPr>
    <w:r>
      <w:rPr>
        <w:rFonts w:cs="Calibri"/>
        <w:noProof/>
        <w:lang w:eastAsia="ro-RO"/>
      </w:rPr>
      <w:drawing>
        <wp:anchor distT="0" distB="0" distL="114300" distR="114300" simplePos="0" relativeHeight="25166131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0D1C">
      <w:rPr>
        <w:rFonts w:ascii="Garamond" w:hAnsi="Garamond"/>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2.5pt;margin-top:11.75pt;width:47.9pt;height:39.4pt;z-index:-251654144;mso-position-horizontal-relative:text;mso-position-vertical-relative:text">
          <v:imagedata r:id="rId2" o:title=""/>
        </v:shape>
        <o:OLEObject Type="Embed" ProgID="CorelDRAW.Graphic.13" ShapeID="_x0000_s1028" DrawAspect="Content" ObjectID="_1556442806" r:id="rId3"/>
      </w:pict>
    </w:r>
  </w:p>
  <w:p w:rsidR="001242A1" w:rsidRPr="0007594F" w:rsidRDefault="0011343F" w:rsidP="004E1EF4">
    <w:pPr>
      <w:pStyle w:val="Antet"/>
      <w:tabs>
        <w:tab w:val="left" w:pos="9000"/>
      </w:tabs>
      <w:jc w:val="center"/>
      <w:rPr>
        <w:rFonts w:ascii="Garamond" w:hAnsi="Garamond"/>
        <w:color w:val="00214E"/>
        <w:sz w:val="32"/>
        <w:szCs w:val="32"/>
      </w:rPr>
    </w:pPr>
    <w:r w:rsidRPr="00036238">
      <w:rPr>
        <w:rFonts w:ascii="Garamond" w:hAnsi="Garamond"/>
        <w:b/>
        <w:color w:val="00214E"/>
        <w:sz w:val="32"/>
        <w:szCs w:val="32"/>
        <w:lang w:val="it-IT"/>
      </w:rPr>
      <w:t>Ministerul Mediului</w:t>
    </w:r>
  </w:p>
  <w:p w:rsidR="001242A1" w:rsidRPr="00036238" w:rsidRDefault="0011343F" w:rsidP="001242A1">
    <w:pPr>
      <w:pStyle w:val="Antet"/>
      <w:jc w:val="center"/>
      <w:rPr>
        <w:rFonts w:cs="Calibri"/>
        <w:b/>
        <w:sz w:val="36"/>
        <w:szCs w:val="36"/>
        <w:lang w:val="it-IT" w:eastAsia="ar-SA"/>
      </w:rPr>
    </w:pPr>
    <w:r w:rsidRPr="00036238">
      <w:rPr>
        <w:rFonts w:ascii="Garamond" w:hAnsi="Garamond"/>
        <w:b/>
        <w:color w:val="00214E"/>
        <w:sz w:val="36"/>
        <w:szCs w:val="36"/>
        <w:lang w:val="it-IT"/>
      </w:rPr>
      <w:t>Agen</w:t>
    </w:r>
    <w:proofErr w:type="spellStart"/>
    <w:r w:rsidRPr="0007594F">
      <w:rPr>
        <w:rFonts w:ascii="Garamond" w:hAnsi="Garamond"/>
        <w:b/>
        <w:color w:val="00214E"/>
        <w:sz w:val="36"/>
        <w:szCs w:val="36"/>
      </w:rPr>
      <w:t>ţia</w:t>
    </w:r>
    <w:proofErr w:type="spellEnd"/>
    <w:r w:rsidRPr="0007594F">
      <w:rPr>
        <w:rFonts w:ascii="Garamond" w:hAnsi="Garamond"/>
        <w:b/>
        <w:color w:val="00214E"/>
        <w:sz w:val="36"/>
        <w:szCs w:val="36"/>
      </w:rPr>
      <w:t xml:space="preserve"> Naţională pentru Protecţia Mediului</w:t>
    </w:r>
  </w:p>
  <w:p w:rsidR="001242A1" w:rsidRPr="00036238" w:rsidRDefault="00AA0D1C" w:rsidP="001242A1">
    <w:pPr>
      <w:pStyle w:val="Antet"/>
      <w:rPr>
        <w:rFonts w:cs="Calibri"/>
        <w:b/>
        <w:sz w:val="24"/>
        <w:szCs w:val="24"/>
        <w:lang w:val="it-IT"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43"/>
    </w:tblGrid>
    <w:tr w:rsidR="001242A1" w:rsidRPr="00996543" w:rsidTr="00C257FF">
      <w:tc>
        <w:tcPr>
          <w:tcW w:w="9833" w:type="dxa"/>
          <w:tcBorders>
            <w:top w:val="single" w:sz="8" w:space="0" w:color="000000"/>
            <w:bottom w:val="single" w:sz="8" w:space="0" w:color="000000"/>
          </w:tcBorders>
          <w:shd w:val="clear" w:color="auto" w:fill="DBE5F1"/>
        </w:tcPr>
        <w:p w:rsidR="001242A1" w:rsidRPr="00996543" w:rsidRDefault="0011343F" w:rsidP="006D7CF3">
          <w:pPr>
            <w:pStyle w:val="Antet"/>
            <w:spacing w:before="120"/>
            <w:jc w:val="center"/>
            <w:rPr>
              <w:rFonts w:ascii="Garamond" w:hAnsi="Garamond"/>
              <w:b/>
              <w:bCs/>
              <w:color w:val="00214E"/>
              <w:sz w:val="36"/>
              <w:szCs w:val="36"/>
            </w:rPr>
          </w:pPr>
          <w:r w:rsidRPr="00996543">
            <w:rPr>
              <w:rFonts w:ascii="Garamond" w:hAnsi="Garamond"/>
              <w:b/>
              <w:bCs/>
              <w:color w:val="00214E"/>
              <w:sz w:val="36"/>
              <w:szCs w:val="36"/>
            </w:rPr>
            <w:t>Agenţia pentru Protecţia Mediului G</w:t>
          </w:r>
          <w:r>
            <w:rPr>
              <w:rFonts w:ascii="Garamond" w:hAnsi="Garamond"/>
              <w:b/>
              <w:bCs/>
              <w:color w:val="00214E"/>
              <w:sz w:val="36"/>
              <w:szCs w:val="36"/>
            </w:rPr>
            <w:t>iurgiu</w:t>
          </w:r>
        </w:p>
      </w:tc>
    </w:tr>
  </w:tbl>
  <w:p w:rsidR="00F330E4" w:rsidRPr="001242A1" w:rsidRDefault="00AA0D1C" w:rsidP="001242A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57AC2"/>
    <w:multiLevelType w:val="hybridMultilevel"/>
    <w:tmpl w:val="6A6C1E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5F"/>
    <w:rsid w:val="00001118"/>
    <w:rsid w:val="0000766D"/>
    <w:rsid w:val="000309A4"/>
    <w:rsid w:val="00041C45"/>
    <w:rsid w:val="0004534B"/>
    <w:rsid w:val="00060215"/>
    <w:rsid w:val="00090776"/>
    <w:rsid w:val="000B0689"/>
    <w:rsid w:val="000D3B44"/>
    <w:rsid w:val="000F463B"/>
    <w:rsid w:val="0011343F"/>
    <w:rsid w:val="0011560F"/>
    <w:rsid w:val="00133056"/>
    <w:rsid w:val="0013398B"/>
    <w:rsid w:val="001367D0"/>
    <w:rsid w:val="00137368"/>
    <w:rsid w:val="00142B7E"/>
    <w:rsid w:val="00151FA9"/>
    <w:rsid w:val="001621D1"/>
    <w:rsid w:val="00166983"/>
    <w:rsid w:val="00192CFA"/>
    <w:rsid w:val="00197218"/>
    <w:rsid w:val="001A10F3"/>
    <w:rsid w:val="001B0AFD"/>
    <w:rsid w:val="001B1729"/>
    <w:rsid w:val="001D1469"/>
    <w:rsid w:val="001E2259"/>
    <w:rsid w:val="00205260"/>
    <w:rsid w:val="00205A48"/>
    <w:rsid w:val="002077B7"/>
    <w:rsid w:val="00214C2F"/>
    <w:rsid w:val="002159D3"/>
    <w:rsid w:val="0023052A"/>
    <w:rsid w:val="00237804"/>
    <w:rsid w:val="00240E9E"/>
    <w:rsid w:val="00241677"/>
    <w:rsid w:val="00273A0B"/>
    <w:rsid w:val="0027422F"/>
    <w:rsid w:val="00283E0A"/>
    <w:rsid w:val="00287CDA"/>
    <w:rsid w:val="002A21C3"/>
    <w:rsid w:val="002C24D0"/>
    <w:rsid w:val="002D24BB"/>
    <w:rsid w:val="002E0E24"/>
    <w:rsid w:val="002E75E5"/>
    <w:rsid w:val="00301B7C"/>
    <w:rsid w:val="003030A7"/>
    <w:rsid w:val="003059A7"/>
    <w:rsid w:val="00305D23"/>
    <w:rsid w:val="003136F6"/>
    <w:rsid w:val="003319C3"/>
    <w:rsid w:val="003332E6"/>
    <w:rsid w:val="00336973"/>
    <w:rsid w:val="00347155"/>
    <w:rsid w:val="00364FA7"/>
    <w:rsid w:val="003651C3"/>
    <w:rsid w:val="00370F9A"/>
    <w:rsid w:val="00376C0D"/>
    <w:rsid w:val="00380414"/>
    <w:rsid w:val="003835B6"/>
    <w:rsid w:val="00391E39"/>
    <w:rsid w:val="003A266F"/>
    <w:rsid w:val="003B6783"/>
    <w:rsid w:val="003C2AD0"/>
    <w:rsid w:val="003F29A6"/>
    <w:rsid w:val="003F4E5F"/>
    <w:rsid w:val="003F5A5F"/>
    <w:rsid w:val="00400D03"/>
    <w:rsid w:val="0040146B"/>
    <w:rsid w:val="004021E0"/>
    <w:rsid w:val="00404431"/>
    <w:rsid w:val="004201DB"/>
    <w:rsid w:val="00455020"/>
    <w:rsid w:val="004612E1"/>
    <w:rsid w:val="00474AD3"/>
    <w:rsid w:val="004A1120"/>
    <w:rsid w:val="004A6663"/>
    <w:rsid w:val="004A7548"/>
    <w:rsid w:val="004B1637"/>
    <w:rsid w:val="004C3753"/>
    <w:rsid w:val="004C5A90"/>
    <w:rsid w:val="004E2442"/>
    <w:rsid w:val="004E2E7A"/>
    <w:rsid w:val="004F0B14"/>
    <w:rsid w:val="004F12DC"/>
    <w:rsid w:val="0053267C"/>
    <w:rsid w:val="00532A8F"/>
    <w:rsid w:val="005330CC"/>
    <w:rsid w:val="00536571"/>
    <w:rsid w:val="00547144"/>
    <w:rsid w:val="0055585E"/>
    <w:rsid w:val="00557112"/>
    <w:rsid w:val="005701EC"/>
    <w:rsid w:val="00582A02"/>
    <w:rsid w:val="0059076E"/>
    <w:rsid w:val="00593DA4"/>
    <w:rsid w:val="005B6B44"/>
    <w:rsid w:val="005B7C30"/>
    <w:rsid w:val="005C6B3E"/>
    <w:rsid w:val="005D186A"/>
    <w:rsid w:val="005E7910"/>
    <w:rsid w:val="005F53CF"/>
    <w:rsid w:val="00607012"/>
    <w:rsid w:val="00617CB8"/>
    <w:rsid w:val="0063289B"/>
    <w:rsid w:val="00633A86"/>
    <w:rsid w:val="00633F09"/>
    <w:rsid w:val="006654F9"/>
    <w:rsid w:val="00665D0E"/>
    <w:rsid w:val="0069403C"/>
    <w:rsid w:val="0069618E"/>
    <w:rsid w:val="006A5792"/>
    <w:rsid w:val="006C1C9D"/>
    <w:rsid w:val="006E1A52"/>
    <w:rsid w:val="006E265B"/>
    <w:rsid w:val="007114E3"/>
    <w:rsid w:val="007317D9"/>
    <w:rsid w:val="00741219"/>
    <w:rsid w:val="00741C66"/>
    <w:rsid w:val="00744FA5"/>
    <w:rsid w:val="007463A5"/>
    <w:rsid w:val="007716BB"/>
    <w:rsid w:val="00784095"/>
    <w:rsid w:val="0079465B"/>
    <w:rsid w:val="007A0025"/>
    <w:rsid w:val="007C3255"/>
    <w:rsid w:val="007C5EDC"/>
    <w:rsid w:val="007C7C21"/>
    <w:rsid w:val="007E65DA"/>
    <w:rsid w:val="007F2C0B"/>
    <w:rsid w:val="007F6704"/>
    <w:rsid w:val="00832AB3"/>
    <w:rsid w:val="00832EEC"/>
    <w:rsid w:val="00860FC1"/>
    <w:rsid w:val="00864437"/>
    <w:rsid w:val="00870F46"/>
    <w:rsid w:val="00880127"/>
    <w:rsid w:val="0088039E"/>
    <w:rsid w:val="00882B72"/>
    <w:rsid w:val="00885F6E"/>
    <w:rsid w:val="0088614D"/>
    <w:rsid w:val="008863E3"/>
    <w:rsid w:val="008A51B1"/>
    <w:rsid w:val="008B1B36"/>
    <w:rsid w:val="008C79BD"/>
    <w:rsid w:val="008D0E26"/>
    <w:rsid w:val="008D771A"/>
    <w:rsid w:val="008F329B"/>
    <w:rsid w:val="00906424"/>
    <w:rsid w:val="009144D7"/>
    <w:rsid w:val="00920FDD"/>
    <w:rsid w:val="009223B7"/>
    <w:rsid w:val="00924BF3"/>
    <w:rsid w:val="00943B69"/>
    <w:rsid w:val="009500C3"/>
    <w:rsid w:val="009548FC"/>
    <w:rsid w:val="00955455"/>
    <w:rsid w:val="00955F89"/>
    <w:rsid w:val="0097416A"/>
    <w:rsid w:val="009763A6"/>
    <w:rsid w:val="00987A4C"/>
    <w:rsid w:val="00992B82"/>
    <w:rsid w:val="009A01D0"/>
    <w:rsid w:val="009A156D"/>
    <w:rsid w:val="009A342D"/>
    <w:rsid w:val="009A56A4"/>
    <w:rsid w:val="009A5EC6"/>
    <w:rsid w:val="009A7378"/>
    <w:rsid w:val="009B3799"/>
    <w:rsid w:val="009E4705"/>
    <w:rsid w:val="009F0B6B"/>
    <w:rsid w:val="009F1A5E"/>
    <w:rsid w:val="00A07AC0"/>
    <w:rsid w:val="00A23522"/>
    <w:rsid w:val="00A358DB"/>
    <w:rsid w:val="00A35D57"/>
    <w:rsid w:val="00A5191A"/>
    <w:rsid w:val="00A54B1F"/>
    <w:rsid w:val="00A7191F"/>
    <w:rsid w:val="00A87353"/>
    <w:rsid w:val="00A877CD"/>
    <w:rsid w:val="00A93B04"/>
    <w:rsid w:val="00AA0D1C"/>
    <w:rsid w:val="00AB0816"/>
    <w:rsid w:val="00AC0BF2"/>
    <w:rsid w:val="00AC2362"/>
    <w:rsid w:val="00AC6B27"/>
    <w:rsid w:val="00AD6957"/>
    <w:rsid w:val="00B104FC"/>
    <w:rsid w:val="00B141BD"/>
    <w:rsid w:val="00B267C6"/>
    <w:rsid w:val="00B32580"/>
    <w:rsid w:val="00B336F0"/>
    <w:rsid w:val="00B4529E"/>
    <w:rsid w:val="00B53E0A"/>
    <w:rsid w:val="00B6274D"/>
    <w:rsid w:val="00B67361"/>
    <w:rsid w:val="00B775F8"/>
    <w:rsid w:val="00B81ECE"/>
    <w:rsid w:val="00B91763"/>
    <w:rsid w:val="00B95FC6"/>
    <w:rsid w:val="00BA09AC"/>
    <w:rsid w:val="00BA24DB"/>
    <w:rsid w:val="00BB4BA3"/>
    <w:rsid w:val="00BC3152"/>
    <w:rsid w:val="00BC5DAA"/>
    <w:rsid w:val="00BD5C8D"/>
    <w:rsid w:val="00BE6C8B"/>
    <w:rsid w:val="00C0634D"/>
    <w:rsid w:val="00C25CC2"/>
    <w:rsid w:val="00C25EFD"/>
    <w:rsid w:val="00C32FDC"/>
    <w:rsid w:val="00C713B2"/>
    <w:rsid w:val="00C71B12"/>
    <w:rsid w:val="00C77D35"/>
    <w:rsid w:val="00C80813"/>
    <w:rsid w:val="00C94F29"/>
    <w:rsid w:val="00CA081F"/>
    <w:rsid w:val="00CA19D5"/>
    <w:rsid w:val="00CA79FE"/>
    <w:rsid w:val="00CB1AFE"/>
    <w:rsid w:val="00CB5B2F"/>
    <w:rsid w:val="00CD12FF"/>
    <w:rsid w:val="00CE5B8C"/>
    <w:rsid w:val="00CE7CAD"/>
    <w:rsid w:val="00CF6DAA"/>
    <w:rsid w:val="00D043F3"/>
    <w:rsid w:val="00D072A3"/>
    <w:rsid w:val="00D147D4"/>
    <w:rsid w:val="00D56AB2"/>
    <w:rsid w:val="00D57331"/>
    <w:rsid w:val="00D606E8"/>
    <w:rsid w:val="00D61D9D"/>
    <w:rsid w:val="00D6720C"/>
    <w:rsid w:val="00D8261C"/>
    <w:rsid w:val="00DA7DBD"/>
    <w:rsid w:val="00DD2C48"/>
    <w:rsid w:val="00DE15BD"/>
    <w:rsid w:val="00DE373E"/>
    <w:rsid w:val="00DF1326"/>
    <w:rsid w:val="00E020A1"/>
    <w:rsid w:val="00E217B5"/>
    <w:rsid w:val="00E23AA6"/>
    <w:rsid w:val="00E25D3C"/>
    <w:rsid w:val="00E31830"/>
    <w:rsid w:val="00E31D1B"/>
    <w:rsid w:val="00E34FEF"/>
    <w:rsid w:val="00E41065"/>
    <w:rsid w:val="00E56764"/>
    <w:rsid w:val="00E61B32"/>
    <w:rsid w:val="00E67F9C"/>
    <w:rsid w:val="00E77631"/>
    <w:rsid w:val="00E92C7D"/>
    <w:rsid w:val="00E941E7"/>
    <w:rsid w:val="00E9609A"/>
    <w:rsid w:val="00EA15D8"/>
    <w:rsid w:val="00EA5BE6"/>
    <w:rsid w:val="00EB0924"/>
    <w:rsid w:val="00ED38ED"/>
    <w:rsid w:val="00EE4B44"/>
    <w:rsid w:val="00EE5A19"/>
    <w:rsid w:val="00F017C5"/>
    <w:rsid w:val="00F056A8"/>
    <w:rsid w:val="00F13639"/>
    <w:rsid w:val="00F2440B"/>
    <w:rsid w:val="00F45210"/>
    <w:rsid w:val="00F52C27"/>
    <w:rsid w:val="00F75C7A"/>
    <w:rsid w:val="00F909CA"/>
    <w:rsid w:val="00F95FA5"/>
    <w:rsid w:val="00F96B4A"/>
    <w:rsid w:val="00FB6601"/>
    <w:rsid w:val="00FC067F"/>
    <w:rsid w:val="00FD4E1D"/>
    <w:rsid w:val="00FD73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11343F"/>
  </w:style>
  <w:style w:type="paragraph" w:styleId="Subsol">
    <w:name w:val="footer"/>
    <w:basedOn w:val="Normal"/>
    <w:link w:val="SubsolCaracter"/>
    <w:uiPriority w:val="99"/>
    <w:semiHidden/>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113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11343F"/>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11343F"/>
  </w:style>
  <w:style w:type="paragraph" w:styleId="Subsol">
    <w:name w:val="footer"/>
    <w:basedOn w:val="Normal"/>
    <w:link w:val="SubsolCaracter"/>
    <w:uiPriority w:val="99"/>
    <w:semiHidden/>
    <w:unhideWhenUsed/>
    <w:rsid w:val="0011343F"/>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11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11/decizii/1_NOUTATI%20Procedura%20EIA(Dalia)_SEPT_2009/Documents%20and%20SettingsDalia%20BitanSintact%202.0cacheLegislatietemp00103869.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11/decizii/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2011/decizii/1_NOUTATI%20Procedura%20EIA(Dalia)_SEPT_2009/Documents%20and%20SettingsDalia%20BitanSintact%202.0cacheLegislatietemp00008742.htm" TargetMode="External"/><Relationship Id="rId4" Type="http://schemas.openxmlformats.org/officeDocument/2006/relationships/settings" Target="settings.xml"/><Relationship Id="rId9" Type="http://schemas.openxmlformats.org/officeDocument/2006/relationships/hyperlink" Target="../../../2011/decizii/1_NOUTATI%20Procedura%20EIA(Dalia)_SEPT_2009/Documents%20and%20SettingsDalia%20BitanSintact%202.0cacheLegislatietemp00033752.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2393</Words>
  <Characters>13882</Characters>
  <Application>Microsoft Office Word</Application>
  <DocSecurity>0</DocSecurity>
  <Lines>115</Lines>
  <Paragraphs>32</Paragraphs>
  <ScaleCrop>false</ScaleCrop>
  <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stocheci</dc:creator>
  <cp:keywords/>
  <dc:description/>
  <cp:lastModifiedBy>larisa stocheci</cp:lastModifiedBy>
  <cp:revision>3</cp:revision>
  <dcterms:created xsi:type="dcterms:W3CDTF">2017-05-16T09:25:00Z</dcterms:created>
  <dcterms:modified xsi:type="dcterms:W3CDTF">2017-05-16T09:27:00Z</dcterms:modified>
</cp:coreProperties>
</file>