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F" w:rsidRDefault="00633B2F" w:rsidP="00633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PROIECTUL DECIZIE ETAPEI DE ÎNCADRARE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Nr.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4035 din 19.06.2018</w:t>
      </w:r>
    </w:p>
    <w:p w:rsidR="00633B2F" w:rsidRDefault="00633B2F" w:rsidP="00633B2F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                      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 urmare a solicitării de emitere a acordului de mediu adresate de  Primăria Oraș Bolintin Vale, cu sediul în </w:t>
      </w:r>
      <w:r>
        <w:rPr>
          <w:rFonts w:ascii="Arial" w:hAnsi="Arial" w:cs="Arial"/>
          <w:sz w:val="24"/>
          <w:szCs w:val="24"/>
          <w:lang w:val="ro-RO" w:eastAsia="ro-RO"/>
        </w:rPr>
        <w:t>oraș Bolintin Vale, str. Libertății, nr. 1</w:t>
      </w:r>
      <w:r>
        <w:rPr>
          <w:rFonts w:ascii="Arial" w:hAnsi="Arial" w:cs="Arial"/>
          <w:sz w:val="24"/>
          <w:szCs w:val="24"/>
          <w:lang w:val="ro-RO"/>
        </w:rPr>
        <w:t>,  jud. Giurgiu,  înregistrată la A.P.M. Giurgiu cu nr.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4035 din 23.05.2018,</w:t>
      </w:r>
      <w:r>
        <w:rPr>
          <w:rStyle w:val="Bodytext7pt"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18.06.2018, că proiectul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ro-RO"/>
        </w:rPr>
        <w:t>„</w:t>
      </w:r>
      <w:r>
        <w:rPr>
          <w:rFonts w:ascii="Arial" w:hAnsi="Arial" w:cs="Arial"/>
          <w:sz w:val="24"/>
          <w:szCs w:val="24"/>
          <w:lang w:val="ro-RO" w:eastAsia="ro-RO"/>
        </w:rPr>
        <w:t>Înființare canalizare pluvială în orașul Bolintin Vale, jud. Giurgiu</w:t>
      </w:r>
      <w:r>
        <w:rPr>
          <w:rFonts w:ascii="Arial" w:hAnsi="Arial" w:cs="Arial"/>
          <w:sz w:val="24"/>
          <w:szCs w:val="24"/>
          <w:lang w:val="ro-RO"/>
        </w:rPr>
        <w:t xml:space="preserve">” </w:t>
      </w:r>
      <w:r>
        <w:rPr>
          <w:rFonts w:ascii="Arial" w:hAnsi="Arial" w:cs="Arial"/>
          <w:bCs/>
          <w:sz w:val="24"/>
          <w:szCs w:val="24"/>
          <w:lang w:val="ro-RO" w:eastAsia="ro-RO"/>
        </w:rPr>
        <w:t>propus a fi amplasat în</w:t>
      </w:r>
      <w:r>
        <w:rPr>
          <w:rFonts w:ascii="Arial" w:hAnsi="Arial" w:cs="Arial"/>
          <w:bCs/>
          <w:color w:val="FF0000"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 w:eastAsia="ro-RO"/>
        </w:rPr>
        <w:t xml:space="preserve">Bolintin Vale, </w:t>
      </w:r>
      <w:r>
        <w:rPr>
          <w:rFonts w:ascii="Arial" w:hAnsi="Arial" w:cs="Arial"/>
          <w:sz w:val="24"/>
          <w:szCs w:val="24"/>
          <w:lang w:val="ro-RO" w:eastAsia="ro-RO"/>
        </w:rPr>
        <w:t>str. Partizani, Stadionului, Unirii, Libertății, D. Bolintineanu, Poarta Luncii, Palanca, Republicii, Sabarului</w:t>
      </w:r>
      <w:r>
        <w:rPr>
          <w:rFonts w:ascii="Arial" w:hAnsi="Arial" w:cs="Arial"/>
          <w:sz w:val="24"/>
          <w:szCs w:val="24"/>
          <w:lang w:val="ro-RO"/>
        </w:rPr>
        <w:t>, jud. Giurgiu, nu se supune evaluării impactului asupra mediului şi nu se supune evaluării adecvate.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Justificarea prezentei decizii: 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.   Motivele care au stat la baza luării deciziei etapei de încadrare în procedura de evaluare a impactului asupra mediului sunt următoarele: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a) proiectul se încadrează în prevederile Hotărârii Guvernului nr. 445/2009, anexa nr. 2 punctul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10 b);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633B2F" w:rsidRDefault="00633B2F" w:rsidP="00633B2F">
      <w:pPr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Caracteristicile proiectului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Proiectul prevede realizarea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urmatoarelor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lucrari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 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</w:t>
      </w:r>
      <w:proofErr w:type="spellEnd"/>
      <w:r>
        <w:rPr>
          <w:rFonts w:ascii="Arial" w:hAnsi="Arial" w:cs="Arial"/>
          <w:sz w:val="24"/>
          <w:szCs w:val="24"/>
          <w:lang w:val="ro-RO"/>
        </w:rPr>
        <w:t>: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- reţea de canalizare pluvială cu colectoare realizate din conducte din PEID De 355-800mm, în lungime totală de 2,667 Km, care va colecta apa pluvială prin intermediul gurilor de scurgere și a conductelor de racord din PVC SN8 Dn200mm și va conduce efluentul, prin intermediul unui colector principal amplasat pe bulevardul Republicii, către complexul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preepurare-evacuare</w:t>
      </w:r>
      <w:proofErr w:type="spellEnd"/>
      <w:r>
        <w:rPr>
          <w:rFonts w:ascii="Arial" w:hAnsi="Arial" w:cs="Arial"/>
          <w:sz w:val="24"/>
          <w:szCs w:val="24"/>
          <w:lang w:val="ro-RO"/>
        </w:rPr>
        <w:t>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complex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preepurare-evacuare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cu o capacitate de 300l/s amplasat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vecinatatea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secțiunii de descărcare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apei colectate de rețea în emisar (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pâraul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Sabar).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Reţeaua de canalizare este de tip gravitaţional, preia apa meteorică provenită din scurgerile superficiale ale apei provenite de la ploaie, topire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zapada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sau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spalare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strazilor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platformelor impermeabilizate</w:t>
      </w:r>
      <w:r>
        <w:rPr>
          <w:rFonts w:ascii="Arial" w:hAnsi="Arial" w:cs="Arial"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   I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</w:p>
    <w:p w:rsidR="00633B2F" w:rsidRDefault="00633B2F" w:rsidP="00633B2F">
      <w:pPr>
        <w:spacing w:after="0" w:line="24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/>
        </w:rPr>
        <w:t>b) cumularea cu alte proiecte existente și/sau aprobate – nu există un impact cumulativ cu alte proiecte, care să aibă efecte semnificative asupra mediului.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c) </w:t>
      </w:r>
      <w:r>
        <w:rPr>
          <w:rFonts w:ascii="Arial" w:hAnsi="Arial" w:cs="Arial"/>
          <w:i/>
          <w:sz w:val="24"/>
          <w:szCs w:val="24"/>
          <w:lang w:val="ro-RO"/>
        </w:rPr>
        <w:t>utilizarea resurselor naturale în special a solului, a terenurilor, a apei și a biodiversității</w:t>
      </w:r>
      <w:r>
        <w:rPr>
          <w:rFonts w:ascii="Arial" w:hAnsi="Arial" w:cs="Arial"/>
          <w:sz w:val="24"/>
          <w:szCs w:val="24"/>
          <w:lang w:val="ro-RO"/>
        </w:rPr>
        <w:t xml:space="preserve"> - toate materialele folosite în derularea lucrărilor de construire și dezvoltare a proiectului sunt achiziționate de la furnizori de profil;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i/>
          <w:sz w:val="24"/>
          <w:szCs w:val="24"/>
          <w:lang w:val="ro-RO"/>
        </w:rPr>
        <w:t>d).producția de deșeuri</w:t>
      </w:r>
      <w:r>
        <w:rPr>
          <w:rFonts w:ascii="Arial" w:hAnsi="Arial" w:cs="Arial"/>
          <w:sz w:val="24"/>
          <w:szCs w:val="24"/>
          <w:lang w:val="ro-RO"/>
        </w:rPr>
        <w:t xml:space="preserve"> - atât în perioada de execuție a lucrărilor, cât și în timpul funcționării, deșeurile generate pe amplasament se vor colecta controlat, pe categorii și vor fi gestionate de unități abilitate;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kern w:val="16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evacuarea deşeurilor se va face prin colectare selectivă în pubele, depozitare temporară a acestora, apoi preluarea acestora de către operatori autorizaţi din zonă;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e) </w:t>
      </w:r>
      <w:r>
        <w:rPr>
          <w:rFonts w:ascii="Arial" w:hAnsi="Arial" w:cs="Arial"/>
          <w:i/>
          <w:sz w:val="24"/>
          <w:szCs w:val="24"/>
          <w:lang w:val="ro-RO"/>
        </w:rPr>
        <w:t>poluarea și alte efecte nocive</w:t>
      </w:r>
      <w:r>
        <w:rPr>
          <w:rFonts w:ascii="Arial" w:hAnsi="Arial" w:cs="Arial"/>
          <w:sz w:val="24"/>
          <w:szCs w:val="24"/>
          <w:lang w:val="ro-RO"/>
        </w:rPr>
        <w:t xml:space="preserve"> - emisiile poluante, inclusiv zgomotul şi alte surse de disconfort – lucrările și măsurile prevăzute în proiect nu vor afecta semnificativ factorii de mediu: aer, apă,sol/subsol, așezări umane;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    f) </w:t>
      </w:r>
      <w:r>
        <w:rPr>
          <w:rFonts w:ascii="Arial" w:hAnsi="Arial" w:cs="Arial"/>
          <w:i/>
          <w:sz w:val="24"/>
          <w:szCs w:val="24"/>
          <w:lang w:val="ro-RO"/>
        </w:rPr>
        <w:t>.riscurile de accidente majore și/sau dezastre relevante pentru proiectul în cauză, inclusiv cele cauzate de schimbările climatice, conform cunoștințelor științifice</w:t>
      </w:r>
      <w:r>
        <w:rPr>
          <w:rFonts w:ascii="Arial" w:hAnsi="Arial" w:cs="Arial"/>
          <w:sz w:val="24"/>
          <w:szCs w:val="24"/>
          <w:lang w:val="ro-RO"/>
        </w:rPr>
        <w:t xml:space="preserve"> - prin soluțiile constructive adoptate și un management corespunzător, proiectul nu va implica riscuri pentru sănătatea umană și pentru mediu;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    g).riscurile pentru sănătatea umană (de exemplu, din cauza contaminării apei sau a poluării atmosferice)</w:t>
      </w:r>
      <w:r>
        <w:rPr>
          <w:rFonts w:ascii="Arial" w:hAnsi="Arial" w:cs="Arial"/>
          <w:sz w:val="24"/>
          <w:szCs w:val="24"/>
          <w:lang w:val="ro-RO"/>
        </w:rPr>
        <w:t xml:space="preserve"> - proiectul nu va implica riscuri pentru sănătatea umană.    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33B2F" w:rsidRDefault="00633B2F" w:rsidP="00633B2F">
      <w:pPr>
        <w:pStyle w:val="List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Localizarea proiectului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33B2F" w:rsidRDefault="00633B2F" w:rsidP="00633B2F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>2.1. terenul pe care se va amplasa proiectul, este DJ 401 A și domeniul public Bolintin ale, jud. Giurgiu, conform certificatul de urbanism nr. 82/09.05.2018;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 xml:space="preserve">2.2. </w:t>
      </w:r>
      <w:r>
        <w:rPr>
          <w:rFonts w:ascii="Arial" w:hAnsi="Arial" w:cs="Arial"/>
          <w:i/>
          <w:sz w:val="24"/>
          <w:szCs w:val="24"/>
          <w:lang w:val="ro-RO"/>
        </w:rPr>
        <w:t xml:space="preserve">bogăția, disponibilitatea, calitatea și capacitatea de regenerare relative ale resurselor naturale (inclusiv solul, terenurile, apa și biodiversitatea) din zonă și din subteranul acesteia </w:t>
      </w:r>
      <w:r>
        <w:rPr>
          <w:rFonts w:ascii="Arial" w:hAnsi="Arial" w:cs="Arial"/>
          <w:sz w:val="24"/>
          <w:szCs w:val="24"/>
          <w:lang w:val="ro-RO"/>
        </w:rPr>
        <w:t>- nu există o abundenţă a resurselor naturale şi nu este cazul capacităţii regenerative a acestora;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2.3. </w:t>
      </w:r>
      <w:r>
        <w:rPr>
          <w:rFonts w:ascii="Arial" w:hAnsi="Arial" w:cs="Arial"/>
          <w:i/>
          <w:sz w:val="24"/>
          <w:szCs w:val="24"/>
          <w:lang w:val="ro-RO"/>
        </w:rPr>
        <w:t>capacitatea de absorbţie a mediului natural acordându-se o atenție specială următoarelor zone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 proiectul nu se află în zone umede, zone riverane, sau guri ale râurilor;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 proiectul nu se află în zone costiere sau în mediu marin;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c).proiectul nu se află în zone montane și forestiere;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d).proiectul nu se află în rezervaţii și parcuri naturale;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e) proiectul nu se află în zone clasificate sau protejate de dreptul național; zone Natura 2000  desemnate de statele membre în conformitate cu Directiva 92/43/CEE și cu Directiva 2009/147/CE;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vi).proiectul nu se află în zone în care au existat deja cazuri de nerespectare a standardelor de calitate a mediului prevăzute în dreptul Uniunii și relevante pentru proiect sau în care se consideră că există astfel de cazuri;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vii).proiectul nu se află în zone cu o densitate mare a populației;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vii).peisaje și situri importante din punct de vedere istoric, cultural sau arheologic: nu este cazul.</w:t>
      </w:r>
    </w:p>
    <w:p w:rsidR="00633B2F" w:rsidRDefault="00633B2F" w:rsidP="00633B2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33B2F" w:rsidRDefault="00633B2F" w:rsidP="00633B2F">
      <w:pPr>
        <w:pStyle w:val="List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Caracteristicile impactului potenţial</w:t>
      </w:r>
    </w:p>
    <w:p w:rsidR="00633B2F" w:rsidRDefault="00633B2F" w:rsidP="00633B2F">
      <w:pPr>
        <w:pStyle w:val="Listparagraf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 a)importanța și extinderea spațială a impactului</w:t>
      </w:r>
      <w:r>
        <w:rPr>
          <w:rFonts w:ascii="Arial" w:hAnsi="Arial" w:cs="Arial"/>
          <w:sz w:val="24"/>
          <w:szCs w:val="24"/>
          <w:lang w:val="ro-RO"/>
        </w:rPr>
        <w:t xml:space="preserve"> (de exemplu, zona geografică și dimensiunea populației care poate fi afectată) - proiectul nu este extins ca arie geografică şi nu afectează un număr mare de persoane;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b)natura impactului</w:t>
      </w:r>
      <w:r>
        <w:rPr>
          <w:rFonts w:ascii="Arial" w:hAnsi="Arial" w:cs="Arial"/>
          <w:sz w:val="24"/>
          <w:szCs w:val="24"/>
          <w:lang w:val="ro-RO"/>
        </w:rPr>
        <w:t xml:space="preserve">  - afectarea factorilor de mediu va fi una redusă, iar impactul asupra mediului va fi unul negativ;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c)proiectul nu are impact transfrontalier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d)intensitatea şi complexitatea impactului</w:t>
      </w:r>
      <w:r>
        <w:rPr>
          <w:rFonts w:ascii="Arial" w:hAnsi="Arial" w:cs="Arial"/>
          <w:sz w:val="24"/>
          <w:szCs w:val="24"/>
          <w:lang w:val="ro-RO"/>
        </w:rPr>
        <w:t xml:space="preserve"> - conform listei de control, impactul este minim şi local;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e)probabilitatea impactului generat de proiect</w:t>
      </w:r>
      <w:r>
        <w:rPr>
          <w:rFonts w:ascii="Arial" w:hAnsi="Arial" w:cs="Arial"/>
          <w:sz w:val="24"/>
          <w:szCs w:val="24"/>
          <w:lang w:val="ro-RO"/>
        </w:rPr>
        <w:t xml:space="preserve"> - conform listei de control, nu există un impact negativ asupra mediului;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f)debutul, durata, frecvența și reversibilitatea preconizate ale impactului</w:t>
      </w:r>
      <w:r>
        <w:rPr>
          <w:rFonts w:ascii="Arial" w:hAnsi="Arial" w:cs="Arial"/>
          <w:sz w:val="24"/>
          <w:szCs w:val="24"/>
          <w:lang w:val="ro-RO"/>
        </w:rPr>
        <w:t xml:space="preserve"> -  nu este cazul;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g)cumularea impactului cu impactul altor proiecte existente și/sau aprobate</w:t>
      </w:r>
      <w:r>
        <w:rPr>
          <w:rFonts w:ascii="Arial" w:hAnsi="Arial" w:cs="Arial"/>
          <w:sz w:val="24"/>
          <w:szCs w:val="24"/>
          <w:lang w:val="ro-RO"/>
        </w:rPr>
        <w:t xml:space="preserve"> - nu există un impact cumulativ cu alte proiecte, care să aibă efecte semnificative asupra mediului;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lastRenderedPageBreak/>
        <w:t xml:space="preserve">h)posibilitatea de reducere efectivă a impactului </w:t>
      </w:r>
      <w:r>
        <w:rPr>
          <w:rFonts w:ascii="Arial" w:hAnsi="Arial" w:cs="Arial"/>
          <w:sz w:val="24"/>
          <w:szCs w:val="24"/>
          <w:lang w:val="ro-RO"/>
        </w:rPr>
        <w:t>-  prin soluțiile constructive adoptate și un management corespunzător, proiectul nu va implica riscuri pentru sănătatea umană și pentru mediu.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II.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>Motivele care au stat la baza luării deciziei etapei de încadrare în procedura de evaluare adecvată: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33B2F" w:rsidRDefault="00633B2F" w:rsidP="00633B2F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633B2F" w:rsidRDefault="00633B2F" w:rsidP="00633B2F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conform deciziei etapei de evaluare iniţială nr. 4035/SAAA/31.05.2018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proiectul propus </w:t>
      </w:r>
      <w:r>
        <w:rPr>
          <w:b/>
          <w:sz w:val="24"/>
          <w:szCs w:val="24"/>
        </w:rPr>
        <w:t xml:space="preserve"> nu intră</w:t>
      </w:r>
      <w:r>
        <w:rPr>
          <w:sz w:val="24"/>
          <w:szCs w:val="24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 acestuia fiind situat în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intravilan comunei Bolintin Vale, jud. Giurgiu.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-  pe parcursul procedurii nu s-au înregistrat observaţii din partea publicului.</w:t>
      </w:r>
    </w:p>
    <w:p w:rsidR="00633B2F" w:rsidRDefault="00633B2F" w:rsidP="00633B2F">
      <w:pPr>
        <w:spacing w:after="0" w:line="240" w:lineRule="auto"/>
        <w:ind w:left="390"/>
        <w:jc w:val="both"/>
        <w:rPr>
          <w:rFonts w:ascii="Arial" w:hAnsi="Arial" w:cs="Arial"/>
          <w:color w:val="FF0000"/>
          <w:sz w:val="24"/>
          <w:szCs w:val="24"/>
          <w:lang w:val="ro-RO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036"/>
        <w:gridCol w:w="2832"/>
        <w:gridCol w:w="2082"/>
      </w:tblGrid>
      <w:tr w:rsidR="00633B2F" w:rsidTr="00633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Etapa din procedura de reglementare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A.P.M. Giurgiu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 Titular proiect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Participări ale publicului în procedura derulată</w:t>
            </w:r>
          </w:p>
        </w:tc>
      </w:tr>
      <w:tr w:rsidR="00633B2F" w:rsidTr="00633B2F">
        <w:trPr>
          <w:trHeight w:val="2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Solicitare acord de mediu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Afişare pe pagina web în data de </w:t>
            </w:r>
          </w:p>
          <w:p w:rsidR="00633B2F" w:rsidRDefault="00633B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31.05.2018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Ziarul „Giurgiuveanul” din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07.06.2018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şi afişare la sediul Primăriei Bolintin Vale, în data de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07.06.2018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2F" w:rsidRDefault="00633B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633B2F" w:rsidRDefault="00633B2F" w:rsidP="00633B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x-none"/>
        </w:rPr>
      </w:pPr>
      <w:r>
        <w:rPr>
          <w:rFonts w:ascii="Arial" w:hAnsi="Arial" w:cs="Arial"/>
          <w:b/>
          <w:sz w:val="24"/>
          <w:szCs w:val="24"/>
          <w:lang w:val="ro-RO" w:eastAsia="x-none"/>
        </w:rPr>
        <w:t>Condiţiile de realizare a proiectului:</w:t>
      </w:r>
      <w:r>
        <w:rPr>
          <w:rFonts w:ascii="Arial" w:hAnsi="Arial" w:cs="Arial"/>
          <w:sz w:val="24"/>
          <w:szCs w:val="24"/>
          <w:lang w:val="ro-RO" w:eastAsia="x-none"/>
        </w:rPr>
        <w:t xml:space="preserve"> 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x-none"/>
        </w:rPr>
      </w:pP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1. Protecţia calităţii apelor: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Complexul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preepurare-evacuare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apei colectate la emisar se va executa de tip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semiîngropat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preponderent subteran, pe un teren situat pe malul drept al pârâului Sabar, cu acces in incinta amplasamentului din strada Sabarului. Acesta este compus din următoarele obiecte tehnologice specifice: stație de pompare, cămin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debitmetrie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baterie de 3 separatoare de hidrocarburi dispuse in paralel, gura de evacuare la descărcarea pe cele 3 linii de descărcare pompata a apei, conducta by-pass ocolitoare a sistemului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preepurare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în situații de debite superioare capacității proiectate a bateriei si o gura de evacuare a acestei conducte care va descărca apa in regim gravitațional la emisar.</w:t>
      </w:r>
    </w:p>
    <w:p w:rsidR="00633B2F" w:rsidRDefault="00633B2F" w:rsidP="00633B2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deșeurile rezultate în timpul realizării lucrărilor se vor gestiona corespunzător, evitându-se contactul acestora cu apele de suprafaţă şi cu pânza freatică.</w:t>
      </w:r>
    </w:p>
    <w:p w:rsidR="00633B2F" w:rsidRDefault="00633B2F" w:rsidP="00633B2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respectarea prevederilor HG nr. 351/2005 cu modificările și completările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ultrioare</w:t>
      </w:r>
      <w:proofErr w:type="spellEnd"/>
      <w:r>
        <w:rPr>
          <w:rFonts w:ascii="Arial" w:hAnsi="Arial" w:cs="Arial"/>
          <w:sz w:val="24"/>
          <w:szCs w:val="24"/>
          <w:lang w:val="ro-RO"/>
        </w:rPr>
        <w:t>; HG nr. 188/2002 pentru aprobarea unor norme privind condițiile de descărcare în mediul acvatic a apelor uzate NTPA/002/2002</w:t>
      </w:r>
    </w:p>
    <w:p w:rsidR="00633B2F" w:rsidRDefault="00633B2F" w:rsidP="00633B2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2. Protecţia calităţii aerului:</w:t>
      </w:r>
    </w:p>
    <w:p w:rsidR="00633B2F" w:rsidRDefault="00633B2F" w:rsidP="00633B2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în perioada de execuţie a lucrărilor sursele de poluare pentru aer vor fi autovehiculele şi utilajele folosite, transportul şi manipularea materialelor folosite;</w:t>
      </w:r>
    </w:p>
    <w:p w:rsidR="00633B2F" w:rsidRDefault="00633B2F" w:rsidP="00633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Se vor lua măsuri de reducere a nivelului de praf.</w:t>
      </w:r>
    </w:p>
    <w:p w:rsidR="00633B2F" w:rsidRDefault="00633B2F" w:rsidP="00633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lastRenderedPageBreak/>
        <w:t>Pe perioada de exploatare, în condițiile respectării parametrilor tehnologici de exploatare nu există surse de poluare pentru aer.</w:t>
      </w:r>
    </w:p>
    <w:p w:rsidR="00633B2F" w:rsidRDefault="00633B2F" w:rsidP="00633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Se va respecta legislația aerului ambiental în orice condiții atmosferice.</w:t>
      </w:r>
    </w:p>
    <w:p w:rsidR="00633B2F" w:rsidRDefault="00633B2F" w:rsidP="00633B2F">
      <w:pPr>
        <w:pStyle w:val="Listparagraf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va respecta prevederile Legii nr. 104/2011 privind calitatea aerului înconjurător;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se vor respecta prevederile STAS 12574-87 privind condițiile de calitate a aerului în zonele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protejate-</w:t>
      </w:r>
      <w:proofErr w:type="spellEnd"/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3.Protecţia împotriva zgomotului şi vibraţiilor:</w:t>
      </w:r>
    </w:p>
    <w:p w:rsidR="00633B2F" w:rsidRDefault="00633B2F" w:rsidP="00633B2F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sursele de zgomot și vibrații sunt reprezentate de echipamentele/instalațiile necesare pentru realizarea investiției</w:t>
      </w:r>
    </w:p>
    <w:p w:rsidR="00633B2F" w:rsidRDefault="00633B2F" w:rsidP="00633B2F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folosi utilaje cât mai silențioase în vederea diminuării fonice.</w:t>
      </w:r>
    </w:p>
    <w:p w:rsidR="00633B2F" w:rsidRDefault="00633B2F" w:rsidP="00633B2F">
      <w:pPr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respectarea prevederilor STAS 10009-88 privind protecția împotriva zgomotului și vibrațiilor.</w:t>
      </w: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4. Protecţia solului şi subsolului:</w:t>
      </w: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- deşeurile menajere vor fi evacuate de unitatea de salubrizare din Bolintin Deal;</w:t>
      </w: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- deșeurile rezultate în urma realizării proiectului vor fi gestionate de către constructor;</w:t>
      </w:r>
    </w:p>
    <w:p w:rsidR="00633B2F" w:rsidRDefault="00633B2F" w:rsidP="00633B2F">
      <w:pPr>
        <w:pStyle w:val="Liniuta01"/>
        <w:numPr>
          <w:ilvl w:val="0"/>
          <w:numId w:val="0"/>
        </w:numPr>
        <w:spacing w:line="240" w:lineRule="auto"/>
        <w:ind w:left="426" w:hanging="66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 perioada şantierului rezultă următoarele: resturi de lemne, elemente metalice, ambalaje din plastic sau hârtie</w:t>
      </w:r>
    </w:p>
    <w:p w:rsidR="00633B2F" w:rsidRDefault="00633B2F" w:rsidP="00633B2F">
      <w:pPr>
        <w:pStyle w:val="Liniuta01"/>
        <w:numPr>
          <w:ilvl w:val="0"/>
          <w:numId w:val="0"/>
        </w:numPr>
        <w:spacing w:line="240" w:lineRule="auto"/>
        <w:ind w:left="720" w:hanging="36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 perioada de exploatare a investiţiei rezultă următoarele deșeuri: 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color w:val="FF0000"/>
          <w:lang w:val="ro-RO"/>
        </w:rPr>
        <w:t xml:space="preserve">     </w:t>
      </w:r>
      <w:r>
        <w:rPr>
          <w:rFonts w:ascii="Arial" w:hAnsi="Arial" w:cs="Arial"/>
          <w:lang w:val="ro-RO"/>
        </w:rPr>
        <w:t>- Deşeuri de tip deşeuri municipal 20 03 99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color w:val="FF0000"/>
          <w:lang w:val="ro-RO"/>
        </w:rPr>
        <w:t xml:space="preserve">     </w:t>
      </w:r>
      <w:r>
        <w:rPr>
          <w:rFonts w:ascii="Arial" w:hAnsi="Arial" w:cs="Arial"/>
          <w:lang w:val="ro-RO"/>
        </w:rPr>
        <w:t>- Deşeuri</w:t>
      </w:r>
      <w:r>
        <w:rPr>
          <w:rFonts w:ascii="Arial" w:hAnsi="Arial" w:cs="Arial"/>
          <w:color w:val="FF0000"/>
          <w:lang w:val="ro-RO"/>
        </w:rPr>
        <w:t xml:space="preserve"> </w:t>
      </w:r>
      <w:r>
        <w:rPr>
          <w:rFonts w:ascii="Arial" w:hAnsi="Arial" w:cs="Arial"/>
          <w:lang w:val="ro-RO"/>
        </w:rPr>
        <w:t>biodegradabile 20 02 01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- Deşeuri</w:t>
      </w:r>
      <w:r>
        <w:rPr>
          <w:rFonts w:ascii="Arial" w:hAnsi="Arial" w:cs="Arial"/>
          <w:color w:val="FF0000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hârtie și carton 20 01 </w:t>
      </w:r>
      <w:proofErr w:type="spellStart"/>
      <w:r>
        <w:rPr>
          <w:rFonts w:ascii="Arial" w:hAnsi="Arial" w:cs="Arial"/>
          <w:lang w:val="ro-RO"/>
        </w:rPr>
        <w:t>01</w:t>
      </w:r>
      <w:proofErr w:type="spellEnd"/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- Deşeuri</w:t>
      </w:r>
      <w:r>
        <w:rPr>
          <w:rFonts w:ascii="Arial" w:hAnsi="Arial" w:cs="Arial"/>
          <w:color w:val="FF0000"/>
          <w:lang w:val="ro-RO"/>
        </w:rPr>
        <w:t xml:space="preserve"> </w:t>
      </w:r>
      <w:r>
        <w:rPr>
          <w:rFonts w:ascii="Arial" w:hAnsi="Arial" w:cs="Arial"/>
          <w:lang w:val="ro-RO"/>
        </w:rPr>
        <w:t>materiale plastice  20.01.39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color w:val="FF0000"/>
          <w:lang w:val="ro-RO"/>
        </w:rPr>
        <w:t xml:space="preserve">     </w:t>
      </w:r>
      <w:r>
        <w:rPr>
          <w:rFonts w:ascii="Arial" w:hAnsi="Arial" w:cs="Arial"/>
          <w:lang w:val="ro-RO"/>
        </w:rPr>
        <w:t>- Deşeuri sticlă 20 01 02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- deșeuri metale 20 01 40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color w:val="FF0000"/>
          <w:lang w:val="ro-RO"/>
        </w:rPr>
        <w:t xml:space="preserve">- </w:t>
      </w:r>
      <w:r>
        <w:rPr>
          <w:rFonts w:ascii="Arial" w:hAnsi="Arial" w:cs="Arial"/>
          <w:lang w:val="ro-RO"/>
        </w:rPr>
        <w:t>se vor respecta prevederile Ord. 211/2011 privind regimul deşeurilor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Respectarea prevederilor Ord. nr. 119/2014 pentru aprobarea Normelor de igienă și sănătate publică privind mediul de viață al populației</w:t>
      </w:r>
    </w:p>
    <w:p w:rsidR="00633B2F" w:rsidRDefault="00633B2F" w:rsidP="00633B2F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FF0000"/>
          <w:lang w:val="ro-RO"/>
        </w:rPr>
      </w:pPr>
    </w:p>
    <w:p w:rsidR="00633B2F" w:rsidRDefault="00633B2F" w:rsidP="00633B2F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Alte condiții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u w:val="single"/>
          <w:lang w:val="ro-RO"/>
        </w:rPr>
        <w:t>Faza de realizare a obiectivului şi organizarea de şantier: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Lucrările necesare organizării de şantier:</w:t>
      </w:r>
    </w:p>
    <w:p w:rsidR="00633B2F" w:rsidRDefault="00633B2F" w:rsidP="00633B2F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-  </w:t>
      </w:r>
      <w:r>
        <w:rPr>
          <w:rFonts w:ascii="Arial" w:hAnsi="Arial" w:cs="Arial"/>
          <w:sz w:val="24"/>
          <w:szCs w:val="24"/>
          <w:lang w:val="ro-RO"/>
        </w:rPr>
        <w:t xml:space="preserve">Planul de organizare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santier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cuprinde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urmatoarele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imprejmuire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accese,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PSI (punct de prevenire si stingere a incendiilor). Se vor amplasa toalete ecologice intr-un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numar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care sa corespunda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numarului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personal de pe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santier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birouri tip container, se va asigura paza permanenta.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deşeurile menajere se vor colecta în pubele  şi vor fi preluate de serviciul de salubrizare al localităţii;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va anunţa A.P.M. Giurgiu în cazul apariţiei unor elemente noi în timpul execuţiei lucrărilor, neprecizate în documentaţie;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lua măsuri astfel încât pe perioada de execuţie a lucrărilor să nu se producă zgomote şi disconfort care ar putea afecta vecinătăţile;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se vor respecta prevederile STAS 10009-88 privind protecţia împotriva zgomotului şi vibraţiilor;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supravegherea executării lucrărilor în vederea respectării proiectului de execuţie;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anunţarea A.P.M. Giurgiu în maxim două ore în cazul când apar situaţii deosebite care ar putea să afecteze mediul înconjurător;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respectarea legislaţiei de mediu în vigoare;</w:t>
      </w:r>
    </w:p>
    <w:p w:rsidR="00633B2F" w:rsidRDefault="00633B2F" w:rsidP="00633B2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-  să permită accesul reprezentanţilor autorităţii de mediu în incinta obiectivului şi să pună la dispoziţia acestora toate documentele clarificatoare privind protecţia mediului.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u w:val="single"/>
          <w:lang w:val="ro-RO"/>
        </w:rPr>
        <w:t>Lucrări de refacere a amplasamentului: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la finalizarea investiţiei se va face nivelarea și tasarea solului, aducând terenul la starea inițială;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se vor lua măsuri astfel încât pe perioada de execuţie a lucrărilor să nu se producă zgomot şi disconfort care ar putea afecta vecinătăţile,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la finalizarea investiției se va solicita revizuirea autorizației de mediu deținute.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la finalizarea proiectului se va anunţa GNM - Serviciul Comisariatului Județean Giurgiu în vederea efectuării unui control de specialitate pentru verificarea respectării condiţiilor din decizia etapei de încadrare, conform prevederilor art. 49, alin. (3) din Ord. 135//2010 și revizuirea autorizației de mediu deținută.</w:t>
      </w:r>
    </w:p>
    <w:p w:rsidR="00633B2F" w:rsidRDefault="00633B2F" w:rsidP="00633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633B2F" w:rsidRDefault="00633B2F" w:rsidP="00633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13A4E" w:rsidRPr="00633B2F" w:rsidRDefault="00813A4E">
      <w:pPr>
        <w:rPr>
          <w:lang w:val="ro-RO"/>
        </w:rPr>
      </w:pPr>
      <w:bookmarkStart w:id="0" w:name="_GoBack"/>
      <w:bookmarkEnd w:id="0"/>
    </w:p>
    <w:sectPr w:rsidR="00813A4E" w:rsidRPr="0063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3A8"/>
    <w:multiLevelType w:val="hybridMultilevel"/>
    <w:tmpl w:val="F260CEFA"/>
    <w:lvl w:ilvl="0" w:tplc="0418000F">
      <w:start w:val="1"/>
      <w:numFmt w:val="decimal"/>
      <w:lvlText w:val="%1."/>
      <w:lvlJc w:val="left"/>
      <w:pPr>
        <w:ind w:left="2062" w:hanging="360"/>
      </w:pPr>
    </w:lvl>
    <w:lvl w:ilvl="1" w:tplc="04180019">
      <w:start w:val="1"/>
      <w:numFmt w:val="lowerLetter"/>
      <w:lvlText w:val="%2."/>
      <w:lvlJc w:val="left"/>
      <w:pPr>
        <w:ind w:left="2782" w:hanging="360"/>
      </w:pPr>
    </w:lvl>
    <w:lvl w:ilvl="2" w:tplc="0418001B">
      <w:start w:val="1"/>
      <w:numFmt w:val="lowerRoman"/>
      <w:lvlText w:val="%3."/>
      <w:lvlJc w:val="right"/>
      <w:pPr>
        <w:ind w:left="3502" w:hanging="180"/>
      </w:pPr>
    </w:lvl>
    <w:lvl w:ilvl="3" w:tplc="0418000F">
      <w:start w:val="1"/>
      <w:numFmt w:val="decimal"/>
      <w:lvlText w:val="%4."/>
      <w:lvlJc w:val="left"/>
      <w:pPr>
        <w:ind w:left="4222" w:hanging="360"/>
      </w:pPr>
    </w:lvl>
    <w:lvl w:ilvl="4" w:tplc="04180019">
      <w:start w:val="1"/>
      <w:numFmt w:val="lowerLetter"/>
      <w:lvlText w:val="%5."/>
      <w:lvlJc w:val="left"/>
      <w:pPr>
        <w:ind w:left="4942" w:hanging="360"/>
      </w:pPr>
    </w:lvl>
    <w:lvl w:ilvl="5" w:tplc="0418001B">
      <w:start w:val="1"/>
      <w:numFmt w:val="lowerRoman"/>
      <w:lvlText w:val="%6."/>
      <w:lvlJc w:val="right"/>
      <w:pPr>
        <w:ind w:left="5662" w:hanging="180"/>
      </w:pPr>
    </w:lvl>
    <w:lvl w:ilvl="6" w:tplc="0418000F">
      <w:start w:val="1"/>
      <w:numFmt w:val="decimal"/>
      <w:lvlText w:val="%7."/>
      <w:lvlJc w:val="left"/>
      <w:pPr>
        <w:ind w:left="6382" w:hanging="360"/>
      </w:pPr>
    </w:lvl>
    <w:lvl w:ilvl="7" w:tplc="04180019">
      <w:start w:val="1"/>
      <w:numFmt w:val="lowerLetter"/>
      <w:lvlText w:val="%8."/>
      <w:lvlJc w:val="left"/>
      <w:pPr>
        <w:ind w:left="7102" w:hanging="360"/>
      </w:pPr>
    </w:lvl>
    <w:lvl w:ilvl="8" w:tplc="0418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3813A14"/>
    <w:multiLevelType w:val="hybridMultilevel"/>
    <w:tmpl w:val="D8D874C2"/>
    <w:lvl w:ilvl="0" w:tplc="232E0764">
      <w:start w:val="6"/>
      <w:numFmt w:val="bullet"/>
      <w:pStyle w:val="Liniuta0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33EF"/>
    <w:multiLevelType w:val="hybridMultilevel"/>
    <w:tmpl w:val="BA364732"/>
    <w:lvl w:ilvl="0" w:tplc="1B2CE72A">
      <w:start w:val="3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549716C"/>
    <w:multiLevelType w:val="hybridMultilevel"/>
    <w:tmpl w:val="6D246D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F"/>
    <w:rsid w:val="000014CB"/>
    <w:rsid w:val="00002DD0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B54"/>
    <w:rsid w:val="00067902"/>
    <w:rsid w:val="000720D8"/>
    <w:rsid w:val="000738E3"/>
    <w:rsid w:val="00076ED4"/>
    <w:rsid w:val="00082189"/>
    <w:rsid w:val="00082C43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6A9E"/>
    <w:rsid w:val="00100F7D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4881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92CA4"/>
    <w:rsid w:val="00194670"/>
    <w:rsid w:val="00195CEF"/>
    <w:rsid w:val="001978CA"/>
    <w:rsid w:val="001A753D"/>
    <w:rsid w:val="001B6411"/>
    <w:rsid w:val="001C5CD2"/>
    <w:rsid w:val="001D1592"/>
    <w:rsid w:val="001D2054"/>
    <w:rsid w:val="001E3676"/>
    <w:rsid w:val="001F0E73"/>
    <w:rsid w:val="001F5760"/>
    <w:rsid w:val="002016FB"/>
    <w:rsid w:val="00205659"/>
    <w:rsid w:val="002063AC"/>
    <w:rsid w:val="002118F0"/>
    <w:rsid w:val="00216B06"/>
    <w:rsid w:val="002241FF"/>
    <w:rsid w:val="00224674"/>
    <w:rsid w:val="0022729E"/>
    <w:rsid w:val="00240A26"/>
    <w:rsid w:val="00251D72"/>
    <w:rsid w:val="0025345B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D5E78"/>
    <w:rsid w:val="002D65F1"/>
    <w:rsid w:val="002E0289"/>
    <w:rsid w:val="002E2B98"/>
    <w:rsid w:val="002F734B"/>
    <w:rsid w:val="0031277A"/>
    <w:rsid w:val="00313F79"/>
    <w:rsid w:val="00314562"/>
    <w:rsid w:val="0031793B"/>
    <w:rsid w:val="00324AC8"/>
    <w:rsid w:val="003304B6"/>
    <w:rsid w:val="00332083"/>
    <w:rsid w:val="003416F8"/>
    <w:rsid w:val="00352C76"/>
    <w:rsid w:val="00357D55"/>
    <w:rsid w:val="00357EB4"/>
    <w:rsid w:val="00372454"/>
    <w:rsid w:val="0037695E"/>
    <w:rsid w:val="00383849"/>
    <w:rsid w:val="003923CD"/>
    <w:rsid w:val="00395D5A"/>
    <w:rsid w:val="003C1812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7F15"/>
    <w:rsid w:val="004033DF"/>
    <w:rsid w:val="00405924"/>
    <w:rsid w:val="00406199"/>
    <w:rsid w:val="00416C86"/>
    <w:rsid w:val="00424B93"/>
    <w:rsid w:val="0042531F"/>
    <w:rsid w:val="00430114"/>
    <w:rsid w:val="004350AE"/>
    <w:rsid w:val="0043545E"/>
    <w:rsid w:val="00441CBB"/>
    <w:rsid w:val="004575AE"/>
    <w:rsid w:val="004626CE"/>
    <w:rsid w:val="00472B9C"/>
    <w:rsid w:val="00486950"/>
    <w:rsid w:val="004869B8"/>
    <w:rsid w:val="004873F1"/>
    <w:rsid w:val="00487709"/>
    <w:rsid w:val="00493EDE"/>
    <w:rsid w:val="00494291"/>
    <w:rsid w:val="00494E60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1DE4"/>
    <w:rsid w:val="00545AA1"/>
    <w:rsid w:val="00555743"/>
    <w:rsid w:val="00557153"/>
    <w:rsid w:val="005605AE"/>
    <w:rsid w:val="00561053"/>
    <w:rsid w:val="005629EE"/>
    <w:rsid w:val="00564170"/>
    <w:rsid w:val="00570F6B"/>
    <w:rsid w:val="00571DA0"/>
    <w:rsid w:val="00574119"/>
    <w:rsid w:val="00592305"/>
    <w:rsid w:val="005963AC"/>
    <w:rsid w:val="005A1204"/>
    <w:rsid w:val="005A6B00"/>
    <w:rsid w:val="005B10D3"/>
    <w:rsid w:val="005B1414"/>
    <w:rsid w:val="005B1D53"/>
    <w:rsid w:val="005B41C3"/>
    <w:rsid w:val="005C0FEC"/>
    <w:rsid w:val="005C5272"/>
    <w:rsid w:val="005D04F6"/>
    <w:rsid w:val="005D6B9C"/>
    <w:rsid w:val="005E45FB"/>
    <w:rsid w:val="005E61A0"/>
    <w:rsid w:val="005F201D"/>
    <w:rsid w:val="005F60A7"/>
    <w:rsid w:val="00607893"/>
    <w:rsid w:val="006103CB"/>
    <w:rsid w:val="006155E6"/>
    <w:rsid w:val="00624DFE"/>
    <w:rsid w:val="00633920"/>
    <w:rsid w:val="00633B2F"/>
    <w:rsid w:val="00633E47"/>
    <w:rsid w:val="0063540B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4648"/>
    <w:rsid w:val="006D1904"/>
    <w:rsid w:val="006D4F1B"/>
    <w:rsid w:val="006D653E"/>
    <w:rsid w:val="006E2C29"/>
    <w:rsid w:val="006F36A7"/>
    <w:rsid w:val="006F6D5D"/>
    <w:rsid w:val="007037E7"/>
    <w:rsid w:val="00706F7F"/>
    <w:rsid w:val="007105A0"/>
    <w:rsid w:val="00714726"/>
    <w:rsid w:val="00732DC5"/>
    <w:rsid w:val="00741423"/>
    <w:rsid w:val="007617D3"/>
    <w:rsid w:val="00764D41"/>
    <w:rsid w:val="00770E9F"/>
    <w:rsid w:val="00771BD6"/>
    <w:rsid w:val="00772421"/>
    <w:rsid w:val="007866D8"/>
    <w:rsid w:val="00786930"/>
    <w:rsid w:val="00786AB4"/>
    <w:rsid w:val="00793E65"/>
    <w:rsid w:val="007A7D7C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2164"/>
    <w:rsid w:val="0080124F"/>
    <w:rsid w:val="00802AB1"/>
    <w:rsid w:val="00804009"/>
    <w:rsid w:val="00805877"/>
    <w:rsid w:val="00806D12"/>
    <w:rsid w:val="008074A5"/>
    <w:rsid w:val="0081334C"/>
    <w:rsid w:val="00813A4E"/>
    <w:rsid w:val="00815163"/>
    <w:rsid w:val="008223A7"/>
    <w:rsid w:val="00825F7D"/>
    <w:rsid w:val="0082663B"/>
    <w:rsid w:val="00831416"/>
    <w:rsid w:val="00831F31"/>
    <w:rsid w:val="00842B3D"/>
    <w:rsid w:val="00845F67"/>
    <w:rsid w:val="008472C4"/>
    <w:rsid w:val="00851800"/>
    <w:rsid w:val="00854645"/>
    <w:rsid w:val="00867D57"/>
    <w:rsid w:val="008705E5"/>
    <w:rsid w:val="00876B01"/>
    <w:rsid w:val="00880853"/>
    <w:rsid w:val="00881ED5"/>
    <w:rsid w:val="00881F6C"/>
    <w:rsid w:val="0089025D"/>
    <w:rsid w:val="00893710"/>
    <w:rsid w:val="00893B00"/>
    <w:rsid w:val="008A7F44"/>
    <w:rsid w:val="008B61CD"/>
    <w:rsid w:val="008C2028"/>
    <w:rsid w:val="008C4F7C"/>
    <w:rsid w:val="008D1B50"/>
    <w:rsid w:val="008D2D8B"/>
    <w:rsid w:val="008F58B2"/>
    <w:rsid w:val="0090789E"/>
    <w:rsid w:val="009116D6"/>
    <w:rsid w:val="00926CF8"/>
    <w:rsid w:val="009402DB"/>
    <w:rsid w:val="009422ED"/>
    <w:rsid w:val="0094549C"/>
    <w:rsid w:val="00946488"/>
    <w:rsid w:val="009612A2"/>
    <w:rsid w:val="0096283B"/>
    <w:rsid w:val="0097183E"/>
    <w:rsid w:val="009724A2"/>
    <w:rsid w:val="00974A46"/>
    <w:rsid w:val="00975B34"/>
    <w:rsid w:val="009824D6"/>
    <w:rsid w:val="00985AE8"/>
    <w:rsid w:val="009904A2"/>
    <w:rsid w:val="00990562"/>
    <w:rsid w:val="009914CA"/>
    <w:rsid w:val="0099563E"/>
    <w:rsid w:val="009A2249"/>
    <w:rsid w:val="009A582D"/>
    <w:rsid w:val="009B069E"/>
    <w:rsid w:val="009B1EA8"/>
    <w:rsid w:val="009B6D5B"/>
    <w:rsid w:val="009B7C2F"/>
    <w:rsid w:val="009C0C76"/>
    <w:rsid w:val="009D104A"/>
    <w:rsid w:val="009E3801"/>
    <w:rsid w:val="009F2C37"/>
    <w:rsid w:val="009F4BFE"/>
    <w:rsid w:val="00A01166"/>
    <w:rsid w:val="00A01C09"/>
    <w:rsid w:val="00A0297D"/>
    <w:rsid w:val="00A16A95"/>
    <w:rsid w:val="00A21A1F"/>
    <w:rsid w:val="00A36FA5"/>
    <w:rsid w:val="00A400F5"/>
    <w:rsid w:val="00A401C2"/>
    <w:rsid w:val="00A53194"/>
    <w:rsid w:val="00A5431F"/>
    <w:rsid w:val="00A55385"/>
    <w:rsid w:val="00A55745"/>
    <w:rsid w:val="00A623D0"/>
    <w:rsid w:val="00A655AF"/>
    <w:rsid w:val="00A9525A"/>
    <w:rsid w:val="00A9691C"/>
    <w:rsid w:val="00AA4AFB"/>
    <w:rsid w:val="00AA6BBF"/>
    <w:rsid w:val="00AA6F67"/>
    <w:rsid w:val="00AA7024"/>
    <w:rsid w:val="00AB578A"/>
    <w:rsid w:val="00AB751D"/>
    <w:rsid w:val="00AC20D1"/>
    <w:rsid w:val="00AC24E1"/>
    <w:rsid w:val="00AC74E9"/>
    <w:rsid w:val="00AD034A"/>
    <w:rsid w:val="00AE5F3F"/>
    <w:rsid w:val="00AE79FC"/>
    <w:rsid w:val="00AF127B"/>
    <w:rsid w:val="00B010CD"/>
    <w:rsid w:val="00B017DE"/>
    <w:rsid w:val="00B04A69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6410"/>
    <w:rsid w:val="00B6137B"/>
    <w:rsid w:val="00B640DC"/>
    <w:rsid w:val="00B65F7F"/>
    <w:rsid w:val="00B66F79"/>
    <w:rsid w:val="00B76A99"/>
    <w:rsid w:val="00B814D8"/>
    <w:rsid w:val="00B94BCF"/>
    <w:rsid w:val="00BA42A0"/>
    <w:rsid w:val="00BA5876"/>
    <w:rsid w:val="00BA69C4"/>
    <w:rsid w:val="00BA712C"/>
    <w:rsid w:val="00BB3D17"/>
    <w:rsid w:val="00BC615C"/>
    <w:rsid w:val="00BE3D53"/>
    <w:rsid w:val="00BE539B"/>
    <w:rsid w:val="00BE7D4F"/>
    <w:rsid w:val="00BF1838"/>
    <w:rsid w:val="00C078CD"/>
    <w:rsid w:val="00C10036"/>
    <w:rsid w:val="00C10EBB"/>
    <w:rsid w:val="00C113BC"/>
    <w:rsid w:val="00C22557"/>
    <w:rsid w:val="00C24361"/>
    <w:rsid w:val="00C356DC"/>
    <w:rsid w:val="00C36009"/>
    <w:rsid w:val="00C41CC7"/>
    <w:rsid w:val="00C4212B"/>
    <w:rsid w:val="00C42A95"/>
    <w:rsid w:val="00C43500"/>
    <w:rsid w:val="00C509B9"/>
    <w:rsid w:val="00C53B49"/>
    <w:rsid w:val="00C55672"/>
    <w:rsid w:val="00C6381E"/>
    <w:rsid w:val="00C65A80"/>
    <w:rsid w:val="00C7547F"/>
    <w:rsid w:val="00C77C6F"/>
    <w:rsid w:val="00C80622"/>
    <w:rsid w:val="00C903DD"/>
    <w:rsid w:val="00CA4F0D"/>
    <w:rsid w:val="00CB2545"/>
    <w:rsid w:val="00CB25A3"/>
    <w:rsid w:val="00CC0ED6"/>
    <w:rsid w:val="00CD0C7A"/>
    <w:rsid w:val="00CD2772"/>
    <w:rsid w:val="00CD40A2"/>
    <w:rsid w:val="00CD6325"/>
    <w:rsid w:val="00CE1505"/>
    <w:rsid w:val="00CE2C31"/>
    <w:rsid w:val="00D01F50"/>
    <w:rsid w:val="00D10AA2"/>
    <w:rsid w:val="00D1343E"/>
    <w:rsid w:val="00D14411"/>
    <w:rsid w:val="00D15092"/>
    <w:rsid w:val="00D22E21"/>
    <w:rsid w:val="00D233A5"/>
    <w:rsid w:val="00D279A0"/>
    <w:rsid w:val="00D3089A"/>
    <w:rsid w:val="00D30CDF"/>
    <w:rsid w:val="00D36948"/>
    <w:rsid w:val="00D443FE"/>
    <w:rsid w:val="00D455E7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47C0"/>
    <w:rsid w:val="00DC559A"/>
    <w:rsid w:val="00DD6098"/>
    <w:rsid w:val="00DD60C6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23DE3"/>
    <w:rsid w:val="00E302F7"/>
    <w:rsid w:val="00E32795"/>
    <w:rsid w:val="00E36B2C"/>
    <w:rsid w:val="00E41AEB"/>
    <w:rsid w:val="00E42677"/>
    <w:rsid w:val="00E42700"/>
    <w:rsid w:val="00E46D90"/>
    <w:rsid w:val="00E51F6B"/>
    <w:rsid w:val="00E61130"/>
    <w:rsid w:val="00E66FC9"/>
    <w:rsid w:val="00E67CC8"/>
    <w:rsid w:val="00E7065D"/>
    <w:rsid w:val="00E72C8E"/>
    <w:rsid w:val="00E73C9A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C10BB"/>
    <w:rsid w:val="00EE610F"/>
    <w:rsid w:val="00F0377F"/>
    <w:rsid w:val="00F04D2E"/>
    <w:rsid w:val="00F060A0"/>
    <w:rsid w:val="00F129F7"/>
    <w:rsid w:val="00F221CC"/>
    <w:rsid w:val="00F22D28"/>
    <w:rsid w:val="00F23396"/>
    <w:rsid w:val="00F32F84"/>
    <w:rsid w:val="00F41F80"/>
    <w:rsid w:val="00F51F77"/>
    <w:rsid w:val="00F72418"/>
    <w:rsid w:val="00F85790"/>
    <w:rsid w:val="00FA78FA"/>
    <w:rsid w:val="00FB31D5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ormalWebCaracter">
    <w:name w:val="Normal (Web) Caracter"/>
    <w:link w:val="NormalWeb"/>
    <w:semiHidden/>
    <w:locked/>
    <w:rsid w:val="00633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link w:val="NormalWebCaracter"/>
    <w:semiHidden/>
    <w:unhideWhenUsed/>
    <w:rsid w:val="0063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locked/>
    <w:rsid w:val="00633B2F"/>
    <w:rPr>
      <w:lang w:val="en-US"/>
    </w:rPr>
  </w:style>
  <w:style w:type="paragraph" w:styleId="Listparagraf">
    <w:name w:val="List Paragraph"/>
    <w:aliases w:val="body 2,List Paragraph1,Listă paragraf1"/>
    <w:basedOn w:val="Normal"/>
    <w:link w:val="ListparagrafCaracter"/>
    <w:qFormat/>
    <w:rsid w:val="00633B2F"/>
    <w:pPr>
      <w:ind w:left="720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locked/>
    <w:rsid w:val="00633B2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33B2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Liniuta01Caracter">
    <w:name w:val="Liniuta 01 Caracter"/>
    <w:link w:val="Liniuta01"/>
    <w:locked/>
    <w:rsid w:val="00633B2F"/>
    <w:rPr>
      <w:rFonts w:ascii="Arial" w:eastAsia="Times New Roman" w:hAnsi="Arial" w:cs="Arial"/>
      <w:lang w:val="it-IT"/>
    </w:rPr>
  </w:style>
  <w:style w:type="paragraph" w:customStyle="1" w:styleId="Liniuta01">
    <w:name w:val="Liniuta 01"/>
    <w:basedOn w:val="Normal"/>
    <w:link w:val="Liniuta01Caracter"/>
    <w:qFormat/>
    <w:rsid w:val="00633B2F"/>
    <w:pPr>
      <w:numPr>
        <w:numId w:val="1"/>
      </w:numPr>
      <w:tabs>
        <w:tab w:val="left" w:pos="993"/>
      </w:tabs>
      <w:spacing w:after="0" w:line="312" w:lineRule="auto"/>
      <w:ind w:right="62"/>
      <w:jc w:val="both"/>
    </w:pPr>
    <w:rPr>
      <w:rFonts w:ascii="Arial" w:eastAsia="Times New Roman" w:hAnsi="Arial" w:cs="Arial"/>
      <w:lang w:val="it-IT"/>
    </w:rPr>
  </w:style>
  <w:style w:type="character" w:customStyle="1" w:styleId="Bodytext7pt">
    <w:name w:val="Body text + 7 pt"/>
    <w:rsid w:val="00633B2F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ormalWebCaracter">
    <w:name w:val="Normal (Web) Caracter"/>
    <w:link w:val="NormalWeb"/>
    <w:semiHidden/>
    <w:locked/>
    <w:rsid w:val="00633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link w:val="NormalWebCaracter"/>
    <w:semiHidden/>
    <w:unhideWhenUsed/>
    <w:rsid w:val="0063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locked/>
    <w:rsid w:val="00633B2F"/>
    <w:rPr>
      <w:lang w:val="en-US"/>
    </w:rPr>
  </w:style>
  <w:style w:type="paragraph" w:styleId="Listparagraf">
    <w:name w:val="List Paragraph"/>
    <w:aliases w:val="body 2,List Paragraph1,Listă paragraf1"/>
    <w:basedOn w:val="Normal"/>
    <w:link w:val="ListparagrafCaracter"/>
    <w:qFormat/>
    <w:rsid w:val="00633B2F"/>
    <w:pPr>
      <w:ind w:left="720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locked/>
    <w:rsid w:val="00633B2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33B2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Liniuta01Caracter">
    <w:name w:val="Liniuta 01 Caracter"/>
    <w:link w:val="Liniuta01"/>
    <w:locked/>
    <w:rsid w:val="00633B2F"/>
    <w:rPr>
      <w:rFonts w:ascii="Arial" w:eastAsia="Times New Roman" w:hAnsi="Arial" w:cs="Arial"/>
      <w:lang w:val="it-IT"/>
    </w:rPr>
  </w:style>
  <w:style w:type="paragraph" w:customStyle="1" w:styleId="Liniuta01">
    <w:name w:val="Liniuta 01"/>
    <w:basedOn w:val="Normal"/>
    <w:link w:val="Liniuta01Caracter"/>
    <w:qFormat/>
    <w:rsid w:val="00633B2F"/>
    <w:pPr>
      <w:numPr>
        <w:numId w:val="1"/>
      </w:numPr>
      <w:tabs>
        <w:tab w:val="left" w:pos="993"/>
      </w:tabs>
      <w:spacing w:after="0" w:line="312" w:lineRule="auto"/>
      <w:ind w:right="62"/>
      <w:jc w:val="both"/>
    </w:pPr>
    <w:rPr>
      <w:rFonts w:ascii="Arial" w:eastAsia="Times New Roman" w:hAnsi="Arial" w:cs="Arial"/>
      <w:lang w:val="it-IT"/>
    </w:rPr>
  </w:style>
  <w:style w:type="character" w:customStyle="1" w:styleId="Bodytext7pt">
    <w:name w:val="Body text + 7 pt"/>
    <w:rsid w:val="00633B2F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1864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2018-06-19T04:54:00Z</cp:lastPrinted>
  <dcterms:created xsi:type="dcterms:W3CDTF">2018-06-19T04:53:00Z</dcterms:created>
  <dcterms:modified xsi:type="dcterms:W3CDTF">2018-06-19T04:56:00Z</dcterms:modified>
</cp:coreProperties>
</file>