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1A" w:rsidRDefault="00EA461A" w:rsidP="00EA461A">
      <w:pPr>
        <w:spacing w:after="0" w:line="240" w:lineRule="auto"/>
        <w:jc w:val="center"/>
        <w:rPr>
          <w:rFonts w:ascii="Times New Roman" w:hAnsi="Times New Roman"/>
          <w:b/>
          <w:bCs/>
          <w:smallCaps/>
          <w:spacing w:val="50"/>
          <w:sz w:val="24"/>
          <w:szCs w:val="24"/>
          <w:lang w:val="ro-RO"/>
        </w:rPr>
      </w:pPr>
      <w:r>
        <w:rPr>
          <w:rFonts w:ascii="Times New Roman" w:hAnsi="Times New Roman"/>
          <w:b/>
          <w:bCs/>
          <w:smallCaps/>
          <w:spacing w:val="50"/>
          <w:sz w:val="24"/>
          <w:szCs w:val="24"/>
          <w:lang w:val="ro-RO"/>
        </w:rPr>
        <w:t>PROIECTUL DECIZIEI ETAPEI DE ÎNCADRARE</w:t>
      </w:r>
    </w:p>
    <w:p w:rsidR="00EA461A" w:rsidRDefault="00EA461A" w:rsidP="00EA461A">
      <w:pPr>
        <w:tabs>
          <w:tab w:val="left" w:leader="dot" w:pos="11334"/>
        </w:tabs>
        <w:spacing w:after="0" w:line="240" w:lineRule="auto"/>
        <w:jc w:val="center"/>
        <w:rPr>
          <w:rFonts w:ascii="Times New Roman" w:hAnsi="Times New Roman"/>
          <w:color w:val="FF0000"/>
          <w:sz w:val="24"/>
          <w:szCs w:val="24"/>
          <w:lang w:val="ro-RO"/>
        </w:rPr>
      </w:pPr>
    </w:p>
    <w:p w:rsidR="00EA461A" w:rsidRDefault="00EA461A" w:rsidP="00EA461A">
      <w:pPr>
        <w:tabs>
          <w:tab w:val="left" w:leader="dot" w:pos="11334"/>
        </w:tabs>
        <w:spacing w:after="0" w:line="240" w:lineRule="auto"/>
        <w:jc w:val="center"/>
        <w:rPr>
          <w:rFonts w:ascii="Times New Roman" w:hAnsi="Times New Roman"/>
          <w:sz w:val="24"/>
          <w:szCs w:val="24"/>
          <w:lang w:val="ro-RO"/>
        </w:rPr>
      </w:pPr>
      <w:r>
        <w:rPr>
          <w:rFonts w:ascii="Times New Roman" w:hAnsi="Times New Roman"/>
          <w:sz w:val="24"/>
          <w:szCs w:val="24"/>
          <w:lang w:val="ro-RO"/>
        </w:rPr>
        <w:t>Nr. 6047/SAAA/24.09.2018</w:t>
      </w:r>
    </w:p>
    <w:p w:rsidR="00EA461A" w:rsidRDefault="00EA461A" w:rsidP="00EA461A">
      <w:pPr>
        <w:tabs>
          <w:tab w:val="left" w:leader="dot" w:pos="11334"/>
        </w:tabs>
        <w:spacing w:after="0" w:line="240" w:lineRule="auto"/>
        <w:jc w:val="center"/>
        <w:rPr>
          <w:rFonts w:ascii="Times New Roman" w:hAnsi="Times New Roman"/>
          <w:color w:val="FF0000"/>
          <w:sz w:val="24"/>
          <w:szCs w:val="24"/>
          <w:lang w:val="ro-RO"/>
        </w:rPr>
      </w:pPr>
    </w:p>
    <w:p w:rsidR="00EA461A" w:rsidRDefault="00EA461A" w:rsidP="00EA461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OMV Petrom SA, </w:t>
      </w:r>
      <w:r>
        <w:rPr>
          <w:rFonts w:ascii="Times New Roman" w:hAnsi="Times New Roman"/>
          <w:sz w:val="24"/>
          <w:szCs w:val="24"/>
          <w:lang w:val="ro-RO"/>
        </w:rPr>
        <w:t xml:space="preserve">cu sediul în municipiul Bucureşti, </w:t>
      </w:r>
      <w:r>
        <w:rPr>
          <w:rFonts w:ascii="Times New Roman" w:hAnsi="Times New Roman"/>
          <w:sz w:val="24"/>
          <w:szCs w:val="24"/>
          <w:lang w:val="ro-RO" w:eastAsia="ro-RO"/>
        </w:rPr>
        <w:t>b-dul Basarabia, nr. 250, bloc trup 4, etaj 4, sector 3</w:t>
      </w:r>
      <w:r>
        <w:rPr>
          <w:rFonts w:ascii="Times New Roman" w:hAnsi="Times New Roman"/>
          <w:sz w:val="24"/>
          <w:szCs w:val="24"/>
          <w:lang w:val="ro-RO"/>
        </w:rPr>
        <w:t>, 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6047 din 03.08.2018,</w:t>
      </w:r>
      <w:r>
        <w:rPr>
          <w:rFonts w:ascii="Times New Roman" w:hAnsi="Times New Roman"/>
          <w:color w:val="FF0000"/>
          <w:sz w:val="24"/>
          <w:szCs w:val="24"/>
          <w:lang w:val="ro-RO"/>
        </w:rPr>
        <w:t xml:space="preserve"> </w:t>
      </w:r>
      <w:r>
        <w:rPr>
          <w:rFonts w:ascii="Times New Roman" w:hAnsi="Times New Roman"/>
          <w:sz w:val="24"/>
          <w:szCs w:val="24"/>
          <w:lang w:val="ro-RO"/>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EA461A" w:rsidRDefault="00EA461A" w:rsidP="00EA461A">
      <w:pPr>
        <w:spacing w:after="0" w:line="240" w:lineRule="auto"/>
        <w:jc w:val="both"/>
        <w:rPr>
          <w:rFonts w:ascii="Times New Roman" w:hAnsi="Times New Roman"/>
          <w:sz w:val="24"/>
          <w:szCs w:val="24"/>
          <w:lang w:val="ro-RO"/>
        </w:rPr>
      </w:pPr>
      <w:r>
        <w:rPr>
          <w:rFonts w:ascii="Times New Roman" w:hAnsi="Times New Roman"/>
          <w:sz w:val="24"/>
          <w:szCs w:val="24"/>
          <w:lang w:val="ro-RO"/>
        </w:rPr>
        <w:tab/>
        <w:t>A.P.M. Giurgiu decide, ca urmare a consultărilor desfăşurate în cadrul şedinţei Comisiei de Analiză Tehnică din data de 24.09.2018, că proiectul</w:t>
      </w:r>
      <w:r>
        <w:rPr>
          <w:rFonts w:ascii="Times New Roman" w:hAnsi="Times New Roman"/>
          <w:color w:val="FF0000"/>
          <w:sz w:val="24"/>
          <w:szCs w:val="24"/>
          <w:lang w:val="ro-RO"/>
        </w:rPr>
        <w:t xml:space="preserve"> </w:t>
      </w:r>
      <w:r>
        <w:rPr>
          <w:rFonts w:ascii="Times New Roman" w:hAnsi="Times New Roman"/>
          <w:b/>
          <w:sz w:val="24"/>
          <w:szCs w:val="24"/>
          <w:lang w:val="ro-RO"/>
        </w:rPr>
        <w:t>„</w:t>
      </w:r>
      <w:r>
        <w:rPr>
          <w:rFonts w:ascii="Times New Roman" w:hAnsi="Times New Roman"/>
          <w:sz w:val="24"/>
          <w:szCs w:val="24"/>
          <w:lang w:val="ro-RO" w:eastAsia="ro-RO"/>
        </w:rPr>
        <w:t>Lucrări de remediere și reabilitare aferente sondei 1608 Cartojani</w:t>
      </w:r>
      <w:r>
        <w:rPr>
          <w:rFonts w:ascii="Times New Roman" w:hAnsi="Times New Roman"/>
          <w:b/>
          <w:sz w:val="24"/>
          <w:szCs w:val="24"/>
          <w:lang w:val="ro-RO"/>
        </w:rPr>
        <w:t xml:space="preserve">” </w:t>
      </w:r>
      <w:r>
        <w:rPr>
          <w:rFonts w:ascii="Times New Roman" w:hAnsi="Times New Roman"/>
          <w:sz w:val="24"/>
          <w:szCs w:val="24"/>
          <w:lang w:val="ro-RO"/>
        </w:rPr>
        <w:t xml:space="preserve">propus a fi realizat în comuna Roata de Jos, jud. Giurgiu, nu se supune evaluării impactului asupra mediului şi nu se supune evaluării adecvate. </w:t>
      </w:r>
    </w:p>
    <w:p w:rsidR="00EA461A" w:rsidRDefault="00EA461A" w:rsidP="00EA461A">
      <w:pPr>
        <w:spacing w:after="0" w:line="240" w:lineRule="auto"/>
        <w:ind w:firstLine="720"/>
        <w:jc w:val="both"/>
        <w:rPr>
          <w:rFonts w:ascii="Times New Roman" w:hAnsi="Times New Roman"/>
          <w:b/>
          <w:sz w:val="24"/>
          <w:szCs w:val="24"/>
          <w:lang w:val="ro-RO"/>
        </w:rPr>
      </w:pPr>
    </w:p>
    <w:p w:rsidR="00EA461A" w:rsidRDefault="00EA461A" w:rsidP="00EA461A">
      <w:pPr>
        <w:spacing w:after="0" w:line="240" w:lineRule="auto"/>
        <w:ind w:firstLine="720"/>
        <w:jc w:val="both"/>
        <w:rPr>
          <w:rFonts w:ascii="Times New Roman" w:hAnsi="Times New Roman"/>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 xml:space="preserve">: </w:t>
      </w:r>
    </w:p>
    <w:p w:rsidR="00EA461A" w:rsidRDefault="00EA461A" w:rsidP="00EA461A">
      <w:pPr>
        <w:spacing w:after="0" w:line="240" w:lineRule="auto"/>
        <w:ind w:firstLine="720"/>
        <w:jc w:val="both"/>
        <w:rPr>
          <w:rFonts w:ascii="Times New Roman" w:hAnsi="Times New Roman"/>
          <w:sz w:val="24"/>
          <w:szCs w:val="24"/>
          <w:lang w:val="ro-RO"/>
        </w:rPr>
      </w:pPr>
    </w:p>
    <w:p w:rsidR="00EA461A" w:rsidRDefault="00EA461A" w:rsidP="00EA461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I. Motivele care au stat la baza luării deciziei etapei de încadrare în procedura de evaluare a impactului asupra mediului sunt următoarele:</w:t>
      </w:r>
    </w:p>
    <w:p w:rsidR="00EA461A" w:rsidRDefault="00EA461A" w:rsidP="00EA461A">
      <w:pPr>
        <w:numPr>
          <w:ilvl w:val="0"/>
          <w:numId w:val="1"/>
        </w:numPr>
        <w:spacing w:after="0" w:line="240" w:lineRule="auto"/>
        <w:jc w:val="both"/>
        <w:rPr>
          <w:rFonts w:ascii="Times New Roman" w:hAnsi="Times New Roman"/>
          <w:i/>
          <w:sz w:val="24"/>
          <w:szCs w:val="24"/>
          <w:lang w:val="ro-RO"/>
        </w:rPr>
      </w:pPr>
      <w:r>
        <w:rPr>
          <w:rFonts w:ascii="Times New Roman" w:hAnsi="Times New Roman"/>
          <w:sz w:val="24"/>
          <w:szCs w:val="24"/>
          <w:lang w:val="ro-RO"/>
        </w:rPr>
        <w:t>proiectul se încadrează în prevederile Hotărârii Guvernului nr. 445/2009, anexa nr. 2, pct. 13, lit.a);</w:t>
      </w:r>
    </w:p>
    <w:p w:rsidR="00EA461A" w:rsidRDefault="00EA461A" w:rsidP="00EA461A">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EA461A" w:rsidRDefault="00EA461A" w:rsidP="00EA461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mărimea proiectului: </w:t>
      </w:r>
    </w:p>
    <w:p w:rsidR="00EA461A" w:rsidRDefault="00EA461A" w:rsidP="00EA461A">
      <w:pPr>
        <w:numPr>
          <w:ilvl w:val="0"/>
          <w:numId w:val="1"/>
        </w:numPr>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Proiectul „Lucrări de remediere si reabilitare  amplasament sonda 1608 Cartojani” are ca obiect realizarea lucrărilor de remediere si reabilitare a amplasamentului aferent sondei 1519 Cartojani.</w:t>
      </w:r>
    </w:p>
    <w:p w:rsidR="00EA461A" w:rsidRDefault="00EA461A" w:rsidP="00EA461A">
      <w:pPr>
        <w:numPr>
          <w:ilvl w:val="0"/>
          <w:numId w:val="1"/>
        </w:numPr>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Terenul aferent sondei are următoarele coordonate in sistemul de proiecție STEREO 70 - conform planului de amplasament si delimitare a corpului de proprietate:</w:t>
      </w:r>
    </w:p>
    <w:p w:rsidR="00EA461A" w:rsidRDefault="00EA461A" w:rsidP="00EA461A">
      <w:pPr>
        <w:spacing w:after="0" w:line="240" w:lineRule="auto"/>
        <w:ind w:left="391"/>
        <w:jc w:val="both"/>
        <w:rPr>
          <w:rFonts w:ascii="Times New Roman" w:hAnsi="Times New Roman"/>
          <w:sz w:val="24"/>
          <w:szCs w:val="24"/>
          <w:lang w:val="ro-RO"/>
        </w:rPr>
      </w:pPr>
    </w:p>
    <w:p w:rsidR="00EA461A" w:rsidRDefault="00EA461A" w:rsidP="00EA461A">
      <w:pPr>
        <w:rPr>
          <w:rFonts w:ascii="Times New Roman" w:hAnsi="Times New Roman"/>
          <w:sz w:val="24"/>
          <w:szCs w:val="24"/>
          <w:lang w:val="ro-RO"/>
        </w:rPr>
      </w:pPr>
    </w:p>
    <w:p w:rsidR="00EA461A" w:rsidRDefault="00EA461A" w:rsidP="00EA461A">
      <w:pPr>
        <w:tabs>
          <w:tab w:val="left" w:pos="1256"/>
        </w:tabs>
        <w:rPr>
          <w:rFonts w:ascii="Times New Roman" w:hAnsi="Times New Roman"/>
          <w:sz w:val="24"/>
          <w:szCs w:val="24"/>
          <w:lang w:val="ro-RO"/>
        </w:rPr>
      </w:pPr>
      <w:r>
        <w:rPr>
          <w:rFonts w:ascii="Times New Roman" w:hAnsi="Times New Roman"/>
          <w:sz w:val="24"/>
          <w:szCs w:val="24"/>
          <w:lang w:val="ro-RO"/>
        </w:rPr>
        <w:tab/>
      </w:r>
    </w:p>
    <w:p w:rsidR="00EA461A" w:rsidRDefault="00EA461A" w:rsidP="00EA461A">
      <w:pPr>
        <w:pStyle w:val="Listparagraf"/>
        <w:spacing w:after="0" w:line="240" w:lineRule="auto"/>
        <w:ind w:left="390"/>
        <w:jc w:val="both"/>
        <w:rPr>
          <w:color w:val="FF0000"/>
          <w:sz w:val="24"/>
          <w:szCs w:val="24"/>
          <w:lang w:val="ro-RO"/>
        </w:rPr>
      </w:pPr>
      <w:r>
        <w:rPr>
          <w:noProof/>
          <w:lang w:val="ro-RO" w:eastAsia="ro-RO"/>
        </w:rPr>
        <w:drawing>
          <wp:inline distT="0" distB="0" distL="0" distR="0">
            <wp:extent cx="2816225" cy="2392045"/>
            <wp:effectExtent l="0" t="0" r="3175" b="825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6225" cy="2392045"/>
                    </a:xfrm>
                    <a:prstGeom prst="rect">
                      <a:avLst/>
                    </a:prstGeom>
                    <a:noFill/>
                    <a:ln>
                      <a:noFill/>
                    </a:ln>
                  </pic:spPr>
                </pic:pic>
              </a:graphicData>
            </a:graphic>
          </wp:inline>
        </w:drawing>
      </w:r>
    </w:p>
    <w:p w:rsidR="00EA461A" w:rsidRDefault="00EA461A" w:rsidP="00EA461A">
      <w:pPr>
        <w:pStyle w:val="Listparagraf"/>
        <w:spacing w:after="0" w:line="240" w:lineRule="auto"/>
        <w:jc w:val="both"/>
        <w:rPr>
          <w:sz w:val="24"/>
          <w:szCs w:val="24"/>
          <w:lang w:val="ro-RO"/>
        </w:rPr>
      </w:pPr>
      <w:r>
        <w:rPr>
          <w:sz w:val="24"/>
          <w:szCs w:val="24"/>
          <w:lang w:val="ro-RO"/>
        </w:rPr>
        <w:t>Principalele activități care se vor desfășura pe amplasamentul indicat sunt:</w:t>
      </w:r>
    </w:p>
    <w:p w:rsidR="00EA461A" w:rsidRDefault="00EA461A" w:rsidP="00EA461A">
      <w:pPr>
        <w:pStyle w:val="Listparagraf"/>
        <w:spacing w:after="0" w:line="240" w:lineRule="auto"/>
        <w:jc w:val="both"/>
        <w:rPr>
          <w:sz w:val="24"/>
          <w:szCs w:val="24"/>
          <w:lang w:val="ro-RO"/>
        </w:rPr>
      </w:pPr>
      <w:r>
        <w:rPr>
          <w:sz w:val="24"/>
          <w:szCs w:val="24"/>
          <w:lang w:val="ro-RO"/>
        </w:rPr>
        <w:t>- predarea amplasamentului;</w:t>
      </w:r>
    </w:p>
    <w:p w:rsidR="00EA461A" w:rsidRDefault="00EA461A" w:rsidP="00EA461A">
      <w:pPr>
        <w:pStyle w:val="Listparagraf"/>
        <w:spacing w:after="0" w:line="240" w:lineRule="auto"/>
        <w:jc w:val="both"/>
        <w:rPr>
          <w:sz w:val="24"/>
          <w:szCs w:val="24"/>
          <w:lang w:val="ro-RO"/>
        </w:rPr>
      </w:pPr>
      <w:r>
        <w:rPr>
          <w:sz w:val="24"/>
          <w:szCs w:val="24"/>
          <w:lang w:val="ro-RO"/>
        </w:rPr>
        <w:lastRenderedPageBreak/>
        <w:t>- organizarea șantierului;</w:t>
      </w:r>
    </w:p>
    <w:p w:rsidR="00EA461A" w:rsidRDefault="00EA461A" w:rsidP="00EA461A">
      <w:pPr>
        <w:pStyle w:val="Listparagraf"/>
        <w:spacing w:after="0" w:line="240" w:lineRule="auto"/>
        <w:jc w:val="both"/>
        <w:rPr>
          <w:sz w:val="24"/>
          <w:szCs w:val="24"/>
          <w:lang w:val="ro-RO"/>
        </w:rPr>
      </w:pPr>
      <w:r>
        <w:rPr>
          <w:sz w:val="24"/>
          <w:szCs w:val="24"/>
          <w:lang w:val="ro-RO"/>
        </w:rPr>
        <w:t>- lucrări de remediere / reabilitare teren;</w:t>
      </w:r>
    </w:p>
    <w:p w:rsidR="00EA461A" w:rsidRDefault="00EA461A" w:rsidP="00EA461A">
      <w:pPr>
        <w:pStyle w:val="Listparagraf"/>
        <w:spacing w:after="0" w:line="240" w:lineRule="auto"/>
        <w:jc w:val="both"/>
        <w:rPr>
          <w:sz w:val="24"/>
          <w:szCs w:val="24"/>
          <w:lang w:val="ro-RO"/>
        </w:rPr>
      </w:pPr>
      <w:r>
        <w:rPr>
          <w:sz w:val="24"/>
          <w:szCs w:val="24"/>
          <w:lang w:val="ro-RO"/>
        </w:rPr>
        <w:t>- închiderea șantierului.</w:t>
      </w:r>
    </w:p>
    <w:p w:rsidR="00EA461A" w:rsidRDefault="00EA461A" w:rsidP="00EA461A">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alimentarea cu apă potabilă pe perioada lucrărilor de dezafectare va fi asigurată din PET- uri.</w:t>
      </w:r>
    </w:p>
    <w:p w:rsidR="00EA461A" w:rsidRDefault="00EA461A" w:rsidP="00EA461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cumularea cu alte proiecte – nu este cazul;</w:t>
      </w:r>
    </w:p>
    <w:p w:rsidR="00EA461A" w:rsidRDefault="00EA461A" w:rsidP="00EA461A">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utilizarea resurselor naturale – nu este cazul:</w:t>
      </w:r>
    </w:p>
    <w:p w:rsidR="00EA461A" w:rsidRDefault="00EA461A" w:rsidP="00EA461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producţia de deşeuri – deşeurile rezultate în etapa de realizare a proiectului vor fi colectate pe categorii, și predate firmelor autorizate;</w:t>
      </w:r>
    </w:p>
    <w:p w:rsidR="00EA461A" w:rsidRDefault="00EA461A" w:rsidP="00EA461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emisiile poluante, inclusiv zgomotul şi alte surse de disconfort – lucrările şi măsurile prevăzute în proiect nu vor afecta semnificativ factorii de mediu: aer, apă, sol/subsol, biodiversitate, aşezări umane; </w:t>
      </w:r>
    </w:p>
    <w:p w:rsidR="00EA461A" w:rsidRDefault="00EA461A" w:rsidP="00EA461A">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riscul de accident – prin soluţiile constructive adoptate şi un management corespunzător proiectul nu va implica riscuri majore pentru sănătatea umană şi mediu.</w:t>
      </w:r>
    </w:p>
    <w:p w:rsidR="00EA461A" w:rsidRDefault="00EA461A" w:rsidP="00EA461A">
      <w:pPr>
        <w:tabs>
          <w:tab w:val="num" w:pos="2880"/>
        </w:tabs>
        <w:spacing w:after="0" w:line="240" w:lineRule="auto"/>
        <w:ind w:left="660"/>
        <w:jc w:val="both"/>
        <w:rPr>
          <w:rFonts w:ascii="Times New Roman" w:hAnsi="Times New Roman"/>
          <w:b/>
          <w:sz w:val="24"/>
          <w:szCs w:val="24"/>
          <w:lang w:val="ro-RO"/>
        </w:rPr>
      </w:pPr>
    </w:p>
    <w:p w:rsidR="00EA461A" w:rsidRDefault="00EA461A" w:rsidP="00EA461A">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Localizarea proiectelor</w:t>
      </w:r>
      <w:r>
        <w:rPr>
          <w:rFonts w:ascii="Times New Roman" w:hAnsi="Times New Roman"/>
          <w:i/>
          <w:sz w:val="24"/>
          <w:szCs w:val="24"/>
          <w:lang w:val="ro-RO"/>
        </w:rPr>
        <w:t>:</w:t>
      </w:r>
    </w:p>
    <w:p w:rsidR="00EA461A" w:rsidRDefault="00EA461A" w:rsidP="00EA461A">
      <w:pPr>
        <w:tabs>
          <w:tab w:val="num" w:pos="2880"/>
        </w:tabs>
        <w:spacing w:after="0" w:line="240" w:lineRule="auto"/>
        <w:ind w:left="660"/>
        <w:jc w:val="both"/>
        <w:rPr>
          <w:rFonts w:ascii="Times New Roman" w:hAnsi="Times New Roman"/>
          <w:sz w:val="24"/>
          <w:szCs w:val="24"/>
          <w:lang w:val="ro-RO"/>
        </w:rPr>
      </w:pPr>
      <w:r>
        <w:rPr>
          <w:rFonts w:ascii="Times New Roman" w:hAnsi="Times New Roman"/>
          <w:sz w:val="24"/>
          <w:szCs w:val="24"/>
          <w:lang w:val="ro-RO"/>
        </w:rPr>
        <w:t>2.1. utilizarea existentă a terenului: terenul pe care se derulează proiectul este amplasat în extravilanul localităţii Roata de Jos, proprietate OMV Petrom SA;</w:t>
      </w:r>
    </w:p>
    <w:p w:rsidR="00EA461A" w:rsidRDefault="00EA461A" w:rsidP="00EA461A">
      <w:pPr>
        <w:spacing w:after="0" w:line="240" w:lineRule="auto"/>
        <w:jc w:val="both"/>
        <w:rPr>
          <w:rFonts w:ascii="Times New Roman" w:hAnsi="Times New Roman"/>
          <w:sz w:val="24"/>
          <w:szCs w:val="24"/>
          <w:lang w:val="ro-RO"/>
        </w:rPr>
      </w:pPr>
      <w:r>
        <w:rPr>
          <w:rFonts w:ascii="Times New Roman" w:hAnsi="Times New Roman"/>
          <w:sz w:val="24"/>
          <w:szCs w:val="24"/>
          <w:lang w:val="ro-RO"/>
        </w:rPr>
        <w:t>2.2. relativa abundenţă a resurselor naturale din zonă, calitatea şi capacitatea regenerativă a acestora – nu este cazul;</w:t>
      </w:r>
    </w:p>
    <w:p w:rsidR="00EA461A" w:rsidRDefault="00EA461A" w:rsidP="00EA461A">
      <w:pPr>
        <w:spacing w:after="0" w:line="240" w:lineRule="auto"/>
        <w:jc w:val="both"/>
        <w:rPr>
          <w:rFonts w:ascii="Times New Roman" w:hAnsi="Times New Roman"/>
          <w:sz w:val="24"/>
          <w:szCs w:val="24"/>
          <w:lang w:val="ro-RO"/>
        </w:rPr>
      </w:pPr>
      <w:r>
        <w:rPr>
          <w:rFonts w:ascii="Times New Roman" w:hAnsi="Times New Roman"/>
          <w:sz w:val="24"/>
          <w:szCs w:val="24"/>
          <w:lang w:val="ro-RO"/>
        </w:rPr>
        <w:t>2.3. capacitatea de absorbţie a mediului, cu atenţie deosebită pentru:</w:t>
      </w:r>
    </w:p>
    <w:p w:rsidR="00EA461A" w:rsidRDefault="00EA461A" w:rsidP="00EA461A">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umede – obiectivul nu este amplasat în zone umede;</w:t>
      </w:r>
    </w:p>
    <w:p w:rsidR="00EA461A" w:rsidRDefault="00EA461A" w:rsidP="00EA461A">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costiere – obiectivul nu este amplasat în zone costiere;</w:t>
      </w:r>
    </w:p>
    <w:p w:rsidR="00EA461A" w:rsidRDefault="00EA461A" w:rsidP="00EA461A">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montane şi cele împădurite – obiectivul nu este amplasat în zone montane; </w:t>
      </w:r>
    </w:p>
    <w:p w:rsidR="00EA461A" w:rsidRDefault="00EA461A" w:rsidP="00EA461A">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ariile clasificate sau zonele protejate prin legislaţia în vigoare:nu este cazul;</w:t>
      </w:r>
    </w:p>
    <w:p w:rsidR="00EA461A" w:rsidRDefault="00EA461A" w:rsidP="00EA461A">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de protecţie specială, mai ales cele desemnate prin Ordonanţa de urgenţă a Guvernului nr. </w:t>
      </w:r>
      <w:hyperlink r:id="rId7" w:history="1">
        <w:r>
          <w:rPr>
            <w:rStyle w:val="Hyperlink"/>
            <w:rFonts w:ascii="Times New Roman" w:hAnsi="Times New Roman"/>
            <w:color w:val="auto"/>
            <w:sz w:val="24"/>
            <w:szCs w:val="24"/>
            <w:u w:val="none"/>
            <w:lang w:val="ro-RO"/>
          </w:rPr>
          <w:t>57/2007</w:t>
        </w:r>
      </w:hyperlink>
      <w:r>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8" w:history="1">
        <w:r>
          <w:rPr>
            <w:rStyle w:val="Hyperlink"/>
            <w:rFonts w:ascii="Times New Roman" w:hAnsi="Times New Roman"/>
            <w:color w:val="auto"/>
            <w:sz w:val="24"/>
            <w:szCs w:val="24"/>
            <w:u w:val="none"/>
            <w:lang w:val="ro-RO"/>
          </w:rPr>
          <w:t>5/2000</w:t>
        </w:r>
      </w:hyperlink>
      <w:r>
        <w:rPr>
          <w:rFonts w:ascii="Times New Roman" w:hAnsi="Times New Roman"/>
          <w:sz w:val="24"/>
          <w:szCs w:val="24"/>
          <w:lang w:val="ro-RO"/>
        </w:rPr>
        <w:t xml:space="preserve"> privind aprobarea Planului de amenajare a teritoriului naţional – Secţiunea a III- a – zone protejate, zonele de protecţie instituite conform prevederilor Legii apelor nr. </w:t>
      </w:r>
      <w:hyperlink r:id="rId9" w:history="1">
        <w:r>
          <w:rPr>
            <w:rStyle w:val="Hyperlink"/>
            <w:rFonts w:ascii="Times New Roman" w:hAnsi="Times New Roman"/>
            <w:color w:val="auto"/>
            <w:sz w:val="24"/>
            <w:szCs w:val="24"/>
            <w:u w:val="none"/>
            <w:lang w:val="ro-RO"/>
          </w:rPr>
          <w:t>107/1996</w:t>
        </w:r>
      </w:hyperlink>
      <w:r>
        <w:rPr>
          <w:rFonts w:ascii="Times New Roman" w:hAnsi="Times New Roman"/>
          <w:sz w:val="24"/>
          <w:szCs w:val="24"/>
          <w:lang w:val="ro-RO"/>
        </w:rPr>
        <w:t xml:space="preserve">, cu modificările şi completările ulterioare şi Hotărârea Guvernului nr. </w:t>
      </w:r>
      <w:hyperlink r:id="rId10" w:history="1">
        <w:r>
          <w:rPr>
            <w:rStyle w:val="Hyperlink"/>
            <w:rFonts w:ascii="Times New Roman" w:hAnsi="Times New Roman"/>
            <w:color w:val="auto"/>
            <w:sz w:val="24"/>
            <w:szCs w:val="24"/>
            <w:u w:val="none"/>
            <w:lang w:val="ro-RO"/>
          </w:rPr>
          <w:t>930/2005</w:t>
        </w:r>
      </w:hyperlink>
      <w:r>
        <w:rPr>
          <w:rFonts w:ascii="Times New Roman" w:hAnsi="Times New Roman"/>
          <w:sz w:val="24"/>
          <w:szCs w:val="24"/>
          <w:lang w:val="ro-RO"/>
        </w:rPr>
        <w:t xml:space="preserve"> pentru aprobarea Normelor speciale privind caracterul şi mărimea zonelor de protecţie sanitară şi hidrogeologică; </w:t>
      </w:r>
    </w:p>
    <w:p w:rsidR="00EA461A" w:rsidRDefault="00EA461A" w:rsidP="00EA461A">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EA461A" w:rsidRDefault="00EA461A" w:rsidP="00EA461A">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dens populate – nu este cazul; </w:t>
      </w:r>
    </w:p>
    <w:p w:rsidR="00EA461A" w:rsidRDefault="00EA461A" w:rsidP="00EA461A">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peisajele cu semnificaţie istorică, culturală şi arheologică – nu este cazul.</w:t>
      </w:r>
    </w:p>
    <w:p w:rsidR="00EA461A" w:rsidRDefault="00EA461A" w:rsidP="00EA461A">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3</w:t>
      </w:r>
      <w:r>
        <w:rPr>
          <w:rFonts w:ascii="Times New Roman" w:hAnsi="Times New Roman"/>
          <w:sz w:val="24"/>
          <w:szCs w:val="24"/>
          <w:lang w:val="ro-RO"/>
        </w:rPr>
        <w:t xml:space="preserve">. </w:t>
      </w:r>
      <w:r>
        <w:rPr>
          <w:rFonts w:ascii="Times New Roman" w:hAnsi="Times New Roman"/>
          <w:i/>
          <w:sz w:val="24"/>
          <w:szCs w:val="24"/>
          <w:u w:val="single"/>
          <w:lang w:val="ro-RO"/>
        </w:rPr>
        <w:t>Caracteristicile impactului potenţial</w:t>
      </w:r>
      <w:r>
        <w:rPr>
          <w:rFonts w:ascii="Times New Roman" w:hAnsi="Times New Roman"/>
          <w:i/>
          <w:sz w:val="24"/>
          <w:szCs w:val="24"/>
          <w:lang w:val="ro-RO"/>
        </w:rPr>
        <w:t>:</w:t>
      </w:r>
    </w:p>
    <w:p w:rsidR="00EA461A" w:rsidRDefault="00EA461A" w:rsidP="00EA461A">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extinderea impactului: aria geografică şi numărul persoanelor afectate – nu este cazul;</w:t>
      </w:r>
    </w:p>
    <w:p w:rsidR="00EA461A" w:rsidRDefault="00EA461A" w:rsidP="00EA461A">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natura transfrontieră a impactului – nu este cazul;</w:t>
      </w:r>
    </w:p>
    <w:p w:rsidR="00EA461A" w:rsidRDefault="00EA461A" w:rsidP="00EA461A">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mărimea şi complexitatea impactului – impact relativ redus şi local, pe perioada execuţiei proiectului; </w:t>
      </w:r>
    </w:p>
    <w:p w:rsidR="00EA461A" w:rsidRDefault="00EA461A" w:rsidP="00EA461A">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probabilitatea impactului – impact cu probabilitate redusă pe parcursul realizării investiţiei, deoarece lucrările prevăzute de proiect nu vor afecta semnificativ factorii de mediu aer, apă, sol/subsol, aşezări umane, biodiversitate;</w:t>
      </w:r>
    </w:p>
    <w:p w:rsidR="00EA461A" w:rsidRDefault="00EA461A" w:rsidP="00EA461A">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durata, frecvenţa şi reversibilitatea impactului – impact cu durată, frecvenţă şi reversibilitate reduse, datorită naturii proiectului şi măsurilor prevăzute de acesta;</w:t>
      </w:r>
    </w:p>
    <w:p w:rsidR="00EA461A" w:rsidRDefault="00EA461A" w:rsidP="00EA461A">
      <w:pPr>
        <w:spacing w:after="0" w:line="240" w:lineRule="auto"/>
        <w:ind w:firstLine="720"/>
        <w:jc w:val="both"/>
        <w:rPr>
          <w:rFonts w:ascii="Times New Roman" w:hAnsi="Times New Roman"/>
          <w:sz w:val="24"/>
          <w:szCs w:val="24"/>
          <w:lang w:val="ro-RO"/>
        </w:rPr>
      </w:pPr>
    </w:p>
    <w:p w:rsidR="00EA461A" w:rsidRDefault="00EA461A" w:rsidP="00EA461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lastRenderedPageBreak/>
        <w:t xml:space="preserve">II. Motivele care au stat la baza luării deciziei etapei de încadrare în procedura de evaluare adecvată - nu este cazul, conform deciziei etapei de evaluare iniţială nr. 6047/14.08.2018, proiectul nu intră sub incidența art. 28 din Ordonanţa de Urgenţă a Guvernului nr. 57/2007 privind regimul ariilor naturale protejate, conservarea habitatelor naturale, a florei şi faunei sălbatice, cu modificările şi completările ulterioare, amplasamentul acestuia fiind situat în Roata de Jos. </w:t>
      </w:r>
    </w:p>
    <w:p w:rsidR="00EA461A" w:rsidRDefault="00EA461A" w:rsidP="00EA461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Pe parcursul derulării procedurii publicul interesat de proiectul propus a fost informat despre  solicitarea acordului de mediu şi decizia etapei de încadrare, după cum urmează: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09"/>
        <w:gridCol w:w="3058"/>
        <w:gridCol w:w="2229"/>
      </w:tblGrid>
      <w:tr w:rsidR="00EA461A" w:rsidTr="00EA461A">
        <w:tc>
          <w:tcPr>
            <w:tcW w:w="1980" w:type="dxa"/>
            <w:tcBorders>
              <w:top w:val="single" w:sz="4" w:space="0" w:color="auto"/>
              <w:left w:val="single" w:sz="4" w:space="0" w:color="auto"/>
              <w:bottom w:val="single" w:sz="4" w:space="0" w:color="auto"/>
              <w:right w:val="single" w:sz="4" w:space="0" w:color="auto"/>
            </w:tcBorders>
            <w:hideMark/>
          </w:tcPr>
          <w:p w:rsidR="00EA461A" w:rsidRDefault="00EA461A">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1980" w:type="dxa"/>
            <w:tcBorders>
              <w:top w:val="single" w:sz="4" w:space="0" w:color="auto"/>
              <w:left w:val="single" w:sz="4" w:space="0" w:color="auto"/>
              <w:bottom w:val="single" w:sz="4" w:space="0" w:color="auto"/>
              <w:right w:val="single" w:sz="4" w:space="0" w:color="auto"/>
            </w:tcBorders>
            <w:hideMark/>
          </w:tcPr>
          <w:p w:rsidR="00EA461A" w:rsidRDefault="00EA461A">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3240" w:type="dxa"/>
            <w:tcBorders>
              <w:top w:val="single" w:sz="4" w:space="0" w:color="auto"/>
              <w:left w:val="single" w:sz="4" w:space="0" w:color="auto"/>
              <w:bottom w:val="single" w:sz="4" w:space="0" w:color="auto"/>
              <w:right w:val="single" w:sz="4" w:space="0" w:color="auto"/>
            </w:tcBorders>
            <w:hideMark/>
          </w:tcPr>
          <w:p w:rsidR="00EA461A" w:rsidRDefault="00EA461A">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eastAsia="ro-RO"/>
              </w:rPr>
              <w:t>SC OMV Petrom SA</w:t>
            </w:r>
            <w:r>
              <w:rPr>
                <w:rFonts w:ascii="Times New Roman" w:eastAsia="Times New Roman" w:hAnsi="Times New Roman"/>
                <w:b/>
                <w:sz w:val="24"/>
                <w:szCs w:val="24"/>
                <w:lang w:val="ro-RO"/>
              </w:rPr>
              <w:t>–  titular proiect –</w:t>
            </w:r>
          </w:p>
        </w:tc>
        <w:tc>
          <w:tcPr>
            <w:tcW w:w="2298" w:type="dxa"/>
            <w:tcBorders>
              <w:top w:val="single" w:sz="4" w:space="0" w:color="auto"/>
              <w:left w:val="single" w:sz="4" w:space="0" w:color="auto"/>
              <w:bottom w:val="single" w:sz="4" w:space="0" w:color="auto"/>
              <w:right w:val="single" w:sz="4" w:space="0" w:color="auto"/>
            </w:tcBorders>
            <w:hideMark/>
          </w:tcPr>
          <w:p w:rsidR="00EA461A" w:rsidRDefault="00EA461A">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EA461A" w:rsidTr="00EA461A">
        <w:tc>
          <w:tcPr>
            <w:tcW w:w="1980" w:type="dxa"/>
            <w:tcBorders>
              <w:top w:val="single" w:sz="4" w:space="0" w:color="auto"/>
              <w:left w:val="single" w:sz="4" w:space="0" w:color="auto"/>
              <w:bottom w:val="single" w:sz="4" w:space="0" w:color="auto"/>
              <w:right w:val="single" w:sz="4" w:space="0" w:color="auto"/>
            </w:tcBorders>
            <w:hideMark/>
          </w:tcPr>
          <w:p w:rsidR="00EA461A" w:rsidRDefault="00EA461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1980" w:type="dxa"/>
            <w:tcBorders>
              <w:top w:val="single" w:sz="4" w:space="0" w:color="auto"/>
              <w:left w:val="single" w:sz="4" w:space="0" w:color="auto"/>
              <w:bottom w:val="single" w:sz="4" w:space="0" w:color="auto"/>
              <w:right w:val="single" w:sz="4" w:space="0" w:color="auto"/>
            </w:tcBorders>
            <w:hideMark/>
          </w:tcPr>
          <w:p w:rsidR="00EA461A" w:rsidRDefault="00EA461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Afişare pe pagina web în data de 13.08.2018</w:t>
            </w:r>
          </w:p>
        </w:tc>
        <w:tc>
          <w:tcPr>
            <w:tcW w:w="3240" w:type="dxa"/>
            <w:tcBorders>
              <w:top w:val="single" w:sz="4" w:space="0" w:color="auto"/>
              <w:left w:val="single" w:sz="4" w:space="0" w:color="auto"/>
              <w:bottom w:val="single" w:sz="4" w:space="0" w:color="auto"/>
              <w:right w:val="single" w:sz="4" w:space="0" w:color="auto"/>
            </w:tcBorders>
            <w:hideMark/>
          </w:tcPr>
          <w:p w:rsidR="00EA461A" w:rsidRDefault="00EA461A" w:rsidP="003D21A5">
            <w:pPr>
              <w:numPr>
                <w:ilvl w:val="0"/>
                <w:numId w:val="6"/>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publicare în ziarul „Adevărul” din data de 05.09.2018;</w:t>
            </w:r>
          </w:p>
          <w:p w:rsidR="00EA461A" w:rsidRDefault="00EA461A" w:rsidP="003D21A5">
            <w:pPr>
              <w:numPr>
                <w:ilvl w:val="0"/>
                <w:numId w:val="6"/>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afişare la sediul Primăriei comunei Roata de Jos –05.09.2018</w:t>
            </w:r>
          </w:p>
        </w:tc>
        <w:tc>
          <w:tcPr>
            <w:tcW w:w="2298" w:type="dxa"/>
            <w:tcBorders>
              <w:top w:val="single" w:sz="4" w:space="0" w:color="auto"/>
              <w:left w:val="single" w:sz="4" w:space="0" w:color="auto"/>
              <w:bottom w:val="single" w:sz="4" w:space="0" w:color="auto"/>
              <w:right w:val="single" w:sz="4" w:space="0" w:color="auto"/>
            </w:tcBorders>
            <w:hideMark/>
          </w:tcPr>
          <w:p w:rsidR="00EA461A" w:rsidRDefault="00EA461A">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EA461A" w:rsidRDefault="00EA461A" w:rsidP="00EA461A">
      <w:pPr>
        <w:spacing w:after="0" w:line="240" w:lineRule="auto"/>
        <w:ind w:left="360"/>
        <w:jc w:val="both"/>
        <w:rPr>
          <w:rFonts w:ascii="Times New Roman" w:hAnsi="Times New Roman"/>
          <w:b/>
          <w:sz w:val="24"/>
          <w:szCs w:val="24"/>
          <w:lang w:val="ro-RO"/>
        </w:rPr>
      </w:pPr>
    </w:p>
    <w:p w:rsidR="00EA461A" w:rsidRDefault="00EA461A" w:rsidP="00EA461A">
      <w:pPr>
        <w:spacing w:after="0" w:line="240" w:lineRule="auto"/>
        <w:ind w:firstLine="360"/>
        <w:jc w:val="both"/>
        <w:rPr>
          <w:rFonts w:ascii="Times New Roman" w:hAnsi="Times New Roman"/>
          <w:sz w:val="24"/>
          <w:szCs w:val="24"/>
          <w:lang w:val="ro-RO"/>
        </w:rPr>
      </w:pPr>
      <w:r>
        <w:rPr>
          <w:rFonts w:ascii="Times New Roman" w:hAnsi="Times New Roman"/>
          <w:b/>
          <w:sz w:val="24"/>
          <w:szCs w:val="24"/>
          <w:lang w:val="ro-RO"/>
        </w:rPr>
        <w:t>Condiţiile de realizare a proiectului:</w:t>
      </w:r>
      <w:r>
        <w:rPr>
          <w:rFonts w:ascii="Times New Roman" w:hAnsi="Times New Roman"/>
          <w:sz w:val="24"/>
          <w:szCs w:val="24"/>
          <w:lang w:val="ro-RO"/>
        </w:rPr>
        <w:t xml:space="preserve"> </w:t>
      </w:r>
    </w:p>
    <w:p w:rsidR="00EA461A" w:rsidRDefault="00EA461A" w:rsidP="00EA461A">
      <w:pPr>
        <w:spacing w:after="0" w:line="240" w:lineRule="auto"/>
        <w:ind w:firstLine="360"/>
        <w:jc w:val="both"/>
        <w:rPr>
          <w:rFonts w:ascii="Times New Roman" w:hAnsi="Times New Roman"/>
          <w:color w:val="FF0000"/>
          <w:sz w:val="24"/>
          <w:szCs w:val="24"/>
          <w:lang w:val="ro-RO"/>
        </w:rPr>
      </w:pPr>
    </w:p>
    <w:p w:rsidR="00EA461A" w:rsidRDefault="00EA461A" w:rsidP="00EA461A">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 AER”:</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lua măsuri de reducere a nivelului de praf pe durata dezafectării;</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procesele tehnologice (cazul umpluturilor de pământ) vor fi reduse în perioade cu vânt puternic;</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folosirea utilajelor şi camioanelor prevăzute cu sisteme performante de reţinere a poluanţilor în atmosferă;</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standardele de calitate a aerului ambiental în orice condiţii atmosferice.</w:t>
      </w:r>
    </w:p>
    <w:p w:rsidR="00EA461A" w:rsidRDefault="00EA461A" w:rsidP="00EA461A">
      <w:pPr>
        <w:spacing w:after="0" w:line="240" w:lineRule="auto"/>
        <w:ind w:left="644"/>
        <w:jc w:val="both"/>
        <w:outlineLvl w:val="0"/>
        <w:rPr>
          <w:rFonts w:ascii="Times New Roman" w:hAnsi="Times New Roman"/>
          <w:sz w:val="24"/>
          <w:szCs w:val="24"/>
          <w:lang w:val="ro-RO"/>
        </w:rPr>
      </w:pPr>
    </w:p>
    <w:p w:rsidR="00EA461A" w:rsidRDefault="00EA461A" w:rsidP="00EA461A">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 APĂ”:</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evacuarea de ape uzate în cursurile de suprafaţă sau în subteran;</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se vor respecta prevederile </w:t>
      </w:r>
      <w:r>
        <w:rPr>
          <w:rFonts w:ascii="Times New Roman" w:eastAsia="Times New Roman" w:hAnsi="Times New Roman"/>
          <w:sz w:val="24"/>
          <w:szCs w:val="24"/>
          <w:lang w:val="ro-RO"/>
        </w:rPr>
        <w:t>H.G. nr. 188/2002 pentru aprobarea unor norme privind condiţiile de descărcare în mediul acvatic al apelor uzate, modificată şi completată prin H.G. nr. 352/2005 şi H.G. nr. 210/2007</w:t>
      </w:r>
    </w:p>
    <w:p w:rsidR="00EA461A" w:rsidRDefault="00EA461A" w:rsidP="00EA461A">
      <w:pPr>
        <w:spacing w:after="0" w:line="240" w:lineRule="auto"/>
        <w:ind w:left="644"/>
        <w:jc w:val="both"/>
        <w:outlineLvl w:val="0"/>
        <w:rPr>
          <w:rFonts w:ascii="Times New Roman" w:hAnsi="Times New Roman"/>
          <w:sz w:val="24"/>
          <w:szCs w:val="24"/>
          <w:lang w:val="ro-RO"/>
        </w:rPr>
      </w:pPr>
    </w:p>
    <w:p w:rsidR="00EA461A" w:rsidRDefault="00EA461A" w:rsidP="00EA461A">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„SOL, SUBSOL, APE SUBTERANE”: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evitarea impurificării solului cu produse petroliere;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asigura încheierea unui contract ferm pentru eliminarea deşeurilor, cu firme autorizate;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colectarea selectivă a deşeurilor şi preluarea lor de către firme autorizate;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deşeurilor pe amplasamente neautorizate.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deşeurile vor fi depozitate controlat, în funcţie de tipul acestora, pe suprafeţe betonate, până la evacuare;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deşeurile generate pe amplasament în timpul realizării investiţiei sunt: </w:t>
      </w:r>
    </w:p>
    <w:p w:rsidR="00EA461A" w:rsidRDefault="00EA461A" w:rsidP="00EA461A">
      <w:pPr>
        <w:numPr>
          <w:ilvl w:val="1"/>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pământ contaminat – cod 170503* - 30 mc;</w:t>
      </w:r>
    </w:p>
    <w:p w:rsidR="00EA461A" w:rsidRDefault="00EA461A" w:rsidP="00EA461A">
      <w:pPr>
        <w:numPr>
          <w:ilvl w:val="1"/>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 municipale amestecate – cod 200301;</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mai sus menționate se vor colecta controlat, pe categorii şi vor fi gestionate de unităţi abilitate;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este interzisă incinerarea deşeurilor şi evacuarea acestora direct pe sol, în cursurile de suprafaţă, în subteran şi în sistemele de canalizare;</w:t>
      </w:r>
    </w:p>
    <w:p w:rsidR="00EA461A" w:rsidRDefault="00EA461A" w:rsidP="00EA461A">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Legii 211/2011 privind regimul deşeurilor;</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lastRenderedPageBreak/>
        <w:t>evitarea impurificării solului cu produse petroliere;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asigura încheierea unui contract ferm pentru eliminarea deşeurilor, cu firme autorizate;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colectarea selectivă a deşeurilor şi preluarea lor de către firme autorizate;</w:t>
      </w:r>
    </w:p>
    <w:p w:rsidR="00EA461A" w:rsidRDefault="00EA461A" w:rsidP="00EA461A">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deşeurilor pe amplasamente neautorizate.</w:t>
      </w:r>
    </w:p>
    <w:p w:rsidR="00EA461A" w:rsidRDefault="00EA461A" w:rsidP="00EA461A">
      <w:pPr>
        <w:spacing w:after="0" w:line="240" w:lineRule="auto"/>
        <w:ind w:left="644"/>
        <w:jc w:val="both"/>
        <w:outlineLvl w:val="0"/>
        <w:rPr>
          <w:rFonts w:ascii="Times New Roman" w:hAnsi="Times New Roman"/>
          <w:sz w:val="24"/>
          <w:szCs w:val="24"/>
          <w:lang w:val="ro-RO"/>
        </w:rPr>
      </w:pPr>
    </w:p>
    <w:p w:rsidR="00EA461A" w:rsidRDefault="00EA461A" w:rsidP="00EA461A">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protecţia împotriva zgomotului</w:t>
      </w:r>
    </w:p>
    <w:p w:rsidR="00EA461A" w:rsidRDefault="00EA461A" w:rsidP="00EA461A">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zgomotul produs din activitatea utilajelor excavare, de transport a deşeurilor,vor fi reduse;</w:t>
      </w:r>
    </w:p>
    <w:p w:rsidR="00EA461A" w:rsidRDefault="00EA461A" w:rsidP="00EA461A">
      <w:pPr>
        <w:numPr>
          <w:ilvl w:val="0"/>
          <w:numId w:val="6"/>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în jurul obiectivului nu sunt clădiri</w:t>
      </w:r>
    </w:p>
    <w:p w:rsidR="00EA461A" w:rsidRDefault="00EA461A" w:rsidP="00EA461A">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respecta prevederile STAS 10009-88 privind protecția împotriva zgomotului și vibrațiilor și se va avea în vedere să nu producă care ar putea afecta vecinătățile</w:t>
      </w:r>
    </w:p>
    <w:p w:rsidR="00EA461A" w:rsidRDefault="00EA461A" w:rsidP="00EA461A">
      <w:pPr>
        <w:numPr>
          <w:ilvl w:val="0"/>
          <w:numId w:val="7"/>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respectarea legislaţiei de mediu în vigoare şi a actelor normative ce vor apărea ulterior eliberării prezentei;</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respectarea condiţiilor impuse prin actele de reglementare obţinute de la celelalte instituţii abilitate;</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să permită accesul reprezentanţilor autorităţii de mediu în incinta obiectivului şi să pună la dispoziţia acestora toate documentele clarificatoare privind protecţia mediului;</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interzice evacuarea apelor uzate în cursurile de suprafaţă şi în subteran;</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lucrări necesare privind organizarea de şantier:     </w:t>
      </w:r>
    </w:p>
    <w:p w:rsidR="00EA461A" w:rsidRDefault="00EA461A" w:rsidP="00EA461A">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va stabili necesarul de deplasare de personal, material și utilaje pentru executarea lucrărilor de remediere si reabilitare a terenului.</w:t>
      </w:r>
    </w:p>
    <w:p w:rsidR="00EA461A" w:rsidRDefault="00EA461A" w:rsidP="00EA461A">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trasa limitele amplasamentului și se va semnaliza șantierul corespunzător cu normele în vigoare pentru ca nici o persoană străină să nu aibă acces în zona lucrărilor de remediere / reabilitare. Se va monta panoul de identificarea investiției și se va realiza împrejmuirea amplasamentului.</w:t>
      </w:r>
    </w:p>
    <w:p w:rsidR="00EA461A" w:rsidRDefault="00EA461A" w:rsidP="00EA461A">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amenaja construcțiile necesare pentru asigurarea utilităților personalului din șantier: barăci, grupuri sanitare etc.</w:t>
      </w:r>
    </w:p>
    <w:p w:rsidR="00EA461A" w:rsidRDefault="00EA461A" w:rsidP="00EA461A">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amenaja construcțiile și instalațiile aferente pentru deservirea lucrărilor : magazii, zone de staționare a utilajelor, zone separate de depozitare pentru solul curat excavat, deșeuri menajere, deșeuri contaminate și deșeuri necontaminate, etc.</w:t>
      </w:r>
    </w:p>
    <w:p w:rsidR="00EA461A" w:rsidRDefault="00EA461A" w:rsidP="00EA461A">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va îndepărta vegetația spontană existentă pe amplasament prin cosire, pentru a se putea identifica amplasarea elementelor ce urmează a fi remediate si evacuate din amplasament.</w:t>
      </w:r>
    </w:p>
    <w:p w:rsidR="00EA461A" w:rsidRDefault="00EA461A" w:rsidP="00EA461A">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lucrările de excavare si apoi umplere, se vor executa în interiorul perimetrului aferent investiţiei, fără a afecta zonele învecinate;</w:t>
      </w:r>
    </w:p>
    <w:p w:rsidR="00EA461A" w:rsidRDefault="00EA461A" w:rsidP="00EA461A">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la finalizarea lucrărilor se vor reface spaţiile afectate şi temporar ocupate în etapa de organizare de şantier;</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eastAsia="Times New Roman" w:hAnsi="Times New Roman"/>
          <w:b/>
          <w:sz w:val="24"/>
          <w:szCs w:val="24"/>
          <w:lang w:val="ro-RO"/>
        </w:rPr>
        <w:t>la finalizarea lucrărilor de excavare se vor preleva probe de sol iar rezultatele analizelor vor fi transmise către APM Giurgiu;</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pe care a fost organizarea de şantier şi a spaţiilor afectate temporar;</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deşeurile generate pe amplasament în timpul derulării proiectului se vor colecta controlat, pe categorii şi vor fi evacuate prin firme autorizate în valorificarea/ eliminarea acestora;</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este interzisă incinerarea deşeurilor şi evacuarea acestora direct pe sol, în cursurile de suprafaţă, în subteran şi în sistemele de canalizare;</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lua măsuri astfel încât pe perioada de execuţie a lucrărilor să nu se producă zgomote şi disconfort care ar putea afecta vecinătăţile;</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se vor respecta prevederile Ord. nr. 119/2014 pentru aprobarea Normelor de igiena si sanatate publica privind mediul de viață al populației;</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supravegherea executării lucrărilor în vederea respectării proiectului de execuţie;</w:t>
      </w:r>
    </w:p>
    <w:p w:rsidR="00EA461A" w:rsidRDefault="00EA461A" w:rsidP="00EA461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anunţarea A.P.M. Giurgiu când apar elemente noi neprecizate în documentaţie în vederea revizuirii prezentului act;</w:t>
      </w:r>
    </w:p>
    <w:p w:rsidR="00EA461A" w:rsidRDefault="00EA461A" w:rsidP="00EA461A">
      <w:pPr>
        <w:numPr>
          <w:ilvl w:val="0"/>
          <w:numId w:val="1"/>
        </w:numPr>
        <w:spacing w:after="0" w:line="240" w:lineRule="auto"/>
        <w:jc w:val="both"/>
        <w:rPr>
          <w:rFonts w:ascii="Times New Roman" w:hAnsi="Times New Roman"/>
          <w:b/>
          <w:sz w:val="24"/>
          <w:szCs w:val="24"/>
          <w:lang w:val="ro-RO"/>
        </w:rPr>
      </w:pPr>
      <w:r>
        <w:rPr>
          <w:rFonts w:ascii="Times New Roman" w:hAnsi="Times New Roman"/>
          <w:sz w:val="24"/>
          <w:szCs w:val="24"/>
          <w:lang w:val="ro-RO"/>
        </w:rPr>
        <w:t>anunţarea A.P.M. Giurgiu în maxim două ore în cazul când apar situaţii deosebite care ar putea să afecteze mediul înconjurător;</w:t>
      </w:r>
    </w:p>
    <w:p w:rsidR="00EA461A" w:rsidRDefault="00EA461A" w:rsidP="00EA461A">
      <w:pPr>
        <w:numPr>
          <w:ilvl w:val="0"/>
          <w:numId w:val="1"/>
        </w:numPr>
        <w:spacing w:after="0" w:line="240" w:lineRule="auto"/>
        <w:ind w:left="391" w:hanging="391"/>
        <w:jc w:val="both"/>
        <w:rPr>
          <w:rFonts w:ascii="Times New Roman" w:hAnsi="Times New Roman"/>
          <w:b/>
          <w:sz w:val="24"/>
          <w:szCs w:val="24"/>
          <w:lang w:val="ro-RO"/>
        </w:rPr>
      </w:pPr>
      <w:r>
        <w:rPr>
          <w:rFonts w:ascii="Times New Roman" w:hAnsi="Times New Roman"/>
          <w:sz w:val="24"/>
          <w:szCs w:val="24"/>
          <w:lang w:val="ro-RO"/>
        </w:rPr>
        <w:t>respectarea prevederilor H.G. nr. 1061/2008 privind transportul deşeurilor periculoase şi nepericuloase pe teritoriul României;</w:t>
      </w:r>
    </w:p>
    <w:p w:rsidR="00EA461A" w:rsidRDefault="00EA461A" w:rsidP="00EA461A">
      <w:pPr>
        <w:numPr>
          <w:ilvl w:val="0"/>
          <w:numId w:val="1"/>
        </w:numPr>
        <w:tabs>
          <w:tab w:val="num" w:pos="-1276"/>
        </w:tabs>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la finalizarea proiectului se va anunţa Garda Naţională de Mediu – Serviciul Comisariatul Judeţean Giurgiu în vederea efectuării unui control de specialitate pentru verificarea respectării condiţiilor din decizia etapei de încadrare, conform prevederilor art. 49, alin. (3) din Ord. 135/2010;</w:t>
      </w:r>
    </w:p>
    <w:p w:rsidR="00EA461A" w:rsidRDefault="00EA461A" w:rsidP="00EA461A">
      <w:pPr>
        <w:numPr>
          <w:ilvl w:val="0"/>
          <w:numId w:val="1"/>
        </w:numPr>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în cazul în care proiectul suferă modificări, titularul este obligat să notifice în scris autoritatea publică pentru protecţia mediului emitentă asupra acestor modificări.</w:t>
      </w:r>
    </w:p>
    <w:p w:rsidR="00EA461A" w:rsidRDefault="00EA461A" w:rsidP="00EA461A">
      <w:pPr>
        <w:spacing w:after="0" w:line="240" w:lineRule="auto"/>
        <w:ind w:firstLine="357"/>
        <w:jc w:val="both"/>
        <w:rPr>
          <w:rFonts w:ascii="Times New Roman" w:eastAsia="Times New Roman" w:hAnsi="Times New Roman"/>
          <w:sz w:val="24"/>
          <w:szCs w:val="20"/>
          <w:lang w:val="ro-RO"/>
        </w:rPr>
      </w:pPr>
      <w:r>
        <w:rPr>
          <w:rFonts w:ascii="Times New Roman" w:eastAsia="Times New Roman" w:hAnsi="Times New Roman"/>
          <w:sz w:val="24"/>
          <w:szCs w:val="20"/>
          <w:lang w:val="ro-RO"/>
        </w:rPr>
        <w:t xml:space="preserve">Menţiuni despre procedura de contestare administrativă şi contencios administrativ  </w:t>
      </w:r>
    </w:p>
    <w:p w:rsidR="00EA461A" w:rsidRDefault="00EA461A" w:rsidP="00EA461A">
      <w:pPr>
        <w:spacing w:after="0" w:line="240" w:lineRule="auto"/>
        <w:ind w:firstLine="357"/>
        <w:jc w:val="both"/>
        <w:rPr>
          <w:rFonts w:ascii="Times New Roman" w:eastAsia="Times New Roman" w:hAnsi="Times New Roman"/>
          <w:sz w:val="24"/>
          <w:szCs w:val="20"/>
          <w:lang w:val="ro-RO"/>
        </w:rPr>
      </w:pPr>
    </w:p>
    <w:p w:rsidR="00EA461A" w:rsidRDefault="00EA461A" w:rsidP="00EA461A">
      <w:pPr>
        <w:autoSpaceDE w:val="0"/>
        <w:autoSpaceDN w:val="0"/>
        <w:adjustRightInd w:val="0"/>
        <w:spacing w:after="0" w:line="240" w:lineRule="auto"/>
        <w:ind w:firstLine="357"/>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EA461A" w:rsidRDefault="00EA461A" w:rsidP="00EA461A">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w:t>
      </w:r>
      <w:bookmarkStart w:id="0" w:name="_GoBack"/>
      <w:bookmarkEnd w:id="0"/>
      <w:r>
        <w:rPr>
          <w:rFonts w:ascii="Times New Roman" w:hAnsi="Times New Roman"/>
          <w:sz w:val="24"/>
          <w:szCs w:val="24"/>
          <w:lang w:val="ro-RO"/>
        </w:rPr>
        <w:t>n drept al lor sau într-un interes legitim.</w:t>
      </w:r>
    </w:p>
    <w:p w:rsidR="00EA461A" w:rsidRDefault="00EA461A" w:rsidP="00EA461A">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EA461A" w:rsidRDefault="00EA461A" w:rsidP="00EA461A">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EA461A" w:rsidRDefault="00EA461A" w:rsidP="00EA461A">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EA461A" w:rsidRDefault="00EA461A" w:rsidP="00EA461A">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813A4E" w:rsidRPr="00EA461A" w:rsidRDefault="00813A4E">
      <w:pPr>
        <w:rPr>
          <w:lang w:val="ro-RO"/>
        </w:rPr>
      </w:pPr>
    </w:p>
    <w:sectPr w:rsidR="00813A4E" w:rsidRPr="00EA4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644"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9B6DD9"/>
    <w:multiLevelType w:val="hybridMultilevel"/>
    <w:tmpl w:val="C8CAA4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D299F"/>
    <w:multiLevelType w:val="hybridMultilevel"/>
    <w:tmpl w:val="FA9252A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1350"/>
        </w:tabs>
        <w:ind w:left="135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345620D"/>
    <w:multiLevelType w:val="hybridMultilevel"/>
    <w:tmpl w:val="7D20D652"/>
    <w:lvl w:ilvl="0" w:tplc="04090017">
      <w:start w:val="1"/>
      <w:numFmt w:val="lowerLetter"/>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CE33E8"/>
    <w:multiLevelType w:val="hybridMultilevel"/>
    <w:tmpl w:val="24D420CE"/>
    <w:lvl w:ilvl="0" w:tplc="F3440EC0">
      <w:numFmt w:val="bullet"/>
      <w:lvlText w:val="-"/>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80"/>
    <w:rsid w:val="000014CB"/>
    <w:rsid w:val="00002DD0"/>
    <w:rsid w:val="00011F11"/>
    <w:rsid w:val="00012A43"/>
    <w:rsid w:val="0001429E"/>
    <w:rsid w:val="00014E88"/>
    <w:rsid w:val="00016414"/>
    <w:rsid w:val="00020D05"/>
    <w:rsid w:val="0002571E"/>
    <w:rsid w:val="00025BBD"/>
    <w:rsid w:val="0002738A"/>
    <w:rsid w:val="0002768B"/>
    <w:rsid w:val="0003298B"/>
    <w:rsid w:val="00041C8D"/>
    <w:rsid w:val="00047DC7"/>
    <w:rsid w:val="00057462"/>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D518B"/>
    <w:rsid w:val="000E3C60"/>
    <w:rsid w:val="000E6A9E"/>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54B7"/>
    <w:rsid w:val="001A753D"/>
    <w:rsid w:val="001B6411"/>
    <w:rsid w:val="001C5CD2"/>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E0289"/>
    <w:rsid w:val="002E0309"/>
    <w:rsid w:val="002E2B98"/>
    <w:rsid w:val="002E6A0A"/>
    <w:rsid w:val="002F0F55"/>
    <w:rsid w:val="002F734B"/>
    <w:rsid w:val="00302616"/>
    <w:rsid w:val="00303C4C"/>
    <w:rsid w:val="0031277A"/>
    <w:rsid w:val="00313F79"/>
    <w:rsid w:val="00314562"/>
    <w:rsid w:val="0031793B"/>
    <w:rsid w:val="0032287F"/>
    <w:rsid w:val="00324AC8"/>
    <w:rsid w:val="003304B6"/>
    <w:rsid w:val="00331817"/>
    <w:rsid w:val="00332083"/>
    <w:rsid w:val="003416F8"/>
    <w:rsid w:val="00352C76"/>
    <w:rsid w:val="003543EF"/>
    <w:rsid w:val="00357D55"/>
    <w:rsid w:val="00357EB4"/>
    <w:rsid w:val="00372454"/>
    <w:rsid w:val="00374F80"/>
    <w:rsid w:val="0037695E"/>
    <w:rsid w:val="00383849"/>
    <w:rsid w:val="00384CE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107C"/>
    <w:rsid w:val="003F3150"/>
    <w:rsid w:val="003F3F17"/>
    <w:rsid w:val="003F5D22"/>
    <w:rsid w:val="003F7F15"/>
    <w:rsid w:val="004033DF"/>
    <w:rsid w:val="00405924"/>
    <w:rsid w:val="00406199"/>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1F6F"/>
    <w:rsid w:val="00503AC4"/>
    <w:rsid w:val="00503E44"/>
    <w:rsid w:val="00504BA0"/>
    <w:rsid w:val="00505E3A"/>
    <w:rsid w:val="0051026B"/>
    <w:rsid w:val="0051259A"/>
    <w:rsid w:val="00514664"/>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45FB"/>
    <w:rsid w:val="005E48DD"/>
    <w:rsid w:val="005E61A0"/>
    <w:rsid w:val="005F201D"/>
    <w:rsid w:val="005F60A7"/>
    <w:rsid w:val="00607893"/>
    <w:rsid w:val="006103CB"/>
    <w:rsid w:val="006155E6"/>
    <w:rsid w:val="00624DFE"/>
    <w:rsid w:val="00633920"/>
    <w:rsid w:val="00633E47"/>
    <w:rsid w:val="0063540B"/>
    <w:rsid w:val="00635D94"/>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C78D0"/>
    <w:rsid w:val="006D1904"/>
    <w:rsid w:val="006D4F1B"/>
    <w:rsid w:val="006D653E"/>
    <w:rsid w:val="006E2999"/>
    <w:rsid w:val="006E2C29"/>
    <w:rsid w:val="006F36A7"/>
    <w:rsid w:val="006F6D5D"/>
    <w:rsid w:val="007037E7"/>
    <w:rsid w:val="00706F7F"/>
    <w:rsid w:val="007105A0"/>
    <w:rsid w:val="00710673"/>
    <w:rsid w:val="007107BF"/>
    <w:rsid w:val="00714726"/>
    <w:rsid w:val="00726828"/>
    <w:rsid w:val="00732DC5"/>
    <w:rsid w:val="00741423"/>
    <w:rsid w:val="00750CD1"/>
    <w:rsid w:val="00755154"/>
    <w:rsid w:val="007617D3"/>
    <w:rsid w:val="007649EC"/>
    <w:rsid w:val="00764D41"/>
    <w:rsid w:val="00765435"/>
    <w:rsid w:val="007702B5"/>
    <w:rsid w:val="00771A21"/>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5877"/>
    <w:rsid w:val="00806D12"/>
    <w:rsid w:val="008074A5"/>
    <w:rsid w:val="0081334C"/>
    <w:rsid w:val="00813A4E"/>
    <w:rsid w:val="00815163"/>
    <w:rsid w:val="008223A7"/>
    <w:rsid w:val="00825F7D"/>
    <w:rsid w:val="0082663B"/>
    <w:rsid w:val="00831416"/>
    <w:rsid w:val="0083146C"/>
    <w:rsid w:val="00831F31"/>
    <w:rsid w:val="00842B3D"/>
    <w:rsid w:val="00845F67"/>
    <w:rsid w:val="008472C4"/>
    <w:rsid w:val="00851800"/>
    <w:rsid w:val="00854645"/>
    <w:rsid w:val="0085703F"/>
    <w:rsid w:val="00867D57"/>
    <w:rsid w:val="008705E5"/>
    <w:rsid w:val="00874FE9"/>
    <w:rsid w:val="00876B01"/>
    <w:rsid w:val="00880853"/>
    <w:rsid w:val="00881ED5"/>
    <w:rsid w:val="00881F6C"/>
    <w:rsid w:val="00882A7F"/>
    <w:rsid w:val="0089025D"/>
    <w:rsid w:val="00893710"/>
    <w:rsid w:val="00893B00"/>
    <w:rsid w:val="00897DED"/>
    <w:rsid w:val="008A7F44"/>
    <w:rsid w:val="008B0169"/>
    <w:rsid w:val="008B24E5"/>
    <w:rsid w:val="008B334C"/>
    <w:rsid w:val="008B61CD"/>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402DB"/>
    <w:rsid w:val="009422ED"/>
    <w:rsid w:val="0094549C"/>
    <w:rsid w:val="00946488"/>
    <w:rsid w:val="00953E06"/>
    <w:rsid w:val="009612A2"/>
    <w:rsid w:val="0096283B"/>
    <w:rsid w:val="00965084"/>
    <w:rsid w:val="0097183E"/>
    <w:rsid w:val="009724A2"/>
    <w:rsid w:val="00972A22"/>
    <w:rsid w:val="00974A46"/>
    <w:rsid w:val="00975B34"/>
    <w:rsid w:val="009824D6"/>
    <w:rsid w:val="00985AE8"/>
    <w:rsid w:val="009904A2"/>
    <w:rsid w:val="00990562"/>
    <w:rsid w:val="009914CA"/>
    <w:rsid w:val="0099563E"/>
    <w:rsid w:val="009956AE"/>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50DC"/>
    <w:rsid w:val="00A77CD4"/>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A99"/>
    <w:rsid w:val="00B814D8"/>
    <w:rsid w:val="00B82EF2"/>
    <w:rsid w:val="00B85BEB"/>
    <w:rsid w:val="00B94BCF"/>
    <w:rsid w:val="00BA42A0"/>
    <w:rsid w:val="00BA5876"/>
    <w:rsid w:val="00BA69C4"/>
    <w:rsid w:val="00BA712C"/>
    <w:rsid w:val="00BB3D17"/>
    <w:rsid w:val="00BB3DE1"/>
    <w:rsid w:val="00BC3379"/>
    <w:rsid w:val="00BC43C5"/>
    <w:rsid w:val="00BC615C"/>
    <w:rsid w:val="00BD0A99"/>
    <w:rsid w:val="00BD32E5"/>
    <w:rsid w:val="00BD5D12"/>
    <w:rsid w:val="00BE0398"/>
    <w:rsid w:val="00BE3D53"/>
    <w:rsid w:val="00BE539B"/>
    <w:rsid w:val="00BE7D4F"/>
    <w:rsid w:val="00BF1838"/>
    <w:rsid w:val="00BF6B11"/>
    <w:rsid w:val="00C074BC"/>
    <w:rsid w:val="00C078CD"/>
    <w:rsid w:val="00C10036"/>
    <w:rsid w:val="00C10EBB"/>
    <w:rsid w:val="00C113BC"/>
    <w:rsid w:val="00C22557"/>
    <w:rsid w:val="00C24361"/>
    <w:rsid w:val="00C356DC"/>
    <w:rsid w:val="00C36009"/>
    <w:rsid w:val="00C371CE"/>
    <w:rsid w:val="00C41CC7"/>
    <w:rsid w:val="00C4212B"/>
    <w:rsid w:val="00C42A95"/>
    <w:rsid w:val="00C43500"/>
    <w:rsid w:val="00C44090"/>
    <w:rsid w:val="00C45C91"/>
    <w:rsid w:val="00C509B9"/>
    <w:rsid w:val="00C53B49"/>
    <w:rsid w:val="00C55672"/>
    <w:rsid w:val="00C567EF"/>
    <w:rsid w:val="00C601EB"/>
    <w:rsid w:val="00C61E84"/>
    <w:rsid w:val="00C6381E"/>
    <w:rsid w:val="00C65A80"/>
    <w:rsid w:val="00C67FCB"/>
    <w:rsid w:val="00C7547F"/>
    <w:rsid w:val="00C7573A"/>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D01F50"/>
    <w:rsid w:val="00D07984"/>
    <w:rsid w:val="00D10AA2"/>
    <w:rsid w:val="00D11B07"/>
    <w:rsid w:val="00D126AA"/>
    <w:rsid w:val="00D1343E"/>
    <w:rsid w:val="00D14411"/>
    <w:rsid w:val="00D15092"/>
    <w:rsid w:val="00D20AC9"/>
    <w:rsid w:val="00D22E21"/>
    <w:rsid w:val="00D233A5"/>
    <w:rsid w:val="00D2630F"/>
    <w:rsid w:val="00D279A0"/>
    <w:rsid w:val="00D3089A"/>
    <w:rsid w:val="00D30CDF"/>
    <w:rsid w:val="00D36948"/>
    <w:rsid w:val="00D427A2"/>
    <w:rsid w:val="00D443FE"/>
    <w:rsid w:val="00D455E7"/>
    <w:rsid w:val="00D50126"/>
    <w:rsid w:val="00D55E77"/>
    <w:rsid w:val="00D63F13"/>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2775"/>
    <w:rsid w:val="00DE34BC"/>
    <w:rsid w:val="00DE7C47"/>
    <w:rsid w:val="00DE7F9B"/>
    <w:rsid w:val="00DF1B27"/>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480"/>
    <w:rsid w:val="00E73C9A"/>
    <w:rsid w:val="00E7445F"/>
    <w:rsid w:val="00E75122"/>
    <w:rsid w:val="00E83870"/>
    <w:rsid w:val="00E91F87"/>
    <w:rsid w:val="00EA21BC"/>
    <w:rsid w:val="00EA461A"/>
    <w:rsid w:val="00EA6AF9"/>
    <w:rsid w:val="00EA77C0"/>
    <w:rsid w:val="00EB048F"/>
    <w:rsid w:val="00EB24FB"/>
    <w:rsid w:val="00EB5C1B"/>
    <w:rsid w:val="00EB6082"/>
    <w:rsid w:val="00EB64CA"/>
    <w:rsid w:val="00EC10BB"/>
    <w:rsid w:val="00EC59D7"/>
    <w:rsid w:val="00ED2D9F"/>
    <w:rsid w:val="00ED4740"/>
    <w:rsid w:val="00ED5791"/>
    <w:rsid w:val="00ED7948"/>
    <w:rsid w:val="00EE0463"/>
    <w:rsid w:val="00EE2BC2"/>
    <w:rsid w:val="00EE36F8"/>
    <w:rsid w:val="00EE3C7B"/>
    <w:rsid w:val="00EE4BFC"/>
    <w:rsid w:val="00EE610F"/>
    <w:rsid w:val="00F0377F"/>
    <w:rsid w:val="00F04D2E"/>
    <w:rsid w:val="00F060A0"/>
    <w:rsid w:val="00F129F7"/>
    <w:rsid w:val="00F1557C"/>
    <w:rsid w:val="00F221CC"/>
    <w:rsid w:val="00F22D28"/>
    <w:rsid w:val="00F23396"/>
    <w:rsid w:val="00F32F84"/>
    <w:rsid w:val="00F34119"/>
    <w:rsid w:val="00F344BF"/>
    <w:rsid w:val="00F363CE"/>
    <w:rsid w:val="00F41F80"/>
    <w:rsid w:val="00F51F77"/>
    <w:rsid w:val="00F72418"/>
    <w:rsid w:val="00F85790"/>
    <w:rsid w:val="00FA504D"/>
    <w:rsid w:val="00FA78FA"/>
    <w:rsid w:val="00FB0BB7"/>
    <w:rsid w:val="00FB31D5"/>
    <w:rsid w:val="00FC1CC3"/>
    <w:rsid w:val="00FC50AE"/>
    <w:rsid w:val="00FC5CFF"/>
    <w:rsid w:val="00FC6DB7"/>
    <w:rsid w:val="00FD08D5"/>
    <w:rsid w:val="00FD391F"/>
    <w:rsid w:val="00FD6FAF"/>
    <w:rsid w:val="00FD7ADA"/>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1A"/>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EA461A"/>
    <w:rPr>
      <w:rFonts w:ascii="Times New Roman" w:eastAsia="Times New Roman" w:hAnsi="Times New Roman" w:cs="Times New Roman"/>
      <w:lang w:val="en-US"/>
    </w:rPr>
  </w:style>
  <w:style w:type="paragraph" w:styleId="Listparagraf">
    <w:name w:val="List Paragraph"/>
    <w:basedOn w:val="Normal"/>
    <w:link w:val="ListparagrafCaracter"/>
    <w:uiPriority w:val="34"/>
    <w:qFormat/>
    <w:rsid w:val="00EA461A"/>
    <w:pPr>
      <w:ind w:left="720"/>
      <w:contextualSpacing/>
    </w:pPr>
    <w:rPr>
      <w:rFonts w:ascii="Times New Roman" w:eastAsia="Times New Roman" w:hAnsi="Times New Roman"/>
    </w:rPr>
  </w:style>
  <w:style w:type="character" w:styleId="Hyperlink">
    <w:name w:val="Hyperlink"/>
    <w:basedOn w:val="Fontdeparagrafimplicit"/>
    <w:uiPriority w:val="99"/>
    <w:semiHidden/>
    <w:unhideWhenUsed/>
    <w:rsid w:val="00EA461A"/>
    <w:rPr>
      <w:color w:val="0000FF"/>
      <w:u w:val="single"/>
    </w:rPr>
  </w:style>
  <w:style w:type="paragraph" w:styleId="TextnBalon">
    <w:name w:val="Balloon Text"/>
    <w:basedOn w:val="Normal"/>
    <w:link w:val="TextnBalonCaracter"/>
    <w:uiPriority w:val="99"/>
    <w:semiHidden/>
    <w:unhideWhenUsed/>
    <w:rsid w:val="00EA46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461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1A"/>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EA461A"/>
    <w:rPr>
      <w:rFonts w:ascii="Times New Roman" w:eastAsia="Times New Roman" w:hAnsi="Times New Roman" w:cs="Times New Roman"/>
      <w:lang w:val="en-US"/>
    </w:rPr>
  </w:style>
  <w:style w:type="paragraph" w:styleId="Listparagraf">
    <w:name w:val="List Paragraph"/>
    <w:basedOn w:val="Normal"/>
    <w:link w:val="ListparagrafCaracter"/>
    <w:uiPriority w:val="34"/>
    <w:qFormat/>
    <w:rsid w:val="00EA461A"/>
    <w:pPr>
      <w:ind w:left="720"/>
      <w:contextualSpacing/>
    </w:pPr>
    <w:rPr>
      <w:rFonts w:ascii="Times New Roman" w:eastAsia="Times New Roman" w:hAnsi="Times New Roman"/>
    </w:rPr>
  </w:style>
  <w:style w:type="character" w:styleId="Hyperlink">
    <w:name w:val="Hyperlink"/>
    <w:basedOn w:val="Fontdeparagrafimplicit"/>
    <w:uiPriority w:val="99"/>
    <w:semiHidden/>
    <w:unhideWhenUsed/>
    <w:rsid w:val="00EA461A"/>
    <w:rPr>
      <w:color w:val="0000FF"/>
      <w:u w:val="single"/>
    </w:rPr>
  </w:style>
  <w:style w:type="paragraph" w:styleId="TextnBalon">
    <w:name w:val="Balloon Text"/>
    <w:basedOn w:val="Normal"/>
    <w:link w:val="TextnBalonCaracter"/>
    <w:uiPriority w:val="99"/>
    <w:semiHidden/>
    <w:unhideWhenUsed/>
    <w:rsid w:val="00EA46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461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rina.badana\Desktop\2011\decizii\1_NOUTATI%20Procedura%20EIA(Dalia)_SEPT_2009\Documents%20and%20SettingsDalia%20BitanSintact%202.0cacheLegislatietemp00033752.htm" TargetMode="External"/><Relationship Id="rId3" Type="http://schemas.microsoft.com/office/2007/relationships/stylesWithEffects" Target="stylesWithEffects.xml"/><Relationship Id="rId7" Type="http://schemas.openxmlformats.org/officeDocument/2006/relationships/hyperlink" Target="file:///C:\Users\dorina.badana\Desktop\2011\decizii\1_NOUTATI%20Procedura%20EIA(Dalia)_SEPT_2009\Documents%20and%20SettingsDalia%20BitanSintact%202.0cacheLegislatietemp0010386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dorina.badana\Desktop\2011\decizii\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hyperlink" Target="file:///C:\Users\dorina.badana\Desktop\2011\decizii\1_NOUTATI%20Procedura%20EIA(Dalia)_SEPT_2009\Documents%20and%20SettingsDalia%20BitanSintact%202.0cacheLegislatietemp0000874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2165</Words>
  <Characters>12558</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2018-09-24T11:35:00Z</cp:lastPrinted>
  <dcterms:created xsi:type="dcterms:W3CDTF">2018-09-24T11:34:00Z</dcterms:created>
  <dcterms:modified xsi:type="dcterms:W3CDTF">2018-09-24T11:35:00Z</dcterms:modified>
</cp:coreProperties>
</file>