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0E" w:rsidRDefault="007A170E" w:rsidP="007A170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7A170E" w:rsidRDefault="007A170E" w:rsidP="007A170E">
      <w:pPr>
        <w:spacing w:after="0" w:line="240" w:lineRule="auto"/>
        <w:jc w:val="center"/>
        <w:rPr>
          <w:rFonts w:ascii="Times New Roman" w:hAnsi="Times New Roman"/>
          <w:b/>
          <w:sz w:val="24"/>
          <w:szCs w:val="24"/>
          <w:lang w:val="ro-RO"/>
        </w:rPr>
      </w:pPr>
    </w:p>
    <w:p w:rsidR="007A170E" w:rsidRDefault="007A170E" w:rsidP="007A170E">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Nr. 7332 din 08.10.2</w:t>
      </w:r>
      <w:r>
        <w:rPr>
          <w:rFonts w:ascii="Times New Roman" w:hAnsi="Times New Roman"/>
          <w:sz w:val="24"/>
          <w:szCs w:val="24"/>
          <w:lang w:val="ro-RO"/>
        </w:rPr>
        <w:t>018</w:t>
      </w:r>
    </w:p>
    <w:p w:rsidR="007A170E" w:rsidRDefault="007A170E" w:rsidP="007A170E">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7A170E" w:rsidRDefault="007A170E" w:rsidP="007A170E">
      <w:pPr>
        <w:spacing w:after="0" w:line="240" w:lineRule="auto"/>
        <w:rPr>
          <w:rFonts w:ascii="Times New Roman" w:hAnsi="Times New Roman"/>
          <w:color w:val="FF0000"/>
          <w:sz w:val="24"/>
          <w:szCs w:val="24"/>
          <w:lang w:val="ro-RO"/>
        </w:rPr>
      </w:pP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4"/>
          <w:szCs w:val="24"/>
          <w:lang w:val="ro-RO"/>
        </w:rPr>
        <w:t xml:space="preserve">PCM ROM SRL prin împuternicit S.C. </w:t>
      </w:r>
      <w:proofErr w:type="spellStart"/>
      <w:r>
        <w:rPr>
          <w:rFonts w:ascii="Times New Roman" w:hAnsi="Times New Roman"/>
          <w:sz w:val="24"/>
          <w:szCs w:val="24"/>
          <w:lang w:val="ro-RO"/>
        </w:rPr>
        <w:t>Electroconstrucția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Elco</w:t>
      </w:r>
      <w:proofErr w:type="spellEnd"/>
      <w:r>
        <w:rPr>
          <w:rFonts w:ascii="Times New Roman" w:hAnsi="Times New Roman"/>
          <w:sz w:val="24"/>
          <w:szCs w:val="24"/>
          <w:lang w:val="ro-RO"/>
        </w:rPr>
        <w:t xml:space="preserve"> S.A., cu sediul în Municipiul Giurgiu, Șoseaua Portului,  nr. 1, birou N3, Corp C1, Județul Giurgiu, înregistrată la A.P.M. Giurgiu cu nr. 7332 din 21.09.2018,</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 08.10.2018, că proiectul</w:t>
      </w:r>
      <w:r>
        <w:rPr>
          <w:rFonts w:ascii="Times New Roman" w:hAnsi="Times New Roman"/>
          <w:color w:val="FF0000"/>
          <w:sz w:val="24"/>
          <w:szCs w:val="24"/>
          <w:lang w:val="ro-RO"/>
        </w:rPr>
        <w:t xml:space="preserve"> </w:t>
      </w:r>
      <w:r>
        <w:rPr>
          <w:rFonts w:ascii="Times New Roman" w:hAnsi="Times New Roman"/>
          <w:b/>
          <w:color w:val="FF0000"/>
          <w:sz w:val="24"/>
          <w:szCs w:val="24"/>
          <w:lang w:val="ro-RO"/>
        </w:rPr>
        <w:t>„</w:t>
      </w:r>
      <w:r>
        <w:rPr>
          <w:rFonts w:ascii="Times New Roman" w:hAnsi="Times New Roman"/>
          <w:b/>
          <w:sz w:val="24"/>
          <w:szCs w:val="24"/>
          <w:lang w:val="ro-RO"/>
        </w:rPr>
        <w:t>Racordare la rețeaua electrică a locului de consum permanent – PCM ROM SRL amplasat în Mun. Giurgiu, Jud. Giurgiu – lucrări în afara tarifului de racordare</w:t>
      </w:r>
      <w:r>
        <w:rPr>
          <w:rFonts w:ascii="Times New Roman" w:hAnsi="Times New Roman"/>
          <w:sz w:val="24"/>
          <w:szCs w:val="24"/>
          <w:lang w:val="ro-RO"/>
        </w:rPr>
        <w:t>”</w:t>
      </w:r>
      <w:r>
        <w:rPr>
          <w:rFonts w:ascii="Times New Roman" w:hAnsi="Times New Roman"/>
          <w:sz w:val="24"/>
          <w:szCs w:val="24"/>
          <w:lang w:val="ro-RO" w:eastAsia="ro-RO"/>
        </w:rPr>
        <w:t>, propus a se realiza în</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Municipiul Giurgiu, Str. Portului, nr. 1 Zona Liberă Giurgiu</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parcela P4A1 (CF 1170/N/C), nr. cad. 2094001-2094002-424/1-424/2-425/1-425/2-533-548-549—587-588-598-623/1-623/2-626-639-691-732-738-759-766-789-819-849-957-994/C, J</w:t>
      </w:r>
      <w:r>
        <w:rPr>
          <w:rFonts w:ascii="Times New Roman" w:hAnsi="Times New Roman"/>
          <w:bCs/>
          <w:sz w:val="24"/>
          <w:szCs w:val="24"/>
          <w:lang w:val="ro-RO" w:eastAsia="ro-RO"/>
        </w:rPr>
        <w:t>ud. Giurgiu</w:t>
      </w:r>
      <w:r>
        <w:rPr>
          <w:rFonts w:ascii="Times New Roman" w:hAnsi="Times New Roman"/>
          <w:sz w:val="24"/>
          <w:szCs w:val="24"/>
          <w:lang w:val="ro-RO"/>
        </w:rPr>
        <w:t>, nu se supune evaluării impactului asupra mediului şi nu se supune evaluării adecvate.</w:t>
      </w:r>
    </w:p>
    <w:p w:rsidR="007A170E" w:rsidRDefault="007A170E" w:rsidP="007A170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7A170E" w:rsidRDefault="007A170E" w:rsidP="007A170E">
      <w:pPr>
        <w:spacing w:after="0" w:line="240" w:lineRule="auto"/>
        <w:rPr>
          <w:rFonts w:ascii="Times New Roman" w:hAnsi="Times New Roman"/>
          <w:b/>
          <w:color w:val="FF0000"/>
          <w:sz w:val="24"/>
          <w:szCs w:val="24"/>
          <w:lang w:val="ro-RO"/>
        </w:rPr>
      </w:pPr>
    </w:p>
    <w:p w:rsidR="007A170E" w:rsidRDefault="007A170E" w:rsidP="007A170E">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7A170E" w:rsidRDefault="007A170E" w:rsidP="007A170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 3b);</w:t>
      </w:r>
      <w:r>
        <w:rPr>
          <w:rFonts w:ascii="Times New Roman" w:hAnsi="Times New Roman"/>
          <w:b/>
          <w:sz w:val="24"/>
          <w:szCs w:val="24"/>
          <w:lang w:val="ro-RO"/>
        </w:rPr>
        <w:t xml:space="preserve"> </w:t>
      </w:r>
    </w:p>
    <w:p w:rsidR="007A170E" w:rsidRDefault="007A170E" w:rsidP="007A170E">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7A170E" w:rsidRDefault="007A170E" w:rsidP="007A170E">
      <w:pPr>
        <w:numPr>
          <w:ilvl w:val="0"/>
          <w:numId w:val="2"/>
        </w:numPr>
        <w:spacing w:after="0" w:line="240" w:lineRule="auto"/>
        <w:rPr>
          <w:rFonts w:ascii="Times New Roman" w:hAnsi="Times New Roman"/>
          <w:sz w:val="24"/>
          <w:szCs w:val="24"/>
          <w:lang w:val="ro-RO"/>
        </w:rPr>
      </w:pPr>
      <w:r>
        <w:rPr>
          <w:rFonts w:ascii="Times New Roman" w:hAnsi="Times New Roman"/>
          <w:sz w:val="24"/>
          <w:szCs w:val="24"/>
          <w:lang w:val="ro-RO"/>
        </w:rPr>
        <w:t>Dimensiunea și concepția întregului proiect</w:t>
      </w:r>
    </w:p>
    <w:p w:rsidR="007A170E" w:rsidRDefault="007A170E" w:rsidP="007A170E">
      <w:pPr>
        <w:spacing w:after="0" w:line="240" w:lineRule="auto"/>
        <w:ind w:firstLine="562"/>
        <w:jc w:val="both"/>
        <w:rPr>
          <w:rFonts w:ascii="Times New Roman" w:hAnsi="Times New Roman"/>
          <w:sz w:val="24"/>
          <w:szCs w:val="24"/>
          <w:lang w:val="ro-RO"/>
        </w:rPr>
      </w:pPr>
      <w:r>
        <w:rPr>
          <w:rFonts w:ascii="Times New Roman" w:hAnsi="Times New Roman"/>
          <w:sz w:val="24"/>
          <w:szCs w:val="24"/>
          <w:lang w:val="ro-RO"/>
        </w:rPr>
        <w:t xml:space="preserve">Lucrările constau în: montarea unui post nou de transformare în anvelopă de beton (PTAB) prefabricat, alimentat printr-un racord electric subteran de medie tensiune intrare-ieșire din L 20 </w:t>
      </w:r>
      <w:proofErr w:type="spellStart"/>
      <w:r>
        <w:rPr>
          <w:rFonts w:ascii="Times New Roman" w:hAnsi="Times New Roman"/>
          <w:sz w:val="24"/>
          <w:szCs w:val="24"/>
          <w:lang w:val="ro-RO"/>
        </w:rPr>
        <w:t>kv</w:t>
      </w:r>
      <w:proofErr w:type="spellEnd"/>
      <w:r>
        <w:rPr>
          <w:rFonts w:ascii="Times New Roman" w:hAnsi="Times New Roman"/>
          <w:sz w:val="24"/>
          <w:szCs w:val="24"/>
          <w:lang w:val="ro-RO"/>
        </w:rPr>
        <w:t xml:space="preserve"> Petrol între S2811 aferent PT 6941 și S 2934 aferent PT 2930. Postul de transformare se va monta pe terenul PCM ROM SRL subconcesionat de la Zona Liberă Giurgiu cu acces din domeniul public al Zonei Libere Giurgiu, realizat după un proiect de specialitate, respectând normele </w:t>
      </w:r>
      <w:proofErr w:type="spellStart"/>
      <w:r>
        <w:rPr>
          <w:rFonts w:ascii="Times New Roman" w:hAnsi="Times New Roman"/>
          <w:sz w:val="24"/>
          <w:szCs w:val="24"/>
          <w:lang w:val="ro-RO"/>
        </w:rPr>
        <w:t>E-Distribuție</w:t>
      </w:r>
      <w:proofErr w:type="spellEnd"/>
      <w:r>
        <w:rPr>
          <w:rFonts w:ascii="Times New Roman" w:hAnsi="Times New Roman"/>
          <w:sz w:val="24"/>
          <w:szCs w:val="24"/>
          <w:lang w:val="ro-RO"/>
        </w:rPr>
        <w:t xml:space="preserve"> Muntenia S.A. (DK 5600). Postul de transformare va fi format din două compartimente separate: Compartiment </w:t>
      </w:r>
      <w:proofErr w:type="spellStart"/>
      <w:r>
        <w:rPr>
          <w:rFonts w:ascii="Times New Roman" w:hAnsi="Times New Roman"/>
          <w:sz w:val="24"/>
          <w:szCs w:val="24"/>
          <w:lang w:val="ro-RO"/>
        </w:rPr>
        <w:t>E-Distribuție</w:t>
      </w:r>
      <w:proofErr w:type="spellEnd"/>
      <w:r>
        <w:rPr>
          <w:rFonts w:ascii="Times New Roman" w:hAnsi="Times New Roman"/>
          <w:sz w:val="24"/>
          <w:szCs w:val="24"/>
          <w:lang w:val="ro-RO"/>
        </w:rPr>
        <w:t xml:space="preserve"> și Compartiment utilizator.</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Compartimentul utilizator se va echipa cu următoarele:</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celulă de medie tensiune, dispozitiv general, de interior, simplu sistem de bare, extensibilă, independentă, cu izolația barelor în aer și echipamentul de comutație în SF6 și vid, 24kV, 630 A, 16kA (1s), echipată cu separator de bare în SF6, întreruptor în vid și CLP, releu digital de protecție conform Norma Tehnică ENEL, </w:t>
      </w:r>
      <w:proofErr w:type="spellStart"/>
      <w:r>
        <w:rPr>
          <w:rFonts w:ascii="Times New Roman" w:hAnsi="Times New Roman"/>
          <w:sz w:val="24"/>
          <w:szCs w:val="24"/>
          <w:lang w:val="ro-RO"/>
        </w:rPr>
        <w:t>tori</w:t>
      </w:r>
      <w:proofErr w:type="spellEnd"/>
      <w:r>
        <w:rPr>
          <w:rFonts w:ascii="Times New Roman" w:hAnsi="Times New Roman"/>
          <w:sz w:val="24"/>
          <w:szCs w:val="24"/>
          <w:lang w:val="ro-RO"/>
        </w:rPr>
        <w:t xml:space="preserve"> de protecție, bobina minimă tensiune;</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celulă de medie tensiune, de transformator, de interior, simplu sistem de bare, extensibilă, independentă, cu izolație în aer și echipamentul de comutație în SF6 și vid, 24kV, 630A, 16kA (1s), echipată cu separator de bare în SF6, întreruptor în vid și CLP, releu digital de protecție, </w:t>
      </w:r>
      <w:proofErr w:type="spellStart"/>
      <w:r>
        <w:rPr>
          <w:rFonts w:ascii="Times New Roman" w:hAnsi="Times New Roman"/>
          <w:sz w:val="24"/>
          <w:szCs w:val="24"/>
          <w:lang w:val="ro-RO"/>
        </w:rPr>
        <w:t>tori</w:t>
      </w:r>
      <w:proofErr w:type="spellEnd"/>
      <w:r>
        <w:rPr>
          <w:rFonts w:ascii="Times New Roman" w:hAnsi="Times New Roman"/>
          <w:sz w:val="24"/>
          <w:szCs w:val="24"/>
          <w:lang w:val="ro-RO"/>
        </w:rPr>
        <w:t xml:space="preserve"> de protecție, bobină declanșare;</w:t>
      </w:r>
    </w:p>
    <w:p w:rsidR="007A170E" w:rsidRDefault="007A170E" w:rsidP="007A170E">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transformator ermetic/ulei 1000kVA, 20/0,4kVC, pierderi normale, borne înalte și termometru cu 2 contacte;</w:t>
      </w:r>
    </w:p>
    <w:p w:rsidR="007A170E" w:rsidRDefault="007A170E" w:rsidP="007A170E">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tablou </w:t>
      </w:r>
      <w:proofErr w:type="spellStart"/>
      <w:r>
        <w:rPr>
          <w:rFonts w:ascii="Times New Roman" w:hAnsi="Times New Roman"/>
          <w:sz w:val="24"/>
          <w:szCs w:val="24"/>
          <w:lang w:val="ro-RO"/>
        </w:rPr>
        <w:t>distrubuție</w:t>
      </w:r>
      <w:proofErr w:type="spellEnd"/>
      <w:r>
        <w:rPr>
          <w:rFonts w:ascii="Times New Roman" w:hAnsi="Times New Roman"/>
          <w:sz w:val="24"/>
          <w:szCs w:val="24"/>
          <w:lang w:val="ro-RO"/>
        </w:rPr>
        <w:t xml:space="preserve"> de joasă tensiune echipat cu 1 bucată întreruptor automat general, </w:t>
      </w:r>
      <w:proofErr w:type="spellStart"/>
      <w:r>
        <w:rPr>
          <w:rFonts w:ascii="Times New Roman" w:hAnsi="Times New Roman"/>
          <w:sz w:val="24"/>
          <w:szCs w:val="24"/>
          <w:lang w:val="ro-RO"/>
        </w:rPr>
        <w:t>debrosabil</w:t>
      </w:r>
      <w:proofErr w:type="spellEnd"/>
      <w:r>
        <w:rPr>
          <w:rFonts w:ascii="Times New Roman" w:hAnsi="Times New Roman"/>
          <w:sz w:val="24"/>
          <w:szCs w:val="24"/>
          <w:lang w:val="ro-RO"/>
        </w:rPr>
        <w:t xml:space="preserve"> de 1600 A cu bobină și contacte auxiliare și 2 bucăți întreruptoare automate fixe de 630 A, respectiv 800 A;</w:t>
      </w:r>
    </w:p>
    <w:p w:rsidR="007A170E" w:rsidRDefault="007A170E" w:rsidP="007A170E">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se va realiza o priză de pământ a postului de transformare cu Rd&lt;10 ohmi.</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terenul - terenul în suprafață de 20,44 mp,  este teren domeniu public;</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7A170E" w:rsidRDefault="007A170E" w:rsidP="007A170E">
      <w:pPr>
        <w:spacing w:after="0" w:line="240" w:lineRule="auto"/>
        <w:rPr>
          <w:rFonts w:ascii="Times New Roman" w:hAnsi="Times New Roman"/>
          <w:b/>
          <w:color w:val="FF0000"/>
          <w:sz w:val="24"/>
          <w:szCs w:val="24"/>
          <w:lang w:val="ro-RO"/>
        </w:rPr>
      </w:pPr>
    </w:p>
    <w:p w:rsidR="007A170E" w:rsidRDefault="007A170E" w:rsidP="007A170E">
      <w:pPr>
        <w:spacing w:after="0" w:line="240" w:lineRule="auto"/>
        <w:rPr>
          <w:rFonts w:ascii="Times New Roman" w:hAnsi="Times New Roman"/>
          <w:b/>
          <w:sz w:val="24"/>
          <w:szCs w:val="24"/>
          <w:lang w:val="ro-RO"/>
        </w:rPr>
      </w:pPr>
      <w:r>
        <w:rPr>
          <w:rFonts w:ascii="Times New Roman" w:hAnsi="Times New Roman"/>
          <w:b/>
          <w:sz w:val="24"/>
          <w:szCs w:val="24"/>
          <w:lang w:val="ro-RO"/>
        </w:rPr>
        <w:t>3. Localizarea proiectului</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este subconcesionat de la Zona Liberă Giurgiu, conform certificatul de urbanism nr. 488/11.09.2018;</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3.2. </w:t>
      </w:r>
      <w:r>
        <w:rPr>
          <w:rFonts w:ascii="Times New Roman" w:hAnsi="Times New Roman"/>
          <w:i/>
          <w:sz w:val="24"/>
          <w:szCs w:val="24"/>
          <w:lang w:val="ro-RO"/>
        </w:rPr>
        <w:t>bogăția, disponibilitatea, calitatea și capacitatea de regenerare relative ale resurselor naturale (inclusiv solul, terenurile, apa și biodiversitatea) din zonă și din subteranul acesteia</w:t>
      </w:r>
      <w:r>
        <w:rPr>
          <w:rFonts w:ascii="Arial" w:hAnsi="Arial" w:cs="Arial"/>
          <w:i/>
          <w:sz w:val="24"/>
          <w:szCs w:val="24"/>
          <w:lang w:val="ro-RO"/>
        </w:rPr>
        <w:t xml:space="preserve"> </w:t>
      </w:r>
      <w:r>
        <w:rPr>
          <w:rFonts w:ascii="Arial" w:hAnsi="Arial" w:cs="Arial"/>
          <w:sz w:val="24"/>
          <w:szCs w:val="24"/>
          <w:lang w:val="ro-RO"/>
        </w:rPr>
        <w:t xml:space="preserve">- </w:t>
      </w:r>
      <w:r>
        <w:rPr>
          <w:rFonts w:ascii="Times New Roman" w:hAnsi="Times New Roman"/>
          <w:sz w:val="24"/>
          <w:szCs w:val="24"/>
          <w:lang w:val="ro-RO"/>
        </w:rPr>
        <w:t>nu există o abundenţă a resurselor naturale şi nu este cazul capacităţii regenerative a acestora;</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3.3.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7A170E" w:rsidRDefault="007A170E" w:rsidP="007A170E">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7A170E" w:rsidRDefault="007A170E" w:rsidP="007A170E">
      <w:pPr>
        <w:pStyle w:val="Listparagraf"/>
        <w:autoSpaceDE w:val="0"/>
        <w:autoSpaceDN w:val="0"/>
        <w:adjustRightInd w:val="0"/>
        <w:spacing w:after="0" w:line="240" w:lineRule="auto"/>
        <w:ind w:left="0" w:hanging="142"/>
        <w:jc w:val="both"/>
        <w:rPr>
          <w:rFonts w:ascii="Times New Roman" w:hAnsi="Times New Roman"/>
          <w:sz w:val="24"/>
          <w:szCs w:val="24"/>
          <w:lang w:val="ro-RO"/>
        </w:rPr>
      </w:pPr>
      <w:r>
        <w:rPr>
          <w:rFonts w:ascii="Times New Roman" w:hAnsi="Times New Roman"/>
          <w:i/>
          <w:sz w:val="24"/>
          <w:szCs w:val="24"/>
          <w:lang w:val="ro-RO"/>
        </w:rPr>
        <w:t xml:space="preserve"> a)importanța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b)natura impactului</w:t>
      </w:r>
      <w:r>
        <w:rPr>
          <w:rFonts w:ascii="Times New Roman" w:hAnsi="Times New Roman"/>
          <w:sz w:val="24"/>
          <w:szCs w:val="24"/>
          <w:lang w:val="ro-RO"/>
        </w:rPr>
        <w:t xml:space="preserve">  - afectarea factorilor de mediu va fi una redusă, iar impactul asupra mediului va fi unul negativ;</w:t>
      </w:r>
    </w:p>
    <w:p w:rsidR="007A170E" w:rsidRDefault="007A170E" w:rsidP="007A170E">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c)proiectul nu are impact transfrontalier</w:t>
      </w:r>
      <w:r>
        <w:rPr>
          <w:rFonts w:ascii="Times New Roman" w:hAnsi="Times New Roman"/>
          <w:sz w:val="24"/>
          <w:szCs w:val="24"/>
          <w:lang w:val="ro-RO"/>
        </w:rPr>
        <w:t>;</w:t>
      </w:r>
    </w:p>
    <w:p w:rsidR="007A170E" w:rsidRDefault="007A170E" w:rsidP="007A170E">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d)intensitatea şi complexitatea impactului</w:t>
      </w:r>
      <w:r>
        <w:rPr>
          <w:rFonts w:ascii="Times New Roman" w:hAnsi="Times New Roman"/>
          <w:sz w:val="24"/>
          <w:szCs w:val="24"/>
          <w:lang w:val="ro-RO"/>
        </w:rPr>
        <w:t xml:space="preserve"> - conform listei de control, impactul este minim şi local;</w:t>
      </w:r>
    </w:p>
    <w:p w:rsidR="007A170E" w:rsidRDefault="007A170E" w:rsidP="007A170E">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e)probabilitatea impactului generat de proiect</w:t>
      </w:r>
      <w:r>
        <w:rPr>
          <w:rFonts w:ascii="Times New Roman" w:hAnsi="Times New Roman"/>
          <w:sz w:val="24"/>
          <w:szCs w:val="24"/>
          <w:lang w:val="ro-RO"/>
        </w:rPr>
        <w:t xml:space="preserve"> - conform listei de control, nu există un impact negativ asupra mediului;</w:t>
      </w:r>
    </w:p>
    <w:p w:rsidR="007A170E" w:rsidRDefault="007A170E" w:rsidP="007A170E">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f)debutul, durata, frecvența și reversibilitatea preconizate ale impactului</w:t>
      </w:r>
      <w:r>
        <w:rPr>
          <w:rFonts w:ascii="Times New Roman" w:hAnsi="Times New Roman"/>
          <w:sz w:val="24"/>
          <w:szCs w:val="24"/>
          <w:lang w:val="ro-RO"/>
        </w:rPr>
        <w:t xml:space="preserve"> -  nu este cazul;</w:t>
      </w:r>
    </w:p>
    <w:p w:rsidR="007A170E" w:rsidRDefault="007A170E" w:rsidP="007A170E">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g)cumularea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7A170E" w:rsidRDefault="007A170E" w:rsidP="007A170E">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 xml:space="preserve">h)posibilitatea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7A170E" w:rsidRDefault="007A170E" w:rsidP="007A170E">
      <w:pPr>
        <w:pStyle w:val="Listparagraf"/>
        <w:autoSpaceDE w:val="0"/>
        <w:autoSpaceDN w:val="0"/>
        <w:adjustRightInd w:val="0"/>
        <w:spacing w:after="0" w:line="240" w:lineRule="auto"/>
        <w:ind w:left="0"/>
        <w:jc w:val="both"/>
        <w:rPr>
          <w:rFonts w:ascii="Times New Roman" w:hAnsi="Times New Roman"/>
          <w:sz w:val="24"/>
          <w:szCs w:val="24"/>
          <w:lang w:val="ro-RO"/>
        </w:rPr>
      </w:pPr>
    </w:p>
    <w:p w:rsidR="007A170E" w:rsidRDefault="007A170E" w:rsidP="007A170E">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7A170E" w:rsidRDefault="007A170E" w:rsidP="007A170E">
      <w:pPr>
        <w:pStyle w:val="Bodytext1"/>
        <w:numPr>
          <w:ilvl w:val="0"/>
          <w:numId w:val="4"/>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t>conform deciziei etapei de evaluare iniţială nr. 7332/SAAA/28.09.2018</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 xml:space="preserve"> 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Municipiul Giurgiu, Str. Portului, nr. 1, Zona Liberă Giurgiu, parcela P4A1, Județul Giurgiu..</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p w:rsidR="007A170E" w:rsidRDefault="007A170E" w:rsidP="007A170E">
      <w:pPr>
        <w:spacing w:after="0" w:line="240" w:lineRule="auto"/>
        <w:ind w:left="390"/>
        <w:jc w:val="both"/>
        <w:rPr>
          <w:rFonts w:ascii="Times New Roman" w:hAnsi="Times New Roman"/>
          <w:color w:val="FF0000"/>
          <w:sz w:val="24"/>
          <w:szCs w:val="24"/>
          <w:lang w:val="ro-RO"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975"/>
        <w:gridCol w:w="2998"/>
        <w:gridCol w:w="2270"/>
      </w:tblGrid>
      <w:tr w:rsidR="007A170E" w:rsidTr="007A170E">
        <w:tc>
          <w:tcPr>
            <w:tcW w:w="2093"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3260"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410"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7A170E" w:rsidTr="007A170E">
        <w:trPr>
          <w:trHeight w:val="2129"/>
        </w:trPr>
        <w:tc>
          <w:tcPr>
            <w:tcW w:w="2093"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7A170E" w:rsidRDefault="007A170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28.09.2018</w:t>
            </w:r>
          </w:p>
        </w:tc>
        <w:tc>
          <w:tcPr>
            <w:tcW w:w="3260"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„Giurgiuveanul” din 03.10.2018 şi afişare la sediul Primăriei Giurgiu, în data de 01.10.2018</w:t>
            </w:r>
          </w:p>
        </w:tc>
        <w:tc>
          <w:tcPr>
            <w:tcW w:w="2410" w:type="dxa"/>
            <w:tcBorders>
              <w:top w:val="single" w:sz="4" w:space="0" w:color="auto"/>
              <w:left w:val="single" w:sz="4" w:space="0" w:color="auto"/>
              <w:bottom w:val="single" w:sz="4" w:space="0" w:color="auto"/>
              <w:right w:val="single" w:sz="4" w:space="0" w:color="auto"/>
            </w:tcBorders>
            <w:hideMark/>
          </w:tcPr>
          <w:p w:rsidR="007A170E" w:rsidRDefault="007A170E">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r>
              <w:rPr>
                <w:rFonts w:ascii="Times New Roman" w:eastAsia="Times New Roman" w:hAnsi="Times New Roman"/>
                <w:color w:val="FF0000"/>
                <w:sz w:val="24"/>
                <w:szCs w:val="24"/>
                <w:lang w:val="ro-RO"/>
              </w:rPr>
              <w:t>.</w:t>
            </w:r>
          </w:p>
        </w:tc>
      </w:tr>
    </w:tbl>
    <w:p w:rsidR="007A170E" w:rsidRDefault="007A170E" w:rsidP="007A170E">
      <w:pPr>
        <w:spacing w:after="0" w:line="240" w:lineRule="auto"/>
        <w:rPr>
          <w:rFonts w:ascii="Times New Roman" w:hAnsi="Times New Roman"/>
          <w:b/>
          <w:color w:val="FF0000"/>
          <w:sz w:val="24"/>
          <w:szCs w:val="24"/>
          <w:lang w:val="ro-RO"/>
        </w:rPr>
      </w:pPr>
    </w:p>
    <w:p w:rsidR="007A170E" w:rsidRDefault="007A170E" w:rsidP="007A170E">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7A170E" w:rsidRDefault="007A170E" w:rsidP="007A170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7A170E" w:rsidRDefault="007A170E" w:rsidP="007A170E">
      <w:pPr>
        <w:widowControl w:val="0"/>
        <w:numPr>
          <w:ilvl w:val="0"/>
          <w:numId w:val="5"/>
        </w:numPr>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în timpul execuției lucrărilor de construcții (organizare de șantier)</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7A170E" w:rsidRDefault="007A170E" w:rsidP="007A170E">
      <w:pPr>
        <w:widowControl w:val="0"/>
        <w:autoSpaceDE w:val="0"/>
        <w:snapToGrid w:val="0"/>
        <w:spacing w:after="0" w:line="240" w:lineRule="auto"/>
        <w:ind w:left="45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7A170E" w:rsidRDefault="007A170E" w:rsidP="007A170E">
      <w:pPr>
        <w:widowControl w:val="0"/>
        <w:numPr>
          <w:ilvl w:val="0"/>
          <w:numId w:val="5"/>
        </w:numPr>
        <w:autoSpaceDE w:val="0"/>
        <w:snapToGrid w:val="0"/>
        <w:spacing w:after="0" w:line="240" w:lineRule="auto"/>
        <w:jc w:val="both"/>
        <w:rPr>
          <w:rFonts w:ascii="Times New Roman" w:hAnsi="Times New Roman"/>
          <w:b/>
          <w:sz w:val="24"/>
          <w:szCs w:val="24"/>
          <w:lang w:val="ro-RO"/>
        </w:rPr>
      </w:pPr>
      <w:r>
        <w:rPr>
          <w:rFonts w:ascii="Times New Roman" w:hAnsi="Times New Roman"/>
          <w:b/>
          <w:bCs/>
          <w:iCs/>
          <w:sz w:val="24"/>
          <w:szCs w:val="24"/>
          <w:lang w:val="ro-RO"/>
        </w:rPr>
        <w:t xml:space="preserve">în timpul funcționării obiectivului, </w:t>
      </w:r>
      <w:r>
        <w:rPr>
          <w:rFonts w:ascii="Times New Roman" w:hAnsi="Times New Roman"/>
          <w:bCs/>
          <w:iCs/>
          <w:sz w:val="24"/>
          <w:szCs w:val="24"/>
          <w:lang w:val="ro-RO"/>
        </w:rPr>
        <w:t>prin respectarea modului de colectare și evacuare a apelor pluviale, calitatea apelor subterane și de suprafață nu va fi afectată.</w:t>
      </w:r>
    </w:p>
    <w:p w:rsidR="007A170E" w:rsidRDefault="007A170E" w:rsidP="007A170E">
      <w:pPr>
        <w:pStyle w:val="Normal0"/>
        <w:ind w:left="45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deşeurile rezultate în timpul realizării lucrărilor se vor gestiona corespunzător, </w:t>
      </w:r>
      <w:r>
        <w:rPr>
          <w:rFonts w:ascii="Times New Roman" w:hAnsi="Times New Roman" w:cs="Times New Roman"/>
          <w:lang w:val="ro-RO"/>
        </w:rPr>
        <w:lastRenderedPageBreak/>
        <w:t>evitându-se contactul acestora cu apele de suprafaţă şi cu pânza freatică</w:t>
      </w:r>
    </w:p>
    <w:p w:rsidR="007A170E" w:rsidRDefault="007A170E" w:rsidP="007A170E">
      <w:pPr>
        <w:spacing w:after="0" w:line="240" w:lineRule="auto"/>
        <w:ind w:left="426"/>
        <w:jc w:val="both"/>
        <w:rPr>
          <w:rFonts w:ascii="Times New Roman" w:hAnsi="Times New Roman"/>
          <w:sz w:val="24"/>
          <w:szCs w:val="24"/>
          <w:lang w:val="ro-RO"/>
        </w:rPr>
      </w:pPr>
      <w:r>
        <w:rPr>
          <w:rFonts w:ascii="Times New Roman" w:hAnsi="Times New Roman"/>
          <w:sz w:val="24"/>
          <w:szCs w:val="24"/>
          <w:lang w:val="ro-RO"/>
        </w:rPr>
        <w:t>- nu se folosește apă în specificul lucrărilor necesare în prezentul proiect;</w:t>
      </w:r>
    </w:p>
    <w:p w:rsidR="007A170E" w:rsidRDefault="007A170E" w:rsidP="007A170E">
      <w:pPr>
        <w:spacing w:after="0" w:line="240" w:lineRule="auto"/>
        <w:ind w:left="426"/>
        <w:jc w:val="both"/>
        <w:rPr>
          <w:rFonts w:ascii="Times New Roman" w:hAnsi="Times New Roman"/>
          <w:sz w:val="24"/>
          <w:szCs w:val="24"/>
          <w:lang w:val="ro-RO"/>
        </w:rPr>
      </w:pPr>
      <w:r>
        <w:rPr>
          <w:rFonts w:ascii="Times New Roman" w:hAnsi="Times New Roman"/>
          <w:sz w:val="24"/>
          <w:szCs w:val="24"/>
          <w:lang w:val="ro-RO"/>
        </w:rPr>
        <w:t>- nu se vor evacua ape uzate în cursurile de suprafaţă sau în subteran;</w:t>
      </w:r>
    </w:p>
    <w:p w:rsidR="007A170E" w:rsidRDefault="007A170E" w:rsidP="007A170E">
      <w:pPr>
        <w:spacing w:after="0" w:line="240" w:lineRule="auto"/>
        <w:ind w:left="426"/>
        <w:jc w:val="both"/>
        <w:rPr>
          <w:rFonts w:ascii="Times New Roman" w:hAnsi="Times New Roman"/>
          <w:sz w:val="24"/>
          <w:szCs w:val="24"/>
          <w:lang w:val="ro-RO"/>
        </w:rPr>
      </w:pPr>
      <w:r>
        <w:rPr>
          <w:rFonts w:ascii="Times New Roman" w:hAnsi="Times New Roman"/>
          <w:sz w:val="24"/>
          <w:szCs w:val="24"/>
          <w:lang w:val="ro-RO"/>
        </w:rPr>
        <w:t>- deşeurile rezultate în timpul realizării lucrărilor se vor gestiona corespunzător, evitându-se contactul acestora cu apele de suprafaţă şi cu pânza freatică.</w:t>
      </w:r>
    </w:p>
    <w:p w:rsidR="007A170E" w:rsidRDefault="007A170E" w:rsidP="007A170E">
      <w:pPr>
        <w:pStyle w:val="Normal0"/>
        <w:ind w:left="450"/>
        <w:jc w:val="both"/>
        <w:rPr>
          <w:rFonts w:ascii="Times New Roman" w:hAnsi="Times New Roman"/>
          <w:lang w:val="ro-RO"/>
        </w:rPr>
      </w:pPr>
      <w:r>
        <w:rPr>
          <w:rFonts w:ascii="Times New Roman" w:hAnsi="Times New Roman" w:cs="Times New Roman"/>
          <w:lang w:val="ro-RO"/>
        </w:rPr>
        <w:t>-</w:t>
      </w:r>
      <w:r>
        <w:rPr>
          <w:rFonts w:ascii="Times New Roman" w:hAnsi="Times New Roman" w:cs="Times New Roman"/>
          <w:lang w:val="ro-RO"/>
        </w:rPr>
        <w:tab/>
        <w:t>se vor respecta prevederile Legii Apelor nr. 107/1996 cu modificările și completările ulterioare.</w:t>
      </w:r>
    </w:p>
    <w:p w:rsidR="007A170E" w:rsidRDefault="007A170E" w:rsidP="007A170E">
      <w:pPr>
        <w:spacing w:after="0" w:line="240" w:lineRule="auto"/>
        <w:jc w:val="both"/>
        <w:rPr>
          <w:rFonts w:ascii="Times New Roman" w:hAnsi="Times New Roman"/>
          <w:sz w:val="24"/>
          <w:szCs w:val="24"/>
          <w:lang w:val="ro-RO"/>
        </w:rPr>
      </w:pPr>
    </w:p>
    <w:p w:rsidR="007A170E" w:rsidRDefault="007A170E" w:rsidP="007A170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7A170E" w:rsidRDefault="007A170E" w:rsidP="007A170E">
      <w:pPr>
        <w:spacing w:after="0" w:line="240" w:lineRule="auto"/>
        <w:ind w:left="450"/>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7A170E" w:rsidRDefault="007A170E" w:rsidP="007A170E">
      <w:pPr>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 se vor respecta prevederile Legii nr. 104/2011 privind calitatea aerului înconjurător;</w:t>
      </w:r>
    </w:p>
    <w:p w:rsidR="007A170E" w:rsidRDefault="007A170E" w:rsidP="007A170E">
      <w:pPr>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xml:space="preserve">- se vor respecta prevederile STAS 12574-87 privind condițiile de calitate a aerului în zonele protejate </w:t>
      </w:r>
    </w:p>
    <w:p w:rsidR="007A170E" w:rsidRDefault="007A170E" w:rsidP="007A170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7A170E" w:rsidRDefault="007A170E" w:rsidP="007A170E">
      <w:pPr>
        <w:pStyle w:val="Listparagraf"/>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 se vor folosi utilaje cât mai silențioase în vederea diminuării fonice.</w:t>
      </w:r>
    </w:p>
    <w:p w:rsidR="007A170E" w:rsidRDefault="007A170E" w:rsidP="007A170E">
      <w:pPr>
        <w:pStyle w:val="Listparagraf"/>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 se vor respecta prevederile Ordinului 119/2014 pentru</w:t>
      </w:r>
      <w:r>
        <w:rPr>
          <w:rFonts w:ascii="Times New Roman" w:hAnsi="Times New Roman"/>
          <w:color w:val="FF0000"/>
          <w:sz w:val="24"/>
          <w:szCs w:val="24"/>
          <w:lang w:val="ro-RO"/>
        </w:rPr>
        <w:t xml:space="preserve"> </w:t>
      </w:r>
      <w:r>
        <w:rPr>
          <w:rFonts w:ascii="Times New Roman" w:hAnsi="Times New Roman"/>
          <w:sz w:val="24"/>
          <w:szCs w:val="24"/>
          <w:lang w:val="ro-RO"/>
        </w:rPr>
        <w:t>aprobarea normelor de igienă și sănătate publică privind mediul de viață al populației</w:t>
      </w:r>
    </w:p>
    <w:p w:rsidR="007A170E" w:rsidRDefault="007A170E" w:rsidP="007A170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7A170E" w:rsidRDefault="007A170E" w:rsidP="007A170E">
      <w:pPr>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7A170E" w:rsidRDefault="007A170E" w:rsidP="007A170E">
      <w:pPr>
        <w:widowControl w:val="0"/>
        <w:suppressAutoHyphens/>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depozitarea necorespunzătoare a materialelor de construcții;</w:t>
      </w:r>
    </w:p>
    <w:p w:rsidR="007A170E" w:rsidRDefault="007A170E" w:rsidP="007A170E">
      <w:pPr>
        <w:widowControl w:val="0"/>
        <w:suppressAutoHyphens/>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deșeurile menajere depozitate în locuri necorespunzătoare (altele decât cele special amenajate în acest sens )</w:t>
      </w:r>
    </w:p>
    <w:p w:rsidR="007A170E" w:rsidRDefault="007A170E" w:rsidP="007A170E">
      <w:pPr>
        <w:widowControl w:val="0"/>
        <w:suppressAutoHyphens/>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utilajele folosite în cadrul șantierului, în condițiile reparării sau alimentării cu combustibil în alte locuri decât cele special amenajate pentru realizarea acestor operațiuni</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7A170E" w:rsidRDefault="007A170E" w:rsidP="007A170E">
      <w:pPr>
        <w:pStyle w:val="HTMLPreformatted1"/>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deșeuri menajere - cod 20 03 01</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fier și oțel – cod 17 04 05</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amestecuri metalice – cod 17 04 07</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deșeuri din lemn – cod 17 02 01</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xml:space="preserve">- amestecuri de beton, cărămizi, </w:t>
      </w:r>
      <w:proofErr w:type="spellStart"/>
      <w:r>
        <w:rPr>
          <w:rFonts w:ascii="Times New Roman" w:hAnsi="Times New Roman"/>
          <w:sz w:val="24"/>
          <w:szCs w:val="24"/>
          <w:lang w:val="ro-RO"/>
        </w:rPr>
        <w:t>etc</w:t>
      </w:r>
      <w:proofErr w:type="spellEnd"/>
      <w:r>
        <w:rPr>
          <w:rFonts w:ascii="Times New Roman" w:hAnsi="Times New Roman"/>
          <w:sz w:val="24"/>
          <w:szCs w:val="24"/>
          <w:lang w:val="ro-RO"/>
        </w:rPr>
        <w:t xml:space="preserve"> – cod 17 01 07</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xml:space="preserve">- deșeuri din ambalaje de hârtie și carton – cod 15 01 </w:t>
      </w:r>
      <w:proofErr w:type="spellStart"/>
      <w:r>
        <w:rPr>
          <w:rFonts w:ascii="Times New Roman" w:hAnsi="Times New Roman"/>
          <w:sz w:val="24"/>
          <w:szCs w:val="24"/>
          <w:lang w:val="ro-RO"/>
        </w:rPr>
        <w:t>01</w:t>
      </w:r>
      <w:proofErr w:type="spellEnd"/>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deșeuri din ambalaje din plastic – cod 15 01 02</w:t>
      </w:r>
      <w:r>
        <w:rPr>
          <w:rFonts w:ascii="Times New Roman" w:hAnsi="Times New Roman"/>
          <w:sz w:val="24"/>
          <w:szCs w:val="24"/>
          <w:lang w:val="ro-RO"/>
        </w:rPr>
        <w:tab/>
      </w:r>
      <w:r>
        <w:rPr>
          <w:rFonts w:ascii="Times New Roman" w:hAnsi="Times New Roman"/>
          <w:sz w:val="24"/>
          <w:szCs w:val="24"/>
          <w:lang w:val="ro-RO"/>
        </w:rPr>
        <w:tab/>
      </w:r>
    </w:p>
    <w:p w:rsidR="007A170E" w:rsidRDefault="007A170E" w:rsidP="007A170E">
      <w:pPr>
        <w:pStyle w:val="Normal0"/>
        <w:numPr>
          <w:ilvl w:val="0"/>
          <w:numId w:val="5"/>
        </w:numPr>
        <w:jc w:val="both"/>
        <w:rPr>
          <w:rFonts w:ascii="Times New Roman" w:hAnsi="Times New Roman" w:cs="Times New Roman"/>
          <w:lang w:val="ro-RO"/>
        </w:rPr>
      </w:pPr>
      <w:r>
        <w:rPr>
          <w:rFonts w:ascii="Times New Roman" w:hAnsi="Times New Roman" w:cs="Times New Roman"/>
          <w:lang w:val="ro-RO"/>
        </w:rPr>
        <w:t>Deșeuri rezultate din activitățile desfășurate în cadrul organizării de șantier:</w:t>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deșeuri menajere - cod 20 03 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xml:space="preserve">- deșeuri de ambalaje de hârtie și carton - cod 15 01 </w:t>
      </w:r>
      <w:proofErr w:type="spellStart"/>
      <w:r>
        <w:rPr>
          <w:rFonts w:ascii="Times New Roman" w:hAnsi="Times New Roman"/>
          <w:sz w:val="24"/>
          <w:szCs w:val="24"/>
          <w:lang w:val="ro-RO"/>
        </w:rPr>
        <w:t>01</w:t>
      </w:r>
      <w:proofErr w:type="spellEnd"/>
    </w:p>
    <w:p w:rsidR="007A170E" w:rsidRDefault="007A170E" w:rsidP="007A170E">
      <w:pPr>
        <w:widowControl w:val="0"/>
        <w:autoSpaceDE w:val="0"/>
        <w:snapToGrid w:val="0"/>
        <w:spacing w:after="0" w:line="240" w:lineRule="auto"/>
        <w:ind w:left="450"/>
        <w:jc w:val="both"/>
        <w:rPr>
          <w:rFonts w:ascii="Times New Roman" w:hAnsi="Times New Roman"/>
          <w:sz w:val="24"/>
          <w:szCs w:val="24"/>
          <w:lang w:val="ro-RO"/>
        </w:rPr>
      </w:pPr>
      <w:r>
        <w:rPr>
          <w:rFonts w:ascii="Times New Roman" w:hAnsi="Times New Roman"/>
          <w:sz w:val="24"/>
          <w:szCs w:val="24"/>
          <w:lang w:val="ro-RO"/>
        </w:rPr>
        <w:t>- deșeuri de ambalaje din plastic – cod 15 01 02</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7A170E" w:rsidRDefault="007A170E" w:rsidP="007A170E">
      <w:pPr>
        <w:widowControl w:val="0"/>
        <w:numPr>
          <w:ilvl w:val="0"/>
          <w:numId w:val="5"/>
        </w:numPr>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7A170E" w:rsidRDefault="007A170E" w:rsidP="007A170E">
      <w:pPr>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lastRenderedPageBreak/>
        <w:t>- deșeurile rezultate în urma realizării proiectului vor fi gestionate de către constructor;</w:t>
      </w:r>
    </w:p>
    <w:p w:rsidR="007A170E" w:rsidRDefault="007A170E" w:rsidP="007A170E">
      <w:pPr>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7A170E" w:rsidRDefault="007A170E" w:rsidP="007A170E">
      <w:pPr>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7A170E" w:rsidRDefault="007A170E" w:rsidP="007A170E">
      <w:pPr>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7A170E" w:rsidRDefault="007A170E" w:rsidP="007A170E">
      <w:pPr>
        <w:spacing w:after="0" w:line="240" w:lineRule="auto"/>
        <w:ind w:left="450"/>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7A170E" w:rsidRDefault="007A170E" w:rsidP="007A170E">
      <w:pPr>
        <w:spacing w:after="0" w:line="240" w:lineRule="auto"/>
        <w:ind w:left="426"/>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7A170E" w:rsidRDefault="007A170E" w:rsidP="007A170E">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7A170E" w:rsidRDefault="007A170E" w:rsidP="007A170E">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Lucrările necesare organizării de şantier:</w:t>
      </w:r>
    </w:p>
    <w:p w:rsidR="007A170E" w:rsidRDefault="007A170E" w:rsidP="007A170E">
      <w:pPr>
        <w:widowControl w:val="0"/>
        <w:numPr>
          <w:ilvl w:val="0"/>
          <w:numId w:val="6"/>
        </w:numPr>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organizare de șantier se amplasează în incinta proprie, </w:t>
      </w:r>
    </w:p>
    <w:p w:rsidR="007A170E" w:rsidRDefault="007A170E" w:rsidP="007A170E">
      <w:pPr>
        <w:pStyle w:val="BodyText31"/>
        <w:numPr>
          <w:ilvl w:val="0"/>
          <w:numId w:val="6"/>
        </w:numPr>
        <w:spacing w:after="0"/>
        <w:ind w:right="51"/>
        <w:jc w:val="both"/>
        <w:rPr>
          <w:b/>
          <w:sz w:val="24"/>
          <w:szCs w:val="24"/>
        </w:rPr>
      </w:pPr>
      <w:r>
        <w:rPr>
          <w:sz w:val="24"/>
          <w:szCs w:val="24"/>
        </w:rPr>
        <w:t xml:space="preserve">depozitarea materialelor de construcție, staționarea utilajelor, se face pe platforme betonate. </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10009-2017 privind protecţia împotriva zgomotului şi vibraţiilor;</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respectarea legislaţiei de mediu în vigoare;</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7A170E" w:rsidRDefault="007A170E" w:rsidP="007A170E">
      <w:pPr>
        <w:autoSpaceDE w:val="0"/>
        <w:autoSpaceDN w:val="0"/>
        <w:adjustRightInd w:val="0"/>
        <w:spacing w:after="0" w:line="240" w:lineRule="auto"/>
        <w:ind w:firstLine="360"/>
        <w:jc w:val="both"/>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7A170E" w:rsidRDefault="007A170E" w:rsidP="007A170E">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resturile de materiale de construcții vor fi evacuate de către o firmă antreprenorului.</w:t>
      </w:r>
    </w:p>
    <w:p w:rsidR="007A170E" w:rsidRDefault="007A170E" w:rsidP="007A170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7A170E" w:rsidRDefault="007A170E" w:rsidP="007A170E">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7A170E" w:rsidRDefault="007A170E" w:rsidP="007A170E">
      <w:pPr>
        <w:spacing w:after="0" w:line="240" w:lineRule="auto"/>
        <w:jc w:val="both"/>
        <w:rPr>
          <w:rFonts w:ascii="Times New Roman" w:hAnsi="Times New Roman"/>
          <w:b/>
          <w:sz w:val="24"/>
          <w:szCs w:val="24"/>
          <w:lang w:val="ro-RO"/>
        </w:rPr>
      </w:pPr>
      <w:r>
        <w:rPr>
          <w:rFonts w:ascii="Times New Roman" w:hAnsi="Times New Roman"/>
          <w:b/>
          <w:sz w:val="24"/>
          <w:szCs w:val="24"/>
          <w:lang w:val="ro-RO"/>
        </w:rPr>
        <w:t>Prezenta decizie poate fi contestată în conformitate cu prevederile Hotărârii guvernului nr. 445/2009 şi ale Legii contenciosului administrativ nr. 554/2004, cu modificările şi completările ulterioare.</w:t>
      </w:r>
    </w:p>
    <w:p w:rsidR="007A170E" w:rsidRDefault="007A170E" w:rsidP="007A170E">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7A170E" w:rsidRDefault="007A170E" w:rsidP="007A170E">
      <w:pPr>
        <w:spacing w:after="0" w:line="240" w:lineRule="auto"/>
        <w:rPr>
          <w:rFonts w:ascii="Times New Roman" w:hAnsi="Times New Roman"/>
          <w:b/>
          <w:sz w:val="24"/>
          <w:szCs w:val="24"/>
          <w:lang w:val="ro-RO"/>
        </w:rPr>
      </w:pPr>
    </w:p>
    <w:p w:rsidR="007A170E" w:rsidRDefault="007A170E" w:rsidP="007A170E">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w:t>
      </w:r>
      <w:r>
        <w:rPr>
          <w:rFonts w:ascii="Times New Roman" w:hAnsi="Times New Roman"/>
          <w:sz w:val="24"/>
          <w:szCs w:val="24"/>
          <w:lang w:val="ro-RO"/>
        </w:rPr>
        <w:lastRenderedPageBreak/>
        <w:t>sau omisiunile autorităţii publice competente care fac obiectul participării publicului, inclusiv aprobarea de dezvoltare, potrivit prevederilor Legii contenciosului administrativ nr. 554/2004, cu modificările şi completările ulterioare.</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7A170E" w:rsidRDefault="007A170E" w:rsidP="007A170E">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7A170E" w:rsidRDefault="00813A4E">
      <w:pPr>
        <w:rPr>
          <w:lang w:val="ro-RO"/>
        </w:rPr>
      </w:pPr>
      <w:bookmarkStart w:id="0" w:name="_GoBack"/>
      <w:bookmarkEnd w:id="0"/>
    </w:p>
    <w:sectPr w:rsidR="00813A4E" w:rsidRPr="007A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64"/>
    <w:multiLevelType w:val="hybridMultilevel"/>
    <w:tmpl w:val="FD5A121A"/>
    <w:lvl w:ilvl="0" w:tplc="08002B58">
      <w:start w:val="2"/>
      <w:numFmt w:val="bullet"/>
      <w:lvlText w:val="-"/>
      <w:lvlJc w:val="left"/>
      <w:pPr>
        <w:ind w:left="1440" w:hanging="360"/>
      </w:pPr>
      <w:rPr>
        <w:rFonts w:ascii="Arial" w:eastAsia="Calibri"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11064DEC"/>
    <w:multiLevelType w:val="hybridMultilevel"/>
    <w:tmpl w:val="C5700C14"/>
    <w:lvl w:ilvl="0" w:tplc="2B04846C">
      <w:numFmt w:val="bullet"/>
      <w:lvlText w:val="-"/>
      <w:lvlJc w:val="left"/>
      <w:pPr>
        <w:ind w:left="922" w:hanging="360"/>
      </w:pPr>
      <w:rPr>
        <w:rFonts w:ascii="Times New Roman" w:eastAsia="Calibri"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cs="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cs="Courier New" w:hint="default"/>
      </w:rPr>
    </w:lvl>
    <w:lvl w:ilvl="8" w:tplc="04090005">
      <w:start w:val="1"/>
      <w:numFmt w:val="bullet"/>
      <w:lvlText w:val=""/>
      <w:lvlJc w:val="left"/>
      <w:pPr>
        <w:ind w:left="6682" w:hanging="360"/>
      </w:pPr>
      <w:rPr>
        <w:rFonts w:ascii="Wingdings" w:hAnsi="Wingdings" w:hint="default"/>
      </w:rPr>
    </w:lvl>
  </w:abstractNum>
  <w:abstractNum w:abstractNumId="2">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23912F77"/>
    <w:multiLevelType w:val="hybridMultilevel"/>
    <w:tmpl w:val="CD6C4580"/>
    <w:lvl w:ilvl="0" w:tplc="98D0D1A2">
      <w:start w:val="1"/>
      <w:numFmt w:val="lowerLetter"/>
      <w:lvlText w:val="%1)"/>
      <w:lvlJc w:val="left"/>
      <w:pPr>
        <w:ind w:left="630" w:hanging="360"/>
      </w:pPr>
    </w:lvl>
    <w:lvl w:ilvl="1" w:tplc="04180019">
      <w:start w:val="1"/>
      <w:numFmt w:val="lowerLetter"/>
      <w:lvlText w:val="%2."/>
      <w:lvlJc w:val="left"/>
      <w:pPr>
        <w:ind w:left="1350" w:hanging="360"/>
      </w:pPr>
    </w:lvl>
    <w:lvl w:ilvl="2" w:tplc="0418001B">
      <w:start w:val="1"/>
      <w:numFmt w:val="lowerRoman"/>
      <w:lvlText w:val="%3."/>
      <w:lvlJc w:val="right"/>
      <w:pPr>
        <w:ind w:left="2070" w:hanging="180"/>
      </w:pPr>
    </w:lvl>
    <w:lvl w:ilvl="3" w:tplc="0418000F">
      <w:start w:val="1"/>
      <w:numFmt w:val="decimal"/>
      <w:lvlText w:val="%4."/>
      <w:lvlJc w:val="left"/>
      <w:pPr>
        <w:ind w:left="2790" w:hanging="360"/>
      </w:pPr>
    </w:lvl>
    <w:lvl w:ilvl="4" w:tplc="04180019">
      <w:start w:val="1"/>
      <w:numFmt w:val="lowerLetter"/>
      <w:lvlText w:val="%5."/>
      <w:lvlJc w:val="left"/>
      <w:pPr>
        <w:ind w:left="3510" w:hanging="360"/>
      </w:pPr>
    </w:lvl>
    <w:lvl w:ilvl="5" w:tplc="0418001B">
      <w:start w:val="1"/>
      <w:numFmt w:val="lowerRoman"/>
      <w:lvlText w:val="%6."/>
      <w:lvlJc w:val="right"/>
      <w:pPr>
        <w:ind w:left="4230" w:hanging="180"/>
      </w:pPr>
    </w:lvl>
    <w:lvl w:ilvl="6" w:tplc="0418000F">
      <w:start w:val="1"/>
      <w:numFmt w:val="decimal"/>
      <w:lvlText w:val="%7."/>
      <w:lvlJc w:val="left"/>
      <w:pPr>
        <w:ind w:left="4950" w:hanging="360"/>
      </w:pPr>
    </w:lvl>
    <w:lvl w:ilvl="7" w:tplc="04180019">
      <w:start w:val="1"/>
      <w:numFmt w:val="lowerLetter"/>
      <w:lvlText w:val="%8."/>
      <w:lvlJc w:val="left"/>
      <w:pPr>
        <w:ind w:left="5670" w:hanging="360"/>
      </w:pPr>
    </w:lvl>
    <w:lvl w:ilvl="8" w:tplc="0418001B">
      <w:start w:val="1"/>
      <w:numFmt w:val="lowerRoman"/>
      <w:lvlText w:val="%9."/>
      <w:lvlJc w:val="right"/>
      <w:pPr>
        <w:ind w:left="6390" w:hanging="180"/>
      </w:pPr>
    </w:lvl>
  </w:abstractNum>
  <w:abstractNum w:abstractNumId="4">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50"/>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1CD"/>
    <w:rsid w:val="000E3C60"/>
    <w:rsid w:val="000E4A45"/>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54B7"/>
    <w:rsid w:val="001A753D"/>
    <w:rsid w:val="001B6411"/>
    <w:rsid w:val="001C5CD2"/>
    <w:rsid w:val="001C6086"/>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92AB0"/>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2101"/>
    <w:rsid w:val="004B6272"/>
    <w:rsid w:val="004C0EC7"/>
    <w:rsid w:val="004C37C1"/>
    <w:rsid w:val="004D2F59"/>
    <w:rsid w:val="004D433E"/>
    <w:rsid w:val="004D72BB"/>
    <w:rsid w:val="004E101A"/>
    <w:rsid w:val="004E6C80"/>
    <w:rsid w:val="004F5310"/>
    <w:rsid w:val="00501307"/>
    <w:rsid w:val="00501F6F"/>
    <w:rsid w:val="00503AC4"/>
    <w:rsid w:val="00503E44"/>
    <w:rsid w:val="00504BA0"/>
    <w:rsid w:val="00505E3A"/>
    <w:rsid w:val="0051026B"/>
    <w:rsid w:val="0051259A"/>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224B2"/>
    <w:rsid w:val="00624DFE"/>
    <w:rsid w:val="00633920"/>
    <w:rsid w:val="00633E47"/>
    <w:rsid w:val="0063540B"/>
    <w:rsid w:val="00635D94"/>
    <w:rsid w:val="0063654C"/>
    <w:rsid w:val="00640E4E"/>
    <w:rsid w:val="006514C7"/>
    <w:rsid w:val="00653E4C"/>
    <w:rsid w:val="00655C3D"/>
    <w:rsid w:val="006576B2"/>
    <w:rsid w:val="00664E56"/>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789"/>
    <w:rsid w:val="006D4F1B"/>
    <w:rsid w:val="006D653E"/>
    <w:rsid w:val="006E2999"/>
    <w:rsid w:val="006E2C29"/>
    <w:rsid w:val="006E575F"/>
    <w:rsid w:val="006F36A7"/>
    <w:rsid w:val="006F6D5D"/>
    <w:rsid w:val="007037E7"/>
    <w:rsid w:val="00706F7F"/>
    <w:rsid w:val="007105A0"/>
    <w:rsid w:val="00710673"/>
    <w:rsid w:val="007107BF"/>
    <w:rsid w:val="00714726"/>
    <w:rsid w:val="00726828"/>
    <w:rsid w:val="00732DC5"/>
    <w:rsid w:val="00741423"/>
    <w:rsid w:val="00750CD1"/>
    <w:rsid w:val="00755154"/>
    <w:rsid w:val="007617D3"/>
    <w:rsid w:val="007649EC"/>
    <w:rsid w:val="00764D41"/>
    <w:rsid w:val="00765435"/>
    <w:rsid w:val="007702B5"/>
    <w:rsid w:val="00771A21"/>
    <w:rsid w:val="00771BD6"/>
    <w:rsid w:val="00772421"/>
    <w:rsid w:val="00782BE7"/>
    <w:rsid w:val="007866D8"/>
    <w:rsid w:val="00786930"/>
    <w:rsid w:val="00786AB4"/>
    <w:rsid w:val="00793E65"/>
    <w:rsid w:val="007A170E"/>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5163"/>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850"/>
    <w:rsid w:val="00876B01"/>
    <w:rsid w:val="00880853"/>
    <w:rsid w:val="00881ED5"/>
    <w:rsid w:val="00881F6C"/>
    <w:rsid w:val="00882A7F"/>
    <w:rsid w:val="0089025D"/>
    <w:rsid w:val="00893710"/>
    <w:rsid w:val="00893B00"/>
    <w:rsid w:val="00897DED"/>
    <w:rsid w:val="008A7F44"/>
    <w:rsid w:val="008B0169"/>
    <w:rsid w:val="008B22B4"/>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760"/>
    <w:rsid w:val="009402DB"/>
    <w:rsid w:val="009422ED"/>
    <w:rsid w:val="0094549C"/>
    <w:rsid w:val="00946488"/>
    <w:rsid w:val="00951F21"/>
    <w:rsid w:val="00953E06"/>
    <w:rsid w:val="009612A2"/>
    <w:rsid w:val="0096283B"/>
    <w:rsid w:val="00965084"/>
    <w:rsid w:val="0097183E"/>
    <w:rsid w:val="009724A2"/>
    <w:rsid w:val="00972A22"/>
    <w:rsid w:val="00974A46"/>
    <w:rsid w:val="00975B34"/>
    <w:rsid w:val="009824D6"/>
    <w:rsid w:val="0098358B"/>
    <w:rsid w:val="00985AE8"/>
    <w:rsid w:val="009904A2"/>
    <w:rsid w:val="00990562"/>
    <w:rsid w:val="009914CA"/>
    <w:rsid w:val="0099563E"/>
    <w:rsid w:val="009956AE"/>
    <w:rsid w:val="009A1330"/>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1C52"/>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3D53"/>
    <w:rsid w:val="00BE539B"/>
    <w:rsid w:val="00BE7D4F"/>
    <w:rsid w:val="00BF1838"/>
    <w:rsid w:val="00BF56EB"/>
    <w:rsid w:val="00BF6B11"/>
    <w:rsid w:val="00C06353"/>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1C4F"/>
    <w:rsid w:val="00DE2775"/>
    <w:rsid w:val="00DE34BC"/>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D2D9F"/>
    <w:rsid w:val="00ED4740"/>
    <w:rsid w:val="00ED5791"/>
    <w:rsid w:val="00ED7948"/>
    <w:rsid w:val="00EE0463"/>
    <w:rsid w:val="00EE2BC2"/>
    <w:rsid w:val="00EE36F8"/>
    <w:rsid w:val="00EE3C7B"/>
    <w:rsid w:val="00EE4BFC"/>
    <w:rsid w:val="00EE610F"/>
    <w:rsid w:val="00F00E0B"/>
    <w:rsid w:val="00F0377F"/>
    <w:rsid w:val="00F04D2E"/>
    <w:rsid w:val="00F05F9F"/>
    <w:rsid w:val="00F060A0"/>
    <w:rsid w:val="00F129F7"/>
    <w:rsid w:val="00F1557C"/>
    <w:rsid w:val="00F221CC"/>
    <w:rsid w:val="00F22D28"/>
    <w:rsid w:val="00F23396"/>
    <w:rsid w:val="00F32F84"/>
    <w:rsid w:val="00F34119"/>
    <w:rsid w:val="00F344BF"/>
    <w:rsid w:val="00F363CE"/>
    <w:rsid w:val="00F41F80"/>
    <w:rsid w:val="00F51F77"/>
    <w:rsid w:val="00F72418"/>
    <w:rsid w:val="00F85790"/>
    <w:rsid w:val="00FA504D"/>
    <w:rsid w:val="00FA78FA"/>
    <w:rsid w:val="00FB0BB7"/>
    <w:rsid w:val="00FB31D5"/>
    <w:rsid w:val="00FC1CC3"/>
    <w:rsid w:val="00FC50AE"/>
    <w:rsid w:val="00FC5CFF"/>
    <w:rsid w:val="00FC6DB7"/>
    <w:rsid w:val="00FD08D5"/>
    <w:rsid w:val="00FD391F"/>
    <w:rsid w:val="00FD6FAF"/>
    <w:rsid w:val="00FD7ADA"/>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7A170E"/>
    <w:rPr>
      <w:lang w:val="en-US"/>
    </w:rPr>
  </w:style>
  <w:style w:type="paragraph" w:styleId="Listparagraf">
    <w:name w:val="List Paragraph"/>
    <w:aliases w:val="body 2,List Paragraph1,Listă paragraf1"/>
    <w:basedOn w:val="Normal"/>
    <w:link w:val="ListparagrafCaracter"/>
    <w:qFormat/>
    <w:rsid w:val="007A170E"/>
    <w:pPr>
      <w:ind w:left="720"/>
    </w:pPr>
    <w:rPr>
      <w:rFonts w:asciiTheme="minorHAnsi" w:eastAsiaTheme="minorHAnsi" w:hAnsiTheme="minorHAnsi" w:cstheme="minorBidi"/>
    </w:rPr>
  </w:style>
  <w:style w:type="character" w:customStyle="1" w:styleId="Bodytext">
    <w:name w:val="Body text_"/>
    <w:link w:val="Bodytext1"/>
    <w:locked/>
    <w:rsid w:val="007A170E"/>
    <w:rPr>
      <w:rFonts w:ascii="Arial" w:hAnsi="Arial" w:cs="Arial"/>
      <w:sz w:val="18"/>
      <w:szCs w:val="18"/>
      <w:shd w:val="clear" w:color="auto" w:fill="FFFFFF"/>
    </w:rPr>
  </w:style>
  <w:style w:type="paragraph" w:customStyle="1" w:styleId="Bodytext1">
    <w:name w:val="Body text1"/>
    <w:basedOn w:val="Normal"/>
    <w:link w:val="Bodytext"/>
    <w:rsid w:val="007A170E"/>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7A170E"/>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7A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7A170E"/>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7A170E"/>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7A170E"/>
    <w:rPr>
      <w:lang w:val="en-US"/>
    </w:rPr>
  </w:style>
  <w:style w:type="paragraph" w:styleId="Listparagraf">
    <w:name w:val="List Paragraph"/>
    <w:aliases w:val="body 2,List Paragraph1,Listă paragraf1"/>
    <w:basedOn w:val="Normal"/>
    <w:link w:val="ListparagrafCaracter"/>
    <w:qFormat/>
    <w:rsid w:val="007A170E"/>
    <w:pPr>
      <w:ind w:left="720"/>
    </w:pPr>
    <w:rPr>
      <w:rFonts w:asciiTheme="minorHAnsi" w:eastAsiaTheme="minorHAnsi" w:hAnsiTheme="minorHAnsi" w:cstheme="minorBidi"/>
    </w:rPr>
  </w:style>
  <w:style w:type="character" w:customStyle="1" w:styleId="Bodytext">
    <w:name w:val="Body text_"/>
    <w:link w:val="Bodytext1"/>
    <w:locked/>
    <w:rsid w:val="007A170E"/>
    <w:rPr>
      <w:rFonts w:ascii="Arial" w:hAnsi="Arial" w:cs="Arial"/>
      <w:sz w:val="18"/>
      <w:szCs w:val="18"/>
      <w:shd w:val="clear" w:color="auto" w:fill="FFFFFF"/>
    </w:rPr>
  </w:style>
  <w:style w:type="paragraph" w:customStyle="1" w:styleId="Bodytext1">
    <w:name w:val="Body text1"/>
    <w:basedOn w:val="Normal"/>
    <w:link w:val="Bodytext"/>
    <w:rsid w:val="007A170E"/>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7A170E"/>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7A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7A170E"/>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7A170E"/>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2587</Words>
  <Characters>15009</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2018-10-08T09:59:00Z</cp:lastPrinted>
  <dcterms:created xsi:type="dcterms:W3CDTF">2018-10-08T09:59:00Z</dcterms:created>
  <dcterms:modified xsi:type="dcterms:W3CDTF">2018-10-08T09:59:00Z</dcterms:modified>
</cp:coreProperties>
</file>