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4D4571">
        <w:t>1630</w:t>
      </w:r>
      <w:r w:rsidR="004F3547">
        <w:t xml:space="preserve"> </w:t>
      </w:r>
      <w:r w:rsidR="00C3794E">
        <w:t xml:space="preserve"> din </w:t>
      </w:r>
      <w:r w:rsidR="004D4571">
        <w:t xml:space="preserve">14 februarie  </w:t>
      </w:r>
      <w:bookmarkStart w:id="0" w:name="_GoBack"/>
      <w:bookmarkEnd w:id="0"/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DF1661">
        <w:rPr>
          <w:b/>
          <w:sz w:val="32"/>
        </w:rPr>
        <w:t>1</w:t>
      </w:r>
      <w:r w:rsidR="00C14A44">
        <w:rPr>
          <w:b/>
          <w:sz w:val="32"/>
        </w:rPr>
        <w:t>4</w:t>
      </w:r>
      <w:r w:rsidR="00034AC3">
        <w:rPr>
          <w:b/>
          <w:sz w:val="32"/>
        </w:rPr>
        <w:t xml:space="preserve"> </w:t>
      </w:r>
      <w:r w:rsidR="00C14A44">
        <w:rPr>
          <w:b/>
          <w:sz w:val="32"/>
        </w:rPr>
        <w:t xml:space="preserve">februarie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1199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838"/>
      </w:tblGrid>
      <w:tr w:rsidR="006369F2" w:rsidTr="0023110D">
        <w:tc>
          <w:tcPr>
            <w:tcW w:w="2430" w:type="dxa"/>
          </w:tcPr>
          <w:p w:rsidR="006369F2" w:rsidRPr="00D4532B" w:rsidRDefault="006369F2" w:rsidP="006369F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KELEMEN AUTO CENTRUM S.R.L.</w:t>
            </w:r>
          </w:p>
        </w:tc>
        <w:tc>
          <w:tcPr>
            <w:tcW w:w="2263" w:type="dxa"/>
          </w:tcPr>
          <w:p w:rsidR="006369F2" w:rsidRPr="00D4532B" w:rsidRDefault="006369F2" w:rsidP="00961DD5">
            <w:pPr>
              <w:ind w:right="1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Spălătorie auto</w:t>
            </w:r>
          </w:p>
        </w:tc>
        <w:tc>
          <w:tcPr>
            <w:tcW w:w="2395" w:type="dxa"/>
          </w:tcPr>
          <w:p w:rsidR="006369F2" w:rsidRPr="00D4532B" w:rsidRDefault="006369F2" w:rsidP="00961DD5">
            <w:pPr>
              <w:ind w:right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Gheorgheni, str. Gabor Aron nr.16</w:t>
            </w:r>
          </w:p>
        </w:tc>
        <w:tc>
          <w:tcPr>
            <w:tcW w:w="2273" w:type="dxa"/>
          </w:tcPr>
          <w:p w:rsidR="006369F2" w:rsidRDefault="006369F2" w:rsidP="00AD7D5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6369F2" w:rsidRDefault="006369F2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6369F2" w:rsidTr="0023110D">
        <w:tc>
          <w:tcPr>
            <w:tcW w:w="2430" w:type="dxa"/>
          </w:tcPr>
          <w:p w:rsidR="006369F2" w:rsidRDefault="006369F2" w:rsidP="006369F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CORECT TEAM S.R.L.</w:t>
            </w:r>
          </w:p>
        </w:tc>
        <w:tc>
          <w:tcPr>
            <w:tcW w:w="2263" w:type="dxa"/>
          </w:tcPr>
          <w:p w:rsidR="006369F2" w:rsidRDefault="006369F2" w:rsidP="00961DD5">
            <w:pPr>
              <w:ind w:right="1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Prelucrarea lemnului</w:t>
            </w:r>
          </w:p>
        </w:tc>
        <w:tc>
          <w:tcPr>
            <w:tcW w:w="2395" w:type="dxa"/>
          </w:tcPr>
          <w:p w:rsidR="006369F2" w:rsidRDefault="006369F2" w:rsidP="00961DD5">
            <w:pPr>
              <w:ind w:right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Sâncrăieni, str. Duna nr.176</w:t>
            </w:r>
          </w:p>
        </w:tc>
        <w:tc>
          <w:tcPr>
            <w:tcW w:w="2273" w:type="dxa"/>
          </w:tcPr>
          <w:p w:rsidR="006369F2" w:rsidRDefault="006369F2" w:rsidP="00961D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6369F2" w:rsidRDefault="006369F2" w:rsidP="00961DD5">
            <w:pPr>
              <w:ind w:right="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Abos</w:t>
            </w:r>
            <w:proofErr w:type="spellEnd"/>
            <w:r>
              <w:rPr>
                <w:sz w:val="24"/>
                <w:szCs w:val="24"/>
              </w:rPr>
              <w:t xml:space="preserve"> Judit</w:t>
            </w:r>
          </w:p>
        </w:tc>
      </w:tr>
      <w:tr w:rsidR="006369F2" w:rsidTr="0023110D">
        <w:tc>
          <w:tcPr>
            <w:tcW w:w="2430" w:type="dxa"/>
          </w:tcPr>
          <w:p w:rsidR="006369F2" w:rsidRDefault="006369F2" w:rsidP="00961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HARVIZ S.A.</w:t>
            </w:r>
          </w:p>
        </w:tc>
        <w:tc>
          <w:tcPr>
            <w:tcW w:w="2263" w:type="dxa"/>
          </w:tcPr>
          <w:p w:rsidR="006369F2" w:rsidRDefault="006369F2" w:rsidP="00961DD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Alimentarea cu apă, colectarea și epurarea apelor uzate</w:t>
            </w:r>
          </w:p>
        </w:tc>
        <w:tc>
          <w:tcPr>
            <w:tcW w:w="2395" w:type="dxa"/>
          </w:tcPr>
          <w:p w:rsidR="006369F2" w:rsidRDefault="006369F2" w:rsidP="00961D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Sândominic, Tomești, Cârța, Dănești, Mădăraș</w:t>
            </w:r>
          </w:p>
        </w:tc>
        <w:tc>
          <w:tcPr>
            <w:tcW w:w="2273" w:type="dxa"/>
          </w:tcPr>
          <w:p w:rsidR="006369F2" w:rsidRDefault="006369F2" w:rsidP="00961D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6369F2" w:rsidRDefault="006369F2" w:rsidP="00961DD5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6369F2" w:rsidTr="0023110D">
        <w:tc>
          <w:tcPr>
            <w:tcW w:w="2430" w:type="dxa"/>
          </w:tcPr>
          <w:p w:rsidR="006369F2" w:rsidRDefault="006369F2" w:rsidP="00961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NORSZAND-ZK S.R.L.</w:t>
            </w:r>
          </w:p>
        </w:tc>
        <w:tc>
          <w:tcPr>
            <w:tcW w:w="2263" w:type="dxa"/>
          </w:tcPr>
          <w:p w:rsidR="006369F2" w:rsidRDefault="006369F2" w:rsidP="00961DD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Prelucrarea primară a lemnului</w:t>
            </w:r>
          </w:p>
        </w:tc>
        <w:tc>
          <w:tcPr>
            <w:tcW w:w="2395" w:type="dxa"/>
          </w:tcPr>
          <w:p w:rsidR="006369F2" w:rsidRDefault="006369F2" w:rsidP="00961D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Ditrău, str. Nicolae Bălcescu nr.300</w:t>
            </w:r>
          </w:p>
        </w:tc>
        <w:tc>
          <w:tcPr>
            <w:tcW w:w="2273" w:type="dxa"/>
          </w:tcPr>
          <w:p w:rsidR="006369F2" w:rsidRDefault="006369F2" w:rsidP="006369F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Revizuire fără program </w:t>
            </w:r>
            <w:r>
              <w:rPr>
                <w:sz w:val="24"/>
                <w:szCs w:val="24"/>
              </w:rPr>
              <w:t>pentru conformare</w:t>
            </w:r>
          </w:p>
        </w:tc>
        <w:tc>
          <w:tcPr>
            <w:tcW w:w="1838" w:type="dxa"/>
          </w:tcPr>
          <w:p w:rsidR="006369F2" w:rsidRDefault="006369F2" w:rsidP="00961DD5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Bartalis </w:t>
            </w:r>
            <w:proofErr w:type="spellStart"/>
            <w:r>
              <w:rPr>
                <w:sz w:val="24"/>
                <w:szCs w:val="24"/>
              </w:rPr>
              <w:t>Gyöngyvér</w:t>
            </w:r>
            <w:proofErr w:type="spellEnd"/>
            <w:r>
              <w:rPr>
                <w:sz w:val="24"/>
                <w:szCs w:val="24"/>
              </w:rPr>
              <w:t xml:space="preserve"> Éva</w:t>
            </w:r>
          </w:p>
        </w:tc>
      </w:tr>
      <w:tr w:rsidR="006369F2" w:rsidTr="0023110D">
        <w:tc>
          <w:tcPr>
            <w:tcW w:w="2430" w:type="dxa"/>
          </w:tcPr>
          <w:p w:rsidR="006369F2" w:rsidRDefault="006369F2" w:rsidP="00961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STONE HARGHITA S.R.L.</w:t>
            </w:r>
          </w:p>
        </w:tc>
        <w:tc>
          <w:tcPr>
            <w:tcW w:w="2263" w:type="dxa"/>
          </w:tcPr>
          <w:p w:rsidR="006369F2" w:rsidRDefault="006369F2" w:rsidP="00961DD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Exploatarea în carieră a plăcilor andezite</w:t>
            </w:r>
          </w:p>
        </w:tc>
        <w:tc>
          <w:tcPr>
            <w:tcW w:w="2395" w:type="dxa"/>
          </w:tcPr>
          <w:p w:rsidR="006369F2" w:rsidRDefault="006369F2" w:rsidP="00961D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Perimetrul Mădăraș Vest, Comuna Mădăraș</w:t>
            </w:r>
          </w:p>
        </w:tc>
        <w:tc>
          <w:tcPr>
            <w:tcW w:w="2273" w:type="dxa"/>
          </w:tcPr>
          <w:p w:rsidR="006369F2" w:rsidRPr="006369F2" w:rsidRDefault="006369F2" w:rsidP="00961DD5">
            <w:pPr>
              <w:ind w:right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6369F2" w:rsidRDefault="006369F2" w:rsidP="00961DD5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Bartalis </w:t>
            </w:r>
            <w:proofErr w:type="spellStart"/>
            <w:r>
              <w:rPr>
                <w:sz w:val="24"/>
                <w:szCs w:val="24"/>
              </w:rPr>
              <w:t>Gyöngyvér</w:t>
            </w:r>
            <w:proofErr w:type="spellEnd"/>
            <w:r>
              <w:rPr>
                <w:sz w:val="24"/>
                <w:szCs w:val="24"/>
              </w:rPr>
              <w:t xml:space="preserve"> Éva</w:t>
            </w:r>
          </w:p>
        </w:tc>
      </w:tr>
      <w:tr w:rsidR="006369F2" w:rsidTr="0023110D">
        <w:tc>
          <w:tcPr>
            <w:tcW w:w="2430" w:type="dxa"/>
          </w:tcPr>
          <w:p w:rsidR="006369F2" w:rsidRDefault="006369F2" w:rsidP="00961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SZOCS JANOS I.I.</w:t>
            </w:r>
          </w:p>
        </w:tc>
        <w:tc>
          <w:tcPr>
            <w:tcW w:w="2263" w:type="dxa"/>
          </w:tcPr>
          <w:p w:rsidR="006369F2" w:rsidRDefault="006369F2" w:rsidP="00961DD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Fabricarea de mobilă și elemente de dulgherie și tâmplărie</w:t>
            </w:r>
          </w:p>
        </w:tc>
        <w:tc>
          <w:tcPr>
            <w:tcW w:w="2395" w:type="dxa"/>
          </w:tcPr>
          <w:p w:rsidR="006369F2" w:rsidRDefault="006369F2" w:rsidP="00961D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Ditrău, str. N. Bălcescu nr.66</w:t>
            </w:r>
          </w:p>
        </w:tc>
        <w:tc>
          <w:tcPr>
            <w:tcW w:w="2273" w:type="dxa"/>
          </w:tcPr>
          <w:p w:rsidR="006369F2" w:rsidRDefault="006369F2" w:rsidP="00961D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6369F2" w:rsidRDefault="006369F2" w:rsidP="00961DD5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Bartalis </w:t>
            </w:r>
            <w:proofErr w:type="spellStart"/>
            <w:r>
              <w:rPr>
                <w:sz w:val="24"/>
                <w:szCs w:val="24"/>
              </w:rPr>
              <w:t>Gyöngyvér</w:t>
            </w:r>
            <w:proofErr w:type="spellEnd"/>
            <w:r>
              <w:rPr>
                <w:sz w:val="24"/>
                <w:szCs w:val="24"/>
              </w:rPr>
              <w:t xml:space="preserve"> Éva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4571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369F2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3FE8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4A44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20DE-EDBF-46FE-A603-22923F99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71</cp:revision>
  <cp:lastPrinted>2016-08-30T10:59:00Z</cp:lastPrinted>
  <dcterms:created xsi:type="dcterms:W3CDTF">2014-07-29T07:06:00Z</dcterms:created>
  <dcterms:modified xsi:type="dcterms:W3CDTF">2017-02-16T06:27:00Z</dcterms:modified>
</cp:coreProperties>
</file>