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CC1215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C4712C">
        <w:rPr>
          <w:rFonts w:ascii="Arial" w:hAnsi="Arial" w:cs="Arial"/>
          <w:i w:val="0"/>
          <w:lang w:val="ro-RO"/>
        </w:rPr>
        <w:t>2</w:t>
      </w:r>
      <w:r w:rsidR="00CC1215">
        <w:rPr>
          <w:rFonts w:ascii="Arial" w:hAnsi="Arial" w:cs="Arial"/>
          <w:i w:val="0"/>
          <w:lang w:val="ro-RO"/>
        </w:rPr>
        <w:t>6</w:t>
      </w:r>
      <w:r w:rsidRPr="00B038EE">
        <w:rPr>
          <w:rFonts w:ascii="Arial" w:hAnsi="Arial" w:cs="Arial"/>
          <w:i w:val="0"/>
          <w:lang w:val="ro-RO"/>
        </w:rPr>
        <w:t>.0</w:t>
      </w:r>
      <w:r w:rsidR="00B038EE">
        <w:rPr>
          <w:rFonts w:ascii="Arial" w:hAnsi="Arial" w:cs="Arial"/>
          <w:i w:val="0"/>
          <w:lang w:val="ro-RO"/>
        </w:rPr>
        <w:t>9</w:t>
      </w:r>
      <w:r w:rsidRPr="00B038EE">
        <w:rPr>
          <w:rFonts w:ascii="Arial" w:hAnsi="Arial" w:cs="Arial"/>
          <w:i w:val="0"/>
          <w:lang w:val="ro-RO"/>
        </w:rPr>
        <w:t>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CC1215">
        <w:rPr>
          <w:rFonts w:ascii="Arial" w:hAnsi="Arial" w:cs="Arial"/>
          <w:b/>
          <w:sz w:val="24"/>
          <w:szCs w:val="24"/>
          <w:lang w:val="ro-RO"/>
        </w:rPr>
        <w:t xml:space="preserve"> COMUNA COZMENI 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cu sediul în </w:t>
      </w:r>
      <w:r w:rsidR="00CC1215">
        <w:rPr>
          <w:rFonts w:ascii="Arial" w:hAnsi="Arial" w:cs="Arial"/>
          <w:sz w:val="24"/>
          <w:szCs w:val="24"/>
          <w:lang w:val="ro-RO"/>
        </w:rPr>
        <w:t xml:space="preserve">comuna Cozmeni, nr.200 </w:t>
      </w:r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CC1215">
        <w:rPr>
          <w:rFonts w:ascii="Garamond" w:hAnsi="Garamond"/>
          <w:sz w:val="24"/>
          <w:szCs w:val="24"/>
          <w:lang w:val="ro-RO"/>
        </w:rPr>
        <w:t>7336</w:t>
      </w:r>
      <w:r w:rsidR="00E8681C" w:rsidRPr="00B038EE">
        <w:rPr>
          <w:rFonts w:ascii="Garamond" w:hAnsi="Garamond"/>
          <w:sz w:val="24"/>
          <w:szCs w:val="24"/>
          <w:lang w:val="ro-RO"/>
        </w:rPr>
        <w:t>/</w:t>
      </w:r>
      <w:r w:rsidR="00CC1215">
        <w:rPr>
          <w:rFonts w:ascii="Garamond" w:hAnsi="Garamond"/>
          <w:sz w:val="24"/>
          <w:szCs w:val="24"/>
          <w:lang w:val="ro-RO"/>
        </w:rPr>
        <w:t>25</w:t>
      </w:r>
      <w:r w:rsidR="00342562">
        <w:rPr>
          <w:rFonts w:ascii="Garamond" w:hAnsi="Garamond"/>
          <w:sz w:val="24"/>
          <w:szCs w:val="24"/>
          <w:lang w:val="ro-RO"/>
        </w:rPr>
        <w:t>.0</w:t>
      </w:r>
      <w:r w:rsidR="00CC1215">
        <w:rPr>
          <w:rFonts w:ascii="Garamond" w:hAnsi="Garamond"/>
          <w:sz w:val="24"/>
          <w:szCs w:val="24"/>
          <w:lang w:val="ro-RO"/>
        </w:rPr>
        <w:t>8</w:t>
      </w:r>
      <w:r w:rsidR="00342562">
        <w:rPr>
          <w:rFonts w:ascii="Garamond" w:hAnsi="Garamond"/>
          <w:sz w:val="24"/>
          <w:szCs w:val="24"/>
          <w:lang w:val="ro-RO"/>
        </w:rPr>
        <w:t>.201</w:t>
      </w:r>
      <w:r w:rsidR="00C4712C">
        <w:rPr>
          <w:rFonts w:ascii="Garamond" w:hAnsi="Garamond"/>
          <w:sz w:val="24"/>
          <w:szCs w:val="24"/>
          <w:lang w:val="ro-RO"/>
        </w:rPr>
        <w:t>7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</w:t>
      </w:r>
      <w:bookmarkStart w:id="0" w:name="_GoBack"/>
      <w:bookmarkEnd w:id="0"/>
      <w:r w:rsidRPr="00B038EE">
        <w:rPr>
          <w:rFonts w:ascii="Arial" w:hAnsi="Arial" w:cs="Arial"/>
          <w:sz w:val="24"/>
          <w:szCs w:val="24"/>
          <w:lang w:val="ro-RO"/>
        </w:rPr>
        <w:t>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CC1215">
        <w:rPr>
          <w:rFonts w:ascii="Times New Roman" w:hAnsi="Times New Roman"/>
          <w:i/>
          <w:sz w:val="24"/>
          <w:szCs w:val="24"/>
          <w:lang w:val="ro-RO"/>
        </w:rPr>
        <w:t xml:space="preserve">26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septembrie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415AB">
        <w:rPr>
          <w:rFonts w:ascii="Garamond" w:hAnsi="Garamond"/>
          <w:b/>
          <w:i/>
          <w:sz w:val="24"/>
          <w:szCs w:val="24"/>
          <w:lang w:val="ro-RO"/>
        </w:rPr>
        <w:t>Moderniz</w:t>
      </w:r>
      <w:r w:rsidR="00F159F6">
        <w:rPr>
          <w:rFonts w:ascii="Garamond" w:hAnsi="Garamond"/>
          <w:b/>
          <w:i/>
          <w:sz w:val="24"/>
          <w:szCs w:val="24"/>
          <w:lang w:val="ro-RO"/>
        </w:rPr>
        <w:t>ar</w:t>
      </w:r>
      <w:r w:rsidR="008415AB">
        <w:rPr>
          <w:rFonts w:ascii="Garamond" w:hAnsi="Garamond"/>
          <w:b/>
          <w:i/>
          <w:sz w:val="24"/>
          <w:szCs w:val="24"/>
          <w:lang w:val="ro-RO"/>
        </w:rPr>
        <w:t>e</w:t>
      </w:r>
      <w:r w:rsidR="00CC1215">
        <w:rPr>
          <w:rFonts w:ascii="Garamond" w:hAnsi="Garamond"/>
          <w:b/>
          <w:i/>
          <w:sz w:val="24"/>
          <w:szCs w:val="24"/>
          <w:lang w:val="ro-RO"/>
        </w:rPr>
        <w:t xml:space="preserve"> drumuri locale în Comuna Cozmeni</w:t>
      </w:r>
      <w:r w:rsidR="008415AB">
        <w:rPr>
          <w:rFonts w:ascii="Garamond" w:hAnsi="Garamond"/>
          <w:b/>
          <w:i/>
          <w:sz w:val="24"/>
          <w:szCs w:val="24"/>
          <w:lang w:val="ro-RO"/>
        </w:rPr>
        <w:t xml:space="preserve"> </w:t>
      </w:r>
      <w:r w:rsidR="00350A40">
        <w:rPr>
          <w:rFonts w:ascii="Garamond" w:hAnsi="Garamond"/>
          <w:b/>
          <w:i/>
          <w:sz w:val="24"/>
          <w:szCs w:val="24"/>
          <w:lang w:val="ro-RO"/>
        </w:rPr>
        <w:t>jude</w:t>
      </w:r>
      <w:r w:rsidR="00350A40">
        <w:rPr>
          <w:rFonts w:ascii="Times New Roman" w:hAnsi="Times New Roman"/>
          <w:b/>
          <w:i/>
          <w:sz w:val="24"/>
          <w:szCs w:val="24"/>
          <w:lang w:val="ro-RO"/>
        </w:rPr>
        <w:t>țul Harghita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8415AB">
        <w:rPr>
          <w:rFonts w:ascii="Garamond" w:hAnsi="Garamond"/>
          <w:sz w:val="24"/>
          <w:szCs w:val="24"/>
          <w:lang w:val="ro-RO"/>
        </w:rPr>
        <w:t xml:space="preserve">intravilanul </w:t>
      </w:r>
      <w:r w:rsidR="00350A40">
        <w:rPr>
          <w:rFonts w:ascii="Garamond" w:hAnsi="Garamond"/>
          <w:sz w:val="24"/>
          <w:szCs w:val="24"/>
          <w:lang w:val="ro-RO"/>
        </w:rPr>
        <w:t xml:space="preserve">Comuna Cozmeni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în domeniul public, </w:t>
      </w:r>
      <w:r w:rsidRPr="00B038EE">
        <w:rPr>
          <w:rFonts w:ascii="Arial" w:hAnsi="Arial" w:cs="Arial"/>
          <w:sz w:val="24"/>
          <w:szCs w:val="24"/>
          <w:lang w:val="ro-RO"/>
        </w:rPr>
        <w:t>jud.Harghita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6D7525">
          <w:pPr>
            <w:pStyle w:val="BodyText"/>
            <w:ind w:right="-91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pct 13 lit.a coroborat cu pct 10 lit. </w:t>
          </w:r>
          <w:r w:rsidR="006D7525">
            <w:rPr>
              <w:rFonts w:ascii="Times New Roman" w:hAnsi="Times New Roman"/>
              <w:b/>
              <w:bCs/>
              <w:lang w:val="ro-RO"/>
            </w:rPr>
            <w:t xml:space="preserve">B și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6D7525" w:rsidRPr="006D7525" w:rsidRDefault="00E97BA3" w:rsidP="006D7525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</w:t>
          </w:r>
          <w:r w:rsidR="006D7525">
            <w:rPr>
              <w:rFonts w:ascii="Times New Roman" w:hAnsi="Times New Roman"/>
              <w:i/>
              <w:iCs/>
              <w:lang w:val="ro-RO"/>
            </w:rPr>
            <w:t xml:space="preserve">rilor </w:t>
          </w:r>
          <w:r w:rsidR="004B7339">
            <w:rPr>
              <w:rFonts w:ascii="Times New Roman" w:hAnsi="Times New Roman"/>
              <w:i/>
              <w:iCs/>
              <w:lang w:val="ro-RO"/>
            </w:rPr>
            <w:t>comunale Cozmeni, satele Cozmeni și Lăzărești</w:t>
          </w:r>
          <w:bookmarkStart w:id="1" w:name="bookmark0"/>
          <w:bookmarkStart w:id="2" w:name="bookmark1"/>
          <w:bookmarkEnd w:id="1"/>
          <w:bookmarkEnd w:id="2"/>
          <w:r w:rsidR="004B7339">
            <w:rPr>
              <w:rFonts w:ascii="Times New Roman" w:hAnsi="Times New Roman"/>
              <w:i/>
              <w:iCs/>
              <w:lang w:val="ro-RO"/>
            </w:rPr>
            <w:t xml:space="preserve"> proi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 xml:space="preserve">ectul include asigurarea </w:t>
          </w:r>
          <w:r w:rsidR="008415AB">
            <w:rPr>
              <w:rFonts w:ascii="Times New Roman" w:hAnsi="Times New Roman"/>
              <w:i/>
              <w:iCs/>
              <w:lang w:val="ro-RO"/>
            </w:rPr>
            <w:t>unei structuri rutiere adecvate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6D7525" w:rsidRPr="006D7525" w:rsidRDefault="006D7525" w:rsidP="006D7525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zile ce fac obiectul proiectului sunt amplasate in intravilanul </w:t>
          </w:r>
          <w:r w:rsidR="001F3AC4">
            <w:rPr>
              <w:rFonts w:ascii="Times New Roman" w:hAnsi="Times New Roman"/>
              <w:i/>
              <w:iCs/>
              <w:lang w:val="ro-RO"/>
            </w:rPr>
            <w:t>comunei Cozmeni</w:t>
          </w:r>
          <w:r w:rsidRPr="006D7525">
            <w:rPr>
              <w:rFonts w:ascii="Times New Roman" w:hAnsi="Times New Roman"/>
              <w:i/>
              <w:iCs/>
              <w:lang w:val="ro-RO"/>
            </w:rPr>
            <w:t>, judetul Harghita, din punct de vedere juridic reprezint</w:t>
          </w:r>
          <w:r w:rsidR="001F3AC4"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 domeniul public de interes local </w:t>
          </w:r>
          <w:r>
            <w:rPr>
              <w:rFonts w:ascii="Times New Roman" w:hAnsi="Times New Roman"/>
              <w:i/>
              <w:iCs/>
              <w:lang w:val="ro-RO"/>
            </w:rPr>
            <w:t>și fac parte din reț</w:t>
          </w:r>
          <w:r w:rsidRPr="006D7525">
            <w:rPr>
              <w:rFonts w:ascii="Times New Roman" w:hAnsi="Times New Roman"/>
              <w:i/>
              <w:iCs/>
              <w:lang w:val="ro-RO"/>
            </w:rPr>
            <w:t>eaua de</w:t>
          </w:r>
          <w:r w:rsidR="001F3AC4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 a </w:t>
          </w:r>
          <w:r w:rsidR="001F3AC4">
            <w:rPr>
              <w:rFonts w:ascii="Times New Roman" w:hAnsi="Times New Roman"/>
              <w:i/>
              <w:iCs/>
              <w:lang w:val="ro-RO"/>
            </w:rPr>
            <w:t>localității</w:t>
          </w:r>
          <w:r w:rsidRPr="006D7525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6D7525" w:rsidRPr="006D0E17" w:rsidRDefault="006D0E17" w:rsidP="006D7525">
          <w:pPr>
            <w:kinsoku w:val="0"/>
            <w:overflowPunct w:val="0"/>
            <w:autoSpaceDE w:val="0"/>
            <w:autoSpaceDN w:val="0"/>
            <w:adjustRightInd w:val="0"/>
            <w:spacing w:after="50" w:line="240" w:lineRule="auto"/>
            <w:ind w:left="606"/>
            <w:rPr>
              <w:rFonts w:ascii="Times New Roman" w:hAnsi="Times New Roman"/>
              <w:i/>
              <w:iCs/>
              <w:lang w:val="ro-RO"/>
            </w:rPr>
          </w:pPr>
          <w:r w:rsidRPr="006D0E17">
            <w:rPr>
              <w:rFonts w:ascii="Times New Roman" w:hAnsi="Times New Roman"/>
              <w:i/>
              <w:iCs/>
              <w:lang w:val="ro-RO"/>
            </w:rPr>
            <w:t xml:space="preserve">Lungimile specifice proiectului: </w:t>
          </w:r>
          <w:r w:rsidR="001F3AC4" w:rsidRPr="001F3AC4">
            <w:rPr>
              <w:rFonts w:ascii="Times New Roman" w:hAnsi="Times New Roman"/>
              <w:i/>
              <w:iCs/>
              <w:lang w:val="ro-RO"/>
            </w:rPr>
            <w:t xml:space="preserve">lungimea totală a drumurilor comunale ce vor fi modernizate este de aproximativ </w:t>
          </w:r>
          <w:r w:rsidR="001F3AC4" w:rsidRPr="001F3AC4">
            <w:rPr>
              <w:rFonts w:ascii="Times New Roman" w:hAnsi="Times New Roman"/>
              <w:b/>
              <w:i/>
              <w:iCs/>
              <w:lang w:val="ro-RO"/>
            </w:rPr>
            <w:t>5066.00 m</w:t>
          </w:r>
          <w:r w:rsidRPr="001F3AC4">
            <w:rPr>
              <w:rFonts w:ascii="Times New Roman" w:hAnsi="Times New Roman"/>
              <w:b/>
              <w:i/>
              <w:iCs/>
              <w:lang w:val="ro-RO"/>
            </w:rPr>
            <w:t>.</w:t>
          </w:r>
        </w:p>
        <w:p w:rsidR="001F3AC4" w:rsidRPr="00AF6C12" w:rsidRDefault="001F3AC4" w:rsidP="00AF6C12">
          <w:pPr>
            <w:pStyle w:val="Continut"/>
            <w:spacing w:before="0" w:after="0" w:line="240" w:lineRule="auto"/>
            <w:rPr>
              <w:rFonts w:eastAsia="Calibri"/>
              <w:i/>
              <w:iCs/>
              <w:snapToGrid/>
              <w:sz w:val="22"/>
              <w:szCs w:val="22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</w:rPr>
            <w:t>Structura rutier</w:t>
          </w:r>
          <w:r w:rsidR="00AF6C12" w:rsidRPr="00AF6C12">
            <w:rPr>
              <w:rFonts w:eastAsia="Calibri"/>
              <w:i/>
              <w:iCs/>
              <w:snapToGrid/>
              <w:sz w:val="22"/>
              <w:szCs w:val="22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</w:rPr>
            <w:t xml:space="preserve"> propus</w:t>
          </w:r>
          <w:r w:rsidR="00AF6C12" w:rsidRPr="00AF6C12">
            <w:rPr>
              <w:rFonts w:eastAsia="Calibri"/>
              <w:i/>
              <w:iCs/>
              <w:snapToGrid/>
              <w:sz w:val="22"/>
              <w:szCs w:val="22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</w:rPr>
            <w:t xml:space="preserve"> pentru drumurile comunale este: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4 cm strat de beton asfaltic cu pietriș concasat BAPC 16, conform AND 605;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5 cm strat de beton asfaltic deschis cu pietriș concasat BADPC 20, conform AND 605;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12 cm strat din piatra spartă amestec optimal conform SR EN 13242;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15 cm strat de fundație din balast conform SR EN 13242;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10 cm strat din balast nisipos conform STAS 6400/84.</w:t>
          </w:r>
        </w:p>
        <w:p w:rsidR="001F3AC4" w:rsidRPr="00AF6C12" w:rsidRDefault="001F3AC4" w:rsidP="00AF6C12">
          <w:pPr>
            <w:pStyle w:val="Date"/>
            <w:ind w:firstLine="680"/>
            <w:rPr>
              <w:rFonts w:eastAsia="Calibri"/>
              <w:i/>
              <w:iCs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>La intersec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ț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>ia cu drumul na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ț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>ional, pe o distan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ță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 xml:space="preserve"> de 25 m, drumurile vor avea urm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>t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oarea structură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 xml:space="preserve"> rutier</w:t>
          </w:r>
          <w:r w:rsidR="00AF6C12">
            <w:rPr>
              <w:rFonts w:eastAsia="Calibri"/>
              <w:i/>
              <w:iCs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z w:val="22"/>
              <w:szCs w:val="22"/>
              <w:lang w:val="ro-RO"/>
            </w:rPr>
            <w:t>: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4 cm strat MAS 16 – mixtur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 xml:space="preserve"> asfaltic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 xml:space="preserve"> stabilizat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, conform AND 605;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5 cm BAD 20 – beton asfaltic deschis, conform AND 605;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8 cm AB 31.5 – anrobat bituminos, conform AND 605;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20 cm strat din piatr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 xml:space="preserve"> spart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ă</w:t>
          </w: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, conform  SR EN 13242;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30 cm strat de balast, conform SR EN 132042;</w:t>
          </w:r>
        </w:p>
        <w:p w:rsidR="001F3AC4" w:rsidRPr="00AF6C12" w:rsidRDefault="001F3AC4" w:rsidP="00AF6C12">
          <w:pPr>
            <w:pStyle w:val="Lista"/>
            <w:tabs>
              <w:tab w:val="clear" w:pos="720"/>
              <w:tab w:val="clear" w:pos="9072"/>
              <w:tab w:val="num" w:pos="1418"/>
            </w:tabs>
            <w:spacing w:before="0" w:after="0" w:line="240" w:lineRule="auto"/>
            <w:ind w:left="1418" w:hanging="284"/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</w:pPr>
          <w:r w:rsidRP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10 cm strat de nisip</w:t>
          </w:r>
          <w:r w:rsidR="00AF6C12">
            <w:rPr>
              <w:rFonts w:eastAsia="Calibri"/>
              <w:i/>
              <w:iCs/>
              <w:snapToGrid/>
              <w:sz w:val="22"/>
              <w:szCs w:val="22"/>
              <w:lang w:val="ro-RO"/>
            </w:rPr>
            <w:t>.</w:t>
          </w:r>
        </w:p>
        <w:p w:rsidR="008A4E16" w:rsidRDefault="008A4E16" w:rsidP="00102A6C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/>
            <w:jc w:val="both"/>
            <w:rPr>
              <w:rFonts w:ascii="Times New Roman" w:eastAsiaTheme="minorHAnsi" w:hAnsi="Times New Roman"/>
              <w:i/>
            </w:rPr>
          </w:pPr>
          <w:r>
            <w:rPr>
              <w:rFonts w:ascii="Times New Roman" w:eastAsiaTheme="minorHAnsi" w:hAnsi="Times New Roman"/>
              <w:i/>
            </w:rPr>
            <w:lastRenderedPageBreak/>
            <w:t>Conform Notificării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pentru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începerea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execuției nr.1</w:t>
          </w:r>
          <w:r w:rsidR="00AF6C12">
            <w:rPr>
              <w:rFonts w:ascii="Times New Roman" w:eastAsiaTheme="minorHAnsi" w:hAnsi="Times New Roman"/>
              <w:i/>
            </w:rPr>
            <w:t>1</w:t>
          </w:r>
          <w:r>
            <w:rPr>
              <w:rFonts w:ascii="Times New Roman" w:eastAsiaTheme="minorHAnsi" w:hAnsi="Times New Roman"/>
              <w:i/>
            </w:rPr>
            <w:t>/</w:t>
          </w:r>
          <w:r w:rsidR="00AF6C12">
            <w:rPr>
              <w:rFonts w:ascii="Times New Roman" w:eastAsiaTheme="minorHAnsi" w:hAnsi="Times New Roman"/>
              <w:i/>
            </w:rPr>
            <w:t>2</w:t>
          </w:r>
          <w:r>
            <w:rPr>
              <w:rFonts w:ascii="Times New Roman" w:eastAsiaTheme="minorHAnsi" w:hAnsi="Times New Roman"/>
              <w:i/>
            </w:rPr>
            <w:t>5.09.2017,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emisă de S.G.A Harghita se vor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amenaja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rigole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și</w:t>
          </w:r>
          <w:r w:rsidR="00AF6C12">
            <w:rPr>
              <w:rFonts w:ascii="Times New Roman" w:eastAsiaTheme="minorHAnsi" w:hAnsi="Times New Roman"/>
              <w:i/>
            </w:rPr>
            <w:t xml:space="preserve"> </w:t>
          </w:r>
          <w:r>
            <w:rPr>
              <w:rFonts w:ascii="Times New Roman" w:eastAsiaTheme="minorHAnsi" w:hAnsi="Times New Roman"/>
              <w:i/>
            </w:rPr>
            <w:t>ș</w:t>
          </w:r>
          <w:r w:rsidR="009B378F">
            <w:rPr>
              <w:rFonts w:ascii="Times New Roman" w:eastAsiaTheme="minorHAnsi" w:hAnsi="Times New Roman"/>
              <w:i/>
            </w:rPr>
            <w:t>anțuri de acostament</w:t>
          </w:r>
          <w:r>
            <w:rPr>
              <w:rFonts w:ascii="Times New Roman" w:eastAsiaTheme="minorHAnsi" w:hAnsi="Times New Roman"/>
              <w:i/>
            </w:rPr>
            <w:t>.</w:t>
          </w: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</w:t>
          </w:r>
          <w:r w:rsidR="00F3737C">
            <w:rPr>
              <w:rFonts w:ascii="Times New Roman" w:hAnsi="Times New Roman"/>
              <w:i/>
              <w:iCs/>
              <w:lang w:val="ro-RO"/>
            </w:rPr>
            <w:t>lizate la extindere sunt balast etc.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-zgomot: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="00D43C56">
            <w:rPr>
              <w:rFonts w:ascii="Times New Roman" w:hAnsi="Times New Roman"/>
              <w:i/>
              <w:iCs/>
              <w:lang w:val="ro-RO"/>
            </w:rPr>
            <w:t xml:space="preserve">- Terenul se află în </w:t>
          </w:r>
          <w:r w:rsidR="00F3737C">
            <w:rPr>
              <w:rFonts w:ascii="Times New Roman" w:hAnsi="Times New Roman"/>
              <w:i/>
              <w:iCs/>
              <w:lang w:val="ro-RO"/>
            </w:rPr>
            <w:t xml:space="preserve">intravilanul </w:t>
          </w:r>
          <w:r w:rsidR="00D43C56">
            <w:rPr>
              <w:rFonts w:ascii="Times New Roman" w:hAnsi="Times New Roman"/>
              <w:i/>
              <w:iCs/>
              <w:lang w:val="ro-RO"/>
            </w:rPr>
            <w:t>Comunei Cozmeni</w:t>
          </w:r>
          <w:r w:rsidR="008A4E16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domeniu public, folosinţa actuală fiind drum</w:t>
          </w:r>
          <w:r w:rsidR="00F3737C">
            <w:rPr>
              <w:rFonts w:ascii="Times New Roman" w:hAnsi="Times New Roman"/>
              <w:i/>
              <w:iCs/>
              <w:lang w:val="ro-RO"/>
            </w:rPr>
            <w:t xml:space="preserve">uri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conform Certificatului de urbanism nr.</w:t>
          </w:r>
          <w:r w:rsidR="00D43C56">
            <w:rPr>
              <w:rFonts w:ascii="Times New Roman" w:hAnsi="Times New Roman"/>
              <w:i/>
              <w:iCs/>
              <w:lang w:val="ro-RO"/>
            </w:rPr>
            <w:t>54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D43C56">
            <w:rPr>
              <w:rFonts w:ascii="Times New Roman" w:hAnsi="Times New Roman"/>
              <w:i/>
              <w:iCs/>
              <w:lang w:val="ro-RO"/>
            </w:rPr>
            <w:t>29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  <w:r w:rsidR="00F3737C">
            <w:rPr>
              <w:rFonts w:ascii="Times New Roman" w:hAnsi="Times New Roman"/>
              <w:i/>
              <w:iCs/>
              <w:lang w:val="ro-RO"/>
            </w:rPr>
            <w:t>0</w:t>
          </w:r>
          <w:r w:rsidR="00D43C56">
            <w:rPr>
              <w:rFonts w:ascii="Times New Roman" w:hAnsi="Times New Roman"/>
              <w:i/>
              <w:iCs/>
              <w:lang w:val="ro-RO"/>
            </w:rPr>
            <w:t>3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D43C56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 fiind drum 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parcurişirezervaţii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naturaleariile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="00B348BA">
            <w:rPr>
              <w:rFonts w:ascii="Times New Roman" w:hAnsi="Times New Roman"/>
              <w:lang w:val="ro-RO"/>
            </w:rPr>
            <w:t xml:space="preserve"> s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ariiîncare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="00B348BA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="00D43C56">
            <w:rPr>
              <w:rFonts w:ascii="Times New Roman" w:hAnsi="Times New Roman"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redusă- în </w:t>
          </w:r>
          <w:r w:rsidR="00F3737C">
            <w:rPr>
              <w:rFonts w:ascii="Times New Roman" w:hAnsi="Times New Roman"/>
              <w:i/>
              <w:iCs/>
              <w:lang w:val="ro-RO"/>
            </w:rPr>
            <w:t>intravilan</w:t>
          </w:r>
          <w:r w:rsidR="00D43C56">
            <w:rPr>
              <w:rFonts w:ascii="Times New Roman" w:hAnsi="Times New Roman"/>
              <w:i/>
              <w:iCs/>
              <w:lang w:val="ro-RO"/>
            </w:rPr>
            <w:t xml:space="preserve"> Comuna Cozmeni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-jud.Harghita.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b.natura transfrontieră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lastRenderedPageBreak/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8A4E16" w:rsidRPr="00B038EE" w:rsidRDefault="008A4E16" w:rsidP="00E97BA3">
          <w:pPr>
            <w:pStyle w:val="Default"/>
            <w:rPr>
              <w:rFonts w:ascii="Times New Roman" w:hAnsi="Times New Roman" w:cs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D43C56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D43C56">
            <w:rPr>
              <w:rFonts w:ascii="Times New Roman" w:hAnsi="Times New Roman"/>
              <w:sz w:val="24"/>
              <w:szCs w:val="24"/>
              <w:lang w:val="ro-RO"/>
            </w:rPr>
            <w:t>6. 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B038EE" w:rsidRDefault="000A36BF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B038EE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Pr="00B038EE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B038EE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E3" w:rsidRDefault="00240EE3">
      <w:pPr>
        <w:spacing w:after="0" w:line="240" w:lineRule="auto"/>
      </w:pPr>
      <w:r>
        <w:separator/>
      </w:r>
    </w:p>
  </w:endnote>
  <w:endnote w:type="continuationSeparator" w:id="1">
    <w:p w:rsidR="00240EE3" w:rsidRDefault="0024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6C" w:rsidRDefault="000A36BF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2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A6C">
      <w:rPr>
        <w:rStyle w:val="PageNumber"/>
        <w:noProof/>
      </w:rPr>
      <w:t>2</w:t>
    </w:r>
    <w:r>
      <w:rPr>
        <w:rStyle w:val="PageNumber"/>
      </w:rPr>
      <w:fldChar w:fldCharType="end"/>
    </w:r>
  </w:p>
  <w:p w:rsidR="00102A6C" w:rsidRDefault="00102A6C" w:rsidP="00AD61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Content>
              <w:p w:rsidR="00102A6C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102A6C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102A6C" w:rsidRPr="00F24068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102A6C" w:rsidRPr="00C44321" w:rsidRDefault="000A36BF" w:rsidP="00AD6100">
        <w:pPr>
          <w:pStyle w:val="Footer"/>
          <w:jc w:val="center"/>
        </w:pPr>
        <w:r>
          <w:fldChar w:fldCharType="begin"/>
        </w:r>
        <w:r w:rsidR="00102A6C">
          <w:instrText xml:space="preserve"> PAGE   \* MERGEFORMAT </w:instrText>
        </w:r>
        <w:r>
          <w:fldChar w:fldCharType="separate"/>
        </w:r>
        <w:r w:rsidR="00B34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Content>
          <w:p w:rsidR="00102A6C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102A6C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102A6C" w:rsidRPr="00F24068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 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E3" w:rsidRDefault="00240EE3">
      <w:pPr>
        <w:spacing w:after="0" w:line="240" w:lineRule="auto"/>
      </w:pPr>
      <w:r>
        <w:separator/>
      </w:r>
    </w:p>
  </w:footnote>
  <w:footnote w:type="continuationSeparator" w:id="1">
    <w:p w:rsidR="00240EE3" w:rsidRDefault="0024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6C" w:rsidRPr="00535A6C" w:rsidRDefault="000A36BF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A36B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8313830" r:id="rId2"/>
      </w:pict>
    </w:r>
    <w:r w:rsidR="00102A6C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348BA">
      <w:rPr>
        <w:lang w:val="ro-RO"/>
      </w:rPr>
      <w:t>„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2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02A6C" w:rsidRPr="00535A6C" w:rsidRDefault="000A36BF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2A6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2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02A6C" w:rsidRPr="003167DA" w:rsidRDefault="00102A6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02A6C" w:rsidRPr="00992A14" w:rsidRDefault="00102A6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02A6C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02A6C" w:rsidRPr="00992A14" w:rsidRDefault="000A36BF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2A6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02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102A6C" w:rsidRPr="0090788F" w:rsidRDefault="00102A6C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-"/>
      <w:lvlJc w:val="left"/>
      <w:pPr>
        <w:ind w:left="324" w:hanging="21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972D7"/>
    <w:multiLevelType w:val="hybridMultilevel"/>
    <w:tmpl w:val="A95E0A64"/>
    <w:lvl w:ilvl="0" w:tplc="15245CD4">
      <w:start w:val="8"/>
      <w:numFmt w:val="bullet"/>
      <w:pStyle w:val="Lista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36BF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02A6C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2FC1"/>
    <w:rsid w:val="001F3AC4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0EE3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0A40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B7339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3A3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3C02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71DB"/>
    <w:rsid w:val="006B0888"/>
    <w:rsid w:val="006B0DF8"/>
    <w:rsid w:val="006B3A3F"/>
    <w:rsid w:val="006C4739"/>
    <w:rsid w:val="006C78C0"/>
    <w:rsid w:val="006D085D"/>
    <w:rsid w:val="006D0E17"/>
    <w:rsid w:val="006D4693"/>
    <w:rsid w:val="006D7525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189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0A61"/>
    <w:rsid w:val="00831DEC"/>
    <w:rsid w:val="0083348F"/>
    <w:rsid w:val="00835BD7"/>
    <w:rsid w:val="008415AB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4E16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7014F"/>
    <w:rsid w:val="009748C3"/>
    <w:rsid w:val="00976872"/>
    <w:rsid w:val="0098745E"/>
    <w:rsid w:val="009906F9"/>
    <w:rsid w:val="009951B5"/>
    <w:rsid w:val="009B378F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13B9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AF6C12"/>
    <w:rsid w:val="00B01E6D"/>
    <w:rsid w:val="00B038EE"/>
    <w:rsid w:val="00B039C8"/>
    <w:rsid w:val="00B0657B"/>
    <w:rsid w:val="00B07733"/>
    <w:rsid w:val="00B07BBA"/>
    <w:rsid w:val="00B16C7D"/>
    <w:rsid w:val="00B264CE"/>
    <w:rsid w:val="00B314FE"/>
    <w:rsid w:val="00B32CF7"/>
    <w:rsid w:val="00B338B2"/>
    <w:rsid w:val="00B348BA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D752C"/>
    <w:rsid w:val="00BE0B83"/>
    <w:rsid w:val="00BE53D9"/>
    <w:rsid w:val="00BF5A3A"/>
    <w:rsid w:val="00BF79B9"/>
    <w:rsid w:val="00C0332A"/>
    <w:rsid w:val="00C04EC9"/>
    <w:rsid w:val="00C12363"/>
    <w:rsid w:val="00C14287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4712C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2711"/>
    <w:rsid w:val="00C849A7"/>
    <w:rsid w:val="00CA3B50"/>
    <w:rsid w:val="00CA790D"/>
    <w:rsid w:val="00CB4127"/>
    <w:rsid w:val="00CB7247"/>
    <w:rsid w:val="00CC1215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3C56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0381"/>
    <w:rsid w:val="00E21CC0"/>
    <w:rsid w:val="00E236D5"/>
    <w:rsid w:val="00E23BB0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59F6"/>
    <w:rsid w:val="00F17AE6"/>
    <w:rsid w:val="00F2395E"/>
    <w:rsid w:val="00F302AF"/>
    <w:rsid w:val="00F336EB"/>
    <w:rsid w:val="00F3421E"/>
    <w:rsid w:val="00F3737C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D78B0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  <w:style w:type="paragraph" w:customStyle="1" w:styleId="Continut">
    <w:name w:val="Continut"/>
    <w:link w:val="ContinutChar"/>
    <w:autoRedefine/>
    <w:rsid w:val="001F3AC4"/>
    <w:pPr>
      <w:spacing w:before="60" w:after="60" w:line="300" w:lineRule="auto"/>
      <w:ind w:firstLine="680"/>
      <w:contextualSpacing/>
      <w:jc w:val="both"/>
    </w:pPr>
    <w:rPr>
      <w:rFonts w:ascii="Times New Roman" w:eastAsia="Arial Unicode MS" w:hAnsi="Times New Roman" w:cs="Times New Roman"/>
      <w:snapToGrid w:val="0"/>
      <w:sz w:val="24"/>
      <w:szCs w:val="20"/>
      <w:lang w:val="ro-RO"/>
    </w:rPr>
  </w:style>
  <w:style w:type="paragraph" w:customStyle="1" w:styleId="Lista">
    <w:name w:val="Lista"/>
    <w:basedOn w:val="Continut"/>
    <w:next w:val="Date"/>
    <w:autoRedefine/>
    <w:rsid w:val="001F3AC4"/>
    <w:pPr>
      <w:numPr>
        <w:numId w:val="17"/>
      </w:numPr>
      <w:tabs>
        <w:tab w:val="clear" w:pos="1418"/>
        <w:tab w:val="num" w:pos="720"/>
        <w:tab w:val="left" w:pos="9072"/>
      </w:tabs>
      <w:ind w:left="720" w:hanging="360"/>
    </w:pPr>
    <w:rPr>
      <w:lang w:val="it-IT"/>
    </w:rPr>
  </w:style>
  <w:style w:type="paragraph" w:styleId="Date">
    <w:name w:val="Date"/>
    <w:basedOn w:val="Normal"/>
    <w:next w:val="Normal"/>
    <w:link w:val="DateChar"/>
    <w:rsid w:val="001F3A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1F3AC4"/>
    <w:rPr>
      <w:rFonts w:ascii="Times New Roman" w:eastAsia="Times New Roman" w:hAnsi="Times New Roman" w:cs="Times New Roman"/>
      <w:sz w:val="20"/>
      <w:szCs w:val="20"/>
    </w:rPr>
  </w:style>
  <w:style w:type="character" w:customStyle="1" w:styleId="ContinutChar">
    <w:name w:val="Continut Char"/>
    <w:link w:val="Continut"/>
    <w:rsid w:val="001F3AC4"/>
    <w:rPr>
      <w:rFonts w:ascii="Times New Roman" w:eastAsia="Arial Unicode MS" w:hAnsi="Times New Roman" w:cs="Times New Roman"/>
      <w:snapToGrid w:val="0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A1EA7"/>
    <w:rsid w:val="0060709E"/>
    <w:rsid w:val="006E31E2"/>
    <w:rsid w:val="008A1EA7"/>
    <w:rsid w:val="00905DE6"/>
    <w:rsid w:val="00AB6DB2"/>
    <w:rsid w:val="00CC632C"/>
    <w:rsid w:val="00E8725B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1324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KINGISTV</cp:lastModifiedBy>
  <cp:revision>10</cp:revision>
  <cp:lastPrinted>2017-09-25T08:32:00Z</cp:lastPrinted>
  <dcterms:created xsi:type="dcterms:W3CDTF">2017-09-30T18:31:00Z</dcterms:created>
  <dcterms:modified xsi:type="dcterms:W3CDTF">2017-09-30T18:57:00Z</dcterms:modified>
</cp:coreProperties>
</file>