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E453A1">
        <w:t>5131</w:t>
      </w:r>
      <w:r w:rsidR="0077213C">
        <w:t xml:space="preserve"> </w:t>
      </w:r>
      <w:r>
        <w:t>din</w:t>
      </w:r>
      <w:r w:rsidR="00BF7A33">
        <w:t xml:space="preserve"> </w:t>
      </w:r>
      <w:r w:rsidR="00E4776F">
        <w:t>2</w:t>
      </w:r>
      <w:r w:rsidR="00E453A1">
        <w:t>8</w:t>
      </w:r>
      <w:r w:rsidR="00081AF7">
        <w:t xml:space="preserve"> mai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4776F">
        <w:rPr>
          <w:b/>
          <w:sz w:val="32"/>
        </w:rPr>
        <w:t>2</w:t>
      </w:r>
      <w:r w:rsidR="00E453A1">
        <w:rPr>
          <w:b/>
          <w:sz w:val="32"/>
        </w:rPr>
        <w:t>8</w:t>
      </w:r>
      <w:r w:rsidR="00081AF7">
        <w:rPr>
          <w:b/>
          <w:sz w:val="32"/>
        </w:rPr>
        <w:t xml:space="preserve"> mai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bookmarkStart w:id="0" w:name="_GoBack"/>
      <w:bookmarkEnd w:id="0"/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2410"/>
        <w:gridCol w:w="2126"/>
        <w:gridCol w:w="1276"/>
      </w:tblGrid>
      <w:tr w:rsidR="00E567A3" w:rsidRPr="00CB170C" w:rsidTr="00E453A1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E453A1" w:rsidRPr="00F921B3" w:rsidTr="00E453A1">
        <w:trPr>
          <w:trHeight w:val="540"/>
        </w:trPr>
        <w:tc>
          <w:tcPr>
            <w:tcW w:w="426" w:type="dxa"/>
          </w:tcPr>
          <w:p w:rsidR="00E453A1" w:rsidRPr="00F921B3" w:rsidRDefault="00E453A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453A1" w:rsidRDefault="00E453A1" w:rsidP="007C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BONCILĂ ELENA</w:t>
            </w:r>
          </w:p>
        </w:tc>
        <w:tc>
          <w:tcPr>
            <w:tcW w:w="2410" w:type="dxa"/>
          </w:tcPr>
          <w:p w:rsidR="00E453A1" w:rsidRDefault="00E453A1" w:rsidP="007C795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anexă gospodărească</w:t>
            </w:r>
          </w:p>
        </w:tc>
        <w:tc>
          <w:tcPr>
            <w:tcW w:w="2410" w:type="dxa"/>
          </w:tcPr>
          <w:p w:rsidR="00E453A1" w:rsidRDefault="00E453A1" w:rsidP="007C795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Voşlăbeni, Izvoru Mureşului, str. Tincani, f.n.</w:t>
            </w:r>
          </w:p>
        </w:tc>
        <w:tc>
          <w:tcPr>
            <w:tcW w:w="2126" w:type="dxa"/>
          </w:tcPr>
          <w:p w:rsidR="00E453A1" w:rsidRDefault="00E453A1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adecvată</w:t>
            </w:r>
          </w:p>
        </w:tc>
        <w:tc>
          <w:tcPr>
            <w:tcW w:w="1276" w:type="dxa"/>
          </w:tcPr>
          <w:p w:rsidR="00E453A1" w:rsidRDefault="00E453A1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  <w:tr w:rsidR="00E453A1" w:rsidRPr="00F921B3" w:rsidTr="00E453A1">
        <w:trPr>
          <w:trHeight w:val="540"/>
        </w:trPr>
        <w:tc>
          <w:tcPr>
            <w:tcW w:w="426" w:type="dxa"/>
          </w:tcPr>
          <w:p w:rsidR="00E453A1" w:rsidRPr="00F921B3" w:rsidRDefault="00E453A1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E453A1" w:rsidRDefault="00E453A1" w:rsidP="007C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UNITIS MEZOGAZDASAGI SZOVETKEZET COOPERATIVA AGRICOLĂ</w:t>
            </w:r>
          </w:p>
        </w:tc>
        <w:tc>
          <w:tcPr>
            <w:tcW w:w="2410" w:type="dxa"/>
          </w:tcPr>
          <w:p w:rsidR="00E453A1" w:rsidRDefault="00E453A1" w:rsidP="007C795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grajd, anexe gospodăreşti pentru ferma taurine</w:t>
            </w:r>
          </w:p>
        </w:tc>
        <w:tc>
          <w:tcPr>
            <w:tcW w:w="2410" w:type="dxa"/>
          </w:tcPr>
          <w:p w:rsidR="00E453A1" w:rsidRDefault="00E453A1" w:rsidP="007C795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 Mare, extravilan</w:t>
            </w:r>
          </w:p>
        </w:tc>
        <w:tc>
          <w:tcPr>
            <w:tcW w:w="2126" w:type="dxa"/>
          </w:tcPr>
          <w:p w:rsidR="00E453A1" w:rsidRDefault="00E453A1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E453A1" w:rsidRDefault="00E453A1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0155-D7D0-4DB5-888D-09B31341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59</cp:revision>
  <cp:lastPrinted>2019-05-28T09:38:00Z</cp:lastPrinted>
  <dcterms:created xsi:type="dcterms:W3CDTF">2016-05-18T06:45:00Z</dcterms:created>
  <dcterms:modified xsi:type="dcterms:W3CDTF">2019-05-28T09:38:00Z</dcterms:modified>
</cp:coreProperties>
</file>