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1" w:rsidRPr="000F51AE" w:rsidRDefault="00E00CF1" w:rsidP="00FD2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51AE">
        <w:rPr>
          <w:rFonts w:ascii="Times New Roman" w:hAnsi="Times New Roman" w:cs="Times New Roman"/>
          <w:b/>
          <w:sz w:val="24"/>
          <w:szCs w:val="24"/>
          <w:lang w:val="en-GB"/>
        </w:rPr>
        <w:t>MINISTERUL MEDIULUI</w:t>
      </w:r>
    </w:p>
    <w:p w:rsidR="00E00CF1" w:rsidRPr="000F51AE" w:rsidRDefault="00E00CF1" w:rsidP="00FD2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51AE">
        <w:rPr>
          <w:rFonts w:ascii="Times New Roman" w:hAnsi="Times New Roman" w:cs="Times New Roman"/>
          <w:b/>
          <w:sz w:val="24"/>
          <w:szCs w:val="24"/>
          <w:lang w:val="en-GB"/>
        </w:rPr>
        <w:t>AGENŢIA NAŢIONALĂ PENTRU PROTECŢIA MEDIULUI</w:t>
      </w:r>
    </w:p>
    <w:p w:rsidR="00E00CF1" w:rsidRDefault="00E00CF1" w:rsidP="00FD2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F51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AGENŢIA PENTRU PROTECŢIA MEDIULUI HUNEDOARA </w:t>
      </w:r>
    </w:p>
    <w:p w:rsidR="00FD239F" w:rsidRPr="00FD239F" w:rsidRDefault="00FD239F" w:rsidP="00FD239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FD239F">
        <w:rPr>
          <w:rFonts w:ascii="Times New Roman" w:hAnsi="Times New Roman" w:cs="Times New Roman"/>
          <w:b/>
          <w:sz w:val="24"/>
          <w:szCs w:val="24"/>
          <w:lang w:val="en-GB"/>
        </w:rPr>
        <w:t>Vizat</w:t>
      </w:r>
      <w:proofErr w:type="spellEnd"/>
      <w:r w:rsidRPr="00FD239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FD239F" w:rsidRPr="00FD239F" w:rsidRDefault="00FD239F" w:rsidP="00FD239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D239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Director </w:t>
      </w:r>
      <w:proofErr w:type="spellStart"/>
      <w:r w:rsidRPr="00FD239F">
        <w:rPr>
          <w:rFonts w:ascii="Times New Roman" w:hAnsi="Times New Roman" w:cs="Times New Roman"/>
          <w:b/>
          <w:sz w:val="24"/>
          <w:szCs w:val="24"/>
          <w:lang w:val="en-GB"/>
        </w:rPr>
        <w:t>Executiv</w:t>
      </w:r>
      <w:proofErr w:type="spellEnd"/>
      <w:r w:rsidRPr="00FD239F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FD239F" w:rsidRPr="00FD239F" w:rsidRDefault="00FD239F" w:rsidP="00FD239F">
      <w:pPr>
        <w:spacing w:after="0" w:line="240" w:lineRule="auto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D239F">
        <w:rPr>
          <w:rFonts w:ascii="Times New Roman" w:hAnsi="Times New Roman" w:cs="Times New Roman"/>
          <w:b/>
          <w:sz w:val="24"/>
          <w:szCs w:val="24"/>
          <w:lang w:val="en-GB"/>
        </w:rPr>
        <w:t>Viorica Georgeta BARABA</w:t>
      </w:r>
      <w:r w:rsidRPr="00FD239F">
        <w:rPr>
          <w:rFonts w:ascii="Times New Roman" w:hAnsi="Times New Roman" w:cs="Times New Roman"/>
          <w:b/>
          <w:sz w:val="24"/>
          <w:szCs w:val="24"/>
          <w:lang w:val="ro-RO"/>
        </w:rPr>
        <w:t>Ş</w:t>
      </w:r>
    </w:p>
    <w:p w:rsidR="00FD239F" w:rsidRPr="000F51AE" w:rsidRDefault="00FD239F" w:rsidP="00E00CF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416BF" w:rsidRDefault="006416BF">
      <w:pPr>
        <w:rPr>
          <w:rFonts w:ascii="Times New Roman" w:hAnsi="Times New Roman" w:cs="Times New Roman"/>
          <w:sz w:val="24"/>
          <w:szCs w:val="24"/>
        </w:rPr>
      </w:pPr>
    </w:p>
    <w:p w:rsidR="002615AA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RAPORT DE EVALUARE</w:t>
      </w:r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implementarii</w:t>
      </w:r>
      <w:proofErr w:type="spellEnd"/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Legii</w:t>
      </w:r>
      <w:proofErr w:type="spellEnd"/>
      <w:r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 544/2</w:t>
      </w:r>
      <w:r w:rsidR="009469E2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001 </w:t>
      </w:r>
      <w:proofErr w:type="spellStart"/>
      <w:r w:rsidR="009469E2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</w:t>
      </w:r>
      <w:r w:rsidR="00E00CF1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proofErr w:type="spellEnd"/>
      <w:r w:rsidR="00E00CF1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00CF1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anul</w:t>
      </w:r>
      <w:proofErr w:type="spellEnd"/>
      <w:r w:rsidR="00E00CF1" w:rsidRPr="00FD23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</w:t>
      </w:r>
    </w:p>
    <w:p w:rsidR="00FD239F" w:rsidRPr="00FD239F" w:rsidRDefault="00FD239F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Default="00E563A3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Dascălu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aplicarea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544/2001, cu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mplet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prezint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ualul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raport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evaluare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internă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finalizat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aplic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procedurilor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acces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public,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apreciez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specific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Foarte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bun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9469E2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Bună</w:t>
      </w:r>
      <w:proofErr w:type="spellEnd"/>
    </w:p>
    <w:p w:rsidR="002615AA" w:rsidRPr="000F51AE" w:rsidRDefault="009469E2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Satisfă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proofErr w:type="spellEnd"/>
      <w:r w:rsidR="002615AA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Nesatisf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ăcă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Îmi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ntemeiez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observ</w:t>
      </w:r>
      <w:r w:rsidR="00C7550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ţii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considerente</w:t>
      </w:r>
      <w:proofErr w:type="spellEnd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69E2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solicitările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rezolvate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termen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au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existat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reclamaţi</w:t>
      </w:r>
      <w:r w:rsidR="00F56D5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F5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 </w:t>
      </w:r>
      <w:proofErr w:type="spellStart"/>
      <w:r w:rsidR="00F56D5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F56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6D51">
        <w:rPr>
          <w:rFonts w:ascii="Times New Roman" w:eastAsia="Times New Roman" w:hAnsi="Times New Roman" w:cs="Times New Roman"/>
          <w:color w:val="000000"/>
          <w:sz w:val="24"/>
          <w:szCs w:val="24"/>
        </w:rPr>
        <w:t>plâ</w:t>
      </w:r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ngeri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E563A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>instanţă</w:t>
      </w:r>
      <w:proofErr w:type="spellEnd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>modul</w:t>
      </w:r>
      <w:proofErr w:type="spellEnd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>aplicare</w:t>
      </w:r>
      <w:proofErr w:type="spellEnd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2540D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="0025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544/2001</w:t>
      </w:r>
    </w:p>
    <w:p w:rsidR="00590327" w:rsidRPr="000F51AE" w:rsidRDefault="00590327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53666F" w:rsidRDefault="0053666F" w:rsidP="005366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</w:t>
      </w:r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>Resurse</w:t>
      </w:r>
      <w:proofErr w:type="spellEnd"/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>proces</w:t>
      </w:r>
      <w:proofErr w:type="spellEnd"/>
      <w:r w:rsidR="002615AA" w:rsidRPr="00536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666F" w:rsidRPr="0053666F" w:rsidRDefault="0053666F" w:rsidP="0053666F">
      <w:pPr>
        <w:pStyle w:val="Listparagra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1.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Cum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apreciati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resursele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umane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furnizare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F91828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F91828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Suficiente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Insuficiente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2.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Apreciati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resursele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disponibile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Suficiente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Insuficiente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3.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apreciati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colaborarea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direc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furnizarea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public: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4F0217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Foarte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bun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="006B17AB">
        <w:rPr>
          <w:rFonts w:ascii="Times New Roman" w:eastAsia="Times New Roman" w:hAnsi="Times New Roman" w:cs="Times New Roman"/>
          <w:color w:val="000000"/>
          <w:sz w:val="24"/>
          <w:szCs w:val="24"/>
        </w:rPr>
        <w:t>Bună</w:t>
      </w:r>
      <w:proofErr w:type="spellEnd"/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Satisfacatoare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Nesatisfacatoare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17AB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</w:p>
    <w:p w:rsidR="002615AA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Rezultate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90327" w:rsidRPr="000F51AE" w:rsidRDefault="00590327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A.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1.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afiş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comunicate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 art. 5 din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544/2001, cu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modific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complet</w:t>
      </w:r>
      <w:r w:rsidR="0083586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6860C7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pagina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internet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6860C7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La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presa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In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Monitorul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Oficial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Romaniei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alta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modalitate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 . . . . . . . . .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2.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Apreciati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afisarea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informatiilor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suficient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vizibila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interesati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6860C7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Da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3.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solu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cre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vizibilit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</w:t>
      </w:r>
      <w:r w:rsidR="00E97ABB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le-au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aplicat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2615AA" w:rsidRPr="005E4F8D" w:rsidRDefault="006860C7" w:rsidP="005E4F8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Afişare</w:t>
      </w:r>
      <w:proofErr w:type="spellEnd"/>
      <w:r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site</w:t>
      </w:r>
      <w:r w:rsidR="00E97ABB"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E97ABB"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="00E97ABB"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7ABB" w:rsidRPr="005E4F8D">
        <w:rPr>
          <w:rFonts w:ascii="Times New Roman" w:eastAsia="Times New Roman" w:hAnsi="Times New Roman" w:cs="Times New Roman"/>
          <w:color w:val="000000"/>
          <w:sz w:val="24"/>
          <w:szCs w:val="24"/>
        </w:rPr>
        <w:t>propriu</w:t>
      </w:r>
      <w:proofErr w:type="spellEnd"/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4.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publicat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seturi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suplimentare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faţă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minimale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prevă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zute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lege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proofErr w:type="gram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□ Da,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comunicate</w:t>
      </w:r>
      <w:proofErr w:type="spellEnd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presă</w:t>
      </w:r>
      <w:proofErr w:type="spellEnd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 diverse </w:t>
      </w:r>
      <w:proofErr w:type="spell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subiecte</w:t>
      </w:r>
      <w:proofErr w:type="spellEnd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protecţia</w:t>
      </w:r>
      <w:proofErr w:type="spellEnd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mediului</w:t>
      </w:r>
      <w:proofErr w:type="spellEnd"/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5.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informaţiile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ntr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format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1A7C93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Da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6.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surile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inten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ţiona</w:t>
      </w:r>
      <w:r w:rsidR="002B2BAC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aplica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publicarea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ăr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cât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de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seturi</w:t>
      </w:r>
      <w:proofErr w:type="spellEnd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="0044678A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347FB2" w:rsidRPr="000F51AE" w:rsidRDefault="00990AEC" w:rsidP="00990A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-</w:t>
      </w:r>
    </w:p>
    <w:p w:rsidR="00590327" w:rsidRDefault="00590327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327" w:rsidRDefault="00590327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15AA" w:rsidRPr="000F51AE" w:rsidRDefault="002615AA" w:rsidP="00F74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D479B5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furnizate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40E96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="00340E9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51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tbl>
      <w:tblPr>
        <w:tblW w:w="13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005"/>
        <w:gridCol w:w="1870"/>
        <w:gridCol w:w="1884"/>
        <w:gridCol w:w="1846"/>
        <w:gridCol w:w="1872"/>
        <w:gridCol w:w="1859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347FB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</w:t>
            </w: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solicitant</w:t>
            </w:r>
          </w:p>
        </w:tc>
        <w:tc>
          <w:tcPr>
            <w:tcW w:w="5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modalitatea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adresare</w:t>
            </w:r>
            <w:proofErr w:type="spellEnd"/>
          </w:p>
        </w:tc>
      </w:tr>
      <w:tr w:rsidR="002615AA" w:rsidRPr="000F51AE" w:rsidTr="00347FB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la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la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hartie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suport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electronic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verbal</w:t>
            </w:r>
          </w:p>
        </w:tc>
      </w:tr>
      <w:tr w:rsidR="002615AA" w:rsidRPr="000F51AE" w:rsidTr="00347FB2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990AEC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990AEC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990AEC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990AEC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66203B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66203B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3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0924"/>
        <w:gridCol w:w="2412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Departajare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</w:t>
            </w:r>
            <w:proofErr w:type="spellEnd"/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banilor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investitii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D479B5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ndeplinire</w:t>
            </w:r>
            <w:proofErr w:type="spellEnd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iilor</w:t>
            </w:r>
            <w:proofErr w:type="spellEnd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  <w:proofErr w:type="spellEnd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publice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normative,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reglement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d)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liderilor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e)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544/2001, cu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ările</w:t>
            </w:r>
            <w:proofErr w:type="spellEnd"/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0F51AE" w:rsidRDefault="002615AA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f)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Default="002E31DE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</w:t>
            </w:r>
            <w:r w:rsidR="00542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7B6BC9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nforma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7B6BC9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de </w:t>
            </w:r>
            <w:proofErr w:type="spellStart"/>
            <w:r w:rsidR="007B6BC9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E31DE" w:rsidRPr="000F51AE" w:rsidRDefault="002E31DE" w:rsidP="00D4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1-organizarea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 w:rsidR="00D47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  <w:proofErr w:type="spellEnd"/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33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96"/>
        <w:gridCol w:w="1313"/>
        <w:gridCol w:w="1033"/>
        <w:gridCol w:w="1033"/>
        <w:gridCol w:w="837"/>
        <w:gridCol w:w="1106"/>
        <w:gridCol w:w="1106"/>
        <w:gridCol w:w="1106"/>
        <w:gridCol w:w="965"/>
        <w:gridCol w:w="984"/>
        <w:gridCol w:w="1142"/>
        <w:gridCol w:w="996"/>
        <w:gridCol w:w="1130"/>
        <w:gridCol w:w="958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990AEC" w:rsidTr="002615AA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7FB2" w:rsidRPr="000F51AE" w:rsidRDefault="00347FB2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FB2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Num</w:t>
            </w:r>
            <w:r w:rsidR="00D479B5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total de</w:t>
            </w:r>
          </w:p>
          <w:p w:rsidR="002615AA" w:rsidRPr="00990AEC" w:rsidRDefault="002615AA" w:rsidP="00D4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  <w:r w:rsidR="00D479B5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solu</w:t>
            </w:r>
            <w:r w:rsidR="00D479B5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ionate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favorabil</w:t>
            </w:r>
            <w:proofErr w:type="spellEnd"/>
          </w:p>
        </w:tc>
        <w:tc>
          <w:tcPr>
            <w:tcW w:w="4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Termen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raspuns</w:t>
            </w:r>
            <w:proofErr w:type="spellEnd"/>
          </w:p>
        </w:tc>
        <w:tc>
          <w:tcPr>
            <w:tcW w:w="3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Modul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Departajate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pe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domenii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interes</w:t>
            </w:r>
            <w:proofErr w:type="spellEnd"/>
          </w:p>
        </w:tc>
      </w:tr>
      <w:tr w:rsidR="002615AA" w:rsidRPr="00990AEC" w:rsidTr="002615AA">
        <w:trPr>
          <w:trHeight w:val="2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5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Redirec</w:t>
            </w:r>
            <w:r w:rsidR="0055255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ionate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55255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tre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alte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institu</w:t>
            </w:r>
            <w:r w:rsidR="00552554">
              <w:rPr>
                <w:rFonts w:ascii="Times New Roman" w:eastAsia="Times New Roman" w:hAnsi="Times New Roman" w:cs="Times New Roman"/>
                <w:color w:val="000000"/>
              </w:rPr>
              <w:t>ţii</w:t>
            </w:r>
            <w:proofErr w:type="spellEnd"/>
            <w:r w:rsidR="005525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552554"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zile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9308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Soluţionate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favorabil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termen</w:t>
            </w:r>
            <w:proofErr w:type="spellEnd"/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10 </w:t>
            </w:r>
            <w:proofErr w:type="spellStart"/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zile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Solu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ionate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favorabil</w:t>
            </w:r>
            <w:proofErr w:type="spellEnd"/>
            <w:r w:rsidR="0029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93084"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termen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30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zile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Solicit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pentru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care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termenul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fost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dep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ăş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it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93084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proofErr w:type="spellEnd"/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format </w:t>
            </w:r>
            <w:proofErr w:type="spellStart"/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â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rtie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verbal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Utilizarea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banilor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publici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contracte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investi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cheltuieli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etc.)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Modul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="00293084"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ndeplinire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atribu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iilor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institu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iei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publice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9308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normative,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reglementă</w:t>
            </w:r>
            <w:r w:rsidR="002615AA" w:rsidRPr="00990AEC">
              <w:rPr>
                <w:rFonts w:ascii="Times New Roman" w:eastAsia="Times New Roman" w:hAnsi="Times New Roman" w:cs="Times New Roman"/>
                <w:color w:val="000000"/>
              </w:rPr>
              <w:t>ri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Activitatea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liderilor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institu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iei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Informa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ţ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privind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modul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de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aplicare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Legii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nr. 544/2001, cu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modific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ările</w:t>
            </w:r>
            <w:proofErr w:type="spellEnd"/>
            <w:r w:rsidR="002930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93084"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complet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r w:rsidRPr="00990AEC">
              <w:rPr>
                <w:rFonts w:ascii="Times New Roman" w:eastAsia="Times New Roman" w:hAnsi="Times New Roman" w:cs="Times New Roman"/>
                <w:color w:val="000000"/>
              </w:rPr>
              <w:t>rile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ulterioare</w:t>
            </w:r>
            <w:proofErr w:type="spellEnd"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990AEC" w:rsidRDefault="002615AA" w:rsidP="00293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Altele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(se </w:t>
            </w:r>
            <w:proofErr w:type="spellStart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>precizeaz</w:t>
            </w:r>
            <w:r w:rsidR="00293084">
              <w:rPr>
                <w:rFonts w:ascii="Times New Roman" w:eastAsia="Times New Roman" w:hAnsi="Times New Roman" w:cs="Times New Roman"/>
                <w:color w:val="000000"/>
              </w:rPr>
              <w:t>ă</w:t>
            </w:r>
            <w:proofErr w:type="spellEnd"/>
            <w:r w:rsidRPr="00990AEC">
              <w:rPr>
                <w:rFonts w:ascii="Times New Roman" w:eastAsia="Times New Roman" w:hAnsi="Times New Roman" w:cs="Times New Roman"/>
                <w:color w:val="000000"/>
              </w:rPr>
              <w:t xml:space="preserve"> care)</w:t>
            </w:r>
          </w:p>
        </w:tc>
      </w:tr>
      <w:tr w:rsidR="002615AA" w:rsidRPr="000F51AE" w:rsidTr="002615AA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990AEC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266CD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990AEC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266CD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266CD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666D9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666D9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604F35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E1235B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E1235B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E1235B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E1235B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A666D9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AA" w:rsidRPr="00F749E5" w:rsidRDefault="00F749E5" w:rsidP="00293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1235B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E32D12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nforma</w:t>
            </w:r>
            <w:r w:rsidR="00293084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ţ</w:t>
            </w:r>
            <w:r w:rsidR="00E32D12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de </w:t>
            </w:r>
            <w:proofErr w:type="spellStart"/>
            <w:r w:rsidR="00E32D12"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mediu</w:t>
            </w:r>
            <w:proofErr w:type="spellEnd"/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749E5" w:rsidRPr="00F749E5" w:rsidRDefault="00F749E5" w:rsidP="00F7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rganiz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4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instituţiei</w:t>
            </w:r>
            <w:proofErr w:type="spellEnd"/>
          </w:p>
        </w:tc>
      </w:tr>
    </w:tbl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3.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ionati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principalele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cauze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anumite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ăspunsuri</w:t>
      </w:r>
      <w:proofErr w:type="spellEnd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au </w:t>
      </w:r>
      <w:proofErr w:type="spellStart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transmise</w:t>
      </w:r>
      <w:proofErr w:type="spellEnd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termenul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legal: </w:t>
      </w:r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-Nu </w:t>
      </w:r>
      <w:proofErr w:type="spellStart"/>
      <w:proofErr w:type="gramStart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4.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suri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luate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aceast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rezolvat</w:t>
      </w:r>
      <w:r w:rsidR="00FF59B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-Nu </w:t>
      </w:r>
      <w:proofErr w:type="spellStart"/>
      <w:proofErr w:type="gramStart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</w:p>
    <w:p w:rsidR="002615AA" w:rsidRPr="000F51AE" w:rsidRDefault="002615AA" w:rsidP="001B30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7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870"/>
        <w:gridCol w:w="1037"/>
        <w:gridCol w:w="1070"/>
        <w:gridCol w:w="1016"/>
        <w:gridCol w:w="1050"/>
        <w:gridCol w:w="1070"/>
        <w:gridCol w:w="1243"/>
        <w:gridCol w:w="1083"/>
        <w:gridCol w:w="1230"/>
        <w:gridCol w:w="1043"/>
      </w:tblGrid>
      <w:tr w:rsidR="002615AA" w:rsidRPr="000F51AE" w:rsidTr="0055255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552554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554" w:rsidRDefault="002615AA" w:rsidP="005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55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</w:p>
          <w:p w:rsidR="002615AA" w:rsidRPr="000F51AE" w:rsidRDefault="002615AA" w:rsidP="0055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3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</w:p>
        </w:tc>
        <w:tc>
          <w:tcPr>
            <w:tcW w:w="67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Departajate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</w:t>
            </w:r>
            <w:proofErr w:type="spellEnd"/>
          </w:p>
        </w:tc>
      </w:tr>
      <w:tr w:rsidR="002615AA" w:rsidRPr="000F51AE" w:rsidTr="00552554">
        <w:trPr>
          <w:trHeight w:val="24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Exceptate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conform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inexistente</w:t>
            </w:r>
            <w:proofErr w:type="spellEnd"/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motive (cu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precizarea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acestora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banilor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investi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etc.)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ndeplinire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iilor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publice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normative,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reglementari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liderilor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DE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544/2001, cu </w:t>
            </w:r>
            <w:proofErr w:type="spellStart"/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</w:t>
            </w:r>
            <w:r w:rsidR="00DE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precizeaza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care)</w:t>
            </w:r>
          </w:p>
        </w:tc>
      </w:tr>
      <w:tr w:rsidR="002615AA" w:rsidRPr="000F51AE" w:rsidTr="00552554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5.1.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nefurnizate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motivul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except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: (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enumerarea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numelor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="001B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proofErr w:type="gramStart"/>
      <w:r w:rsidR="001B30C4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1B3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30C4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</w:p>
    <w:p w:rsidR="00D406DD" w:rsidRDefault="00D406DD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Reclama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administrative </w:t>
      </w:r>
      <w:proofErr w:type="spellStart"/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ngeri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instan</w:t>
      </w:r>
      <w:r w:rsidR="00D553D6">
        <w:rPr>
          <w:rFonts w:ascii="Times New Roman" w:eastAsia="Times New Roman" w:hAnsi="Times New Roman" w:cs="Times New Roman"/>
          <w:color w:val="000000"/>
          <w:sz w:val="24"/>
          <w:szCs w:val="24"/>
        </w:rPr>
        <w:t>ţă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–Nu </w:t>
      </w:r>
      <w:proofErr w:type="spellStart"/>
      <w:proofErr w:type="gramStart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406DD">
        <w:rPr>
          <w:rFonts w:ascii="Times New Roman" w:eastAsia="Times New Roman" w:hAnsi="Times New Roman" w:cs="Times New Roman"/>
          <w:color w:val="000000"/>
          <w:sz w:val="24"/>
          <w:szCs w:val="24"/>
        </w:rPr>
        <w:t>cazul</w:t>
      </w:r>
      <w:proofErr w:type="spellEnd"/>
    </w:p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3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24"/>
        <w:gridCol w:w="897"/>
        <w:gridCol w:w="1097"/>
        <w:gridCol w:w="537"/>
        <w:gridCol w:w="1124"/>
        <w:gridCol w:w="897"/>
        <w:gridCol w:w="1097"/>
        <w:gridCol w:w="537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F1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reclama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administrative la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ţiei</w:t>
            </w:r>
            <w:proofErr w:type="spellEnd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publice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544/2001, cu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</w:p>
        </w:tc>
        <w:tc>
          <w:tcPr>
            <w:tcW w:w="7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ărul</w:t>
            </w:r>
            <w:proofErr w:type="spellEnd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plângeri</w:t>
            </w:r>
            <w:proofErr w:type="spellEnd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instanţă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ţiei</w:t>
            </w:r>
            <w:proofErr w:type="spellEnd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 544/2001, cu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modific</w:t>
            </w:r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2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</w:t>
            </w:r>
            <w:r w:rsidR="007F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</w:p>
        </w:tc>
      </w:tr>
      <w:tr w:rsidR="002615AA" w:rsidRPr="000F51AE" w:rsidTr="002615AA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</w:t>
            </w:r>
            <w:r w:rsidR="007F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7F2DC4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</w:t>
            </w:r>
            <w:r w:rsidR="007F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7F2DC4" w:rsidP="007F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curs de </w:t>
            </w:r>
            <w:proofErr w:type="spellStart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2615AA" w:rsidRPr="000F51AE" w:rsidTr="002615AA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4667F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  7.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Managementul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comunicare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7.1.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Costuri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tbl>
      <w:tblPr>
        <w:tblW w:w="5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763"/>
        <w:gridCol w:w="896"/>
        <w:gridCol w:w="1526"/>
        <w:gridCol w:w="1290"/>
      </w:tblGrid>
      <w:tr w:rsidR="002615AA" w:rsidRPr="000F51AE" w:rsidTr="002615AA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AA" w:rsidRPr="000F51AE" w:rsidTr="002615AA">
        <w:trPr>
          <w:trHeight w:val="13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1D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Costuri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</w:t>
            </w:r>
            <w:r w:rsidR="001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ţ</w:t>
            </w: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ionare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compartimentului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1D0F1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</w:t>
            </w:r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ncasate</w:t>
            </w:r>
            <w:proofErr w:type="spellEnd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="002615AA"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copiere</w:t>
            </w:r>
            <w:proofErr w:type="spellEnd"/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Contravaloarea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(lei/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2615AA" w:rsidP="001D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documentul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 w:rsidR="001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ă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stabilirii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contravalorii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copiere</w:t>
            </w:r>
            <w:proofErr w:type="spellEnd"/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2615AA" w:rsidRPr="000F51AE" w:rsidTr="002615AA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15AA" w:rsidRPr="000F51AE" w:rsidRDefault="002615AA" w:rsidP="0026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DC1552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28.800 lei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A266CD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AA" w:rsidRPr="000F51AE" w:rsidRDefault="001D0F10" w:rsidP="0026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F10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7.2.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Creş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eficien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BC07C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bookmarkStart w:id="0" w:name="_GoBack"/>
      <w:bookmarkEnd w:id="0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a)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ţia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punct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informare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bibliotecă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publicate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seturi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date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public ?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="00A266CD"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Da 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□ Nu </w:t>
      </w:r>
    </w:p>
    <w:p w:rsidR="002615AA" w:rsidRPr="000F51AE" w:rsidRDefault="002615AA" w:rsidP="001667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b)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Enumera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punctele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le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necesar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fi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mbun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ite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institu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dumneavoastr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cre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terea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eficien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public: </w:t>
      </w:r>
      <w:r w:rsidR="00DC35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2615AA" w:rsidRPr="000F51AE" w:rsidRDefault="002615AA" w:rsidP="002615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c)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Enumera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ăsurile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luate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mbun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ăţ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irea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asigurare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accesului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informa</w:t>
      </w:r>
      <w:r w:rsidR="001D0F10">
        <w:rPr>
          <w:rFonts w:ascii="Times New Roman" w:eastAsia="Times New Roman" w:hAnsi="Times New Roman" w:cs="Times New Roman"/>
          <w:color w:val="000000"/>
          <w:sz w:val="24"/>
          <w:szCs w:val="24"/>
        </w:rPr>
        <w:t>ţ</w:t>
      </w: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public: </w:t>
      </w:r>
      <w:r w:rsidR="00DC35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2615AA" w:rsidRPr="000F51AE" w:rsidRDefault="002615AA" w:rsidP="002615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1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1D0F10" w:rsidRDefault="00BD7BBD">
      <w:pPr>
        <w:rPr>
          <w:rFonts w:ascii="Times New Roman" w:hAnsi="Times New Roman" w:cs="Times New Roman"/>
          <w:sz w:val="24"/>
          <w:szCs w:val="24"/>
        </w:rPr>
      </w:pP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  <w:r w:rsidR="007F7E79" w:rsidRPr="000F51AE">
        <w:rPr>
          <w:rFonts w:ascii="Times New Roman" w:hAnsi="Times New Roman" w:cs="Times New Roman"/>
          <w:sz w:val="24"/>
          <w:szCs w:val="24"/>
        </w:rPr>
        <w:tab/>
      </w:r>
      <w:r w:rsidR="007F7E79" w:rsidRPr="000F51AE">
        <w:rPr>
          <w:rFonts w:ascii="Times New Roman" w:hAnsi="Times New Roman" w:cs="Times New Roman"/>
          <w:sz w:val="24"/>
          <w:szCs w:val="24"/>
        </w:rPr>
        <w:tab/>
      </w:r>
      <w:r w:rsidRPr="000F51AE">
        <w:rPr>
          <w:rFonts w:ascii="Times New Roman" w:hAnsi="Times New Roman" w:cs="Times New Roman"/>
          <w:sz w:val="24"/>
          <w:szCs w:val="24"/>
        </w:rPr>
        <w:tab/>
      </w:r>
    </w:p>
    <w:p w:rsidR="002615AA" w:rsidRPr="000F51AE" w:rsidRDefault="00BD7BBD" w:rsidP="001D0F10">
      <w:pPr>
        <w:ind w:left="86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Elaborat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>,</w:t>
      </w:r>
    </w:p>
    <w:p w:rsidR="00BD7BBD" w:rsidRPr="000F51AE" w:rsidRDefault="00BD7BBD">
      <w:pPr>
        <w:rPr>
          <w:rFonts w:ascii="Times New Roman" w:hAnsi="Times New Roman" w:cs="Times New Roman"/>
          <w:i/>
          <w:sz w:val="24"/>
          <w:szCs w:val="24"/>
        </w:rPr>
      </w:pP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r w:rsidRPr="000F51A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Dascălu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 xml:space="preserve"> Maria-</w:t>
      </w: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Compartiment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Relaţii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 xml:space="preserve"> Publice </w:t>
      </w: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Tehnologia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51AE">
        <w:rPr>
          <w:rFonts w:ascii="Times New Roman" w:hAnsi="Times New Roman" w:cs="Times New Roman"/>
          <w:i/>
          <w:sz w:val="24"/>
          <w:szCs w:val="24"/>
        </w:rPr>
        <w:t>Informaţiei</w:t>
      </w:r>
      <w:proofErr w:type="spellEnd"/>
      <w:r w:rsidRPr="000F51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D7BBD" w:rsidRPr="000F51AE" w:rsidSect="00347F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F45"/>
    <w:multiLevelType w:val="hybridMultilevel"/>
    <w:tmpl w:val="3D22ABB8"/>
    <w:lvl w:ilvl="0" w:tplc="C0A03A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60CD"/>
    <w:multiLevelType w:val="hybridMultilevel"/>
    <w:tmpl w:val="6F707CBE"/>
    <w:lvl w:ilvl="0" w:tplc="E3A8438A">
      <w:start w:val="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48B207D7"/>
    <w:multiLevelType w:val="hybridMultilevel"/>
    <w:tmpl w:val="4DFA032C"/>
    <w:lvl w:ilvl="0" w:tplc="1A78BA2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B"/>
    <w:rsid w:val="000F51AE"/>
    <w:rsid w:val="00104CA4"/>
    <w:rsid w:val="0016674D"/>
    <w:rsid w:val="001A7C93"/>
    <w:rsid w:val="001B30C4"/>
    <w:rsid w:val="001D0F10"/>
    <w:rsid w:val="002540D3"/>
    <w:rsid w:val="002615AA"/>
    <w:rsid w:val="00275A6A"/>
    <w:rsid w:val="00293084"/>
    <w:rsid w:val="002B2BAC"/>
    <w:rsid w:val="002C14C5"/>
    <w:rsid w:val="002E31DE"/>
    <w:rsid w:val="00340E96"/>
    <w:rsid w:val="00347FB2"/>
    <w:rsid w:val="00390B23"/>
    <w:rsid w:val="0044678A"/>
    <w:rsid w:val="004667F0"/>
    <w:rsid w:val="004F0217"/>
    <w:rsid w:val="0053666F"/>
    <w:rsid w:val="0054206E"/>
    <w:rsid w:val="00552554"/>
    <w:rsid w:val="00590327"/>
    <w:rsid w:val="005E4F8D"/>
    <w:rsid w:val="00604F35"/>
    <w:rsid w:val="006416BF"/>
    <w:rsid w:val="0066203B"/>
    <w:rsid w:val="006860C7"/>
    <w:rsid w:val="006905FD"/>
    <w:rsid w:val="00697E94"/>
    <w:rsid w:val="006B17AB"/>
    <w:rsid w:val="007B6BC9"/>
    <w:rsid w:val="007F2DC4"/>
    <w:rsid w:val="007F7E79"/>
    <w:rsid w:val="00816FAC"/>
    <w:rsid w:val="00835861"/>
    <w:rsid w:val="0086279B"/>
    <w:rsid w:val="009469E2"/>
    <w:rsid w:val="00990AEC"/>
    <w:rsid w:val="00A266CD"/>
    <w:rsid w:val="00A666D9"/>
    <w:rsid w:val="00BC07C0"/>
    <w:rsid w:val="00BD7BBD"/>
    <w:rsid w:val="00C7550A"/>
    <w:rsid w:val="00D406DD"/>
    <w:rsid w:val="00D479B5"/>
    <w:rsid w:val="00D553D6"/>
    <w:rsid w:val="00DC1552"/>
    <w:rsid w:val="00DC35F6"/>
    <w:rsid w:val="00DC7C3F"/>
    <w:rsid w:val="00DE70B2"/>
    <w:rsid w:val="00E00CF1"/>
    <w:rsid w:val="00E1235B"/>
    <w:rsid w:val="00E32D12"/>
    <w:rsid w:val="00E563A3"/>
    <w:rsid w:val="00E97ABB"/>
    <w:rsid w:val="00ED0E75"/>
    <w:rsid w:val="00F1232B"/>
    <w:rsid w:val="00F556FC"/>
    <w:rsid w:val="00F56D51"/>
    <w:rsid w:val="00F749E5"/>
    <w:rsid w:val="00F91828"/>
    <w:rsid w:val="00FD239F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ragraf1">
    <w:name w:val="paragraf1"/>
    <w:basedOn w:val="Fontdeparagrafimplicit"/>
    <w:rsid w:val="002615AA"/>
    <w:rPr>
      <w:shd w:val="clear" w:color="auto" w:fill="auto"/>
    </w:rPr>
  </w:style>
  <w:style w:type="character" w:customStyle="1" w:styleId="punct1">
    <w:name w:val="punct1"/>
    <w:basedOn w:val="Fontdeparagrafimplicit"/>
    <w:rsid w:val="002615AA"/>
    <w:rPr>
      <w:b/>
      <w:bCs/>
      <w:color w:val="000000"/>
    </w:rPr>
  </w:style>
  <w:style w:type="character" w:customStyle="1" w:styleId="alineat1">
    <w:name w:val="alineat1"/>
    <w:basedOn w:val="Fontdeparagrafimplicit"/>
    <w:rsid w:val="002615AA"/>
    <w:rPr>
      <w:b/>
      <w:bCs/>
      <w:color w:val="000000"/>
    </w:rPr>
  </w:style>
  <w:style w:type="character" w:customStyle="1" w:styleId="litera1">
    <w:name w:val="litera1"/>
    <w:basedOn w:val="Fontdeparagrafimplicit"/>
    <w:rsid w:val="002615AA"/>
    <w:rPr>
      <w:b/>
      <w:bCs/>
      <w:color w:val="000000"/>
    </w:rPr>
  </w:style>
  <w:style w:type="paragraph" w:styleId="Listparagraf">
    <w:name w:val="List Paragraph"/>
    <w:basedOn w:val="Normal"/>
    <w:uiPriority w:val="34"/>
    <w:qFormat/>
    <w:rsid w:val="00DC35F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aragraf1">
    <w:name w:val="paragraf1"/>
    <w:basedOn w:val="Fontdeparagrafimplicit"/>
    <w:rsid w:val="002615AA"/>
    <w:rPr>
      <w:shd w:val="clear" w:color="auto" w:fill="auto"/>
    </w:rPr>
  </w:style>
  <w:style w:type="character" w:customStyle="1" w:styleId="punct1">
    <w:name w:val="punct1"/>
    <w:basedOn w:val="Fontdeparagrafimplicit"/>
    <w:rsid w:val="002615AA"/>
    <w:rPr>
      <w:b/>
      <w:bCs/>
      <w:color w:val="000000"/>
    </w:rPr>
  </w:style>
  <w:style w:type="character" w:customStyle="1" w:styleId="alineat1">
    <w:name w:val="alineat1"/>
    <w:basedOn w:val="Fontdeparagrafimplicit"/>
    <w:rsid w:val="002615AA"/>
    <w:rPr>
      <w:b/>
      <w:bCs/>
      <w:color w:val="000000"/>
    </w:rPr>
  </w:style>
  <w:style w:type="character" w:customStyle="1" w:styleId="litera1">
    <w:name w:val="litera1"/>
    <w:basedOn w:val="Fontdeparagrafimplicit"/>
    <w:rsid w:val="002615AA"/>
    <w:rPr>
      <w:b/>
      <w:bCs/>
      <w:color w:val="000000"/>
    </w:rPr>
  </w:style>
  <w:style w:type="paragraph" w:styleId="Listparagraf">
    <w:name w:val="List Paragraph"/>
    <w:basedOn w:val="Normal"/>
    <w:uiPriority w:val="34"/>
    <w:qFormat/>
    <w:rsid w:val="00DC35F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7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dascalu.maria</dc:creator>
  <cp:keywords/>
  <dc:description/>
  <cp:lastModifiedBy>dascalu.maria</cp:lastModifiedBy>
  <cp:revision>63</cp:revision>
  <cp:lastPrinted>2018-01-11T13:05:00Z</cp:lastPrinted>
  <dcterms:created xsi:type="dcterms:W3CDTF">2017-11-15T08:09:00Z</dcterms:created>
  <dcterms:modified xsi:type="dcterms:W3CDTF">2018-01-11T13:05:00Z</dcterms:modified>
</cp:coreProperties>
</file>