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C6" w:rsidRPr="00AE28C6" w:rsidRDefault="00AE28C6" w:rsidP="00AE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fr-FR" w:eastAsia="ro-RO"/>
        </w:rPr>
      </w:pPr>
      <w:r w:rsidRPr="00AE28C6">
        <w:rPr>
          <w:rFonts w:ascii="Times New Roman" w:hAnsi="Times New Roman"/>
          <w:sz w:val="24"/>
          <w:szCs w:val="24"/>
          <w:lang w:val="fr-FR" w:eastAsia="ro-RO"/>
        </w:rPr>
        <w:t xml:space="preserve">Anexa nr.10 - </w:t>
      </w:r>
      <w:r w:rsidRPr="00AE28C6">
        <w:rPr>
          <w:rFonts w:ascii="Times New Roman" w:hAnsi="Times New Roman"/>
          <w:bCs/>
          <w:iCs/>
          <w:sz w:val="24"/>
          <w:szCs w:val="24"/>
          <w:lang w:val="fr-FR" w:eastAsia="ro-RO"/>
        </w:rPr>
        <w:t>Raport de evaluare a implementării Legii nr. 544/2001</w:t>
      </w:r>
    </w:p>
    <w:p w:rsidR="00AE28C6" w:rsidRPr="00AE28C6" w:rsidRDefault="00AE28C6" w:rsidP="00AE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fr-FR" w:eastAsia="ro-RO"/>
        </w:rPr>
      </w:pPr>
      <w:r w:rsidRPr="00AE28C6">
        <w:rPr>
          <w:rFonts w:ascii="Times New Roman" w:hAnsi="Times New Roman"/>
          <w:bCs/>
          <w:iCs/>
          <w:sz w:val="24"/>
          <w:szCs w:val="24"/>
          <w:lang w:val="fr-FR" w:eastAsia="ro-RO"/>
        </w:rPr>
        <w:t>Numele autorității sau instituției publice:</w:t>
      </w:r>
      <w:r w:rsidRPr="00AE28C6">
        <w:rPr>
          <w:rFonts w:ascii="Times New Roman" w:hAnsi="Times New Roman"/>
          <w:b/>
          <w:bCs/>
          <w:iCs/>
          <w:sz w:val="24"/>
          <w:szCs w:val="24"/>
          <w:lang w:val="fr-FR" w:eastAsia="ro-RO"/>
        </w:rPr>
        <w:t xml:space="preserve"> </w:t>
      </w:r>
      <w:r w:rsidRPr="00AE28C6">
        <w:rPr>
          <w:rFonts w:ascii="Times New Roman" w:hAnsi="Times New Roman"/>
          <w:b/>
          <w:bCs/>
          <w:iCs/>
          <w:sz w:val="24"/>
          <w:szCs w:val="24"/>
          <w:lang w:val="ro-RO" w:eastAsia="ro-RO"/>
        </w:rPr>
        <w:t>Agenția pentru</w:t>
      </w:r>
      <w:r>
        <w:rPr>
          <w:rFonts w:ascii="Times New Roman" w:hAnsi="Times New Roman"/>
          <w:b/>
          <w:bCs/>
          <w:iCs/>
          <w:sz w:val="24"/>
          <w:szCs w:val="24"/>
          <w:lang w:val="ro-RO" w:eastAsia="ro-RO"/>
        </w:rPr>
        <w:t xml:space="preserve"> Protecția Mediului Hunedoara</w:t>
      </w:r>
    </w:p>
    <w:p w:rsidR="00AE28C6" w:rsidRPr="00AE28C6" w:rsidRDefault="00946784" w:rsidP="009467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fr-FR" w:eastAsia="ro-RO"/>
        </w:rPr>
      </w:pPr>
      <w:r>
        <w:rPr>
          <w:rFonts w:ascii="Times New Roman" w:hAnsi="Times New Roman"/>
          <w:iCs/>
          <w:sz w:val="24"/>
          <w:szCs w:val="24"/>
          <w:lang w:val="fr-FR" w:eastAsia="ro-RO"/>
        </w:rPr>
        <w:t>Nr.96/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  <w:lang w:val="fr-FR" w:eastAsia="ro-RO"/>
        </w:rPr>
        <w:t>07.01.2019</w:t>
      </w:r>
      <w:r w:rsidR="00AE28C6"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 xml:space="preserve">                                                            </w:t>
      </w:r>
    </w:p>
    <w:p w:rsidR="00AE28C6" w:rsidRPr="00AE28C6" w:rsidRDefault="00AE28C6" w:rsidP="00AE28C6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iCs/>
          <w:sz w:val="24"/>
          <w:szCs w:val="24"/>
          <w:lang w:val="fr-FR" w:eastAsia="ro-RO"/>
        </w:rPr>
      </w:pP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 xml:space="preserve">          </w:t>
      </w: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ab/>
        <w:t xml:space="preserve">      </w:t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/>
          <w:iCs/>
          <w:sz w:val="24"/>
          <w:szCs w:val="24"/>
          <w:lang w:val="fr-FR" w:eastAsia="ro-RO"/>
        </w:rPr>
        <w:t xml:space="preserve"> </w:t>
      </w:r>
      <w:r w:rsidRPr="00AE28C6">
        <w:rPr>
          <w:rFonts w:ascii="Times New Roman" w:hAnsi="Times New Roman"/>
          <w:b/>
          <w:bCs/>
          <w:iCs/>
          <w:sz w:val="24"/>
          <w:szCs w:val="24"/>
          <w:lang w:val="fr-FR" w:eastAsia="ro-RO"/>
        </w:rPr>
        <w:t xml:space="preserve">                                                                        APROB,</w:t>
      </w:r>
    </w:p>
    <w:p w:rsidR="00AE28C6" w:rsidRPr="00AE28C6" w:rsidRDefault="00AE28C6" w:rsidP="00AE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fr-FR" w:eastAsia="ro-RO"/>
        </w:rPr>
      </w:pP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ro-RO" w:eastAsia="ro-RO"/>
        </w:rPr>
        <w:t xml:space="preserve">     Director executiv,                 </w:t>
      </w:r>
    </w:p>
    <w:p w:rsidR="00AE28C6" w:rsidRPr="00AE28C6" w:rsidRDefault="00AE28C6" w:rsidP="00AE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fr-FR" w:eastAsia="ro-RO"/>
        </w:rPr>
      </w:pP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  <w:t xml:space="preserve">      </w:t>
      </w:r>
      <w:r w:rsidRPr="00AE28C6">
        <w:rPr>
          <w:rFonts w:ascii="Times New Roman" w:hAnsi="Times New Roman"/>
          <w:b/>
          <w:iCs/>
          <w:sz w:val="24"/>
          <w:szCs w:val="24"/>
          <w:lang w:val="fr-FR" w:eastAsia="ro-RO"/>
        </w:rPr>
        <w:tab/>
        <w:t xml:space="preserve">   Viorica Georgeta </w:t>
      </w:r>
      <w:r w:rsidRPr="00AE28C6">
        <w:rPr>
          <w:rFonts w:ascii="Times New Roman" w:hAnsi="Times New Roman"/>
          <w:b/>
          <w:iCs/>
          <w:sz w:val="24"/>
          <w:szCs w:val="24"/>
          <w:lang w:val="ro-RO" w:eastAsia="ro-RO"/>
        </w:rPr>
        <w:t>BARABAŞ</w:t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</w:p>
    <w:p w:rsidR="00AE28C6" w:rsidRPr="00AE28C6" w:rsidRDefault="00AE28C6" w:rsidP="00AE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fr-FR" w:eastAsia="ro-RO"/>
        </w:rPr>
      </w:pPr>
    </w:p>
    <w:p w:rsidR="00AE28C6" w:rsidRPr="00AE28C6" w:rsidRDefault="00AE28C6" w:rsidP="00AE28C6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fr-FR" w:eastAsia="ro-RO"/>
        </w:rPr>
      </w:pP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ab/>
        <w:t xml:space="preserve">         </w:t>
      </w:r>
    </w:p>
    <w:p w:rsidR="00AE28C6" w:rsidRDefault="00AE28C6" w:rsidP="00AE28C6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fr-FR" w:eastAsia="ro-RO"/>
        </w:rPr>
      </w:pPr>
      <w:r w:rsidRPr="00AE28C6">
        <w:rPr>
          <w:rFonts w:ascii="Times New Roman" w:hAnsi="Times New Roman"/>
          <w:iCs/>
          <w:sz w:val="24"/>
          <w:szCs w:val="24"/>
          <w:lang w:val="ro-RO" w:eastAsia="ro-RO"/>
        </w:rPr>
        <w:t>Întocmit</w:t>
      </w:r>
      <w:r w:rsidRPr="00AE28C6">
        <w:rPr>
          <w:rFonts w:ascii="Times New Roman" w:hAnsi="Times New Roman"/>
          <w:iCs/>
          <w:sz w:val="24"/>
          <w:szCs w:val="24"/>
          <w:lang w:val="fr-FR" w:eastAsia="ro-RO"/>
        </w:rPr>
        <w:t xml:space="preserve">: Maria DASCĂLU </w:t>
      </w:r>
    </w:p>
    <w:p w:rsidR="00AE28C6" w:rsidRDefault="00AE28C6" w:rsidP="00AE28C6">
      <w:pPr>
        <w:autoSpaceDE w:val="0"/>
        <w:autoSpaceDN w:val="0"/>
        <w:adjustRightInd w:val="0"/>
        <w:rPr>
          <w:rFonts w:ascii="Times New Roman" w:hAnsi="Times New Roman"/>
          <w:iCs/>
          <w:lang w:val="fr-FR" w:eastAsia="ro-RO"/>
        </w:rPr>
      </w:pPr>
      <w:r w:rsidRPr="00BC7010">
        <w:rPr>
          <w:rFonts w:ascii="Times New Roman" w:hAnsi="Times New Roman"/>
          <w:iCs/>
          <w:lang w:val="fr-FR" w:eastAsia="ro-RO"/>
        </w:rPr>
        <w:tab/>
      </w:r>
      <w:r w:rsidRPr="00BC7010">
        <w:rPr>
          <w:rFonts w:ascii="Times New Roman" w:hAnsi="Times New Roman"/>
          <w:iCs/>
          <w:lang w:val="fr-FR" w:eastAsia="ro-RO"/>
        </w:rPr>
        <w:tab/>
      </w:r>
      <w:r w:rsidRPr="00BC7010">
        <w:rPr>
          <w:rFonts w:ascii="Times New Roman" w:hAnsi="Times New Roman"/>
          <w:iCs/>
          <w:lang w:val="fr-FR" w:eastAsia="ro-RO"/>
        </w:rPr>
        <w:tab/>
      </w:r>
      <w:r w:rsidRPr="00BC7010">
        <w:rPr>
          <w:rFonts w:ascii="Times New Roman" w:hAnsi="Times New Roman"/>
          <w:iCs/>
          <w:lang w:val="fr-FR" w:eastAsia="ro-RO"/>
        </w:rPr>
        <w:tab/>
      </w:r>
    </w:p>
    <w:p w:rsidR="00FD239F" w:rsidRPr="000F51AE" w:rsidRDefault="00FD239F" w:rsidP="00AE28C6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2615AA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RAPORT DE EVALUARE</w:t>
      </w:r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a implementarii Legii nr. 544/2</w:t>
      </w:r>
      <w:r w:rsidR="009469E2"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001 î</w:t>
      </w:r>
      <w:r w:rsidR="00AF2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 anul 2018</w:t>
      </w:r>
    </w:p>
    <w:p w:rsidR="00FD239F" w:rsidRPr="00FD239F" w:rsidRDefault="00FD239F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Default="00E563A3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Subsemnat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Dascălu Maria</w:t>
      </w:r>
      <w:r w:rsidR="009A5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Elena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, responsabil de aplicarea Legii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544/2001, cu modificările ş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 co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mplet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rile ulterioare, 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 anul 201</w:t>
      </w:r>
      <w:r w:rsidR="00AF280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, prezint act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ualul raport de evaluare internă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finalizat 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 urma aplic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rii procedurilor de acces la informa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 de inter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es public, prin care apreciez că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activitatea specific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institu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iei a fost: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60514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□ Foarte bun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9469E2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□ Bună</w:t>
      </w:r>
    </w:p>
    <w:p w:rsidR="002615AA" w:rsidRPr="000F51AE" w:rsidRDefault="009469E2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□ Satisfă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toare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    □ Nesatisf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ăcă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toare </w:t>
      </w:r>
    </w:p>
    <w:p w:rsidR="00590327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Îmi 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ntemeiez aceste observ</w:t>
      </w:r>
      <w:r w:rsidR="00C7550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ţii pe următoarele considerente 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rezultate privind anul </w:t>
      </w:r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20C9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910" w:rsidRDefault="00C26910" w:rsidP="005366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15AA" w:rsidRPr="0053666F" w:rsidRDefault="0053666F" w:rsidP="00536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  <w:r w:rsidR="002615AA" w:rsidRPr="0053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Resurse si proces </w:t>
      </w:r>
    </w:p>
    <w:p w:rsidR="0053666F" w:rsidRPr="0053666F" w:rsidRDefault="0053666F" w:rsidP="0053666F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1.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apreciati resursele umane disponibile pentru activitatea de furnizare a informa</w:t>
      </w:r>
      <w:r w:rsidR="00F91828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iilor de interes public?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F9182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Suficiente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Insuficiente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2.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Apreciati ca resursele material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disponibile pentru activitatea de furnizarea informa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iilor de interes public sunt: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Suficiente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Insuficiente </w:t>
      </w:r>
    </w:p>
    <w:p w:rsidR="006E134C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apreciati colaborarea cu direc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 de specialitate din cadrul institu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iei dumneavoastr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 furnizarea accesului la informa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de interes public: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4F021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□ Foarte bun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□ Bună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Satisfacatoare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Nesatisfacatoare </w:t>
      </w:r>
    </w:p>
    <w:p w:rsidR="006B17AB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2615AA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Rezultate </w:t>
      </w:r>
    </w:p>
    <w:p w:rsidR="00590327" w:rsidRPr="000F51AE" w:rsidRDefault="00590327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A.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publicate din oficiu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1.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Instituţia dumneavoastră a afiş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at informa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iile/documentele comunicate din oficiu, conform art. 5 din Legea nr. 544/2001, cu modific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rile 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 complet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rile ulterioare?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6860C7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Pe pagina de internet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6860C7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La sediul institutiei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In presa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In Monitorul Oficial al Romaniei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In alta modalitate: . . . . . . . . . .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2.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Apreciati ca afisarea informatiilor a fost suficient de vizibila pentru cei interesati?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6860C7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Da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3.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sunt solu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 pentru cre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terea vizibilit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 informa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iilor publicate, pe care institu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ia dumneavoastr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le-au aplicat? </w:t>
      </w:r>
    </w:p>
    <w:p w:rsidR="002615AA" w:rsidRPr="005E4F8D" w:rsidRDefault="006860C7" w:rsidP="005E4F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>Afişare pe site</w:t>
      </w:r>
      <w:r w:rsidR="00E97ABB"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>-ul propriu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4.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publicat institu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ia dumneavoastr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seturi de da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te suplimentare din oficiu, faţă de cele minimale prevă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zute de lege?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 Da, acestea fiind: </w:t>
      </w:r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comunicate de presă 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cu diverse subiecte de protecţia mediului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5.</w:t>
      </w:r>
      <w:r w:rsidR="002C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informaţii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publicate 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ntr-un format deschis?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Da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6.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sunt m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surile interne pe care inten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ţiona</w:t>
      </w:r>
      <w:r w:rsidR="002B2BAC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i să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aplica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 pentru publicarea unui num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ăr cât mai mare de seturi de date 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format deschis? </w:t>
      </w:r>
      <w:r w:rsidR="0003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:rsidR="002615AA" w:rsidRPr="000F51AE" w:rsidRDefault="00032FAD" w:rsidP="00F74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2615AA"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</w:t>
      </w:r>
      <w:r w:rsidR="00D479B5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furnizate la </w:t>
      </w:r>
      <w:r w:rsidR="002615AA" w:rsidRPr="00340E96">
        <w:rPr>
          <w:rFonts w:ascii="Times New Roman" w:eastAsia="Times New Roman" w:hAnsi="Times New Roman" w:cs="Times New Roman"/>
          <w:sz w:val="24"/>
          <w:szCs w:val="24"/>
        </w:rPr>
        <w:t>cerere</w:t>
      </w:r>
      <w:r w:rsidR="00340E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615AA" w:rsidRPr="000F51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tbl>
      <w:tblPr>
        <w:tblW w:w="13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05"/>
        <w:gridCol w:w="1870"/>
        <w:gridCol w:w="1884"/>
        <w:gridCol w:w="1846"/>
        <w:gridCol w:w="1872"/>
        <w:gridCol w:w="1859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347FB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Numarul total de solicitari de informatii de interes public</w:t>
            </w:r>
          </w:p>
        </w:tc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functie de solicitant</w:t>
            </w:r>
          </w:p>
        </w:tc>
        <w:tc>
          <w:tcPr>
            <w:tcW w:w="5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 modalitatea de adresare</w:t>
            </w:r>
          </w:p>
        </w:tc>
      </w:tr>
      <w:tr w:rsidR="002615AA" w:rsidRPr="000F51AE" w:rsidTr="00347FB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la persoane fizice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la persoane juridice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 suport hartie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 suport electronic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</w:t>
            </w:r>
          </w:p>
        </w:tc>
      </w:tr>
      <w:tr w:rsidR="002615AA" w:rsidRPr="000F51AE" w:rsidTr="00347FB2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F280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F280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F280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F280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F280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F280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3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934"/>
        <w:gridCol w:w="2402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Departajare pe domenii de interes</w:t>
            </w: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Utilizarea banilor publici (contracte, investitii, cheltuieli etc.)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892A3D" w:rsidP="0089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D479B5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Modul de î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ndeplinire a atribu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iilor institu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 publice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892A3D" w:rsidP="0089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Acte normative, reglement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932E96" w:rsidP="009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Activitatea liderilor institu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932E96" w:rsidP="009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 Informa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privind modul de aplicare a Legii nr. 544/2001, cu modific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ările şi completă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 ulterioare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932E96" w:rsidP="0093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5AA" w:rsidRPr="000F51AE" w:rsidTr="002615AA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f) Altele, cu men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ionarea acestora: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Default="00892A3D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E3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7B6BC9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nforma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7B6BC9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de mediu</w:t>
            </w:r>
          </w:p>
          <w:p w:rsidR="002E31DE" w:rsidRPr="000F51AE" w:rsidRDefault="002E31DE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33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96"/>
        <w:gridCol w:w="1313"/>
        <w:gridCol w:w="1033"/>
        <w:gridCol w:w="1033"/>
        <w:gridCol w:w="837"/>
        <w:gridCol w:w="1106"/>
        <w:gridCol w:w="1106"/>
        <w:gridCol w:w="1106"/>
        <w:gridCol w:w="965"/>
        <w:gridCol w:w="984"/>
        <w:gridCol w:w="1142"/>
        <w:gridCol w:w="996"/>
        <w:gridCol w:w="1130"/>
        <w:gridCol w:w="958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990AEC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FB2" w:rsidRPr="000F51AE" w:rsidRDefault="00347FB2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FB2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2. Num</w:t>
            </w:r>
            <w:r w:rsidR="00D479B5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 total de</w:t>
            </w:r>
          </w:p>
          <w:p w:rsidR="002615AA" w:rsidRPr="00990AEC" w:rsidRDefault="002615AA" w:rsidP="00D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solicit</w:t>
            </w:r>
            <w:r w:rsidR="00D479B5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ri solu</w:t>
            </w:r>
            <w:r w:rsidR="00D479B5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ionate favorabil</w:t>
            </w:r>
          </w:p>
        </w:tc>
        <w:tc>
          <w:tcPr>
            <w:tcW w:w="4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Termen de raspuns</w:t>
            </w:r>
          </w:p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Modul de comunicare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Departajate pe domenii de interes</w:t>
            </w:r>
          </w:p>
        </w:tc>
      </w:tr>
      <w:tr w:rsidR="002615AA" w:rsidRPr="00990AEC" w:rsidTr="002615AA">
        <w:trPr>
          <w:trHeight w:val="2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5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Redirec</w:t>
            </w:r>
            <w:r w:rsidR="0055255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ionate c</w:t>
            </w:r>
            <w:r w:rsidR="0055255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tre alte institu</w:t>
            </w:r>
            <w:r w:rsidR="00552554">
              <w:rPr>
                <w:rFonts w:ascii="Times New Roman" w:eastAsia="Times New Roman" w:hAnsi="Times New Roman" w:cs="Times New Roman"/>
                <w:color w:val="000000"/>
              </w:rPr>
              <w:t>ţii î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n 5 zile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9308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Soluţionate favorabil î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n termen de 10 zile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Solu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ionate favorabil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 xml:space="preserve"> î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n termen de 30 zile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ri pentru care termenul a fost dep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ăş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Comunicare electronic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93084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Comunicare î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n format 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â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rtie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Comunicare verbal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Utilizarea banilor publici (contracte, investi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ii, cheltuieli etc.)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Modul de 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ndeplinire a atribu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iilor institu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iei publice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9308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Acte normative, reglementă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Activitatea liderilor institu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iei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Informa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ii privind modul de aplicare a Legii nr. 544/2001, cu modific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ările ş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 complet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rile ulterioare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Altele (se precizeaz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care)</w:t>
            </w:r>
          </w:p>
        </w:tc>
      </w:tr>
      <w:tr w:rsidR="002615AA" w:rsidRPr="000F51AE" w:rsidTr="002615AA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4C01A4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435F46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435F46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435F46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266CD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407078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666D9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407078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604F35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523057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523057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E1235B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E1235B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666D9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9E5" w:rsidRPr="00F749E5" w:rsidRDefault="00523057" w:rsidP="0052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E1235B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749E5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E32D12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nforma</w:t>
            </w:r>
            <w:r w:rsidR="00293084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ţ</w:t>
            </w:r>
            <w:r w:rsidR="00E32D12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</w:t>
            </w:r>
            <w:r w:rsidR="00E32D12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de mediu</w:t>
            </w:r>
          </w:p>
        </w:tc>
      </w:tr>
    </w:tbl>
    <w:p w:rsidR="00C82A6F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</w:t>
      </w:r>
    </w:p>
    <w:p w:rsidR="002615AA" w:rsidRPr="000F51AE" w:rsidRDefault="00C82A6F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615AA"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ionati principalele cauze pentru care anumite r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ăspunsuri nu au fost transmise î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termenul legal: </w:t>
      </w:r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-Nu este cazul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4.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 mă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suri au fost luate pentru ca aceast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rezolvat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-Nu este cazul</w:t>
      </w:r>
    </w:p>
    <w:p w:rsidR="002615AA" w:rsidRPr="000F51AE" w:rsidRDefault="002615AA" w:rsidP="001B3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7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70"/>
        <w:gridCol w:w="1037"/>
        <w:gridCol w:w="1070"/>
        <w:gridCol w:w="1016"/>
        <w:gridCol w:w="1050"/>
        <w:gridCol w:w="1070"/>
        <w:gridCol w:w="1243"/>
        <w:gridCol w:w="1083"/>
        <w:gridCol w:w="1230"/>
        <w:gridCol w:w="1043"/>
      </w:tblGrid>
      <w:tr w:rsidR="002615AA" w:rsidRPr="000F51AE" w:rsidTr="0055255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55255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554" w:rsidRDefault="002615AA" w:rsidP="005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</w:t>
            </w:r>
            <w:r w:rsidR="0055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  <w:p w:rsidR="002615AA" w:rsidRPr="000F51AE" w:rsidRDefault="002615AA" w:rsidP="005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solicitari respinse</w:t>
            </w:r>
          </w:p>
        </w:tc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Motivul respingerii</w:t>
            </w:r>
          </w:p>
        </w:tc>
        <w:tc>
          <w:tcPr>
            <w:tcW w:w="6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Departajate pe domenii de interes</w:t>
            </w:r>
          </w:p>
        </w:tc>
      </w:tr>
      <w:tr w:rsidR="002615AA" w:rsidRPr="000F51AE" w:rsidTr="00552554">
        <w:trPr>
          <w:trHeight w:val="2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Exceptate, conform legii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inexistente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 motive (cu precizarea acestora)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 banilor publici (contracte, investi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ii, cheltuieli etc.)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Modul de 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ndeplinire a atribu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iilor institu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 publice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 normative, reglementari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 liderilor institu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privind modul de aplicare a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Legii nr. 544/2001, cu modificările ş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complet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 ulterioare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Altele (se precizeaza care)</w:t>
            </w:r>
          </w:p>
        </w:tc>
      </w:tr>
      <w:tr w:rsidR="002615AA" w:rsidRPr="000F51AE" w:rsidTr="00552554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6D5772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6D5772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FD702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FD702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193FEB" w:rsidRDefault="00FD702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5.1.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 solicitate nefurnizate pentru motivul except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rii acestora conform legii: (enumerarea numelor documentelor/informa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iilor solicitate): </w:t>
      </w:r>
      <w:r w:rsidR="001B30C4">
        <w:rPr>
          <w:rFonts w:ascii="Times New Roman" w:eastAsia="Times New Roman" w:hAnsi="Times New Roman" w:cs="Times New Roman"/>
          <w:color w:val="000000"/>
          <w:sz w:val="24"/>
          <w:szCs w:val="24"/>
        </w:rPr>
        <w:t>Nu este cazul</w:t>
      </w:r>
    </w:p>
    <w:p w:rsidR="002615AA" w:rsidRPr="001D6E71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Reclama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administrative 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 pl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ngeri 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 instan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D6E71" w:rsidRPr="00E333F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tbl>
      <w:tblPr>
        <w:tblW w:w="732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24"/>
        <w:gridCol w:w="897"/>
        <w:gridCol w:w="1097"/>
        <w:gridCol w:w="537"/>
        <w:gridCol w:w="1124"/>
        <w:gridCol w:w="897"/>
        <w:gridCol w:w="1097"/>
        <w:gridCol w:w="537"/>
      </w:tblGrid>
      <w:tr w:rsidR="002615AA" w:rsidRPr="000F51AE" w:rsidTr="00DD0C57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DD0C57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F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Num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 de reclama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administrative la adresa institu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ţiei publice î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baza Legii nr. 544/2001, cu modific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rile 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complet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 ulterioare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Num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ărul de plângeri în instanţă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adresa institu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ţiei î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baza Legii nr. 544/2001, cu modific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rile 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comple</w:t>
            </w:r>
            <w:r w:rsidR="007F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 ulterioare</w:t>
            </w:r>
          </w:p>
        </w:tc>
      </w:tr>
      <w:tr w:rsidR="002615AA" w:rsidRPr="000F51AE" w:rsidTr="00DD0C57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</w:t>
            </w:r>
            <w:r w:rsidR="007F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ionate favorabil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Respinse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7F2DC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curs de soluţ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</w:t>
            </w:r>
            <w:r w:rsidR="007F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ionate favorabil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Respinse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7F2DC4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curs de solu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2615AA" w:rsidRPr="000F51AE" w:rsidTr="00DD0C57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1D6E7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D770CD" w:rsidRDefault="00D770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D770CD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D770CD" w:rsidRDefault="00D770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D770CD" w:rsidRDefault="001D6E71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14A1" w:rsidRDefault="005714A1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Managementul procesului de comunicare a informa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iilor de interes public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7.1.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Costuri </w:t>
      </w:r>
    </w:p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tbl>
      <w:tblPr>
        <w:tblW w:w="5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763"/>
        <w:gridCol w:w="896"/>
        <w:gridCol w:w="1526"/>
        <w:gridCol w:w="1290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1D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Costuri totale de func</w:t>
            </w:r>
            <w:r w:rsidR="001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 ale compartimentului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1D0F1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 î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ncasate din serviciul de copiere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Contravaloarea serviciului de copiere (lei/pagina)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1D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 este documentul care st</w:t>
            </w:r>
            <w:r w:rsidR="001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baza stabilirii contravalorii serviciului de copiere?</w:t>
            </w:r>
          </w:p>
        </w:tc>
      </w:tr>
      <w:tr w:rsidR="002615AA" w:rsidRPr="000F51AE" w:rsidTr="002615AA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355E9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5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1552" w:rsidRPr="00845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DC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1D0F1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10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7.2.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terea eficien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ei accesului la informa</w:t>
      </w:r>
      <w:r w:rsidR="00BC07C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de interes public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a)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ţia dumneavoastră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 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un punct de informare/bibliotecă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care sunt publicate seturi de date de interes public 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A266CD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Da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166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b)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Enumera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 punctele pe ca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re le considerati necesar a fi 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mbun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ite la nivelul institu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iei dumneavoastr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cre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terea eficien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ei procesului de asigurare a accesului la informa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de interes public: </w:t>
      </w:r>
      <w:r w:rsidR="00DC35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c)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Enumera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 m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ăsurile luate pentru 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mbun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irea procesului de asigurare a accesului la informa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de interes public: </w:t>
      </w:r>
    </w:p>
    <w:p w:rsidR="007D775F" w:rsidRPr="007D775F" w:rsidRDefault="007D775F" w:rsidP="007D77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75F">
        <w:rPr>
          <w:rFonts w:ascii="Times New Roman" w:eastAsia="Times New Roman" w:hAnsi="Times New Roman" w:cs="Times New Roman"/>
          <w:color w:val="000000"/>
          <w:sz w:val="24"/>
          <w:szCs w:val="24"/>
        </w:rPr>
        <w:t>actualizarea periodică a informaţii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 care se comunică din oficiu.</w:t>
      </w:r>
    </w:p>
    <w:p w:rsidR="002615AA" w:rsidRPr="000F51AE" w:rsidRDefault="002615AA" w:rsidP="007D7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1D0F10" w:rsidRDefault="00BD7BBD">
      <w:pPr>
        <w:rPr>
          <w:rFonts w:ascii="Times New Roman" w:hAnsi="Times New Roman" w:cs="Times New Roman"/>
          <w:sz w:val="24"/>
          <w:szCs w:val="24"/>
        </w:rPr>
      </w:pP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="007F7E79" w:rsidRPr="000F51AE">
        <w:rPr>
          <w:rFonts w:ascii="Times New Roman" w:hAnsi="Times New Roman" w:cs="Times New Roman"/>
          <w:sz w:val="24"/>
          <w:szCs w:val="24"/>
        </w:rPr>
        <w:tab/>
      </w:r>
      <w:r w:rsidR="007F7E79"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</w:p>
    <w:p w:rsidR="00BD7BBD" w:rsidRPr="000F51AE" w:rsidRDefault="006B20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D4F7A">
        <w:rPr>
          <w:rFonts w:ascii="Times New Roman" w:hAnsi="Times New Roman" w:cs="Times New Roman"/>
          <w:i/>
          <w:sz w:val="24"/>
          <w:szCs w:val="24"/>
        </w:rPr>
        <w:tab/>
      </w:r>
      <w:r w:rsidR="005D4F7A">
        <w:rPr>
          <w:rFonts w:ascii="Times New Roman" w:hAnsi="Times New Roman" w:cs="Times New Roman"/>
          <w:i/>
          <w:sz w:val="24"/>
          <w:szCs w:val="24"/>
        </w:rPr>
        <w:tab/>
      </w:r>
      <w:r w:rsidR="00BD7BBD" w:rsidRPr="000F51AE">
        <w:rPr>
          <w:rFonts w:ascii="Times New Roman" w:hAnsi="Times New Roman" w:cs="Times New Roman"/>
          <w:i/>
          <w:sz w:val="24"/>
          <w:szCs w:val="24"/>
        </w:rPr>
        <w:t xml:space="preserve">-Compartiment Relaţii Publice şi Tehnologia Informaţiei </w:t>
      </w:r>
    </w:p>
    <w:sectPr w:rsidR="00BD7BBD" w:rsidRPr="000F51AE" w:rsidSect="00347FB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69" w:rsidRDefault="00D25C69" w:rsidP="00C82A6F">
      <w:pPr>
        <w:spacing w:after="0" w:line="240" w:lineRule="auto"/>
      </w:pPr>
      <w:r>
        <w:separator/>
      </w:r>
    </w:p>
  </w:endnote>
  <w:endnote w:type="continuationSeparator" w:id="0">
    <w:p w:rsidR="00D25C69" w:rsidRDefault="00D25C69" w:rsidP="00C8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56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A6F" w:rsidRDefault="00C82A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A6F" w:rsidRDefault="00C82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69" w:rsidRDefault="00D25C69" w:rsidP="00C82A6F">
      <w:pPr>
        <w:spacing w:after="0" w:line="240" w:lineRule="auto"/>
      </w:pPr>
      <w:r>
        <w:separator/>
      </w:r>
    </w:p>
  </w:footnote>
  <w:footnote w:type="continuationSeparator" w:id="0">
    <w:p w:rsidR="00D25C69" w:rsidRDefault="00D25C69" w:rsidP="00C8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F45"/>
    <w:multiLevelType w:val="hybridMultilevel"/>
    <w:tmpl w:val="3D22ABB8"/>
    <w:lvl w:ilvl="0" w:tplc="C0A03A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0CD"/>
    <w:multiLevelType w:val="hybridMultilevel"/>
    <w:tmpl w:val="6F707CBE"/>
    <w:lvl w:ilvl="0" w:tplc="E3A8438A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8E91F0C"/>
    <w:multiLevelType w:val="hybridMultilevel"/>
    <w:tmpl w:val="158E5CAC"/>
    <w:lvl w:ilvl="0" w:tplc="3AD4408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207D7"/>
    <w:multiLevelType w:val="hybridMultilevel"/>
    <w:tmpl w:val="4DFA032C"/>
    <w:lvl w:ilvl="0" w:tplc="1A78BA2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B"/>
    <w:rsid w:val="00032FAD"/>
    <w:rsid w:val="000F51AE"/>
    <w:rsid w:val="00104CA4"/>
    <w:rsid w:val="001212F0"/>
    <w:rsid w:val="0016674D"/>
    <w:rsid w:val="00193FEB"/>
    <w:rsid w:val="001A095D"/>
    <w:rsid w:val="001A696D"/>
    <w:rsid w:val="001A7C93"/>
    <w:rsid w:val="001B30C4"/>
    <w:rsid w:val="001D0F10"/>
    <w:rsid w:val="001D6E71"/>
    <w:rsid w:val="002136CC"/>
    <w:rsid w:val="002540D3"/>
    <w:rsid w:val="002615AA"/>
    <w:rsid w:val="002664CF"/>
    <w:rsid w:val="00275A6A"/>
    <w:rsid w:val="00293084"/>
    <w:rsid w:val="002B2BAC"/>
    <w:rsid w:val="002C1187"/>
    <w:rsid w:val="002C14C5"/>
    <w:rsid w:val="002E31DE"/>
    <w:rsid w:val="00301238"/>
    <w:rsid w:val="00340E96"/>
    <w:rsid w:val="00347FB2"/>
    <w:rsid w:val="00355E9D"/>
    <w:rsid w:val="00390B23"/>
    <w:rsid w:val="003C6FA4"/>
    <w:rsid w:val="00407078"/>
    <w:rsid w:val="00420F3C"/>
    <w:rsid w:val="00435F46"/>
    <w:rsid w:val="0044678A"/>
    <w:rsid w:val="004667F0"/>
    <w:rsid w:val="004B229C"/>
    <w:rsid w:val="004C01A4"/>
    <w:rsid w:val="004E64F6"/>
    <w:rsid w:val="004F0217"/>
    <w:rsid w:val="00523057"/>
    <w:rsid w:val="0053666F"/>
    <w:rsid w:val="0054206E"/>
    <w:rsid w:val="00552554"/>
    <w:rsid w:val="005714A1"/>
    <w:rsid w:val="00590327"/>
    <w:rsid w:val="005D4F7A"/>
    <w:rsid w:val="005E4F8D"/>
    <w:rsid w:val="00604F35"/>
    <w:rsid w:val="0060514E"/>
    <w:rsid w:val="006416BF"/>
    <w:rsid w:val="00655677"/>
    <w:rsid w:val="0066203B"/>
    <w:rsid w:val="006860C7"/>
    <w:rsid w:val="006905FD"/>
    <w:rsid w:val="00697E94"/>
    <w:rsid w:val="006B0524"/>
    <w:rsid w:val="006B17AB"/>
    <w:rsid w:val="006B2035"/>
    <w:rsid w:val="006D1620"/>
    <w:rsid w:val="006D5772"/>
    <w:rsid w:val="006E134C"/>
    <w:rsid w:val="007B6BC9"/>
    <w:rsid w:val="007D775F"/>
    <w:rsid w:val="007F2DC4"/>
    <w:rsid w:val="007F7E79"/>
    <w:rsid w:val="00816FAC"/>
    <w:rsid w:val="00835861"/>
    <w:rsid w:val="00845949"/>
    <w:rsid w:val="0086279B"/>
    <w:rsid w:val="00892A3D"/>
    <w:rsid w:val="00932E96"/>
    <w:rsid w:val="00946784"/>
    <w:rsid w:val="009469E2"/>
    <w:rsid w:val="00990AEC"/>
    <w:rsid w:val="009A5C35"/>
    <w:rsid w:val="00A266CD"/>
    <w:rsid w:val="00A666D9"/>
    <w:rsid w:val="00AE28C6"/>
    <w:rsid w:val="00AF2801"/>
    <w:rsid w:val="00BC07C0"/>
    <w:rsid w:val="00BD7BBD"/>
    <w:rsid w:val="00C26910"/>
    <w:rsid w:val="00C7550A"/>
    <w:rsid w:val="00C82A6F"/>
    <w:rsid w:val="00C96323"/>
    <w:rsid w:val="00CA0794"/>
    <w:rsid w:val="00D20C92"/>
    <w:rsid w:val="00D25C69"/>
    <w:rsid w:val="00D406DD"/>
    <w:rsid w:val="00D479B5"/>
    <w:rsid w:val="00D553D6"/>
    <w:rsid w:val="00D770CD"/>
    <w:rsid w:val="00DC1552"/>
    <w:rsid w:val="00DC35F6"/>
    <w:rsid w:val="00DC7C3F"/>
    <w:rsid w:val="00DD0C57"/>
    <w:rsid w:val="00DE70B2"/>
    <w:rsid w:val="00E00CF1"/>
    <w:rsid w:val="00E1235B"/>
    <w:rsid w:val="00E32D12"/>
    <w:rsid w:val="00E333F8"/>
    <w:rsid w:val="00E4007B"/>
    <w:rsid w:val="00E53721"/>
    <w:rsid w:val="00E563A3"/>
    <w:rsid w:val="00E97ABB"/>
    <w:rsid w:val="00ED0E75"/>
    <w:rsid w:val="00F1232B"/>
    <w:rsid w:val="00F556FC"/>
    <w:rsid w:val="00F56D51"/>
    <w:rsid w:val="00F749E5"/>
    <w:rsid w:val="00F91828"/>
    <w:rsid w:val="00FD239F"/>
    <w:rsid w:val="00FD702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7224"/>
  <w15:docId w15:val="{76945969-0C6A-4E25-BFD0-FB36DF23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basedOn w:val="DefaultParagraphFont"/>
    <w:rsid w:val="002615AA"/>
    <w:rPr>
      <w:shd w:val="clear" w:color="auto" w:fill="auto"/>
    </w:rPr>
  </w:style>
  <w:style w:type="character" w:customStyle="1" w:styleId="punct1">
    <w:name w:val="punct1"/>
    <w:basedOn w:val="DefaultParagraphFont"/>
    <w:rsid w:val="002615AA"/>
    <w:rPr>
      <w:b/>
      <w:bCs/>
      <w:color w:val="000000"/>
    </w:rPr>
  </w:style>
  <w:style w:type="character" w:customStyle="1" w:styleId="alineat1">
    <w:name w:val="alineat1"/>
    <w:basedOn w:val="DefaultParagraphFont"/>
    <w:rsid w:val="002615AA"/>
    <w:rPr>
      <w:b/>
      <w:bCs/>
      <w:color w:val="000000"/>
    </w:rPr>
  </w:style>
  <w:style w:type="character" w:customStyle="1" w:styleId="litera1">
    <w:name w:val="litera1"/>
    <w:basedOn w:val="DefaultParagraphFont"/>
    <w:rsid w:val="002615AA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C3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6F"/>
  </w:style>
  <w:style w:type="paragraph" w:styleId="Footer">
    <w:name w:val="footer"/>
    <w:basedOn w:val="Normal"/>
    <w:link w:val="FooterChar"/>
    <w:uiPriority w:val="99"/>
    <w:unhideWhenUsed/>
    <w:rsid w:val="00C8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Maria Dascalu</cp:lastModifiedBy>
  <cp:revision>102</cp:revision>
  <cp:lastPrinted>2019-01-07T11:30:00Z</cp:lastPrinted>
  <dcterms:created xsi:type="dcterms:W3CDTF">2017-11-15T08:09:00Z</dcterms:created>
  <dcterms:modified xsi:type="dcterms:W3CDTF">2019-01-29T11:07:00Z</dcterms:modified>
</cp:coreProperties>
</file>