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760"/>
      </w:tblGrid>
      <w:tr w:rsidR="00FF4FAD" w:rsidRPr="00FF4FAD" w:rsidTr="00FF4FA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F4FAD" w:rsidRDefault="00FF4FAD" w:rsidP="00FF4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FF4FA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Îmbunătățirea</w:t>
            </w:r>
            <w:proofErr w:type="spellEnd"/>
            <w:r w:rsidRPr="00FF4FA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legislației</w:t>
            </w:r>
            <w:proofErr w:type="spellEnd"/>
            <w:r w:rsidRPr="00FF4FA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privind</w:t>
            </w:r>
            <w:proofErr w:type="spellEnd"/>
            <w:r w:rsidRPr="00FF4FA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ariile</w:t>
            </w:r>
            <w:proofErr w:type="spellEnd"/>
            <w:r w:rsidRPr="00FF4FA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naturale</w:t>
            </w:r>
            <w:proofErr w:type="spellEnd"/>
            <w:r w:rsidRPr="00FF4FA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protejate</w:t>
            </w:r>
            <w:proofErr w:type="spellEnd"/>
          </w:p>
          <w:p w:rsidR="00827033" w:rsidRPr="00FF4FAD" w:rsidRDefault="00827033" w:rsidP="00FF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F4FAD" w:rsidRPr="00FF4FAD" w:rsidTr="00FF4FA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4FAD" w:rsidRDefault="00FF4FAD" w:rsidP="00FF4F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Guvernul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completat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printr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-o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Ordonanță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legislația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privind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regimul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ariilor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naturale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protejate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conservarea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habitatelor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naturale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florei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și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faunei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sălbatice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îndeplinind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astfel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una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dintre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obligațiile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revine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României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 stat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membru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UE.</w:t>
            </w:r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Mai exact,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Agenția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Națională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pentru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Protecția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Mediului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desemnată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drept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autoritate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națională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care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urmează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să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prevederile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Regulamentului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(UE) nr. 511/2014 al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Parlamentului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European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și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Consiliului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privind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măsurile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conformitate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destinate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utilizatorilor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Prevederile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sunt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prevăzute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Protocolul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la Nagoya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privind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accesul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resursele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genetice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și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împărțirea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corectă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și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echilibrată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beneficiilor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care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rezultă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utilizarea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acestora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Uniune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Acest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Regulament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stabilește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normele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care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reglementează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respectarea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accesului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și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împărțirii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beneficiilor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ceea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privește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resursele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genetice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și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cunoștințele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tradiționale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asociate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resursele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genetice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conformitate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dispozițiile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Protocolului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la Nagoya.</w:t>
            </w:r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Punerea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lui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aplicare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contribui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conservarea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diversității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și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utilizarea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durabilă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componentelor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acesteia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conformitate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dispozițiile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Convenției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privind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diversitatea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biologică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FF4FAD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De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asemenea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ANPM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și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Regulamentul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1143/2014 al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Parlamentului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European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și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Consiliului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privind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prevenirea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și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gestionarea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introducerii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și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răspândirii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speciilor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alogene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invazive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Speciile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alogene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invazive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reprezintă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una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dintre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principalele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amenințări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adresa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biodiversității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și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serviciilor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ecosistemice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special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ecosistemele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izolate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punct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vedere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geografic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evolutiv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precum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insulele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mici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Riscurile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prezentate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aceste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specii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pot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crește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urmare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intensificării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comerțului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mondial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transporturilor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turismului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și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schimbărilor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climatice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Actul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normativ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adoptat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Guvern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stabilește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de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asemenea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sancționarea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contravențională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unor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noi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fapte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constând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nerespectarea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celor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două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Regulamente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europene</w:t>
            </w:r>
            <w:proofErr w:type="spellEnd"/>
            <w:r w:rsidRPr="00FF4F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FF4FAD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  <w:p w:rsidR="00827033" w:rsidRPr="00FF4FAD" w:rsidRDefault="00827033" w:rsidP="00FF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000000" w:rsidRDefault="00827033">
      <w:r>
        <w:t>28.01.2016</w:t>
      </w:r>
    </w:p>
    <w:p w:rsidR="00FF4FAD" w:rsidRDefault="00827033">
      <w:hyperlink r:id="rId4" w:history="1">
        <w:r w:rsidRPr="00272AE8">
          <w:rPr>
            <w:rStyle w:val="Hyperlink"/>
          </w:rPr>
          <w:t>http://www.ziarulialomita.ro/?action=view&amp;articol=30122</w:t>
        </w:r>
      </w:hyperlink>
    </w:p>
    <w:p w:rsidR="00827033" w:rsidRDefault="00827033"/>
    <w:sectPr w:rsidR="008270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FF4FAD"/>
    <w:rsid w:val="00827033"/>
    <w:rsid w:val="00FF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4FAD"/>
  </w:style>
  <w:style w:type="character" w:styleId="Hyperlink">
    <w:name w:val="Hyperlink"/>
    <w:basedOn w:val="DefaultParagraphFont"/>
    <w:uiPriority w:val="99"/>
    <w:unhideWhenUsed/>
    <w:rsid w:val="008270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iarulialomita.ro/?action=view&amp;articol=30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alexandra.ganescu</cp:lastModifiedBy>
  <cp:revision>3</cp:revision>
  <dcterms:created xsi:type="dcterms:W3CDTF">2016-02-01T11:11:00Z</dcterms:created>
  <dcterms:modified xsi:type="dcterms:W3CDTF">2016-02-01T11:11:00Z</dcterms:modified>
</cp:coreProperties>
</file>