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center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Style w:val="Strong"/>
          <w:rFonts w:ascii="Helvetica" w:hAnsi="Helvetica"/>
          <w:color w:val="000000"/>
          <w:sz w:val="21"/>
          <w:szCs w:val="21"/>
        </w:rPr>
        <w:t>VIZA ANUALA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Obținerea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este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obligatorie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atât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înainte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intrarea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vigoare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prezentului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ordin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cât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cele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după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intrarea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acestuia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vigoare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Titularul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activității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este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obligat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autoritatea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publică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protecția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emitentă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depunerea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următoarelor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documente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: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a)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cererea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conform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modelului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prevăzut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anexa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. </w:t>
      </w:r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 xml:space="preserve">1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prezenta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procedură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;</w:t>
      </w: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b)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raportul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sau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raportările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menționate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actele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reglementare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după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;</w:t>
      </w: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c)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declarația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propria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răspundere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desfășoară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activitatea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aceleași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condiții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integrată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nu au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intervenit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modificări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fond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afecteze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condițiile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stabilite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conform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modelului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prevăzut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anexa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2 la</w:t>
      </w:r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prezenta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procedură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;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d)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dovada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achitării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tarifului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face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separat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fiecare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integrată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deținută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titular.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poate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transmite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mijloace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electronice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(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scanat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e-mail,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adresa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oficială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a</w:t>
      </w:r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autorității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publice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protecția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sau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fax).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Titularul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va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asigura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înregistrată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titularul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activității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este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maximum 90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minimum 60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înainte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ziua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luna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corespunzătoare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lunii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acesta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o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deține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acesta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o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deține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revizuită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60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calcula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funcție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ziua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luna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inițială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solicitările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transmise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mai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scurt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decât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cel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specificat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autoritatea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publică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protecția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acceptă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5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lucrătoare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transmite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titularului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o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notificare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privire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nerespectarea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suspendarea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actului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reglementare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o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perioadă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echivalentă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perioada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întârziere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față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specificat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Perioada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suspendare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începe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după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data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emiterii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(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ziua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luna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).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Totodată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autoritatea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publică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protecția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informează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Garda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Națională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0" w:beforeAutospacing="0" w:after="90" w:afterAutospacing="0"/>
        <w:jc w:val="both"/>
        <w:rPr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percepe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un</w:t>
      </w:r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tarif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cuantum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100 lei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300 lei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.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Tariful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nu se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restituie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solicitantului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Helvetica" w:hAnsi="Helvetica"/>
          <w:color w:val="000000"/>
          <w:sz w:val="21"/>
          <w:szCs w:val="21"/>
        </w:rPr>
        <w:t>este</w:t>
      </w:r>
      <w:proofErr w:type="spellEnd"/>
      <w:proofErr w:type="gram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respinsă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•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cazul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solicitată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înainte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data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intrării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vigoare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prezentului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ordin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autoritatea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publică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protecția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clasează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informează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titularul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privire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obligația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imediat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următor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AA7035" w:rsidRDefault="00AA7035" w:rsidP="00AA7035">
      <w:pPr>
        <w:pStyle w:val="NormalWeb"/>
        <w:shd w:val="clear" w:color="auto" w:fill="FFFFFF"/>
        <w:spacing w:before="90" w:beforeAutospacing="0" w:after="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informăm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că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:</w:t>
      </w:r>
    </w:p>
    <w:p w:rsidR="00AA7035" w:rsidRDefault="00AA7035" w:rsidP="00AA7035">
      <w:pPr>
        <w:pStyle w:val="NormalWeb"/>
        <w:shd w:val="clear" w:color="auto" w:fill="FFFFFF"/>
        <w:spacing w:before="90" w:beforeAutospacing="0" w:after="0" w:afterAutospacing="0"/>
        <w:jc w:val="both"/>
        <w:rPr>
          <w:rStyle w:val="Strong"/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-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intrarea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vigoare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Ordinului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nr.1150/2020 - 10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iulie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2020,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beneficiarii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se pot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încadra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min. 60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la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intrarea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vigoare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ordinului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data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emiterii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au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obligația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solicitării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apilcării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anuale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</w:t>
      </w:r>
    </w:p>
    <w:p w:rsidR="00672746" w:rsidRDefault="00AA7035" w:rsidP="00AA7035">
      <w:pPr>
        <w:pStyle w:val="NormalWeb"/>
        <w:shd w:val="clear" w:color="auto" w:fill="FFFFFF"/>
        <w:spacing w:before="90" w:beforeAutospacing="0" w:after="0" w:afterAutospacing="0"/>
        <w:jc w:val="both"/>
      </w:pP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Strong"/>
          <w:rFonts w:ascii="Helvetica" w:hAnsi="Helvetica"/>
          <w:color w:val="000000"/>
          <w:sz w:val="21"/>
          <w:szCs w:val="21"/>
        </w:rPr>
        <w:t xml:space="preserve">-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pentru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/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autorizațiile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integrate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mediu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au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fost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emise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și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care nu se pot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încadra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termenul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de min. 60 de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zile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beneficiarii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acestora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solicita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aplicarea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vizei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în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anul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imediat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următor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, cu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respectarea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prevederilor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Ordinului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Helvetica" w:hAnsi="Helvetica"/>
          <w:color w:val="000000"/>
          <w:sz w:val="21"/>
          <w:szCs w:val="21"/>
        </w:rPr>
        <w:t>nr</w:t>
      </w:r>
      <w:proofErr w:type="spellEnd"/>
      <w:r>
        <w:rPr>
          <w:rStyle w:val="Strong"/>
          <w:rFonts w:ascii="Helvetica" w:hAnsi="Helvetica"/>
          <w:color w:val="000000"/>
          <w:sz w:val="21"/>
          <w:szCs w:val="21"/>
        </w:rPr>
        <w:t>. 1150/2020.</w:t>
      </w:r>
      <w:bookmarkStart w:id="0" w:name="_GoBack"/>
      <w:bookmarkEnd w:id="0"/>
    </w:p>
    <w:sectPr w:rsidR="00672746" w:rsidSect="00AA7035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35"/>
    <w:rsid w:val="00672746"/>
    <w:rsid w:val="00A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2AE8"/>
  <w15:chartTrackingRefBased/>
  <w15:docId w15:val="{CF2AEF20-9951-4509-AAA9-0E745E0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7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Iacob</dc:creator>
  <cp:keywords/>
  <dc:description/>
  <cp:lastModifiedBy>Viorica Iacob</cp:lastModifiedBy>
  <cp:revision>1</cp:revision>
  <dcterms:created xsi:type="dcterms:W3CDTF">2022-07-26T09:27:00Z</dcterms:created>
  <dcterms:modified xsi:type="dcterms:W3CDTF">2022-07-26T09:29:00Z</dcterms:modified>
</cp:coreProperties>
</file>