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07" w:rsidRPr="00344E09" w:rsidRDefault="00961307" w:rsidP="00961307">
      <w:pPr>
        <w:ind w:left="2880"/>
        <w:rPr>
          <w:lang w:val="ro-RO"/>
        </w:rPr>
      </w:pPr>
      <w:r w:rsidRPr="00344E09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-155575</wp:posOffset>
            </wp:positionV>
            <wp:extent cx="2008505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1306" y="21027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E09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-136525</wp:posOffset>
            </wp:positionV>
            <wp:extent cx="752475" cy="60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307" w:rsidRDefault="00961307" w:rsidP="00961307">
      <w:pPr>
        <w:pStyle w:val="Header"/>
        <w:tabs>
          <w:tab w:val="left" w:pos="9000"/>
        </w:tabs>
        <w:ind w:firstLine="1440"/>
        <w:rPr>
          <w:b/>
          <w:color w:val="00214E"/>
          <w:sz w:val="32"/>
          <w:szCs w:val="32"/>
          <w:lang w:val="ro-RO"/>
        </w:rPr>
      </w:pPr>
      <w:r w:rsidRPr="00344E09">
        <w:rPr>
          <w:lang w:val="ro-RO"/>
        </w:rPr>
        <w:t xml:space="preserve">        </w:t>
      </w:r>
      <w:r w:rsidRPr="00344E09">
        <w:rPr>
          <w:lang w:val="ro-RO"/>
        </w:rPr>
        <w:tab/>
      </w:r>
      <w:r w:rsidRPr="00344E09">
        <w:rPr>
          <w:b/>
          <w:color w:val="00214E"/>
          <w:sz w:val="32"/>
          <w:szCs w:val="32"/>
          <w:lang w:val="ro-RO"/>
        </w:rPr>
        <w:t xml:space="preserve"> </w:t>
      </w:r>
    </w:p>
    <w:p w:rsidR="00961307" w:rsidRDefault="00961307" w:rsidP="00961307">
      <w:pPr>
        <w:pStyle w:val="Header"/>
        <w:tabs>
          <w:tab w:val="left" w:pos="9000"/>
        </w:tabs>
        <w:rPr>
          <w:b/>
          <w:color w:val="00214E"/>
          <w:sz w:val="32"/>
          <w:szCs w:val="32"/>
          <w:lang w:val="ro-RO"/>
        </w:rPr>
      </w:pPr>
    </w:p>
    <w:p w:rsidR="00961307" w:rsidRDefault="00961307" w:rsidP="00961307">
      <w:pPr>
        <w:pStyle w:val="Header"/>
        <w:tabs>
          <w:tab w:val="left" w:pos="9000"/>
        </w:tabs>
        <w:rPr>
          <w:b/>
          <w:color w:val="00214E"/>
          <w:sz w:val="32"/>
          <w:szCs w:val="32"/>
          <w:lang w:val="ro-RO"/>
        </w:rPr>
      </w:pPr>
    </w:p>
    <w:p w:rsidR="00961307" w:rsidRPr="00D37183" w:rsidRDefault="00961307" w:rsidP="00961307">
      <w:pPr>
        <w:pStyle w:val="Header"/>
        <w:tabs>
          <w:tab w:val="left" w:pos="9000"/>
        </w:tabs>
        <w:rPr>
          <w:b/>
          <w:color w:val="00214E"/>
          <w:sz w:val="32"/>
          <w:szCs w:val="32"/>
          <w:lang w:val="ro-RO"/>
        </w:rPr>
      </w:pPr>
      <w:r>
        <w:rPr>
          <w:b/>
          <w:color w:val="00214E"/>
          <w:sz w:val="32"/>
          <w:szCs w:val="32"/>
          <w:lang w:val="ro-RO"/>
        </w:rPr>
        <w:t xml:space="preserve">                 </w:t>
      </w:r>
      <w:r w:rsidRPr="00344E09">
        <w:rPr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10082"/>
      </w:tblGrid>
      <w:tr w:rsidR="00961307" w:rsidRPr="00344E09" w:rsidTr="004852A2">
        <w:trPr>
          <w:trHeight w:val="196"/>
        </w:trPr>
        <w:tc>
          <w:tcPr>
            <w:tcW w:w="10082" w:type="dxa"/>
            <w:shd w:val="clear" w:color="auto" w:fill="DAEEF3"/>
          </w:tcPr>
          <w:p w:rsidR="00961307" w:rsidRPr="00344E09" w:rsidRDefault="00961307" w:rsidP="004852A2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344E09">
              <w:rPr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Mehedinţi</w:t>
            </w:r>
          </w:p>
        </w:tc>
      </w:tr>
    </w:tbl>
    <w:p w:rsidR="00961307" w:rsidRDefault="00961307" w:rsidP="0096130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  <w:r w:rsidRPr="00344E09">
        <w:rPr>
          <w:rStyle w:val="stpar"/>
          <w:rFonts w:ascii="Arial" w:hAnsi="Arial" w:cs="Arial"/>
          <w:sz w:val="21"/>
          <w:szCs w:val="21"/>
          <w:lang w:val="ro-RO"/>
        </w:rPr>
        <w:t> </w:t>
      </w:r>
      <w:r w:rsidRPr="00344E09">
        <w:rPr>
          <w:rStyle w:val="sttpar"/>
          <w:rFonts w:ascii="Arial" w:hAnsi="Arial" w:cs="Arial"/>
          <w:sz w:val="21"/>
          <w:szCs w:val="21"/>
          <w:lang w:val="ro-RO"/>
        </w:rPr>
        <w:t>Nr. ................/AAA/………….............</w:t>
      </w:r>
      <w:r>
        <w:rPr>
          <w:rFonts w:ascii="Arial" w:hAnsi="Arial" w:cs="Arial"/>
          <w:sz w:val="21"/>
          <w:szCs w:val="21"/>
          <w:lang w:val="ro-RO"/>
        </w:rPr>
        <w:t xml:space="preserve"> </w:t>
      </w:r>
    </w:p>
    <w:p w:rsidR="00961307" w:rsidRPr="009442CB" w:rsidRDefault="00961307" w:rsidP="00961307">
      <w:pPr>
        <w:rPr>
          <w:b/>
          <w:sz w:val="24"/>
          <w:szCs w:val="24"/>
          <w:lang w:val="ro-RO"/>
        </w:rPr>
      </w:pPr>
    </w:p>
    <w:p w:rsidR="00961307" w:rsidRPr="009442CB" w:rsidRDefault="00961307" w:rsidP="0096130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nr. 32/02.08.2018</w:t>
      </w:r>
    </w:p>
    <w:p w:rsidR="00961307" w:rsidRPr="009442CB" w:rsidRDefault="00961307" w:rsidP="00961307">
      <w:pPr>
        <w:rPr>
          <w:lang w:val="ro-RO"/>
        </w:rPr>
      </w:pPr>
    </w:p>
    <w:p w:rsidR="00961307" w:rsidRPr="009442CB" w:rsidRDefault="00961307" w:rsidP="00961307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S.C. FOTON EPSILON S.A.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Bucuresti, Sector 2, str. Maria Rosetti, nr.6, etaj 3, camera 8</w:t>
      </w:r>
      <w:r w:rsidRPr="009442CB">
        <w:rPr>
          <w:sz w:val="24"/>
          <w:szCs w:val="24"/>
          <w:lang w:val="ro-RO"/>
        </w:rPr>
        <w:t>, judetul Mehedinti, inregistrata la Agentia pentru Protec</w:t>
      </w:r>
      <w:r>
        <w:rPr>
          <w:sz w:val="24"/>
          <w:szCs w:val="24"/>
          <w:lang w:val="ro-RO"/>
        </w:rPr>
        <w:t>tia Mediului Mehedinti, cu nr.8520 din 12.07.2018</w:t>
      </w:r>
      <w:r w:rsidRPr="009442CB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</w:t>
      </w:r>
      <w:r>
        <w:rPr>
          <w:sz w:val="24"/>
          <w:szCs w:val="24"/>
          <w:lang w:val="ro-RO"/>
        </w:rPr>
        <w:t>ru Protectia Mediului Mehedinti</w:t>
      </w:r>
    </w:p>
    <w:p w:rsidR="00961307" w:rsidRPr="009442CB" w:rsidRDefault="00961307" w:rsidP="00961307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DECIDE</w:t>
      </w:r>
    </w:p>
    <w:p w:rsidR="00961307" w:rsidRPr="009442CB" w:rsidRDefault="00961307" w:rsidP="0096130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Emiterea autorizatiei de mediu pentru activitatea  de </w:t>
      </w:r>
      <w:r w:rsidRPr="009442CB">
        <w:rPr>
          <w:b/>
          <w:sz w:val="24"/>
          <w:szCs w:val="24"/>
          <w:lang w:val="ro-RO"/>
        </w:rPr>
        <w:t>“</w:t>
      </w:r>
      <w:r>
        <w:rPr>
          <w:b/>
          <w:sz w:val="24"/>
          <w:szCs w:val="24"/>
          <w:lang w:val="ro-RO"/>
        </w:rPr>
        <w:t>Productia de energie electrica</w:t>
      </w:r>
      <w:r w:rsidRPr="009442CB">
        <w:rPr>
          <w:b/>
          <w:sz w:val="24"/>
          <w:szCs w:val="24"/>
          <w:lang w:val="ro-RO"/>
        </w:rPr>
        <w:t>” – COD C</w:t>
      </w:r>
      <w:r>
        <w:rPr>
          <w:b/>
          <w:sz w:val="24"/>
          <w:szCs w:val="24"/>
          <w:lang w:val="ro-RO"/>
        </w:rPr>
        <w:t>AEN 3511</w:t>
      </w:r>
      <w:r w:rsidRPr="009442CB">
        <w:rPr>
          <w:b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punctul de lucru </w:t>
      </w:r>
      <w:r>
        <w:rPr>
          <w:sz w:val="24"/>
          <w:szCs w:val="24"/>
          <w:lang w:val="ro-RO"/>
        </w:rPr>
        <w:t xml:space="preserve">Centrală Electrică Fotovoltaică - </w:t>
      </w:r>
      <w:r w:rsidRPr="009442CB">
        <w:rPr>
          <w:sz w:val="24"/>
          <w:szCs w:val="24"/>
          <w:lang w:val="ro-RO"/>
        </w:rPr>
        <w:t xml:space="preserve">din </w:t>
      </w:r>
      <w:r>
        <w:rPr>
          <w:sz w:val="24"/>
          <w:szCs w:val="24"/>
          <w:lang w:val="ro-RO"/>
        </w:rPr>
        <w:t>sat Burila Mica, comuna Gogosu, str. Principala, nr.1</w:t>
      </w:r>
      <w:r w:rsidRPr="009442CB">
        <w:rPr>
          <w:sz w:val="24"/>
          <w:szCs w:val="24"/>
          <w:lang w:val="ro-RO"/>
        </w:rPr>
        <w:t>, judetul Mehedinti.</w:t>
      </w:r>
    </w:p>
    <w:p w:rsidR="00961307" w:rsidRPr="009442CB" w:rsidRDefault="00961307" w:rsidP="00961307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urmatoarele:</w:t>
      </w:r>
    </w:p>
    <w:p w:rsidR="00961307" w:rsidRPr="009442CB" w:rsidRDefault="00961307" w:rsidP="0096130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961307" w:rsidRDefault="00961307" w:rsidP="0096130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8520/12.07.2018</w:t>
      </w:r>
      <w:r w:rsidRPr="009442CB">
        <w:rPr>
          <w:sz w:val="24"/>
          <w:szCs w:val="24"/>
          <w:lang w:val="ro-RO"/>
        </w:rPr>
        <w:t xml:space="preserve"> - la Agentia pentru Protectia Mediului Mehedinti;</w:t>
      </w:r>
    </w:p>
    <w:p w:rsidR="00961307" w:rsidRPr="009442CB" w:rsidRDefault="00961307" w:rsidP="00961307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-S-a obținut avizul custozilor ariei naturale protejate ROSPA0011 Blahnița – respectiv Asociația WWF Programul Dunăre Carpați si Societatea Ornitologică Română – înregistrat la A.P.M. Mehedinți cu nr. 9107/27.07.2018;</w:t>
      </w:r>
    </w:p>
    <w:p w:rsidR="00961307" w:rsidRPr="009442CB" w:rsidRDefault="00961307" w:rsidP="00961307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 9191/31.07.2018</w:t>
      </w:r>
      <w:r w:rsidRPr="009442CB">
        <w:rPr>
          <w:sz w:val="24"/>
          <w:szCs w:val="24"/>
          <w:lang w:val="ro-RO"/>
        </w:rPr>
        <w:t xml:space="preserve"> de verificare a conditiilor de autorizare;</w:t>
      </w:r>
    </w:p>
    <w:p w:rsidR="00961307" w:rsidRPr="009442CB" w:rsidRDefault="00961307" w:rsidP="00961307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din Se</w:t>
      </w:r>
      <w:r>
        <w:rPr>
          <w:sz w:val="24"/>
          <w:szCs w:val="24"/>
          <w:lang w:val="ro-RO"/>
        </w:rPr>
        <w:t xml:space="preserve">dinta CAT din data de </w:t>
      </w:r>
      <w:r w:rsidRPr="004B1EAC">
        <w:rPr>
          <w:sz w:val="24"/>
          <w:szCs w:val="24"/>
          <w:lang w:val="ro-RO"/>
        </w:rPr>
        <w:t>02.08.2018.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961307" w:rsidRPr="009442CB" w:rsidRDefault="00961307" w:rsidP="00961307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9442CB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961307" w:rsidRPr="009442CB" w:rsidRDefault="00961307" w:rsidP="00961307">
      <w:pPr>
        <w:jc w:val="both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961307" w:rsidRPr="009442CB" w:rsidRDefault="00961307" w:rsidP="00961307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-Prezenta decizie poate fi contestata in termen de </w:t>
      </w:r>
      <w:r>
        <w:rPr>
          <w:b/>
          <w:sz w:val="24"/>
          <w:szCs w:val="24"/>
          <w:u w:val="single"/>
          <w:lang w:val="ro-RO"/>
        </w:rPr>
        <w:t>15</w:t>
      </w:r>
      <w:r w:rsidRPr="009442CB">
        <w:rPr>
          <w:b/>
          <w:sz w:val="24"/>
          <w:szCs w:val="24"/>
          <w:u w:val="single"/>
          <w:lang w:val="ro-RO"/>
        </w:rPr>
        <w:t xml:space="preserve"> zile lucratoare</w:t>
      </w:r>
      <w:r w:rsidRPr="009442CB">
        <w:rPr>
          <w:sz w:val="24"/>
          <w:szCs w:val="24"/>
          <w:lang w:val="ro-RO"/>
        </w:rPr>
        <w:t xml:space="preserve"> </w:t>
      </w:r>
      <w:r w:rsidRPr="009442CB">
        <w:rPr>
          <w:iCs/>
          <w:sz w:val="24"/>
          <w:szCs w:val="24"/>
          <w:lang w:val="ro-RO"/>
        </w:rPr>
        <w:t>de la data afisarii, cu respectarea prevederilor Legii contenciosului administrativ nr.554/2004, cu modificarile ulterioare.</w:t>
      </w:r>
    </w:p>
    <w:p w:rsidR="00961307" w:rsidRPr="009442CB" w:rsidRDefault="00961307" w:rsidP="00961307">
      <w:pPr>
        <w:jc w:val="both"/>
        <w:rPr>
          <w:iCs/>
          <w:sz w:val="24"/>
          <w:szCs w:val="24"/>
          <w:lang w:val="ro-RO"/>
        </w:rPr>
      </w:pPr>
    </w:p>
    <w:p w:rsidR="00961307" w:rsidRPr="009442CB" w:rsidRDefault="00961307" w:rsidP="00961307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961307" w:rsidRPr="009442CB" w:rsidRDefault="00961307" w:rsidP="00961307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 </w:t>
      </w:r>
      <w:r>
        <w:rPr>
          <w:b/>
          <w:iCs/>
          <w:color w:val="191919"/>
          <w:sz w:val="24"/>
          <w:szCs w:val="24"/>
          <w:lang w:val="ro-RO"/>
        </w:rPr>
        <w:t xml:space="preserve">                           </w:t>
      </w:r>
      <w:r w:rsidRPr="009442CB">
        <w:rPr>
          <w:b/>
          <w:iCs/>
          <w:color w:val="191919"/>
          <w:sz w:val="24"/>
          <w:szCs w:val="24"/>
          <w:lang w:val="ro-RO"/>
        </w:rPr>
        <w:t>Dragos Nicolae TARNITA</w:t>
      </w:r>
    </w:p>
    <w:p w:rsidR="00961307" w:rsidRPr="009442CB" w:rsidRDefault="00961307" w:rsidP="00961307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</w:p>
    <w:p w:rsidR="00961307" w:rsidRPr="009442CB" w:rsidRDefault="00961307" w:rsidP="00961307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961307" w:rsidRPr="009442CB" w:rsidRDefault="00961307" w:rsidP="00961307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9442CB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bookmarkStart w:id="0" w:name="_GoBack"/>
      <w:bookmarkEnd w:id="0"/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  <w:t xml:space="preserve">Intocmit,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  </w:t>
      </w:r>
      <w:r w:rsidRPr="009442CB">
        <w:rPr>
          <w:b/>
          <w:bCs/>
          <w:sz w:val="24"/>
          <w:szCs w:val="24"/>
          <w:lang w:val="ro-RO"/>
        </w:rPr>
        <w:t xml:space="preserve"> Lavinia MATEESCU      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</w:t>
      </w:r>
      <w:r>
        <w:rPr>
          <w:b/>
          <w:bCs/>
          <w:sz w:val="24"/>
          <w:szCs w:val="24"/>
          <w:lang w:val="ro-RO"/>
        </w:rPr>
        <w:tab/>
        <w:t xml:space="preserve">           </w:t>
      </w:r>
      <w:r w:rsidRPr="009442CB">
        <w:rPr>
          <w:b/>
          <w:bCs/>
          <w:sz w:val="24"/>
          <w:szCs w:val="24"/>
          <w:lang w:val="ro-RO"/>
        </w:rPr>
        <w:t xml:space="preserve"> Amalia EPURAN</w:t>
      </w:r>
    </w:p>
    <w:p w:rsidR="00961307" w:rsidRPr="009442CB" w:rsidRDefault="00961307" w:rsidP="00961307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9442CB">
        <w:rPr>
          <w:noProof/>
          <w:lang w:val="ro-RO"/>
        </w:rPr>
        <w:object w:dxaOrig="9993" w:dyaOrig="1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65pt;margin-top:0;width:41.9pt;height:34.45pt;z-index:-251657216">
            <v:imagedata r:id="rId6" o:title="" grayscale="t" bilevel="t"/>
          </v:shape>
          <o:OLEObject Type="Embed" ProgID="CorelDRAW.Graphic.13" ShapeID="_x0000_s1026" DrawAspect="Content" ObjectID="_1594717858" r:id="rId7"/>
        </w:object>
      </w:r>
    </w:p>
    <w:p w:rsidR="00961307" w:rsidRPr="009442CB" w:rsidRDefault="00961307" w:rsidP="00961307">
      <w:pPr>
        <w:pStyle w:val="Header"/>
        <w:jc w:val="center"/>
        <w:rPr>
          <w:lang w:val="ro-RO"/>
        </w:rPr>
      </w:pPr>
      <w:r w:rsidRPr="009442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7145" r="1333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8A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961307" w:rsidRPr="009442CB" w:rsidRDefault="00961307" w:rsidP="00961307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961307" w:rsidRPr="009442CB" w:rsidRDefault="00961307" w:rsidP="00961307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961307" w:rsidRDefault="00961307" w:rsidP="00961307">
      <w:pPr>
        <w:pStyle w:val="Header"/>
        <w:jc w:val="center"/>
        <w:rPr>
          <w:lang w:val="ro-RO"/>
        </w:rPr>
      </w:pPr>
      <w:r w:rsidRPr="009442CB">
        <w:rPr>
          <w:lang w:val="ro-RO"/>
        </w:rPr>
        <w:t>e-mail:office@apmmh.anpm.ro</w:t>
      </w:r>
    </w:p>
    <w:p w:rsidR="00961307" w:rsidRDefault="00961307" w:rsidP="00961307">
      <w:pPr>
        <w:pStyle w:val="Header"/>
        <w:jc w:val="center"/>
        <w:rPr>
          <w:lang w:val="ro-RO"/>
        </w:rPr>
      </w:pPr>
    </w:p>
    <w:p w:rsidR="00961307" w:rsidRDefault="00961307" w:rsidP="00961307">
      <w:pPr>
        <w:pStyle w:val="Header"/>
        <w:jc w:val="center"/>
        <w:rPr>
          <w:lang w:val="ro-RO"/>
        </w:rPr>
      </w:pPr>
    </w:p>
    <w:p w:rsidR="00E42677" w:rsidRDefault="00E42677"/>
    <w:sectPr w:rsidR="00E42677" w:rsidSect="0096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6"/>
    <w:rsid w:val="00623206"/>
    <w:rsid w:val="00961307"/>
    <w:rsid w:val="00E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D49F0"/>
  <w15:chartTrackingRefBased/>
  <w15:docId w15:val="{761A7CE5-2153-4120-B72E-CF2863B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3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961307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rsid w:val="0096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07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stpar">
    <w:name w:val="st_par"/>
    <w:rsid w:val="00961307"/>
  </w:style>
  <w:style w:type="character" w:customStyle="1" w:styleId="sttpar">
    <w:name w:val="st_tpar"/>
    <w:rsid w:val="0096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2018-08-02T09:23:00Z</dcterms:created>
  <dcterms:modified xsi:type="dcterms:W3CDTF">2018-08-02T09:24:00Z</dcterms:modified>
</cp:coreProperties>
</file>