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9" w:rsidRDefault="00AC76C7" w:rsidP="000A53D9">
      <w:pPr>
        <w:autoSpaceDE w:val="0"/>
        <w:autoSpaceDN w:val="0"/>
        <w:adjustRightInd w:val="0"/>
        <w:jc w:val="both"/>
        <w:rPr>
          <w:rFonts w:ascii="Arial" w:hAnsi="Arial" w:cs="Arial"/>
          <w:b/>
          <w:color w:val="009966"/>
          <w:sz w:val="20"/>
          <w:szCs w:val="20"/>
          <w:u w:val="single"/>
          <w:lang w:val="ro-RO"/>
        </w:rPr>
      </w:pPr>
      <w:r>
        <w:rPr>
          <w:rFonts w:ascii="Arial" w:hAnsi="Arial" w:cs="Arial"/>
          <w:b/>
          <w:color w:val="009966"/>
          <w:sz w:val="20"/>
          <w:szCs w:val="20"/>
          <w:u w:val="single"/>
        </w:rPr>
        <w:t>ANUN</w:t>
      </w:r>
      <w:r>
        <w:rPr>
          <w:rFonts w:ascii="Arial" w:hAnsi="Arial" w:cs="Arial"/>
          <w:b/>
          <w:color w:val="009966"/>
          <w:sz w:val="20"/>
          <w:szCs w:val="20"/>
          <w:u w:val="single"/>
          <w:lang w:val="ro-RO"/>
        </w:rPr>
        <w:t>Ţ</w:t>
      </w:r>
      <w:r w:rsidR="004B540A">
        <w:rPr>
          <w:rFonts w:ascii="Arial" w:hAnsi="Arial" w:cs="Arial"/>
          <w:b/>
          <w:color w:val="009966"/>
          <w:sz w:val="20"/>
          <w:szCs w:val="20"/>
          <w:u w:val="single"/>
          <w:lang w:val="ro-RO"/>
        </w:rPr>
        <w:t xml:space="preserve"> </w:t>
      </w:r>
      <w:r w:rsidR="00E444FB">
        <w:rPr>
          <w:rFonts w:ascii="Arial" w:hAnsi="Arial" w:cs="Arial"/>
          <w:b/>
          <w:color w:val="009966"/>
          <w:sz w:val="20"/>
          <w:szCs w:val="20"/>
          <w:u w:val="single"/>
          <w:lang w:val="ro-RO"/>
        </w:rPr>
        <w:t>15</w:t>
      </w:r>
      <w:r>
        <w:rPr>
          <w:rFonts w:ascii="Arial" w:hAnsi="Arial" w:cs="Arial"/>
          <w:b/>
          <w:color w:val="009966"/>
          <w:sz w:val="20"/>
          <w:szCs w:val="20"/>
          <w:u w:val="single"/>
          <w:lang w:val="ro-RO"/>
        </w:rPr>
        <w:t>.</w:t>
      </w:r>
      <w:r w:rsidR="005B316A">
        <w:rPr>
          <w:rFonts w:ascii="Arial" w:hAnsi="Arial" w:cs="Arial"/>
          <w:b/>
          <w:color w:val="009966"/>
          <w:sz w:val="20"/>
          <w:szCs w:val="20"/>
          <w:u w:val="single"/>
          <w:lang w:val="ro-RO"/>
        </w:rPr>
        <w:t>02</w:t>
      </w:r>
      <w:r>
        <w:rPr>
          <w:rFonts w:ascii="Arial" w:hAnsi="Arial" w:cs="Arial"/>
          <w:b/>
          <w:color w:val="009966"/>
          <w:sz w:val="20"/>
          <w:szCs w:val="20"/>
          <w:u w:val="single"/>
          <w:lang w:val="ro-RO"/>
        </w:rPr>
        <w:t>.201</w:t>
      </w:r>
      <w:r w:rsidR="005B316A">
        <w:rPr>
          <w:rFonts w:ascii="Arial" w:hAnsi="Arial" w:cs="Arial"/>
          <w:b/>
          <w:color w:val="009966"/>
          <w:sz w:val="20"/>
          <w:szCs w:val="20"/>
          <w:u w:val="single"/>
          <w:lang w:val="ro-RO"/>
        </w:rPr>
        <w:t>7</w:t>
      </w:r>
    </w:p>
    <w:p w:rsidR="00854B18" w:rsidRDefault="00854B18" w:rsidP="000A53D9">
      <w:pPr>
        <w:autoSpaceDE w:val="0"/>
        <w:autoSpaceDN w:val="0"/>
        <w:adjustRightInd w:val="0"/>
        <w:jc w:val="both"/>
        <w:rPr>
          <w:rFonts w:ascii="Arial" w:hAnsi="Arial" w:cs="Arial"/>
          <w:b/>
          <w:color w:val="009966"/>
          <w:sz w:val="20"/>
          <w:szCs w:val="20"/>
          <w:u w:val="single"/>
          <w:lang w:val="ro-RO"/>
        </w:rPr>
      </w:pPr>
    </w:p>
    <w:p w:rsidR="00854B18" w:rsidRPr="00854B18" w:rsidRDefault="00375E70" w:rsidP="00854B18">
      <w:pPr>
        <w:jc w:val="both"/>
        <w:rPr>
          <w:rFonts w:ascii="Arial" w:hAnsi="Arial" w:cs="Arial"/>
          <w:color w:val="000000"/>
          <w:sz w:val="20"/>
          <w:szCs w:val="20"/>
        </w:rPr>
      </w:pPr>
      <w:r>
        <w:rPr>
          <w:rFonts w:ascii="Arial" w:hAnsi="Arial" w:cs="Arial"/>
          <w:color w:val="000000"/>
          <w:sz w:val="20"/>
          <w:szCs w:val="20"/>
        </w:rPr>
        <w:t xml:space="preserve">  </w:t>
      </w:r>
      <w:r w:rsidR="00854B18">
        <w:rPr>
          <w:rFonts w:ascii="Arial" w:hAnsi="Arial" w:cs="Arial"/>
          <w:color w:val="000000"/>
          <w:sz w:val="20"/>
          <w:szCs w:val="20"/>
        </w:rPr>
        <w:t xml:space="preserve">          </w:t>
      </w:r>
      <w:r>
        <w:rPr>
          <w:rFonts w:ascii="Arial" w:hAnsi="Arial" w:cs="Arial"/>
          <w:color w:val="000000"/>
          <w:sz w:val="20"/>
          <w:szCs w:val="20"/>
        </w:rPr>
        <w:t xml:space="preserve"> </w:t>
      </w:r>
      <w:r w:rsidR="005B316A">
        <w:rPr>
          <w:rFonts w:ascii="Arial" w:hAnsi="Arial" w:cs="Arial"/>
          <w:color w:val="000000"/>
          <w:sz w:val="20"/>
          <w:szCs w:val="20"/>
        </w:rPr>
        <w:t>Agenția pentru Protecția Mediului Neamț</w:t>
      </w:r>
      <w:r w:rsidR="00854B18" w:rsidRPr="00854B18">
        <w:rPr>
          <w:rFonts w:ascii="Arial" w:hAnsi="Arial" w:cs="Arial"/>
          <w:color w:val="000000"/>
          <w:sz w:val="20"/>
          <w:szCs w:val="20"/>
        </w:rPr>
        <w:t xml:space="preserve">, </w:t>
      </w:r>
      <w:r w:rsidR="005B316A">
        <w:rPr>
          <w:rFonts w:ascii="Arial" w:hAnsi="Arial" w:cs="Arial"/>
          <w:color w:val="000000"/>
          <w:sz w:val="20"/>
          <w:szCs w:val="20"/>
        </w:rPr>
        <w:t xml:space="preserve">anunță publicul interest asupra luării deciziei etapei de încadrare, </w:t>
      </w:r>
      <w:r w:rsidR="00854B18" w:rsidRPr="00854B18">
        <w:rPr>
          <w:rFonts w:ascii="Arial" w:hAnsi="Arial" w:cs="Arial"/>
          <w:color w:val="000000"/>
          <w:sz w:val="20"/>
          <w:szCs w:val="20"/>
        </w:rPr>
        <w:t>în cadrul proceduri</w:t>
      </w:r>
      <w:r w:rsidR="005B316A">
        <w:rPr>
          <w:rFonts w:ascii="Arial" w:hAnsi="Arial" w:cs="Arial"/>
          <w:color w:val="000000"/>
          <w:sz w:val="20"/>
          <w:szCs w:val="20"/>
        </w:rPr>
        <w:t>i</w:t>
      </w:r>
      <w:r w:rsidR="00854B18" w:rsidRPr="00854B18">
        <w:rPr>
          <w:rFonts w:ascii="Arial" w:hAnsi="Arial" w:cs="Arial"/>
          <w:color w:val="000000"/>
          <w:sz w:val="20"/>
          <w:szCs w:val="20"/>
        </w:rPr>
        <w:t xml:space="preserve"> de evaluare a impactului asupra mediului </w:t>
      </w:r>
      <w:proofErr w:type="gramStart"/>
      <w:r w:rsidR="00854B18" w:rsidRPr="00854B18">
        <w:rPr>
          <w:rFonts w:ascii="Arial" w:hAnsi="Arial" w:cs="Arial"/>
          <w:color w:val="000000"/>
          <w:sz w:val="20"/>
          <w:szCs w:val="20"/>
        </w:rPr>
        <w:t xml:space="preserve">( </w:t>
      </w:r>
      <w:r w:rsidR="005B316A">
        <w:rPr>
          <w:rFonts w:ascii="Arial" w:hAnsi="Arial" w:cs="Arial"/>
          <w:color w:val="000000"/>
          <w:sz w:val="20"/>
          <w:szCs w:val="20"/>
        </w:rPr>
        <w:t>nu</w:t>
      </w:r>
      <w:proofErr w:type="gramEnd"/>
      <w:r w:rsidR="005B316A">
        <w:rPr>
          <w:rFonts w:ascii="Arial" w:hAnsi="Arial" w:cs="Arial"/>
          <w:color w:val="000000"/>
          <w:sz w:val="20"/>
          <w:szCs w:val="20"/>
        </w:rPr>
        <w:t xml:space="preserve"> </w:t>
      </w:r>
      <w:r w:rsidR="00854B18" w:rsidRPr="00854B18">
        <w:rPr>
          <w:rFonts w:ascii="Arial" w:hAnsi="Arial" w:cs="Arial"/>
          <w:color w:val="000000"/>
          <w:sz w:val="20"/>
          <w:szCs w:val="20"/>
        </w:rPr>
        <w:t>se supune evaluării impactului), pentru proiectul “Ex</w:t>
      </w:r>
      <w:r w:rsidR="005B316A">
        <w:rPr>
          <w:rFonts w:ascii="Arial" w:hAnsi="Arial" w:cs="Arial"/>
          <w:color w:val="000000"/>
          <w:sz w:val="20"/>
          <w:szCs w:val="20"/>
        </w:rPr>
        <w:t>tindere rețea alimentare cu apă și rețea de canalizare în localitățile Secuieni și Secuienii Noi, comuna Secuieni, județul Neamț</w:t>
      </w:r>
      <w:r w:rsidR="00854B18" w:rsidRPr="00854B18">
        <w:rPr>
          <w:rFonts w:ascii="Arial" w:hAnsi="Arial" w:cs="Arial"/>
          <w:color w:val="000000"/>
          <w:sz w:val="20"/>
          <w:szCs w:val="20"/>
        </w:rPr>
        <w:t xml:space="preserve">” propus a fi amplasat în comuna </w:t>
      </w:r>
      <w:r w:rsidR="005B316A">
        <w:rPr>
          <w:rFonts w:ascii="Arial" w:hAnsi="Arial" w:cs="Arial"/>
          <w:color w:val="000000"/>
          <w:sz w:val="20"/>
          <w:szCs w:val="20"/>
        </w:rPr>
        <w:t>Secuieni</w:t>
      </w:r>
      <w:r w:rsidR="00854B18" w:rsidRPr="00854B18">
        <w:rPr>
          <w:rFonts w:ascii="Arial" w:hAnsi="Arial" w:cs="Arial"/>
          <w:color w:val="000000"/>
          <w:sz w:val="20"/>
          <w:szCs w:val="20"/>
        </w:rPr>
        <w:t>, extravilan</w:t>
      </w:r>
      <w:r w:rsidR="005B316A">
        <w:rPr>
          <w:rFonts w:ascii="Arial" w:hAnsi="Arial" w:cs="Arial"/>
          <w:color w:val="000000"/>
          <w:sz w:val="20"/>
          <w:szCs w:val="20"/>
        </w:rPr>
        <w:t xml:space="preserve"> și intravilan satele Secuieni și Secuienii Noi, titular COMUNA SECUIENI.</w:t>
      </w:r>
      <w:r w:rsidR="00854B18" w:rsidRPr="00854B18">
        <w:rPr>
          <w:rFonts w:ascii="Arial" w:hAnsi="Arial" w:cs="Arial"/>
          <w:color w:val="000000"/>
          <w:sz w:val="20"/>
          <w:szCs w:val="20"/>
        </w:rPr>
        <w:t xml:space="preserve"> </w:t>
      </w:r>
    </w:p>
    <w:p w:rsidR="00854B18" w:rsidRPr="00854B18" w:rsidRDefault="00854B18" w:rsidP="00854B18">
      <w:pPr>
        <w:jc w:val="both"/>
        <w:rPr>
          <w:rFonts w:ascii="Arial" w:hAnsi="Arial" w:cs="Arial"/>
          <w:color w:val="000000"/>
          <w:sz w:val="20"/>
          <w:szCs w:val="20"/>
        </w:rPr>
      </w:pPr>
      <w:r w:rsidRPr="00854B18">
        <w:rPr>
          <w:rFonts w:ascii="Arial" w:hAnsi="Arial" w:cs="Arial"/>
          <w:color w:val="000000"/>
          <w:sz w:val="20"/>
          <w:szCs w:val="20"/>
        </w:rPr>
        <w:t>              Proiectul deciziei de încadrare şi motivele care o fundamentează</w:t>
      </w:r>
      <w:r w:rsidR="005B316A">
        <w:rPr>
          <w:rFonts w:ascii="Arial" w:hAnsi="Arial" w:cs="Arial"/>
          <w:color w:val="000000"/>
          <w:sz w:val="20"/>
          <w:szCs w:val="20"/>
        </w:rPr>
        <w:t xml:space="preserve"> </w:t>
      </w:r>
      <w:r w:rsidRPr="00854B18">
        <w:rPr>
          <w:rFonts w:ascii="Arial" w:hAnsi="Arial" w:cs="Arial"/>
          <w:color w:val="000000"/>
          <w:sz w:val="20"/>
          <w:szCs w:val="20"/>
        </w:rPr>
        <w:t>pot fi consultate la sediul A.P.M. Neamţ din Piatra Neamţ, Piaţa 22 Decembrie, nr.5, în zilele de luni - joi, între orele 8 – 16</w:t>
      </w:r>
      <w:r w:rsidR="005B316A">
        <w:rPr>
          <w:rFonts w:ascii="Arial" w:hAnsi="Arial" w:cs="Arial"/>
          <w:color w:val="000000"/>
          <w:sz w:val="20"/>
          <w:szCs w:val="20"/>
          <w:vertAlign w:val="superscript"/>
        </w:rPr>
        <w:t>30</w:t>
      </w:r>
      <w:r w:rsidRPr="00854B18">
        <w:rPr>
          <w:rFonts w:ascii="Arial" w:hAnsi="Arial" w:cs="Arial"/>
          <w:color w:val="000000"/>
          <w:sz w:val="20"/>
          <w:szCs w:val="20"/>
        </w:rPr>
        <w:t>, şi vineri între orele 8 – 14, precum şi la următoarea adresă de internet: http://www.apmnt.anpm.ro.</w:t>
      </w:r>
    </w:p>
    <w:p w:rsidR="00F53DB7" w:rsidRDefault="00854B18" w:rsidP="00AA2420">
      <w:pPr>
        <w:jc w:val="both"/>
        <w:rPr>
          <w:rFonts w:ascii="Arial" w:hAnsi="Arial" w:cs="Arial"/>
          <w:color w:val="000000"/>
          <w:sz w:val="20"/>
          <w:szCs w:val="20"/>
        </w:rPr>
      </w:pPr>
      <w:r w:rsidRPr="00854B18">
        <w:rPr>
          <w:rFonts w:ascii="Arial" w:hAnsi="Arial" w:cs="Arial"/>
          <w:color w:val="000000"/>
          <w:sz w:val="20"/>
          <w:szCs w:val="20"/>
        </w:rPr>
        <w:t xml:space="preserve">              </w:t>
      </w:r>
      <w:proofErr w:type="gramStart"/>
      <w:r w:rsidRPr="00854B18">
        <w:rPr>
          <w:rFonts w:ascii="Arial" w:hAnsi="Arial" w:cs="Arial"/>
          <w:color w:val="000000"/>
          <w:sz w:val="20"/>
          <w:szCs w:val="20"/>
        </w:rPr>
        <w:t>Publicul interesat poate înainta comentarii /observaţii la proiectul deciziei de încadrare în termen de 8 zile de la data publicării prezentului anunţ.</w:t>
      </w:r>
      <w:proofErr w:type="gramEnd"/>
      <w:r w:rsidRPr="00854B18">
        <w:rPr>
          <w:rFonts w:ascii="Arial" w:hAnsi="Arial" w:cs="Arial"/>
          <w:color w:val="000000"/>
          <w:sz w:val="20"/>
          <w:szCs w:val="20"/>
        </w:rPr>
        <w:t xml:space="preserve">  </w:t>
      </w:r>
      <w:r w:rsidR="00375E70">
        <w:rPr>
          <w:rFonts w:ascii="Arial" w:hAnsi="Arial" w:cs="Arial"/>
          <w:color w:val="000000"/>
          <w:sz w:val="20"/>
          <w:szCs w:val="20"/>
        </w:rPr>
        <w:t xml:space="preserve">    </w:t>
      </w:r>
    </w:p>
    <w:p w:rsidR="00854B18" w:rsidRPr="00B401E6" w:rsidRDefault="00854B18" w:rsidP="00AA2420">
      <w:pPr>
        <w:jc w:val="both"/>
        <w:rPr>
          <w:rFonts w:ascii="Arial" w:hAnsi="Arial" w:cs="Arial"/>
          <w:color w:val="000000"/>
          <w:sz w:val="20"/>
          <w:szCs w:val="20"/>
        </w:rPr>
      </w:pPr>
    </w:p>
    <w:p w:rsidR="00E444FB" w:rsidRDefault="00375E70" w:rsidP="00854B18">
      <w:pPr>
        <w:jc w:val="both"/>
        <w:rPr>
          <w:color w:val="000000"/>
          <w:sz w:val="28"/>
          <w:szCs w:val="28"/>
        </w:rPr>
      </w:pPr>
      <w:r>
        <w:rPr>
          <w:rFonts w:ascii="Arial" w:hAnsi="Arial" w:cs="Arial"/>
          <w:color w:val="000000"/>
          <w:sz w:val="20"/>
          <w:szCs w:val="20"/>
        </w:rPr>
        <w:t xml:space="preserve">   </w:t>
      </w:r>
      <w:r w:rsidR="00F53DB7">
        <w:rPr>
          <w:rFonts w:ascii="Arial" w:hAnsi="Arial" w:cs="Arial"/>
          <w:color w:val="000000"/>
          <w:sz w:val="20"/>
          <w:szCs w:val="20"/>
        </w:rPr>
        <w:t xml:space="preserve">     </w:t>
      </w:r>
    </w:p>
    <w:p w:rsidR="00841EC9"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Default="00F86F4B" w:rsidP="00841EC9">
      <w:pPr>
        <w:jc w:val="both"/>
        <w:rPr>
          <w:rFonts w:ascii="Arial" w:hAnsi="Arial" w:cs="Arial"/>
          <w:color w:val="009966"/>
          <w:sz w:val="20"/>
          <w:szCs w:val="20"/>
        </w:rPr>
      </w:pPr>
      <w:r>
        <w:rPr>
          <w:rFonts w:ascii="Arial" w:hAnsi="Arial" w:cs="Arial"/>
          <w:color w:val="009966"/>
          <w:sz w:val="20"/>
          <w:szCs w:val="20"/>
        </w:rPr>
        <w:t> </w:t>
      </w:r>
    </w:p>
    <w:p w:rsidR="00841EC9" w:rsidRPr="00841EC9" w:rsidRDefault="00841EC9" w:rsidP="00841EC9">
      <w:pPr>
        <w:jc w:val="both"/>
        <w:rPr>
          <w:rFonts w:ascii="Arial" w:hAnsi="Arial" w:cs="Arial"/>
          <w:sz w:val="20"/>
          <w:szCs w:val="20"/>
        </w:rPr>
      </w:pPr>
      <w:r w:rsidRPr="00841EC9">
        <w:rPr>
          <w:rFonts w:ascii="Arial" w:hAnsi="Arial" w:cs="Arial"/>
          <w:color w:val="009966"/>
          <w:sz w:val="20"/>
          <w:szCs w:val="20"/>
        </w:rPr>
        <w:t xml:space="preserve">              </w:t>
      </w:r>
      <w:r w:rsidRPr="00841EC9">
        <w:rPr>
          <w:rFonts w:ascii="Arial" w:hAnsi="Arial" w:cs="Arial"/>
          <w:sz w:val="20"/>
          <w:szCs w:val="20"/>
        </w:rPr>
        <w:t xml:space="preserve">Ca urmare a solicitării de emitere a acordului de mediu adresate </w:t>
      </w:r>
      <w:proofErr w:type="gramStart"/>
      <w:r w:rsidRPr="00841EC9">
        <w:rPr>
          <w:rFonts w:ascii="Arial" w:hAnsi="Arial" w:cs="Arial"/>
          <w:sz w:val="20"/>
          <w:szCs w:val="20"/>
        </w:rPr>
        <w:t xml:space="preserve">de  </w:t>
      </w:r>
      <w:r w:rsidRPr="00841EC9">
        <w:rPr>
          <w:rFonts w:ascii="Arial" w:hAnsi="Arial" w:cs="Arial"/>
          <w:b/>
          <w:sz w:val="20"/>
          <w:szCs w:val="20"/>
        </w:rPr>
        <w:t>COMUNA</w:t>
      </w:r>
      <w:proofErr w:type="gramEnd"/>
      <w:r w:rsidRPr="00841EC9">
        <w:rPr>
          <w:rFonts w:ascii="Arial" w:hAnsi="Arial" w:cs="Arial"/>
          <w:b/>
          <w:sz w:val="20"/>
          <w:szCs w:val="20"/>
        </w:rPr>
        <w:t xml:space="preserve"> SECUIENI</w:t>
      </w:r>
      <w:r w:rsidRPr="00841EC9">
        <w:rPr>
          <w:rFonts w:ascii="Arial" w:hAnsi="Arial" w:cs="Arial"/>
          <w:sz w:val="20"/>
          <w:szCs w:val="20"/>
        </w:rPr>
        <w:t xml:space="preserve">, cu sediul în judeţul Neamț, înregistrată la A.P.M. Neamţ cu nr. 6984 din 04.11.2015, și ale completărilor ulterioare înregistrate sub nr. 1012 din 14.02.2017, în baza Hotărârii Guvernului nr. 445/ 2009 privind evaluarea impactului anumitor proiecte publice şi private asupra mediului şi </w:t>
      </w:r>
      <w:proofErr w:type="gramStart"/>
      <w:r w:rsidRPr="00841EC9">
        <w:rPr>
          <w:rFonts w:ascii="Arial" w:hAnsi="Arial" w:cs="Arial"/>
          <w:sz w:val="20"/>
          <w:szCs w:val="20"/>
        </w:rPr>
        <w:t>a</w:t>
      </w:r>
      <w:proofErr w:type="gramEnd"/>
      <w:r w:rsidRPr="00841EC9">
        <w:rPr>
          <w:rFonts w:ascii="Arial" w:hAnsi="Arial" w:cs="Arial"/>
          <w:sz w:val="20"/>
          <w:szCs w:val="20"/>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12.11.2015, că proiectul </w:t>
      </w:r>
      <w:r w:rsidRPr="00841EC9">
        <w:rPr>
          <w:rFonts w:ascii="Arial" w:hAnsi="Arial" w:cs="Arial"/>
          <w:b/>
          <w:sz w:val="20"/>
          <w:szCs w:val="20"/>
        </w:rPr>
        <w:t>”Extindere rețea alimentare cu apă și rețea de canalizare în localitățile Secuieni și Secuienii Noi, comuna Secuieni, județul Neamț”</w:t>
      </w:r>
      <w:r w:rsidRPr="00841EC9">
        <w:rPr>
          <w:rFonts w:ascii="Arial" w:hAnsi="Arial" w:cs="Arial"/>
          <w:sz w:val="20"/>
          <w:szCs w:val="20"/>
        </w:rPr>
        <w:t xml:space="preserve"> propus a fi amplasat în comuna Secuieni, extravilan și intravilan satele  Secuieni și Secuienii Noi, </w:t>
      </w:r>
      <w:r w:rsidRPr="00841EC9">
        <w:rPr>
          <w:rFonts w:ascii="Arial" w:hAnsi="Arial" w:cs="Arial"/>
          <w:b/>
          <w:sz w:val="20"/>
          <w:szCs w:val="20"/>
        </w:rPr>
        <w:t>nu se supune evaluării impactului asupra mediului şi nu se supune evaluării adecvate</w:t>
      </w:r>
      <w:r w:rsidRPr="00841EC9">
        <w:rPr>
          <w:rFonts w:ascii="Arial" w:hAnsi="Arial" w:cs="Arial"/>
          <w:sz w:val="20"/>
          <w:szCs w:val="20"/>
        </w:rPr>
        <w: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Justificarea prezentei decizii:</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I. Motivele care au stat la baza luării deciziei etapei de încadrare în procedura de evaluare </w:t>
      </w:r>
      <w:proofErr w:type="gramStart"/>
      <w:r w:rsidRPr="00841EC9">
        <w:rPr>
          <w:rFonts w:ascii="Arial" w:hAnsi="Arial" w:cs="Arial"/>
          <w:sz w:val="20"/>
          <w:szCs w:val="20"/>
        </w:rPr>
        <w:t>a</w:t>
      </w:r>
      <w:proofErr w:type="gramEnd"/>
      <w:r w:rsidRPr="00841EC9">
        <w:rPr>
          <w:rFonts w:ascii="Arial" w:hAnsi="Arial" w:cs="Arial"/>
          <w:sz w:val="20"/>
          <w:szCs w:val="20"/>
        </w:rPr>
        <w:t xml:space="preserve"> impactului asupra mediului sunt următoarele: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a) </w:t>
      </w:r>
      <w:proofErr w:type="gramStart"/>
      <w:r w:rsidRPr="00841EC9">
        <w:rPr>
          <w:rFonts w:ascii="Arial" w:hAnsi="Arial" w:cs="Arial"/>
          <w:sz w:val="20"/>
          <w:szCs w:val="20"/>
        </w:rPr>
        <w:t>proiectul</w:t>
      </w:r>
      <w:proofErr w:type="gramEnd"/>
      <w:r w:rsidRPr="00841EC9">
        <w:rPr>
          <w:rFonts w:ascii="Arial" w:hAnsi="Arial" w:cs="Arial"/>
          <w:sz w:val="20"/>
          <w:szCs w:val="20"/>
        </w:rPr>
        <w:t xml:space="preserve"> intră sub incidenţa Hotărârii Guvernului nr. </w:t>
      </w:r>
      <w:proofErr w:type="gramStart"/>
      <w:r w:rsidRPr="00841EC9">
        <w:rPr>
          <w:rFonts w:ascii="Arial" w:hAnsi="Arial" w:cs="Arial"/>
          <w:sz w:val="20"/>
          <w:szCs w:val="20"/>
        </w:rPr>
        <w:t>445/ 2009 privind evaluarea impactului anumitor proiecte publice şi private asupra mediului, fiind încadrat în Anexa nr.</w:t>
      </w:r>
      <w:proofErr w:type="gramEnd"/>
      <w:r w:rsidRPr="00841EC9">
        <w:rPr>
          <w:rFonts w:ascii="Arial" w:hAnsi="Arial" w:cs="Arial"/>
          <w:sz w:val="20"/>
          <w:szCs w:val="20"/>
        </w:rPr>
        <w:t xml:space="preserve"> </w:t>
      </w:r>
      <w:proofErr w:type="gramStart"/>
      <w:r w:rsidRPr="00841EC9">
        <w:rPr>
          <w:rFonts w:ascii="Arial" w:hAnsi="Arial" w:cs="Arial"/>
          <w:sz w:val="20"/>
          <w:szCs w:val="20"/>
        </w:rPr>
        <w:t>2 – „Lista proiectelor pentru care trebuie stabilită necesitatea efectuării evaluării impactului asupra mediului” – pct. 10, lit.b) “proiecte de dezvoltare urbană, inclusiv construcția centrelor comerciale și a parcărilor auto”.</w:t>
      </w:r>
      <w:proofErr w:type="gramEnd"/>
      <w:r w:rsidRPr="00841EC9">
        <w:rPr>
          <w:rFonts w:ascii="Arial" w:hAnsi="Arial" w:cs="Arial"/>
          <w:sz w:val="20"/>
          <w:szCs w:val="20"/>
        </w:rPr>
        <w:t xml:space="preserve"> </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b) </w:t>
      </w:r>
      <w:proofErr w:type="gramStart"/>
      <w:r w:rsidRPr="00841EC9">
        <w:rPr>
          <w:rFonts w:ascii="Arial" w:hAnsi="Arial" w:cs="Arial"/>
          <w:sz w:val="20"/>
          <w:szCs w:val="20"/>
        </w:rPr>
        <w:t>caracteristicile</w:t>
      </w:r>
      <w:proofErr w:type="gramEnd"/>
      <w:r w:rsidRPr="00841EC9">
        <w:rPr>
          <w:rFonts w:ascii="Arial" w:hAnsi="Arial" w:cs="Arial"/>
          <w:sz w:val="20"/>
          <w:szCs w:val="20"/>
        </w:rPr>
        <w:t xml:space="preserve"> proiectului:</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mărimea proiectului – proiect de dimensiuni mici – extindere rețea de alimentare cu apă cu conducte PEHD D=110 ÷ 125 mm, Ltot=5959 m; subtraversare pârâu Valea Neagră prin foraj orizontal; subtraversare dig de pământ în zona podului pe DN2 prin foraj orizontal; 90 cămine vane de aerisire /golire; 30 hidranți subterani cu D=80 mm; 110 cămine branșament; extindere rețea de canalizare cu conducte PVC D=250 ÷ 315 mm, L=5734 m (gravitațional) și conducte PVC D=75 ÷ 125 mm (sub presiune); subtraversare pârâu Valea Neagră prin foraj orizontal; subtraversare dig de </w:t>
      </w:r>
    </w:p>
    <w:p w:rsidR="00841EC9" w:rsidRPr="00841EC9" w:rsidRDefault="00841EC9" w:rsidP="00841EC9">
      <w:pPr>
        <w:jc w:val="both"/>
        <w:rPr>
          <w:rFonts w:ascii="Arial" w:hAnsi="Arial" w:cs="Arial"/>
          <w:sz w:val="20"/>
          <w:szCs w:val="20"/>
        </w:rPr>
      </w:pPr>
      <w:proofErr w:type="gramStart"/>
      <w:r w:rsidRPr="00841EC9">
        <w:rPr>
          <w:rFonts w:ascii="Arial" w:hAnsi="Arial" w:cs="Arial"/>
          <w:sz w:val="20"/>
          <w:szCs w:val="20"/>
        </w:rPr>
        <w:t>pământ</w:t>
      </w:r>
      <w:proofErr w:type="gramEnd"/>
      <w:r w:rsidRPr="00841EC9">
        <w:rPr>
          <w:rFonts w:ascii="Arial" w:hAnsi="Arial" w:cs="Arial"/>
          <w:sz w:val="20"/>
          <w:szCs w:val="20"/>
        </w:rPr>
        <w:t xml:space="preserve"> în zona podului pe DN2 prin foraj orizontal;   138 cămine de vizitare pe rețeaua de canalizare gravitațională și 83 cămine de ramificație /aerisire /golire; 3 stații de pompare ape uzate pe rețeaua de canalizare sub presiune; 110 cămine branșament;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cumularea cu alte proiecte: sistem existent – captare apă din subteran dimensionată pentru Qzimax=8</w:t>
      </w:r>
      <w:proofErr w:type="gramStart"/>
      <w:r w:rsidRPr="00841EC9">
        <w:rPr>
          <w:rFonts w:ascii="Arial" w:hAnsi="Arial" w:cs="Arial"/>
          <w:sz w:val="20"/>
          <w:szCs w:val="20"/>
        </w:rPr>
        <w:t>,8</w:t>
      </w:r>
      <w:proofErr w:type="gramEnd"/>
      <w:r w:rsidRPr="00841EC9">
        <w:rPr>
          <w:rFonts w:ascii="Arial" w:hAnsi="Arial" w:cs="Arial"/>
          <w:sz w:val="20"/>
          <w:szCs w:val="20"/>
        </w:rPr>
        <w:t xml:space="preserve"> l /s (în prezent Qzimax=2,14 l /s); rezervor înmagazinare cu V=100 mc; stație de ridicare a presiunii în rețea echipată cu rezervor tampon V=12 mc și grup de pompare; rețea de distribuție apă L=5520 m; rețea de canalizare L=5200 m; stație de epurare ape uzate;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utilizarea</w:t>
      </w:r>
      <w:proofErr w:type="gramEnd"/>
      <w:r w:rsidRPr="00841EC9">
        <w:rPr>
          <w:rFonts w:ascii="Arial" w:hAnsi="Arial" w:cs="Arial"/>
          <w:sz w:val="20"/>
          <w:szCs w:val="20"/>
        </w:rPr>
        <w:t xml:space="preserve"> resurselor naturale: alimentare cu apă din pânza freatică;</w:t>
      </w:r>
    </w:p>
    <w:p w:rsidR="00841EC9" w:rsidRPr="00841EC9" w:rsidRDefault="00841EC9" w:rsidP="00841EC9">
      <w:pPr>
        <w:jc w:val="both"/>
        <w:rPr>
          <w:rFonts w:ascii="Arial" w:hAnsi="Arial" w:cs="Arial"/>
          <w:sz w:val="20"/>
          <w:szCs w:val="20"/>
        </w:rPr>
      </w:pPr>
      <w:r w:rsidRPr="00841EC9">
        <w:rPr>
          <w:rFonts w:ascii="Arial" w:hAnsi="Arial" w:cs="Arial"/>
          <w:sz w:val="20"/>
          <w:szCs w:val="20"/>
        </w:rPr>
        <w:lastRenderedPageBreak/>
        <w:t xml:space="preserve">                     - </w:t>
      </w:r>
      <w:proofErr w:type="gramStart"/>
      <w:r w:rsidRPr="00841EC9">
        <w:rPr>
          <w:rFonts w:ascii="Arial" w:hAnsi="Arial" w:cs="Arial"/>
          <w:sz w:val="20"/>
          <w:szCs w:val="20"/>
        </w:rPr>
        <w:t>producţia</w:t>
      </w:r>
      <w:proofErr w:type="gramEnd"/>
      <w:r w:rsidRPr="00841EC9">
        <w:rPr>
          <w:rFonts w:ascii="Arial" w:hAnsi="Arial" w:cs="Arial"/>
          <w:sz w:val="20"/>
          <w:szCs w:val="20"/>
        </w:rPr>
        <w:t xml:space="preserve"> de deşeuri: nu rezultă;</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emisiile</w:t>
      </w:r>
      <w:proofErr w:type="gramEnd"/>
      <w:r w:rsidRPr="00841EC9">
        <w:rPr>
          <w:rFonts w:ascii="Arial" w:hAnsi="Arial" w:cs="Arial"/>
          <w:sz w:val="20"/>
          <w:szCs w:val="20"/>
        </w:rPr>
        <w:t xml:space="preserve"> poluante, inclusiv zgomotul şi alte surse de disconfort: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surse</w:t>
      </w:r>
      <w:proofErr w:type="gramEnd"/>
      <w:r w:rsidRPr="00841EC9">
        <w:rPr>
          <w:rFonts w:ascii="Arial" w:hAnsi="Arial" w:cs="Arial"/>
          <w:sz w:val="20"/>
          <w:szCs w:val="20"/>
        </w:rPr>
        <w:t xml:space="preserve"> de poluare în perioada de execuţie: de la mijloa-</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w:t>
      </w:r>
      <w:proofErr w:type="gramStart"/>
      <w:r w:rsidRPr="00841EC9">
        <w:rPr>
          <w:rFonts w:ascii="Arial" w:hAnsi="Arial" w:cs="Arial"/>
          <w:sz w:val="20"/>
          <w:szCs w:val="20"/>
        </w:rPr>
        <w:t>cele</w:t>
      </w:r>
      <w:proofErr w:type="gramEnd"/>
      <w:r w:rsidRPr="00841EC9">
        <w:rPr>
          <w:rFonts w:ascii="Arial" w:hAnsi="Arial" w:cs="Arial"/>
          <w:sz w:val="20"/>
          <w:szCs w:val="20"/>
        </w:rPr>
        <w:t xml:space="preserve"> de transport şi utilaje folosite;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surse</w:t>
      </w:r>
      <w:proofErr w:type="gramEnd"/>
      <w:r w:rsidRPr="00841EC9">
        <w:rPr>
          <w:rFonts w:ascii="Arial" w:hAnsi="Arial" w:cs="Arial"/>
          <w:sz w:val="20"/>
          <w:szCs w:val="20"/>
        </w:rPr>
        <w:t xml:space="preserve"> de poluare în perioada de funcţionare: nu este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w:t>
      </w:r>
      <w:proofErr w:type="gramStart"/>
      <w:r w:rsidRPr="00841EC9">
        <w:rPr>
          <w:rFonts w:ascii="Arial" w:hAnsi="Arial" w:cs="Arial"/>
          <w:sz w:val="20"/>
          <w:szCs w:val="20"/>
        </w:rPr>
        <w:t>cazul</w:t>
      </w:r>
      <w:proofErr w:type="gramEnd"/>
      <w:r w:rsidRPr="00841EC9">
        <w:rPr>
          <w:rFonts w:ascii="Arial" w:hAnsi="Arial" w:cs="Arial"/>
          <w:sz w:val="20"/>
          <w:szCs w:val="20"/>
        </w:rPr>
        <w: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riscul</w:t>
      </w:r>
      <w:proofErr w:type="gramEnd"/>
      <w:r w:rsidRPr="00841EC9">
        <w:rPr>
          <w:rFonts w:ascii="Arial" w:hAnsi="Arial" w:cs="Arial"/>
          <w:sz w:val="20"/>
          <w:szCs w:val="20"/>
        </w:rPr>
        <w:t xml:space="preserve"> de accident, ţinându – se seama în special de substanţele şi de tehnologiile utilizate – nu este cazul;          </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utilizarea</w:t>
      </w:r>
      <w:proofErr w:type="gramEnd"/>
      <w:r w:rsidRPr="00841EC9">
        <w:rPr>
          <w:rFonts w:ascii="Arial" w:hAnsi="Arial" w:cs="Arial"/>
          <w:sz w:val="20"/>
          <w:szCs w:val="20"/>
        </w:rPr>
        <w:t xml:space="preserve"> existentă a terenului – conform PUG – ului comunei Secuieni, categoria de folosinţă: drum;</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relativa</w:t>
      </w:r>
      <w:proofErr w:type="gramEnd"/>
      <w:r w:rsidRPr="00841EC9">
        <w:rPr>
          <w:rFonts w:ascii="Arial" w:hAnsi="Arial" w:cs="Arial"/>
          <w:sz w:val="20"/>
          <w:szCs w:val="20"/>
        </w:rPr>
        <w:t xml:space="preserve"> abundenţă a resurselor naturale din zonă, calitatea şi capacitatea regenerativă a acestora – pânza freatică are un aport permanent de apă;</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c) </w:t>
      </w:r>
      <w:proofErr w:type="gramStart"/>
      <w:r w:rsidRPr="00841EC9">
        <w:rPr>
          <w:rFonts w:ascii="Arial" w:hAnsi="Arial" w:cs="Arial"/>
          <w:sz w:val="20"/>
          <w:szCs w:val="20"/>
        </w:rPr>
        <w:t>capacitatea</w:t>
      </w:r>
      <w:proofErr w:type="gramEnd"/>
      <w:r w:rsidRPr="00841EC9">
        <w:rPr>
          <w:rFonts w:ascii="Arial" w:hAnsi="Arial" w:cs="Arial"/>
          <w:sz w:val="20"/>
          <w:szCs w:val="20"/>
        </w:rPr>
        <w:t xml:space="preserve"> de absobţie a mediului, cu atenţie deosebită pentru:</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zonele</w:t>
      </w:r>
      <w:proofErr w:type="gramEnd"/>
      <w:r w:rsidRPr="00841EC9">
        <w:rPr>
          <w:rFonts w:ascii="Arial" w:hAnsi="Arial" w:cs="Arial"/>
          <w:sz w:val="20"/>
          <w:szCs w:val="20"/>
        </w:rPr>
        <w:t xml:space="preserve"> umede – nu sunt; </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zonele</w:t>
      </w:r>
      <w:proofErr w:type="gramEnd"/>
      <w:r w:rsidRPr="00841EC9">
        <w:rPr>
          <w:rFonts w:ascii="Arial" w:hAnsi="Arial" w:cs="Arial"/>
          <w:sz w:val="20"/>
          <w:szCs w:val="20"/>
        </w:rPr>
        <w:t xml:space="preserve"> costiere – nu sunt;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zonele</w:t>
      </w:r>
      <w:proofErr w:type="gramEnd"/>
      <w:r w:rsidRPr="00841EC9">
        <w:rPr>
          <w:rFonts w:ascii="Arial" w:hAnsi="Arial" w:cs="Arial"/>
          <w:sz w:val="20"/>
          <w:szCs w:val="20"/>
        </w:rPr>
        <w:t xml:space="preserve"> montane şi cele împădurite – nu sunt;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parcurile</w:t>
      </w:r>
      <w:proofErr w:type="gramEnd"/>
      <w:r w:rsidRPr="00841EC9">
        <w:rPr>
          <w:rFonts w:ascii="Arial" w:hAnsi="Arial" w:cs="Arial"/>
          <w:sz w:val="20"/>
          <w:szCs w:val="20"/>
        </w:rPr>
        <w:t xml:space="preserve"> şi rezervaţiile naturale – nu sunt;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ariile</w:t>
      </w:r>
      <w:proofErr w:type="gramEnd"/>
      <w:r w:rsidRPr="00841EC9">
        <w:rPr>
          <w:rFonts w:ascii="Arial" w:hAnsi="Arial" w:cs="Arial"/>
          <w:sz w:val="20"/>
          <w:szCs w:val="20"/>
        </w:rPr>
        <w:t xml:space="preserve"> clasificate sau zonele protejate prin legislaţia în vigoare, cum sunt:  zonele de protecţie a faunei piscicole, bazine piscicole naturale şi bazine piscicole amenajate, etc.  </w:t>
      </w:r>
      <w:proofErr w:type="gramStart"/>
      <w:r w:rsidRPr="00841EC9">
        <w:rPr>
          <w:rFonts w:ascii="Arial" w:hAnsi="Arial" w:cs="Arial"/>
          <w:sz w:val="20"/>
          <w:szCs w:val="20"/>
        </w:rPr>
        <w:t>nu</w:t>
      </w:r>
      <w:proofErr w:type="gramEnd"/>
      <w:r w:rsidRPr="00841EC9">
        <w:rPr>
          <w:rFonts w:ascii="Arial" w:hAnsi="Arial" w:cs="Arial"/>
          <w:sz w:val="20"/>
          <w:szCs w:val="20"/>
        </w:rPr>
        <w:t xml:space="preserve"> sunt; </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zonele</w:t>
      </w:r>
      <w:proofErr w:type="gramEnd"/>
      <w:r w:rsidRPr="00841EC9">
        <w:rPr>
          <w:rFonts w:ascii="Arial" w:hAnsi="Arial" w:cs="Arial"/>
          <w:sz w:val="20"/>
          <w:szCs w:val="20"/>
        </w:rPr>
        <w:t xml:space="preserve"> de protecţie specială – în zona sau în vecinătatea amplasamentului acestui proiect – nu sunt;  </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ariile</w:t>
      </w:r>
      <w:proofErr w:type="gramEnd"/>
      <w:r w:rsidRPr="00841EC9">
        <w:rPr>
          <w:rFonts w:ascii="Arial" w:hAnsi="Arial" w:cs="Arial"/>
          <w:sz w:val="20"/>
          <w:szCs w:val="20"/>
        </w:rPr>
        <w:t xml:space="preserve"> în care standardele de calitate a mediului stabilite de legislaţie au fost deja depăşite – nu sunt;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ariile</w:t>
      </w:r>
      <w:proofErr w:type="gramEnd"/>
      <w:r w:rsidRPr="00841EC9">
        <w:rPr>
          <w:rFonts w:ascii="Arial" w:hAnsi="Arial" w:cs="Arial"/>
          <w:sz w:val="20"/>
          <w:szCs w:val="20"/>
        </w:rPr>
        <w:t xml:space="preserve"> dens populate – proiect de reabilitare a unui obiectiv existent în zonă populată; au fost propuse măsuri de diminuare a unui potenţial impact – nu sunt afectate;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peisajele</w:t>
      </w:r>
      <w:proofErr w:type="gramEnd"/>
      <w:r w:rsidRPr="00841EC9">
        <w:rPr>
          <w:rFonts w:ascii="Arial" w:hAnsi="Arial" w:cs="Arial"/>
          <w:sz w:val="20"/>
          <w:szCs w:val="20"/>
        </w:rPr>
        <w:t xml:space="preserve"> cu semnificaţie istorică, culturală şi arheologică – nu sunt;</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d) </w:t>
      </w:r>
      <w:proofErr w:type="gramStart"/>
      <w:r w:rsidRPr="00841EC9">
        <w:rPr>
          <w:rFonts w:ascii="Arial" w:hAnsi="Arial" w:cs="Arial"/>
          <w:sz w:val="20"/>
          <w:szCs w:val="20"/>
        </w:rPr>
        <w:t>caracteristicile</w:t>
      </w:r>
      <w:proofErr w:type="gramEnd"/>
      <w:r w:rsidRPr="00841EC9">
        <w:rPr>
          <w:rFonts w:ascii="Arial" w:hAnsi="Arial" w:cs="Arial"/>
          <w:sz w:val="20"/>
          <w:szCs w:val="20"/>
        </w:rPr>
        <w:t xml:space="preserve"> impactului potenţial:</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extinderea</w:t>
      </w:r>
      <w:proofErr w:type="gramEnd"/>
      <w:r w:rsidRPr="00841EC9">
        <w:rPr>
          <w:rFonts w:ascii="Arial" w:hAnsi="Arial" w:cs="Arial"/>
          <w:sz w:val="20"/>
          <w:szCs w:val="20"/>
        </w:rPr>
        <w:t xml:space="preserve"> impactului: aria geografică şi numărul persoanelor afectate – impact nesemnificativ;</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natura</w:t>
      </w:r>
      <w:proofErr w:type="gramEnd"/>
      <w:r w:rsidRPr="00841EC9">
        <w:rPr>
          <w:rFonts w:ascii="Arial" w:hAnsi="Arial" w:cs="Arial"/>
          <w:sz w:val="20"/>
          <w:szCs w:val="20"/>
        </w:rPr>
        <w:t xml:space="preserve"> transfrontarieră a impactului – nu este cazul;</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mărimea</w:t>
      </w:r>
      <w:proofErr w:type="gramEnd"/>
      <w:r w:rsidRPr="00841EC9">
        <w:rPr>
          <w:rFonts w:ascii="Arial" w:hAnsi="Arial" w:cs="Arial"/>
          <w:sz w:val="20"/>
          <w:szCs w:val="20"/>
        </w:rPr>
        <w:t xml:space="preserve"> şi complexitatea impactului – impact nesemnificativ;</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probabilitatea</w:t>
      </w:r>
      <w:proofErr w:type="gramEnd"/>
      <w:r w:rsidRPr="00841EC9">
        <w:rPr>
          <w:rFonts w:ascii="Arial" w:hAnsi="Arial" w:cs="Arial"/>
          <w:sz w:val="20"/>
          <w:szCs w:val="20"/>
        </w:rPr>
        <w:t xml:space="preserve"> impactului – redusă;</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 </w:t>
      </w:r>
      <w:proofErr w:type="gramStart"/>
      <w:r w:rsidRPr="00841EC9">
        <w:rPr>
          <w:rFonts w:ascii="Arial" w:hAnsi="Arial" w:cs="Arial"/>
          <w:sz w:val="20"/>
          <w:szCs w:val="20"/>
        </w:rPr>
        <w:t>durata</w:t>
      </w:r>
      <w:proofErr w:type="gramEnd"/>
      <w:r w:rsidRPr="00841EC9">
        <w:rPr>
          <w:rFonts w:ascii="Arial" w:hAnsi="Arial" w:cs="Arial"/>
          <w:sz w:val="20"/>
          <w:szCs w:val="20"/>
        </w:rPr>
        <w:t xml:space="preserve">, frecvenţa şi reversibilitatea impactului – în timpul executării lucrărilor. </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Condiţiile de realizare a </w:t>
      </w:r>
      <w:proofErr w:type="gramStart"/>
      <w:r w:rsidRPr="00841EC9">
        <w:rPr>
          <w:rFonts w:ascii="Arial" w:hAnsi="Arial" w:cs="Arial"/>
          <w:sz w:val="20"/>
          <w:szCs w:val="20"/>
        </w:rPr>
        <w:t>proiectului :</w:t>
      </w:r>
      <w:proofErr w:type="gramEnd"/>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a) </w:t>
      </w:r>
      <w:proofErr w:type="gramStart"/>
      <w:r w:rsidRPr="00841EC9">
        <w:rPr>
          <w:rFonts w:ascii="Arial" w:hAnsi="Arial" w:cs="Arial"/>
          <w:sz w:val="20"/>
          <w:szCs w:val="20"/>
        </w:rPr>
        <w:t>implementarea</w:t>
      </w:r>
      <w:proofErr w:type="gramEnd"/>
      <w:r w:rsidRPr="00841EC9">
        <w:rPr>
          <w:rFonts w:ascii="Arial" w:hAnsi="Arial" w:cs="Arial"/>
          <w:sz w:val="20"/>
          <w:szCs w:val="20"/>
        </w:rPr>
        <w:t xml:space="preserve"> măsurilor de protecţie a factorilor de mediu propuse prin proiect şi descrise în documentaţia ce a stat la baza emiterii acestei decizii;</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b) </w:t>
      </w:r>
      <w:proofErr w:type="gramStart"/>
      <w:r w:rsidRPr="00841EC9">
        <w:rPr>
          <w:rFonts w:ascii="Arial" w:hAnsi="Arial" w:cs="Arial"/>
          <w:sz w:val="20"/>
          <w:szCs w:val="20"/>
        </w:rPr>
        <w:t>obţinerea</w:t>
      </w:r>
      <w:proofErr w:type="gramEnd"/>
      <w:r w:rsidRPr="00841EC9">
        <w:rPr>
          <w:rFonts w:ascii="Arial" w:hAnsi="Arial" w:cs="Arial"/>
          <w:sz w:val="20"/>
          <w:szCs w:val="20"/>
        </w:rPr>
        <w:t xml:space="preserve"> tuturor avizelor precizate în Certificatul de urbanism şi respectarea condiţiilor impuse prin acestea;</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c) </w:t>
      </w:r>
      <w:proofErr w:type="gramStart"/>
      <w:r w:rsidRPr="00841EC9">
        <w:rPr>
          <w:rFonts w:ascii="Arial" w:hAnsi="Arial" w:cs="Arial"/>
          <w:sz w:val="20"/>
          <w:szCs w:val="20"/>
        </w:rPr>
        <w:t>titularul</w:t>
      </w:r>
      <w:proofErr w:type="gramEnd"/>
      <w:r w:rsidRPr="00841EC9">
        <w:rPr>
          <w:rFonts w:ascii="Arial" w:hAnsi="Arial" w:cs="Arial"/>
          <w:sz w:val="20"/>
          <w:szCs w:val="20"/>
        </w:rPr>
        <w:t xml:space="preserve"> va informa în scris Agenţia pentru Protecţia Mediului Neamţ ori de câte ori există o schimbare de fond a datelor care au stat la baza eliberării prezentei decizii;</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d) </w:t>
      </w:r>
      <w:proofErr w:type="gramStart"/>
      <w:r w:rsidRPr="00841EC9">
        <w:rPr>
          <w:rFonts w:ascii="Arial" w:hAnsi="Arial" w:cs="Arial"/>
          <w:sz w:val="20"/>
          <w:szCs w:val="20"/>
        </w:rPr>
        <w:t>titularul</w:t>
      </w:r>
      <w:proofErr w:type="gramEnd"/>
      <w:r w:rsidRPr="00841EC9">
        <w:rPr>
          <w:rFonts w:ascii="Arial" w:hAnsi="Arial" w:cs="Arial"/>
          <w:sz w:val="20"/>
          <w:szCs w:val="20"/>
        </w:rPr>
        <w:t xml:space="preserve"> va informa în scris Agenţia pentru Protecţia Mediului Neamţ la începerea lucrărilor;</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e) </w:t>
      </w:r>
      <w:proofErr w:type="gramStart"/>
      <w:r w:rsidRPr="00841EC9">
        <w:rPr>
          <w:rFonts w:ascii="Arial" w:hAnsi="Arial" w:cs="Arial"/>
          <w:sz w:val="20"/>
          <w:szCs w:val="20"/>
        </w:rPr>
        <w:t>titularul</w:t>
      </w:r>
      <w:proofErr w:type="gramEnd"/>
      <w:r w:rsidRPr="00841EC9">
        <w:rPr>
          <w:rFonts w:ascii="Arial" w:hAnsi="Arial" w:cs="Arial"/>
          <w:sz w:val="20"/>
          <w:szCs w:val="20"/>
        </w:rPr>
        <w:t xml:space="preserve"> va notifica în scris Agenţia pentru Protecţia Mediului Neamţ la finalizarea lucrărilor în vederea verificării şi întocmirii procesului  verbal de constatare a respectării tuturor condiţiilor impuse;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f) </w:t>
      </w:r>
      <w:proofErr w:type="gramStart"/>
      <w:r w:rsidRPr="00841EC9">
        <w:rPr>
          <w:rFonts w:ascii="Arial" w:hAnsi="Arial" w:cs="Arial"/>
          <w:sz w:val="20"/>
          <w:szCs w:val="20"/>
        </w:rPr>
        <w:t>nerespectarea</w:t>
      </w:r>
      <w:proofErr w:type="gramEnd"/>
      <w:r w:rsidRPr="00841EC9">
        <w:rPr>
          <w:rFonts w:ascii="Arial" w:hAnsi="Arial" w:cs="Arial"/>
          <w:sz w:val="20"/>
          <w:szCs w:val="20"/>
        </w:rPr>
        <w:t xml:space="preserve"> prevederilor prezentei decizii atrage suspendarea sau anularea acesteia, după caz, în conformitate cu prevederile legale.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Proiectul propus nu necesită parcurgerea celorlalte etape ale procedurii de evaluare adecvată şi nu necesită parcurgerea celorlalte etape ale procedurii de evaluare </w:t>
      </w:r>
      <w:proofErr w:type="gramStart"/>
      <w:r w:rsidRPr="00841EC9">
        <w:rPr>
          <w:rFonts w:ascii="Arial" w:hAnsi="Arial" w:cs="Arial"/>
          <w:sz w:val="20"/>
          <w:szCs w:val="20"/>
        </w:rPr>
        <w:t>a</w:t>
      </w:r>
      <w:proofErr w:type="gramEnd"/>
      <w:r w:rsidRPr="00841EC9">
        <w:rPr>
          <w:rFonts w:ascii="Arial" w:hAnsi="Arial" w:cs="Arial"/>
          <w:sz w:val="20"/>
          <w:szCs w:val="20"/>
        </w:rPr>
        <w:t xml:space="preserve"> impactului asupra mediului.</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Prezentul document îşi păstrează valabilitatea pe toată perioada punerii în aplicare a proiectului.</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w:t>
      </w:r>
      <w:proofErr w:type="gramStart"/>
      <w:r w:rsidRPr="00841EC9">
        <w:rPr>
          <w:rFonts w:ascii="Arial" w:hAnsi="Arial" w:cs="Arial"/>
          <w:sz w:val="20"/>
          <w:szCs w:val="20"/>
        </w:rPr>
        <w:t>Prezenta decizie poate fi contestată în conformitate cu prevederile Hotărârii Guvernului nr.</w:t>
      </w:r>
      <w:proofErr w:type="gramEnd"/>
      <w:r w:rsidRPr="00841EC9">
        <w:rPr>
          <w:rFonts w:ascii="Arial" w:hAnsi="Arial" w:cs="Arial"/>
          <w:sz w:val="20"/>
          <w:szCs w:val="20"/>
        </w:rPr>
        <w:t xml:space="preserve"> 445/2009 şi ale Legii contenciosului administrativ </w:t>
      </w:r>
    </w:p>
    <w:p w:rsidR="00841EC9" w:rsidRPr="00841EC9" w:rsidRDefault="00841EC9" w:rsidP="00841EC9">
      <w:pPr>
        <w:jc w:val="both"/>
        <w:rPr>
          <w:rFonts w:ascii="Arial" w:hAnsi="Arial" w:cs="Arial"/>
          <w:sz w:val="20"/>
          <w:szCs w:val="20"/>
        </w:rPr>
      </w:pPr>
      <w:proofErr w:type="gramStart"/>
      <w:r w:rsidRPr="00841EC9">
        <w:rPr>
          <w:rFonts w:ascii="Arial" w:hAnsi="Arial" w:cs="Arial"/>
          <w:sz w:val="20"/>
          <w:szCs w:val="20"/>
        </w:rPr>
        <w:t>nr</w:t>
      </w:r>
      <w:proofErr w:type="gramEnd"/>
      <w:r w:rsidRPr="00841EC9">
        <w:rPr>
          <w:rFonts w:ascii="Arial" w:hAnsi="Arial" w:cs="Arial"/>
          <w:sz w:val="20"/>
          <w:szCs w:val="20"/>
        </w:rPr>
        <w:t xml:space="preserve">. </w:t>
      </w:r>
      <w:proofErr w:type="gramStart"/>
      <w:r w:rsidRPr="00841EC9">
        <w:rPr>
          <w:rFonts w:ascii="Arial" w:hAnsi="Arial" w:cs="Arial"/>
          <w:sz w:val="20"/>
          <w:szCs w:val="20"/>
        </w:rPr>
        <w:t>554/2004, cu modificările şi completările ulterioare.</w:t>
      </w:r>
      <w:proofErr w:type="gramEnd"/>
    </w:p>
    <w:p w:rsidR="00841EC9" w:rsidRPr="00841EC9" w:rsidRDefault="00841EC9" w:rsidP="00841EC9">
      <w:pPr>
        <w:jc w:val="both"/>
        <w:rPr>
          <w:rFonts w:ascii="Arial" w:hAnsi="Arial" w:cs="Arial"/>
          <w:b/>
          <w:sz w:val="20"/>
          <w:szCs w:val="20"/>
        </w:rPr>
      </w:pPr>
      <w:r w:rsidRPr="00841EC9">
        <w:rPr>
          <w:rFonts w:ascii="Arial" w:hAnsi="Arial" w:cs="Arial"/>
          <w:b/>
          <w:sz w:val="20"/>
          <w:szCs w:val="20"/>
        </w:rPr>
        <w:lastRenderedPageBreak/>
        <w:t xml:space="preserve">              </w:t>
      </w:r>
      <w:proofErr w:type="gramStart"/>
      <w:r w:rsidRPr="00841EC9">
        <w:rPr>
          <w:rFonts w:ascii="Arial" w:hAnsi="Arial" w:cs="Arial"/>
          <w:b/>
          <w:sz w:val="20"/>
          <w:szCs w:val="20"/>
        </w:rPr>
        <w:t>Menţiuni despre procedura de contestare administrativă şi contencios administrativ.</w:t>
      </w:r>
      <w:proofErr w:type="gramEnd"/>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Orice persoană care face parte din publicul interesat şi care </w:t>
      </w:r>
      <w:proofErr w:type="gramStart"/>
      <w:r w:rsidRPr="00841EC9">
        <w:rPr>
          <w:rFonts w:ascii="Arial" w:hAnsi="Arial" w:cs="Arial"/>
          <w:sz w:val="20"/>
          <w:szCs w:val="20"/>
        </w:rPr>
        <w:t>se  consideră</w:t>
      </w:r>
      <w:proofErr w:type="gramEnd"/>
      <w:r w:rsidRPr="00841EC9">
        <w:rPr>
          <w:rFonts w:ascii="Arial" w:hAnsi="Arial" w:cs="Arial"/>
          <w:sz w:val="20"/>
          <w:szCs w:val="20"/>
        </w:rPr>
        <w:t xml:space="preserve"> vătămată într-un drept al său ori într-un interes legitim se poate adresa instanţei de contencios administrativ competente pentru a ataca, din punct de vedere procedural sau substanţial, actele, deciziile sau omisiunile</w:t>
      </w:r>
    </w:p>
    <w:p w:rsidR="00841EC9" w:rsidRPr="00841EC9" w:rsidRDefault="00841EC9" w:rsidP="00841EC9">
      <w:pPr>
        <w:jc w:val="both"/>
        <w:rPr>
          <w:rFonts w:ascii="Arial" w:hAnsi="Arial" w:cs="Arial"/>
          <w:sz w:val="20"/>
          <w:szCs w:val="20"/>
        </w:rPr>
      </w:pPr>
      <w:proofErr w:type="gramStart"/>
      <w:r w:rsidRPr="00841EC9">
        <w:rPr>
          <w:rFonts w:ascii="Arial" w:hAnsi="Arial" w:cs="Arial"/>
          <w:sz w:val="20"/>
          <w:szCs w:val="20"/>
        </w:rPr>
        <w:t>autorităţii</w:t>
      </w:r>
      <w:proofErr w:type="gramEnd"/>
      <w:r w:rsidRPr="00841EC9">
        <w:rPr>
          <w:rFonts w:ascii="Arial" w:hAnsi="Arial" w:cs="Arial"/>
          <w:sz w:val="20"/>
          <w:szCs w:val="20"/>
        </w:rPr>
        <w:t xml:space="preserve"> publice competente pentru protecţia mediului, care fac obiectul</w:t>
      </w:r>
    </w:p>
    <w:p w:rsidR="00841EC9" w:rsidRPr="00841EC9" w:rsidRDefault="00841EC9" w:rsidP="00841EC9">
      <w:pPr>
        <w:jc w:val="both"/>
        <w:rPr>
          <w:rFonts w:ascii="Arial" w:hAnsi="Arial" w:cs="Arial"/>
          <w:sz w:val="20"/>
          <w:szCs w:val="20"/>
        </w:rPr>
      </w:pPr>
      <w:proofErr w:type="gramStart"/>
      <w:r w:rsidRPr="00841EC9">
        <w:rPr>
          <w:rFonts w:ascii="Arial" w:hAnsi="Arial" w:cs="Arial"/>
          <w:sz w:val="20"/>
          <w:szCs w:val="20"/>
        </w:rPr>
        <w:t>participării</w:t>
      </w:r>
      <w:proofErr w:type="gramEnd"/>
      <w:r w:rsidRPr="00841EC9">
        <w:rPr>
          <w:rFonts w:ascii="Arial" w:hAnsi="Arial" w:cs="Arial"/>
          <w:sz w:val="20"/>
          <w:szCs w:val="20"/>
        </w:rPr>
        <w:t xml:space="preserve"> publicului în procedura de evaluare a impactului asupra mediului, prevăzute de HG 445 /2009, cu respectarea prevederilor Legii contenciosului administrativ nr. </w:t>
      </w:r>
      <w:hyperlink r:id="rId5" w:history="1">
        <w:proofErr w:type="gramStart"/>
        <w:r w:rsidRPr="00841EC9">
          <w:rPr>
            <w:rFonts w:ascii="Arial" w:hAnsi="Arial" w:cs="Arial"/>
            <w:sz w:val="20"/>
            <w:szCs w:val="20"/>
          </w:rPr>
          <w:t>554/2004</w:t>
        </w:r>
      </w:hyperlink>
      <w:r w:rsidRPr="00841EC9">
        <w:rPr>
          <w:rFonts w:ascii="Arial" w:hAnsi="Arial" w:cs="Arial"/>
          <w:sz w:val="20"/>
          <w:szCs w:val="20"/>
        </w:rPr>
        <w:t>, cu modificările ulterioare.</w:t>
      </w:r>
      <w:proofErr w:type="gramEnd"/>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Actele sau omisiunile autorităţii publice competente pentru protecţia mediului, care fac obiectul participării publicului în procedura de evaluare </w:t>
      </w:r>
      <w:proofErr w:type="gramStart"/>
      <w:r w:rsidRPr="00841EC9">
        <w:rPr>
          <w:rFonts w:ascii="Arial" w:hAnsi="Arial" w:cs="Arial"/>
          <w:sz w:val="20"/>
          <w:szCs w:val="20"/>
        </w:rPr>
        <w:t>a</w:t>
      </w:r>
      <w:proofErr w:type="gramEnd"/>
      <w:r w:rsidRPr="00841EC9">
        <w:rPr>
          <w:rFonts w:ascii="Arial" w:hAnsi="Arial" w:cs="Arial"/>
          <w:sz w:val="20"/>
          <w:szCs w:val="20"/>
        </w:rPr>
        <w:t xml:space="preserve"> impactului asupra mediului, se atacă odată cu decizia etapei de încadrare.</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w:t>
      </w:r>
      <w:proofErr w:type="gramStart"/>
      <w:r w:rsidRPr="00841EC9">
        <w:rPr>
          <w:rFonts w:ascii="Arial" w:hAnsi="Arial" w:cs="Arial"/>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Soluţionarea cererii se face potrivit dispoziţiilor Legii nr.</w:t>
      </w:r>
      <w:hyperlink r:id="rId6" w:tooltip="contenciosului administrativ (act publicat in M.Of. 1154 din 07-dec-2004)" w:history="1">
        <w:proofErr w:type="gramStart"/>
        <w:r w:rsidRPr="00841EC9">
          <w:rPr>
            <w:rFonts w:ascii="Arial" w:hAnsi="Arial" w:cs="Arial"/>
            <w:sz w:val="20"/>
            <w:szCs w:val="20"/>
          </w:rPr>
          <w:t>554/2004</w:t>
        </w:r>
      </w:hyperlink>
      <w:r w:rsidRPr="00841EC9">
        <w:rPr>
          <w:rFonts w:ascii="Arial" w:hAnsi="Arial" w:cs="Arial"/>
          <w:sz w:val="20"/>
          <w:szCs w:val="20"/>
        </w:rPr>
        <w:t>, cu modificările ulterioare.</w:t>
      </w:r>
      <w:proofErr w:type="gramEnd"/>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841EC9">
        <w:rPr>
          <w:rFonts w:ascii="Arial" w:hAnsi="Arial" w:cs="Arial"/>
          <w:sz w:val="20"/>
          <w:szCs w:val="20"/>
        </w:rPr>
        <w:t>să</w:t>
      </w:r>
      <w:proofErr w:type="gramEnd"/>
      <w:r w:rsidRPr="00841EC9">
        <w:rPr>
          <w:rFonts w:ascii="Arial" w:hAnsi="Arial" w:cs="Arial"/>
          <w:sz w:val="20"/>
          <w:szCs w:val="20"/>
        </w:rPr>
        <w:t xml:space="preserve"> solicite autorităţii publice emitente, în termen de 30 de zile de la data aducerii la cunoştinţa publicului a deciziei etapei de încadrare revocarea respectivei decizii.</w:t>
      </w:r>
    </w:p>
    <w:p w:rsidR="00841EC9" w:rsidRPr="00841EC9" w:rsidRDefault="00841EC9" w:rsidP="00841EC9">
      <w:pPr>
        <w:jc w:val="both"/>
        <w:rPr>
          <w:rFonts w:ascii="Arial" w:hAnsi="Arial" w:cs="Arial"/>
          <w:sz w:val="20"/>
          <w:szCs w:val="20"/>
        </w:rPr>
      </w:pPr>
      <w:r w:rsidRPr="00841EC9">
        <w:rPr>
          <w:rFonts w:ascii="Arial" w:hAnsi="Arial" w:cs="Arial"/>
          <w:sz w:val="20"/>
          <w:szCs w:val="20"/>
        </w:rPr>
        <w:t xml:space="preserve">              Autoritatea publică emitentă are obligaţia de </w:t>
      </w:r>
      <w:proofErr w:type="gramStart"/>
      <w:r w:rsidRPr="00841EC9">
        <w:rPr>
          <w:rFonts w:ascii="Arial" w:hAnsi="Arial" w:cs="Arial"/>
          <w:sz w:val="20"/>
          <w:szCs w:val="20"/>
        </w:rPr>
        <w:t>a</w:t>
      </w:r>
      <w:proofErr w:type="gramEnd"/>
      <w:r w:rsidRPr="00841EC9">
        <w:rPr>
          <w:rFonts w:ascii="Arial" w:hAnsi="Arial" w:cs="Arial"/>
          <w:sz w:val="20"/>
          <w:szCs w:val="20"/>
        </w:rPr>
        <w:t xml:space="preserve"> răspunde la plângerea prealabilă în termen de 30 de zile de la data înregistrării acesteia la acea autoritate.</w:t>
      </w:r>
    </w:p>
    <w:p w:rsidR="00841EC9" w:rsidRPr="00841EC9" w:rsidRDefault="00841EC9" w:rsidP="00841EC9">
      <w:pPr>
        <w:jc w:val="both"/>
        <w:rPr>
          <w:rFonts w:ascii="Arial" w:hAnsi="Arial" w:cs="Arial"/>
          <w:color w:val="009966"/>
          <w:sz w:val="20"/>
          <w:szCs w:val="20"/>
        </w:rPr>
      </w:pPr>
      <w:r w:rsidRPr="00841EC9">
        <w:rPr>
          <w:rFonts w:ascii="Arial" w:hAnsi="Arial" w:cs="Arial"/>
          <w:sz w:val="20"/>
          <w:szCs w:val="20"/>
        </w:rPr>
        <w:t xml:space="preserve">              Procedura administrativă prealabilă </w:t>
      </w:r>
      <w:proofErr w:type="gramStart"/>
      <w:r w:rsidRPr="00841EC9">
        <w:rPr>
          <w:rFonts w:ascii="Arial" w:hAnsi="Arial" w:cs="Arial"/>
          <w:sz w:val="20"/>
          <w:szCs w:val="20"/>
        </w:rPr>
        <w:t>este</w:t>
      </w:r>
      <w:proofErr w:type="gramEnd"/>
      <w:r w:rsidRPr="00841EC9">
        <w:rPr>
          <w:rFonts w:ascii="Arial" w:hAnsi="Arial" w:cs="Arial"/>
          <w:sz w:val="20"/>
          <w:szCs w:val="20"/>
        </w:rPr>
        <w:t xml:space="preserve"> gratuită.</w:t>
      </w:r>
      <w:r w:rsidRPr="00841EC9">
        <w:rPr>
          <w:rFonts w:ascii="Arial" w:hAnsi="Arial" w:cs="Arial"/>
          <w:color w:val="009966"/>
          <w:sz w:val="20"/>
          <w:szCs w:val="20"/>
        </w:rPr>
        <w:t xml:space="preserve">        </w:t>
      </w:r>
    </w:p>
    <w:sectPr w:rsidR="00841EC9" w:rsidRPr="00841EC9"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58DA"/>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58D9"/>
    <w:rsid w:val="00075FF6"/>
    <w:rsid w:val="000767FD"/>
    <w:rsid w:val="00076895"/>
    <w:rsid w:val="000779CA"/>
    <w:rsid w:val="0008041B"/>
    <w:rsid w:val="0008051C"/>
    <w:rsid w:val="000814D4"/>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3B31"/>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1800"/>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7B5"/>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5649C"/>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4008"/>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282B"/>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877"/>
    <w:rsid w:val="005A4B10"/>
    <w:rsid w:val="005A5953"/>
    <w:rsid w:val="005A5F30"/>
    <w:rsid w:val="005B0329"/>
    <w:rsid w:val="005B1C12"/>
    <w:rsid w:val="005B26EB"/>
    <w:rsid w:val="005B316A"/>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366"/>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1188"/>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60"/>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2FF3"/>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1EC9"/>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4B18"/>
    <w:rsid w:val="00855AAD"/>
    <w:rsid w:val="00855B73"/>
    <w:rsid w:val="00856529"/>
    <w:rsid w:val="00857B55"/>
    <w:rsid w:val="00857DC6"/>
    <w:rsid w:val="00865E35"/>
    <w:rsid w:val="0086663C"/>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055"/>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698"/>
    <w:rsid w:val="00923F57"/>
    <w:rsid w:val="009248D2"/>
    <w:rsid w:val="00925311"/>
    <w:rsid w:val="00925495"/>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4DBA"/>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7EA"/>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1774"/>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3A7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6D6"/>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49B"/>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090"/>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10A7"/>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2AF7"/>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226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character" w:styleId="Hyperlink">
    <w:name w:val="Hyperlink"/>
    <w:basedOn w:val="DefaultParagraphFont"/>
    <w:uiPriority w:val="99"/>
    <w:rsid w:val="00841EC9"/>
    <w:rPr>
      <w:color w:val="0000FF"/>
      <w:u w:val="single"/>
    </w:r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10341</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2017-02-28T10:33:00Z</dcterms:created>
  <dcterms:modified xsi:type="dcterms:W3CDTF">2017-02-28T10:33:00Z</dcterms:modified>
</cp:coreProperties>
</file>