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6D019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D019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D019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D019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6D0193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6D019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D019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D019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D019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01D96">
            <w:rPr>
              <w:rFonts w:ascii="Arial" w:hAnsi="Arial" w:cs="Arial"/>
              <w:b/>
              <w:sz w:val="24"/>
              <w:szCs w:val="24"/>
              <w:lang w:val="ro-RO"/>
            </w:rPr>
            <w:t>VINCZE ERZSEBET-LENKE PERSOANĂ FIZICĂ AUTORIZATĂ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01D96">
            <w:rPr>
              <w:rFonts w:ascii="Arial" w:hAnsi="Arial" w:cs="Arial"/>
              <w:sz w:val="24"/>
              <w:szCs w:val="24"/>
              <w:lang w:val="ro-RO"/>
            </w:rPr>
            <w:t>Str. Principala, Nr. 606, Crasna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01D9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01D96">
            <w:rPr>
              <w:rFonts w:ascii="Arial" w:hAnsi="Arial" w:cs="Arial"/>
              <w:sz w:val="24"/>
              <w:szCs w:val="24"/>
              <w:lang w:val="ro-RO"/>
            </w:rPr>
            <w:t>3658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01D96">
            <w:rPr>
              <w:rFonts w:ascii="Arial" w:hAnsi="Arial" w:cs="Arial"/>
              <w:spacing w:val="-6"/>
              <w:sz w:val="24"/>
              <w:szCs w:val="24"/>
              <w:lang w:val="ro-RO"/>
            </w:rPr>
            <w:t>23.06.2017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D0193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6D0193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6D019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6D019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601D96">
            <w:rPr>
              <w:rFonts w:ascii="Arial" w:hAnsi="Arial" w:cs="Arial"/>
              <w:sz w:val="24"/>
              <w:szCs w:val="24"/>
              <w:lang w:val="ro-RO"/>
            </w:rPr>
            <w:t>10.07.2017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601D96">
            <w:t xml:space="preserve">"CONSTRUIRE ATELIER AUTO"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01D96">
            <w:rPr>
              <w:rFonts w:ascii="Times New Roman" w:hAnsi="Times New Roman"/>
              <w:color w:val="0D0D0D"/>
              <w:sz w:val="24"/>
              <w:szCs w:val="24"/>
              <w:lang w:val="ro-RO"/>
            </w:rPr>
            <w:t>com. Crasna, sat Crasna tarlaua ,, CSUTKOS</w:t>
          </w:r>
          <w:r w:rsidR="00601D96"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601D96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D019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540BA8" w:rsidRDefault="006D0193" w:rsidP="00540B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5454207"/>
            <w:placeholder>
              <w:docPart w:val="B27217A3D91B445C9EC249F7EB137743"/>
            </w:placeholder>
          </w:sdtPr>
          <w:sdtContent>
            <w:p w:rsidR="00540BA8" w:rsidRPr="00522DB9" w:rsidRDefault="00540BA8" w:rsidP="00540BA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540BA8" w:rsidRPr="00522DB9" w:rsidRDefault="00540BA8" w:rsidP="00540BA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>II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a;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10, lit. a; </w:t>
              </w:r>
            </w:p>
            <w:p w:rsidR="00540BA8" w:rsidRDefault="00540BA8" w:rsidP="00540BA8">
              <w:pPr>
                <w:pStyle w:val="Style4"/>
                <w:tabs>
                  <w:tab w:val="left" w:pos="139"/>
                </w:tabs>
                <w:spacing w:line="274" w:lineRule="exac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b. caracteristicile proiectului: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Beneficiarul doreste să realizeze un atelier de mecanică auto</w:t>
              </w:r>
              <w:r>
                <w:t xml:space="preserve"> dotat corespunzător</w:t>
              </w:r>
              <w:r w:rsidRPr="008109AD">
                <w:t xml:space="preserve"> Cladirea va avea urmatoare compartimentare: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PARTER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P01 - RECEPTIE CLIENTI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S=33,65 mp,     PARD. PARCHET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P02 - HOL + C.S.     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S=12,10 mp,    PARD. GRESIE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P03 - GRUP SANITAR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S=4.99 mp,       PARD. GRESIE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P04 - VESTIAR         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S=12.72 mp,     PARD. TARCHET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P05 - STANDURI REPARATII           </w:t>
              </w:r>
              <w:r w:rsidRPr="008109AD">
                <w:tab/>
              </w:r>
              <w:r w:rsidRPr="008109AD">
                <w:tab/>
              </w:r>
              <w:r>
                <w:tab/>
                <w:t>S=249.49 mp,   PARD.</w:t>
              </w:r>
              <w:r w:rsidRPr="008109AD">
                <w:t xml:space="preserve">EPOXIDICA 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P06 - DEPOZIT MATERIALE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S=6.88 mp,      PARD. EPOXIDICA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lastRenderedPageBreak/>
                <w:t xml:space="preserve">P07 - CAMERA CENTRALA TERMICA    </w:t>
              </w:r>
              <w:r w:rsidRPr="008109AD">
                <w:tab/>
              </w:r>
              <w:r>
                <w:tab/>
              </w:r>
              <w:r w:rsidRPr="008109AD">
                <w:t xml:space="preserve">S=5.00 mp,      PARD. BETON 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P08 - GRUP SANITAR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S=2.17 mp,      PARD. GRESIE</w:t>
              </w:r>
            </w:p>
            <w:p w:rsidR="00540BA8" w:rsidRPr="008109AD" w:rsidRDefault="00540BA8" w:rsidP="00540BA8">
              <w:pPr>
                <w:pStyle w:val="NoSpacing"/>
              </w:pP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SUPRAFAȚĂ UTILĂ /NIVEL :                 </w:t>
              </w:r>
              <w:r w:rsidRPr="008109AD">
                <w:tab/>
              </w:r>
              <w:r>
                <w:tab/>
              </w:r>
              <w:r w:rsidRPr="008109AD">
                <w:t>Au = 327.00 mp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SUPRAFAȚĂ CONSTRUITĂ</w:t>
              </w:r>
              <w:r w:rsidRPr="008109AD">
                <w:tab/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Ac = 340.52 mp</w:t>
              </w:r>
            </w:p>
            <w:p w:rsidR="00540BA8" w:rsidRPr="008109AD" w:rsidRDefault="00540BA8" w:rsidP="00540BA8">
              <w:pPr>
                <w:pStyle w:val="NoSpacing"/>
              </w:pPr>
            </w:p>
            <w:p w:rsidR="00540BA8" w:rsidRPr="008109AD" w:rsidRDefault="00540BA8" w:rsidP="00540BA8">
              <w:pPr>
                <w:pStyle w:val="NoSpacing"/>
              </w:pPr>
              <w:r w:rsidRPr="008109AD">
                <w:t>SUBPANTĂ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PE1 - BIROU            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S=33,47 mp,    PARD. PARCHET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PE2 - HOL               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S=5.51 mp,      PARD. GRESIE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PE3 - SALON           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S=15.64mp,     PARD. GRESIE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PE4 - GRUP SANITAR                        </w:t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S=4.48 mp,      PARD. GRESIE</w:t>
              </w:r>
            </w:p>
            <w:p w:rsidR="00540BA8" w:rsidRPr="008109AD" w:rsidRDefault="00540BA8" w:rsidP="00540BA8">
              <w:pPr>
                <w:pStyle w:val="NoSpacing"/>
              </w:pPr>
            </w:p>
            <w:p w:rsidR="00540BA8" w:rsidRPr="008109AD" w:rsidRDefault="00540BA8" w:rsidP="00540BA8">
              <w:pPr>
                <w:pStyle w:val="NoSpacing"/>
              </w:pPr>
              <w:r w:rsidRPr="008109AD">
                <w:t xml:space="preserve">SUPRAFAȚĂ UTILĂ /NIVEL :                 </w:t>
              </w:r>
              <w:r w:rsidRPr="008109AD">
                <w:tab/>
              </w:r>
              <w:r w:rsidRPr="008109AD">
                <w:tab/>
                <w:t>Au = 59.10 mp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SUPRAFAȚĂ CONSTRUITĂ</w:t>
              </w:r>
              <w:r w:rsidRPr="008109AD">
                <w:tab/>
              </w:r>
              <w:r w:rsidRPr="008109AD">
                <w:tab/>
              </w:r>
              <w:r w:rsidRPr="008109AD">
                <w:tab/>
              </w:r>
              <w:r w:rsidRPr="008109AD">
                <w:tab/>
                <w:t>Ac = 70.30 mp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_________________________________________________________________</w:t>
              </w:r>
            </w:p>
            <w:p w:rsidR="00540BA8" w:rsidRPr="008109AD" w:rsidRDefault="00540BA8" w:rsidP="00540BA8">
              <w:pPr>
                <w:pStyle w:val="NoSpacing"/>
              </w:pPr>
              <w:r w:rsidRPr="008109AD">
                <w:t>SUPRAFATA UTILA TOTALA</w:t>
              </w:r>
              <w:r w:rsidRPr="008109AD">
                <w:tab/>
              </w:r>
              <w:r w:rsidRPr="008109AD">
                <w:tab/>
              </w:r>
              <w:r w:rsidRPr="008109AD">
                <w:tab/>
              </w:r>
              <w:r>
                <w:tab/>
              </w:r>
              <w:r w:rsidRPr="008109AD">
                <w:t>Aut = 386.08mp</w:t>
              </w:r>
            </w:p>
            <w:p w:rsidR="00540BA8" w:rsidRDefault="00540BA8" w:rsidP="00540BA8">
              <w:pPr>
                <w:pStyle w:val="NoSpacing"/>
              </w:pPr>
              <w:r w:rsidRPr="008109AD">
                <w:t xml:space="preserve">SUPRAFAȚĂ CONSTRUITĂ DESFASURATĂ:    </w:t>
              </w:r>
              <w:r w:rsidRPr="008109AD">
                <w:tab/>
                <w:t>Ad = 410.82mp</w:t>
              </w:r>
            </w:p>
            <w:p w:rsidR="00540BA8" w:rsidRDefault="00540BA8" w:rsidP="00540BA8">
              <w:pPr>
                <w:pStyle w:val="Heading1"/>
                <w:rPr>
                  <w:lang w:eastAsia="en-US"/>
                </w:rPr>
              </w:pPr>
            </w:p>
            <w:p w:rsidR="00540BA8" w:rsidRDefault="00540BA8" w:rsidP="00540BA8">
              <w:pPr>
                <w:rPr>
                  <w:lang w:val="it-IT"/>
                </w:rPr>
              </w:pPr>
              <w:r w:rsidRPr="008109AD">
                <w:rPr>
                  <w:lang w:val="it-IT"/>
                </w:rPr>
                <w:t>Amplasamentul  situat in imediata vecinatate a cl</w:t>
              </w:r>
              <w:r>
                <w:rPr>
                  <w:lang w:val="it-IT"/>
                </w:rPr>
                <w:t>ă</w:t>
              </w:r>
              <w:r w:rsidRPr="008109AD">
                <w:rPr>
                  <w:lang w:val="it-IT"/>
                </w:rPr>
                <w:t>dirii va fi amenajat prin trotuare cu dale (pavele) in suprafata de 120 mp.</w:t>
              </w:r>
            </w:p>
            <w:p w:rsidR="00540BA8" w:rsidRPr="008109AD" w:rsidRDefault="00540BA8" w:rsidP="00540BA8">
              <w:pPr>
                <w:pStyle w:val="NoSpacing"/>
                <w:rPr>
                  <w:lang w:val="it-IT"/>
                </w:rPr>
              </w:pPr>
              <w:r w:rsidRPr="008109AD">
                <w:rPr>
                  <w:lang w:val="it-IT"/>
                </w:rPr>
                <w:t>Spatiile verzi vor fi innierbate dupa terminarea lucrarilor si se vor planta arbusti ornamentali</w:t>
              </w:r>
              <w:r>
                <w:rPr>
                  <w:lang w:val="it-IT"/>
                </w:rPr>
                <w:t xml:space="preserve"> conform planului de situație propus</w:t>
              </w:r>
              <w:r w:rsidRPr="008109AD">
                <w:rPr>
                  <w:lang w:val="it-IT"/>
                </w:rPr>
                <w:t>.</w:t>
              </w:r>
            </w:p>
            <w:p w:rsidR="00540BA8" w:rsidRDefault="00540BA8" w:rsidP="00540BA8">
              <w:r w:rsidRPr="00863EA0">
                <w:t>Imprejmuirea obiectivului se va realiza cu stalpi metalici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rPr>
                  <w:lang w:val="it-IT"/>
                </w:rPr>
                <w:t>S</w:t>
              </w:r>
              <w:r w:rsidRPr="009A2D5C">
                <w:t>tand de frana cu unitate de control si tester suspensie-1 buc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E</w:t>
              </w:r>
              <w:r w:rsidRPr="009A2D5C">
                <w:t>levator electromecanic 2 coloane 3,2 t-2 buc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E</w:t>
              </w:r>
              <w:r w:rsidRPr="009A2D5C">
                <w:t>levator electro-hidraulic 4 coloane pregatit geometrie-1 buc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M</w:t>
              </w:r>
              <w:r w:rsidRPr="009A2D5C">
                <w:t>asina electronica de echilibrat roti pentru autovehicule usoare-1buc</w:t>
              </w:r>
            </w:p>
            <w:p w:rsidR="00173FBF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M</w:t>
              </w:r>
              <w:r w:rsidRPr="009A2D5C">
                <w:t>asina pentru montat –</w:t>
              </w:r>
              <w:r>
                <w:t>demontat anvelo</w:t>
              </w:r>
              <w:r w:rsidRPr="009A2D5C">
                <w:t>pe autovehicule-1buc</w:t>
              </w:r>
            </w:p>
            <w:p w:rsidR="00173FBF" w:rsidRPr="000B2467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bookmarkStart w:id="0" w:name="OLE_LINK23"/>
              <w:bookmarkStart w:id="1" w:name="OLE_LINK24"/>
              <w:r>
                <w:t>S</w:t>
              </w:r>
              <w:r w:rsidRPr="000B2467">
                <w:t>tatie full automata de recuperare si incarcare sisteme A/C auto-</w:t>
              </w:r>
              <w:r>
                <w:t xml:space="preserve">1 </w:t>
              </w:r>
              <w:r w:rsidRPr="000B2467">
                <w:t>buc</w:t>
              </w:r>
              <w:bookmarkEnd w:id="0"/>
              <w:bookmarkEnd w:id="1"/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C</w:t>
              </w:r>
              <w:r w:rsidRPr="009A2D5C">
                <w:t>ompresor aer cu piston lubrificat -1 buc</w:t>
              </w:r>
            </w:p>
            <w:p w:rsidR="00173FBF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</w:pPr>
              <w:r>
                <w:t>S</w:t>
              </w:r>
              <w:r w:rsidRPr="009A2D5C">
                <w:t>et compus din: pistol pneumatic cu impact+cheie dinamometrica+cric hidraulic tip crocodil+filtru regulator ungator -3 buc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  <w:rPr>
                  <w:rStyle w:val="tpa1"/>
                </w:rPr>
              </w:pPr>
              <w:r>
                <w:t>A</w:t>
              </w:r>
              <w:r w:rsidRPr="009A2D5C">
                <w:t>parat verificat si reglat geometrie- 1 buc</w:t>
              </w:r>
            </w:p>
            <w:p w:rsidR="00173FBF" w:rsidRPr="009A2D5C" w:rsidRDefault="00173FBF" w:rsidP="00173FBF">
              <w:pPr>
                <w:pStyle w:val="NoSpacing"/>
                <w:numPr>
                  <w:ilvl w:val="0"/>
                  <w:numId w:val="64"/>
                </w:numPr>
                <w:ind w:left="1560"/>
                <w:rPr>
                  <w:rStyle w:val="tpa1"/>
                </w:rPr>
              </w:pPr>
              <w:r>
                <w:rPr>
                  <w:rStyle w:val="tpa1"/>
                </w:rPr>
                <w:t>T</w:t>
              </w:r>
              <w:r w:rsidRPr="009A2D5C">
                <w:rPr>
                  <w:rStyle w:val="tpa1"/>
                </w:rPr>
                <w:t>ester de diagnoza camioane-1 buc</w:t>
              </w:r>
            </w:p>
            <w:p w:rsidR="00173FBF" w:rsidRPr="00540BA8" w:rsidRDefault="00173FBF" w:rsidP="00540BA8">
              <w:pPr>
                <w:rPr>
                  <w:lang w:val="ro-RO"/>
                </w:rPr>
              </w:pPr>
            </w:p>
            <w:p w:rsidR="00540BA8" w:rsidRPr="008109AD" w:rsidRDefault="00540BA8" w:rsidP="00540BA8">
              <w:pPr>
                <w:pStyle w:val="NoSpacing"/>
              </w:pPr>
            </w:p>
            <w:p w:rsidR="00540BA8" w:rsidRPr="00055C5E" w:rsidRDefault="00540BA8" w:rsidP="00540BA8">
              <w:pPr>
                <w:pStyle w:val="Corptext21"/>
                <w:spacing w:line="240" w:lineRule="auto"/>
                <w:ind w:firstLine="561"/>
                <w:jc w:val="both"/>
                <w:rPr>
                  <w:rFonts w:ascii="Arial" w:hAnsi="Arial" w:cs="Arial"/>
                  <w:b/>
                  <w:i w:val="0"/>
                  <w:sz w:val="24"/>
                  <w:szCs w:val="24"/>
                </w:rPr>
              </w:pPr>
            </w:p>
            <w:p w:rsidR="00540BA8" w:rsidRPr="00A83ED9" w:rsidRDefault="00540BA8" w:rsidP="00540BA8">
              <w:pPr>
                <w:pStyle w:val="ListParagraph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Pr="00413251">
                <w:rPr>
                  <w:rFonts w:ascii="Arial" w:hAnsi="Arial" w:cs="Arial"/>
                  <w:sz w:val="24"/>
                  <w:szCs w:val="24"/>
                </w:rPr>
                <w:t>b2</w:t>
              </w:r>
              <w:r w:rsidRPr="00A83ED9">
                <w:rPr>
                  <w:rFonts w:ascii="Arial" w:hAnsi="Arial" w:cs="Arial"/>
                  <w:sz w:val="24"/>
                  <w:szCs w:val="24"/>
                </w:rPr>
                <w:t>) cumularea cu alte proiecte: nu este cazul;</w:t>
              </w:r>
            </w:p>
            <w:p w:rsidR="00540BA8" w:rsidRPr="00A83ED9" w:rsidRDefault="00540BA8" w:rsidP="00540BA8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b3) utilizarea resurselor naturale: </w:t>
              </w:r>
            </w:p>
            <w:p w:rsidR="00173FBF" w:rsidRPr="00AC339A" w:rsidRDefault="00540BA8" w:rsidP="00173FBF">
              <w:pPr>
                <w:pStyle w:val="NoSpacing"/>
                <w:ind w:left="0"/>
              </w:pPr>
              <w:r w:rsidRPr="00886A7B">
                <w:rPr>
                  <w:rFonts w:ascii="Arial" w:hAnsi="Arial" w:cs="Arial"/>
                  <w:b/>
                  <w:szCs w:val="24"/>
                </w:rPr>
                <w:t>Alimentarea cu apa</w:t>
              </w:r>
              <w:r w:rsidRPr="00A83ED9">
                <w:rPr>
                  <w:rFonts w:ascii="Arial" w:hAnsi="Arial" w:cs="Arial"/>
                  <w:szCs w:val="24"/>
                </w:rPr>
                <w:t xml:space="preserve"> </w:t>
              </w:r>
              <w:r w:rsidR="00173FBF" w:rsidRPr="00AC339A">
                <w:t>Alimentarea cu apa se va realiza d</w:t>
              </w:r>
              <w:r w:rsidR="00173FBF">
                <w:t xml:space="preserve">in putul de suprafata propus in  </w:t>
              </w:r>
              <w:r w:rsidR="00173FBF" w:rsidRPr="00AC339A">
                <w:t>cadrul amplasamentului prin intermediul unei conducte de PEHD Dn 32 mm, putul va avea prevazut sistem de hidrofor cu plutitor.</w:t>
              </w:r>
            </w:p>
            <w:p w:rsidR="00540BA8" w:rsidRDefault="00540BA8" w:rsidP="00173FBF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t>b4) evacuarea apelor uzate:</w:t>
              </w:r>
            </w:p>
            <w:p w:rsidR="00540BA8" w:rsidRPr="00A83ED9" w:rsidRDefault="00540BA8" w:rsidP="00540BA8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-</w:t>
              </w:r>
              <w:r w:rsidRPr="00A83ED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>Apele uzate menajere</w:t>
              </w: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se vor conduce la bazinul vidanjabil propus</w:t>
              </w:r>
              <w:r w:rsidR="00173FBF">
                <w:rPr>
                  <w:rFonts w:ascii="Arial" w:hAnsi="Arial" w:cs="Arial"/>
                  <w:sz w:val="24"/>
                  <w:szCs w:val="24"/>
                </w:rPr>
                <w:t xml:space="preserve"> cu V=10 mc;</w:t>
              </w:r>
            </w:p>
            <w:p w:rsidR="00540BA8" w:rsidRDefault="00540BA8" w:rsidP="00540BA8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</w:pPr>
              <w:r w:rsidRPr="00A83ED9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>Alimentarea cu energie termică :</w:t>
              </w:r>
            </w:p>
            <w:p w:rsidR="00540BA8" w:rsidRDefault="00540BA8" w:rsidP="00540BA8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</w:t>
              </w:r>
              <w:r w:rsidRPr="00957FB5">
                <w:rPr>
                  <w:rFonts w:ascii="Arial" w:hAnsi="Arial" w:cs="Arial"/>
                  <w:sz w:val="24"/>
                  <w:szCs w:val="24"/>
                </w:rPr>
                <w:t xml:space="preserve">Agentul termic - Prepararea agentului termic pentru </w:t>
              </w:r>
              <w:r>
                <w:rPr>
                  <w:rFonts w:ascii="Arial" w:hAnsi="Arial" w:cs="Arial"/>
                  <w:sz w:val="24"/>
                  <w:szCs w:val="24"/>
                </w:rPr>
                <w:t>încălzire şi apa caldă menajeră se va realiza de că</w:t>
              </w:r>
              <w:r w:rsidRPr="00957FB5">
                <w:rPr>
                  <w:rFonts w:ascii="Arial" w:hAnsi="Arial" w:cs="Arial"/>
                  <w:sz w:val="24"/>
                  <w:szCs w:val="24"/>
                </w:rPr>
                <w:t xml:space="preserve">tre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o centrală cu funcționare pe combustibil solid in anotimpul rece; </w:t>
              </w:r>
            </w:p>
            <w:p w:rsidR="00540BA8" w:rsidRDefault="00540BA8" w:rsidP="00540BA8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-apa caldă menajeră se va asigura prin intermediul panourilor solare montate pe învelitoare in anotimpul cald;</w:t>
              </w:r>
            </w:p>
            <w:p w:rsidR="00173FBF" w:rsidRDefault="00540BA8" w:rsidP="00173FBF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lang w:val="fr-FR"/>
                </w:rPr>
              </w:pPr>
              <w:r w:rsidRPr="008A47FF">
                <w:rPr>
                  <w:rFonts w:ascii="Arial" w:hAnsi="Arial" w:cs="Arial"/>
                  <w:b/>
                  <w:sz w:val="24"/>
                  <w:szCs w:val="24"/>
                </w:rPr>
                <w:t>Alimentare cu energie electrica</w:t>
              </w:r>
              <w:r w:rsidRPr="007369A6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r w:rsidR="00173FBF" w:rsidRPr="00C206BD">
                <w:rPr>
                  <w:lang w:val="fr-FR"/>
                </w:rPr>
                <w:t>se va realiza un bransament electric trifazat</w:t>
              </w:r>
            </w:p>
            <w:p w:rsidR="00540BA8" w:rsidRPr="005E4B85" w:rsidRDefault="00173FBF" w:rsidP="00173FBF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5E4B85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</w:t>
              </w:r>
              <w:r w:rsidR="00540BA8" w:rsidRPr="005E4B85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>Aer</w:t>
              </w:r>
              <w:r w:rsidR="00540BA8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: </w:t>
              </w:r>
            </w:p>
            <w:p w:rsidR="00540BA8" w:rsidRPr="00413251" w:rsidRDefault="00540BA8" w:rsidP="00540BA8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13251">
                <w:rPr>
                  <w:rFonts w:ascii="Arial" w:hAnsi="Arial" w:cs="Arial"/>
                  <w:sz w:val="24"/>
                  <w:szCs w:val="24"/>
                </w:rPr>
                <w:t>b5) producţia de deşeuri: conform Legii nr. 211/2011</w:t>
              </w:r>
              <w:r>
                <w:rPr>
                  <w:rFonts w:ascii="Arial" w:hAnsi="Arial" w:cs="Arial"/>
                  <w:sz w:val="24"/>
                  <w:szCs w:val="24"/>
                </w:rPr>
                <w:t>(r1)</w:t>
              </w:r>
              <w:r w:rsidRPr="00413251">
                <w:rPr>
                  <w:rFonts w:ascii="Arial" w:hAnsi="Arial" w:cs="Arial"/>
                  <w:sz w:val="24"/>
                  <w:szCs w:val="24"/>
                </w:rPr>
                <w:t>, privind regimul deşeurilor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cu modificarile ulterioare</w:t>
              </w:r>
              <w:r w:rsidRPr="00413251">
                <w:rPr>
                  <w:rFonts w:ascii="Arial" w:hAnsi="Arial" w:cs="Arial"/>
                  <w:sz w:val="24"/>
                  <w:szCs w:val="24"/>
                </w:rPr>
                <w:t xml:space="preserve">: - în perioada de execuţie a proiectului vor rezulta deşeuri, care vor fi colectate selectiv și se vor valorifica/elimina numai prin operatori economici autorizați; </w:t>
              </w:r>
            </w:p>
            <w:p w:rsidR="00540BA8" w:rsidRPr="00FE0B4B" w:rsidRDefault="00540BA8" w:rsidP="00540BA8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13251">
                <w:rPr>
                  <w:rFonts w:ascii="Arial" w:hAnsi="Arial" w:cs="Arial"/>
                  <w:sz w:val="24"/>
                  <w:szCs w:val="24"/>
                </w:rPr>
                <w:t>- lucrările necesare organizării de şantier: organizarea de şantier va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consta în depozitări temporare de materiale şi asigurarea mijloacelor umane.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540BA8" w:rsidRPr="00FE0B4B" w:rsidRDefault="00540BA8" w:rsidP="00540BA8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b6) emisiile poluante, inclusiv zgomotul şi alte surse de disconfort: se vor respecta limitele prevăzute de normele în vigoare; </w:t>
              </w:r>
            </w:p>
            <w:p w:rsidR="00540BA8" w:rsidRDefault="00540BA8" w:rsidP="00540BA8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b7) riscul de accident, ţinându-se seama în special de substanţele şi tehnologiile utilizate: </w:t>
              </w:r>
            </w:p>
            <w:p w:rsidR="00540BA8" w:rsidRPr="007369A6" w:rsidRDefault="00540BA8" w:rsidP="00540BA8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- se vor respecta prevederile legislaţiei specifice în domeniul protecţiei mediului, OUG nr. 195/2005 privind protecţia mediului aprobată prin Legea nr. 265/2006 cu modifică</w:t>
              </w:r>
              <w:r>
                <w:rPr>
                  <w:rFonts w:ascii="Arial" w:hAnsi="Arial" w:cs="Arial"/>
                  <w:sz w:val="24"/>
                  <w:szCs w:val="24"/>
                </w:rPr>
                <w:t>rile şi completările ulterioare.</w:t>
              </w:r>
            </w:p>
            <w:p w:rsidR="00540BA8" w:rsidRPr="00FE0B4B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c) Localizarea proiectului:.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</w:t>
              </w:r>
              <w:r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 xml:space="preserve">utilizarea existentă a terenului: conform certificatului de urbanism nr. </w:t>
              </w:r>
              <w:r w:rsidR="00173FBF"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>49/29.08.2016</w:t>
              </w:r>
              <w:r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 xml:space="preserve"> emis de </w:t>
              </w:r>
              <w:r w:rsidR="00173FBF"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>Primaria Comunei Crasna</w:t>
              </w:r>
              <w:r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>,</w:t>
              </w:r>
              <w:r w:rsidR="0022008C"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 xml:space="preserve"> si Hotararii nr. 38/27.06.2017 privind aprobarea documentatiei PUZ</w:t>
              </w:r>
              <w:r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 xml:space="preserve"> terenul este situate in intravilanul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localitatii avand categoria de folosinta arabil;. 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c2) relativa abundenţă a resurselor naturale din zonă, calitatea şi capacitatea regenerativă a acestora: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nu este cazul; 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c3) capacitatea de absorbţie a mediului:  nu este cazul;</w:t>
              </w:r>
            </w:p>
            <w:p w:rsidR="00540BA8" w:rsidRPr="00FE0B4B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d) Caracteristicile impactului potenţial: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d1) extinderea impactului, aria geografică şi numărul persoanelor afectate:  punctual pe perioada de execuţie;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natura transfrontieră a impactului:- nu este cazul; </w:t>
              </w:r>
            </w:p>
            <w:p w:rsidR="00540BA8" w:rsidRPr="00FE0B4B" w:rsidRDefault="00540BA8" w:rsidP="00540BA8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</w:r>
            </w:p>
            <w:p w:rsidR="00540BA8" w:rsidRPr="00FE0B4B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probabilitatea impactului:  redusă, pe perioada de execuţie şi funcţionare; </w:t>
              </w:r>
            </w:p>
            <w:p w:rsidR="00540BA8" w:rsidRPr="00450628" w:rsidRDefault="00540BA8" w:rsidP="00540B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va fi temporar. Pe măsura realizării lucrărilor şi închiderii fronturilor de lucru, calitatea factorilor de mediu afectaţi va reveni la parametrii iniţiali. </w:t>
              </w:r>
            </w:p>
            <w:p w:rsidR="00540BA8" w:rsidRPr="00086450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540BA8" w:rsidRPr="00086450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 xml:space="preserve">  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540BA8" w:rsidRPr="00086450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2.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</w:r>
            </w:p>
            <w:p w:rsidR="00540BA8" w:rsidRPr="00B94686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3.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540BA8" w:rsidRPr="00B94686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4.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actelor/avizelor emise de alte autorităţi pentru prezentul proiect.</w:t>
              </w:r>
            </w:p>
            <w:p w:rsidR="00540BA8" w:rsidRPr="00B94686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5.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Realizarea reţelelor de canalizare etanşe pentru a preveni poluarea solului şi a pânzei freatice.</w:t>
              </w:r>
            </w:p>
            <w:p w:rsidR="00540BA8" w:rsidRPr="00B94686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6.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 xml:space="preserve">Respectarea prevederilor </w:t>
              </w:r>
              <w:r>
                <w:rPr>
                  <w:rFonts w:ascii="Arial" w:hAnsi="Arial" w:cs="Arial"/>
                  <w:sz w:val="24"/>
                  <w:szCs w:val="24"/>
                </w:rPr>
                <w:t>Ord. 119/2014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, privind nivelul de zgomot.</w:t>
              </w:r>
            </w:p>
            <w:p w:rsidR="00540BA8" w:rsidRPr="00B94686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7.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Interzicerea depozitării direct pe sol a deşeurilor sau a materialelor cu pericol de poluare.</w:t>
              </w:r>
            </w:p>
            <w:p w:rsidR="00540BA8" w:rsidRPr="00086450" w:rsidRDefault="00540BA8" w:rsidP="00540BA8">
              <w:pPr>
                <w:autoSpaceDE w:val="0"/>
                <w:autoSpaceDN w:val="0"/>
                <w:adjustRightInd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86450">
                <w:rPr>
                  <w:rFonts w:ascii="Arial" w:hAnsi="Arial" w:cs="Arial"/>
                  <w:sz w:val="24"/>
                  <w:szCs w:val="24"/>
                </w:rPr>
    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540BA8" w:rsidRPr="00086450" w:rsidRDefault="00540BA8" w:rsidP="00540BA8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>i/sau constructorul în cazul producerii unor accidente în timpul execuţiei lucr</w:t>
              </w:r>
              <w:r>
                <w:rPr>
                  <w:rFonts w:ascii="Arial" w:hAnsi="Arial" w:cs="Arial"/>
                  <w:sz w:val="24"/>
                  <w:szCs w:val="24"/>
                </w:rPr>
                <w:t>ărilor sau exploatării acestora.</w:t>
              </w:r>
            </w:p>
            <w:p w:rsidR="00540BA8" w:rsidRPr="0084219C" w:rsidRDefault="00540BA8" w:rsidP="00540BA8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540BA8" w:rsidRPr="00522DB9" w:rsidRDefault="00540BA8" w:rsidP="00540BA8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84219C">
                <w:rPr>
                  <w:rFonts w:ascii="Arial" w:hAnsi="Arial" w:cs="Arial"/>
                  <w:b/>
                  <w:sz w:val="24"/>
                  <w:szCs w:val="24"/>
                </w:rPr>
                <w:t>In sedinta CAT din 08.05.2017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s-au solicitat urmatoarele acte/avize: punct de vedere Cultura; aviz Compania de Apa, acord tehnic ANIF, aviz amplasare in parcela IGSU;</w:t>
              </w:r>
            </w:p>
          </w:sdtContent>
        </w:sdt>
        <w:p w:rsidR="00522DB9" w:rsidRPr="00522DB9" w:rsidRDefault="006D0193" w:rsidP="00540B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6D019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6D019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D019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D019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D019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6D019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6D019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6D019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6D019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6D019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6D019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6D019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6D019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6D019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6D019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D019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D019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D019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D019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D019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D019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FC" w:rsidRDefault="001744FC" w:rsidP="001744FC">
      <w:pPr>
        <w:spacing w:after="0" w:line="240" w:lineRule="auto"/>
      </w:pPr>
      <w:r>
        <w:separator/>
      </w:r>
    </w:p>
  </w:endnote>
  <w:endnote w:type="continuationSeparator" w:id="0">
    <w:p w:rsidR="001744FC" w:rsidRDefault="001744FC" w:rsidP="0017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744F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01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19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D019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40E" w:rsidRPr="00702379" w:rsidRDefault="00AC040E" w:rsidP="00AC040E">
        <w:pPr>
          <w:pStyle w:val="Header"/>
          <w:tabs>
            <w:tab w:val="clear" w:pos="4680"/>
          </w:tabs>
          <w:ind w:right="360"/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6" DrawAspect="Content" ObjectID="_1560860337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7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AC040E" w:rsidRPr="00702379" w:rsidRDefault="00AC040E" w:rsidP="00AC04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AC040E" w:rsidRDefault="00AC040E" w:rsidP="00AC04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00776D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C44321" w:rsidRDefault="00AC040E" w:rsidP="00AC040E">
        <w:pPr>
          <w:pStyle w:val="Footer"/>
          <w:pBdr>
            <w:top w:val="single" w:sz="4" w:space="1" w:color="auto"/>
          </w:pBdr>
          <w:jc w:val="center"/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6D0193">
          <w:t xml:space="preserve"> </w:t>
        </w:r>
        <w:r w:rsidR="001744FC">
          <w:fldChar w:fldCharType="begin"/>
        </w:r>
        <w:r w:rsidR="006D0193">
          <w:instrText xml:space="preserve"> PAGE   \* MERGEFORMAT </w:instrText>
        </w:r>
        <w:r w:rsidR="001744FC">
          <w:fldChar w:fldCharType="separate"/>
        </w:r>
        <w:r w:rsidR="006D0193">
          <w:rPr>
            <w:noProof/>
          </w:rPr>
          <w:t>5</w:t>
        </w:r>
        <w:r w:rsidR="001744F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AC040E" w:rsidRPr="00702379" w:rsidRDefault="00AC040E" w:rsidP="00AC040E">
        <w:pPr>
          <w:pStyle w:val="Header"/>
          <w:tabs>
            <w:tab w:val="clear" w:pos="4680"/>
          </w:tabs>
          <w:ind w:right="360"/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8" DrawAspect="Content" ObjectID="_1560860338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9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AC040E" w:rsidRPr="00702379" w:rsidRDefault="00AC040E" w:rsidP="00AC04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AC040E" w:rsidRDefault="00AC040E" w:rsidP="00AC040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00776D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992A14" w:rsidRDefault="00AC040E" w:rsidP="00AC040E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FC" w:rsidRDefault="001744FC" w:rsidP="001744FC">
      <w:pPr>
        <w:spacing w:after="0" w:line="240" w:lineRule="auto"/>
      </w:pPr>
      <w:r>
        <w:separator/>
      </w:r>
    </w:p>
  </w:footnote>
  <w:footnote w:type="continuationSeparator" w:id="0">
    <w:p w:rsidR="001744FC" w:rsidRDefault="001744FC" w:rsidP="0017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744F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744F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0860336" r:id="rId2"/>
      </w:pict>
    </w:r>
    <w:r w:rsidR="006D019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D019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D019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744F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D019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D019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D019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D019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744F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D019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D019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6D019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33C798F"/>
    <w:multiLevelType w:val="hybridMultilevel"/>
    <w:tmpl w:val="0488317A"/>
    <w:lvl w:ilvl="0" w:tplc="09CC2EBA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S3wm7lMbC6w04slvXHGy9sVak4=" w:salt="BpNkYTtV0IO36A2loX98y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  <o:r id="V:Rule4" type="connector" idref="#_x0000_s2097"/>
        <o:r id="V:Rule5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44FC"/>
    <w:rsid w:val="00173FBF"/>
    <w:rsid w:val="001744FC"/>
    <w:rsid w:val="0022008C"/>
    <w:rsid w:val="00540BA8"/>
    <w:rsid w:val="00601D96"/>
    <w:rsid w:val="006D0193"/>
    <w:rsid w:val="00AC040E"/>
    <w:rsid w:val="00B8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uiPriority w:val="99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aliases w:val="Text simplu aliniat"/>
    <w:next w:val="Heading1"/>
    <w:uiPriority w:val="1"/>
    <w:qFormat/>
    <w:rsid w:val="00601D96"/>
    <w:pPr>
      <w:spacing w:line="276" w:lineRule="auto"/>
      <w:ind w:left="426" w:firstLine="567"/>
    </w:pPr>
    <w:rPr>
      <w:rFonts w:ascii="Times New Roman" w:hAnsi="Times New Roman"/>
      <w:sz w:val="24"/>
      <w:szCs w:val="22"/>
      <w:lang w:eastAsia="en-US"/>
    </w:rPr>
  </w:style>
  <w:style w:type="paragraph" w:customStyle="1" w:styleId="Style4">
    <w:name w:val="Style4"/>
    <w:basedOn w:val="Normal"/>
    <w:rsid w:val="00540BA8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540BA8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B27217A3D91B445C9EC249F7EB13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6BEA-BFF5-45DE-967D-6C8C3433143D}"/>
      </w:docPartPr>
      <w:docPartBody>
        <w:p w:rsidR="00000000" w:rsidRDefault="003B7815" w:rsidP="003B7815">
          <w:pPr>
            <w:pStyle w:val="B27217A3D91B445C9EC249F7EB137743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B7815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1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B27217A3D91B445C9EC249F7EB137743">
    <w:name w:val="B27217A3D91B445C9EC249F7EB137743"/>
    <w:rsid w:val="003B78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3f124e4-f29c-4644-8db8-8173d29a6aed","Numar":null,"Data":null,"NumarActReglementareInitial":null,"DataActReglementareInitial":null,"DataInceput":null,"DataSfarsit":null,"Durata":null,"PunctLucruId":395997.0,"TipActId":4.0,"NumarCerere":null,"DataCerere":null,"NumarCerereScriptic":"3658","DataCerereScriptic":"2017-06-23T00:00:00","CodFiscal":null,"SordId":"(002205C8-714D-BBF7-91A2-80E646B2482F)","SablonSordId":"(8B66777B-56B9-65A9-2773-1FA4A6BC21FB)","DosarSordId":"4304254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606, Crasna 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F164D05-92CD-4773-A2D9-6FA126F066C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0CDA0AFC-0A12-45FB-9945-663ABF35799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2C4A26D-3793-4F0C-BCF0-3E371BE4B2A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E66A3F6-0C8B-4513-81F5-88308FBB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1473</Words>
  <Characters>8397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9851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9</cp:revision>
  <cp:lastPrinted>2014-04-25T12:16:00Z</cp:lastPrinted>
  <dcterms:created xsi:type="dcterms:W3CDTF">2015-10-26T07:49:00Z</dcterms:created>
  <dcterms:modified xsi:type="dcterms:W3CDTF">2017-07-06T12:31:00Z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Vincze Erzsebet Lenke PFA</vt:lpwstr>
  </property>
  <property fmtid="{D5CDD505-2E9C-101B-9397-08002B2CF9AE}" pid="5" name="SordId">
    <vt:lpwstr>(002205C8-714D-BBF7-91A2-80E646B2482F)</vt:lpwstr>
  </property>
  <property fmtid="{D5CDD505-2E9C-101B-9397-08002B2CF9AE}" pid="6" name="VersiuneDocument">
    <vt:lpwstr>7</vt:lpwstr>
  </property>
  <property fmtid="{D5CDD505-2E9C-101B-9397-08002B2CF9AE}" pid="7" name="RuntimeGuid">
    <vt:lpwstr>bf2a6b46-9619-415a-8eb1-9a9f5b7d32e0</vt:lpwstr>
  </property>
  <property fmtid="{D5CDD505-2E9C-101B-9397-08002B2CF9AE}" pid="8" name="PunctLucruId">
    <vt:lpwstr>395997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4304254</vt:lpwstr>
  </property>
  <property fmtid="{D5CDD505-2E9C-101B-9397-08002B2CF9AE}" pid="11" name="DosarCerereSordId">
    <vt:lpwstr>4277288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d3f124e4-f29c-4644-8db8-8173d29a6aed</vt:lpwstr>
  </property>
  <property fmtid="{D5CDD505-2E9C-101B-9397-08002B2CF9AE}" pid="16" name="CommitRoles">
    <vt:lpwstr>false</vt:lpwstr>
  </property>
</Properties>
</file>