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C21E0" w:rsidP="002A0D13">
      <w:pPr>
        <w:spacing w:after="0" w:line="240" w:lineRule="auto"/>
        <w:jc w:val="both"/>
        <w:rPr>
          <w:rFonts w:ascii="Times New Roman" w:hAnsi="Times New Roman"/>
          <w:b/>
          <w:bCs/>
          <w:sz w:val="28"/>
          <w:szCs w:val="28"/>
          <w:lang w:val="ro-RO"/>
        </w:rPr>
      </w:pPr>
    </w:p>
    <w:p w:rsidR="00240AAF" w:rsidRPr="00064581" w:rsidRDefault="002C21E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C21E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C21E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8-22T00:00:00Z">
            <w:dateFormat w:val="dd.MM.yyyy"/>
            <w:lid w:val="ro-RO"/>
            <w:storeMappedDataAs w:val="dateTime"/>
            <w:calendar w:val="gregorian"/>
          </w:date>
        </w:sdtPr>
        <w:sdtContent>
          <w:r w:rsidR="005912D4">
            <w:rPr>
              <w:rFonts w:ascii="Arial" w:hAnsi="Arial" w:cs="Arial"/>
              <w:i w:val="0"/>
              <w:lang w:val="ro-RO"/>
            </w:rPr>
            <w:t>22.08.2017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5912D4"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C21E0" w:rsidP="00074A9F">
          <w:pPr>
            <w:spacing w:after="120" w:line="240" w:lineRule="auto"/>
            <w:jc w:val="center"/>
            <w:rPr>
              <w:lang w:val="ro-RO"/>
            </w:rPr>
          </w:pPr>
          <w:r>
            <w:rPr>
              <w:lang w:val="ro-RO"/>
            </w:rPr>
            <w:t xml:space="preserve"> </w:t>
          </w:r>
        </w:p>
      </w:sdtContent>
    </w:sdt>
    <w:p w:rsidR="00AC0360" w:rsidRDefault="002C21E0" w:rsidP="00F6328D">
      <w:pPr>
        <w:autoSpaceDE w:val="0"/>
        <w:spacing w:after="0" w:line="240" w:lineRule="auto"/>
        <w:jc w:val="both"/>
        <w:rPr>
          <w:rFonts w:ascii="Arial" w:hAnsi="Arial" w:cs="Arial"/>
          <w:sz w:val="24"/>
          <w:szCs w:val="24"/>
          <w:lang w:val="ro-RO"/>
        </w:rPr>
      </w:pPr>
    </w:p>
    <w:p w:rsidR="00AC0360" w:rsidRDefault="002C21E0" w:rsidP="00F6328D">
      <w:pPr>
        <w:autoSpaceDE w:val="0"/>
        <w:spacing w:after="0" w:line="240" w:lineRule="auto"/>
        <w:jc w:val="both"/>
        <w:rPr>
          <w:rFonts w:ascii="Arial" w:hAnsi="Arial" w:cs="Arial"/>
          <w:sz w:val="24"/>
          <w:szCs w:val="24"/>
          <w:lang w:val="ro-RO"/>
        </w:rPr>
      </w:pPr>
    </w:p>
    <w:p w:rsidR="00595382" w:rsidRDefault="002C21E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912D4">
            <w:rPr>
              <w:rFonts w:ascii="Arial" w:hAnsi="Arial" w:cs="Arial"/>
              <w:b/>
              <w:sz w:val="24"/>
              <w:szCs w:val="24"/>
              <w:lang w:val="ro-RO"/>
            </w:rPr>
            <w:t>SC OMV PETROM SA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912D4">
            <w:rPr>
              <w:rFonts w:ascii="Arial" w:hAnsi="Arial" w:cs="Arial"/>
              <w:sz w:val="24"/>
              <w:szCs w:val="24"/>
              <w:lang w:val="ro-RO"/>
            </w:rPr>
            <w:t>Str. Coralilor, Nr. 22,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5912D4">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912D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912D4">
            <w:rPr>
              <w:rFonts w:ascii="Arial" w:hAnsi="Arial" w:cs="Arial"/>
              <w:sz w:val="24"/>
              <w:szCs w:val="24"/>
              <w:lang w:val="ro-RO"/>
            </w:rPr>
            <w:t>3924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06T00:00:00Z">
            <w:dateFormat w:val="dd.MM.yyyy"/>
            <w:lid w:val="ro-RO"/>
            <w:storeMappedDataAs w:val="dateTime"/>
            <w:calendar w:val="gregorian"/>
          </w:date>
        </w:sdtPr>
        <w:sdtContent>
          <w:r w:rsidR="005912D4">
            <w:rPr>
              <w:rFonts w:ascii="Arial" w:hAnsi="Arial" w:cs="Arial"/>
              <w:spacing w:val="-6"/>
              <w:sz w:val="24"/>
              <w:szCs w:val="24"/>
              <w:lang w:val="ro-RO"/>
            </w:rPr>
            <w:t>06.07.2017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C21E0"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912D4" w:rsidRDefault="002C21E0"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2C21E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912D4">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5912D4">
            <w:rPr>
              <w:rFonts w:ascii="Arial" w:hAnsi="Arial" w:cs="Arial"/>
              <w:sz w:val="24"/>
              <w:szCs w:val="24"/>
              <w:lang w:val="ro-RO"/>
            </w:rPr>
            <w:t>21.08.2017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5912D4" w:rsidRPr="005912D4">
            <w:rPr>
              <w:rFonts w:ascii="Arial" w:hAnsi="Arial" w:cs="Arial"/>
              <w:b/>
              <w:i/>
              <w:sz w:val="24"/>
              <w:szCs w:val="24"/>
              <w:lang w:val="ro-RO"/>
            </w:rPr>
            <w:t xml:space="preserve">Forajul și echiparea sondei 4294, 2703, 4287, 4289, </w:t>
          </w:r>
          <w:r w:rsidR="005912D4" w:rsidRPr="005912D4">
            <w:rPr>
              <w:rFonts w:ascii="Arial" w:hAnsi="Arial" w:cs="Arial"/>
              <w:sz w:val="24"/>
              <w:szCs w:val="24"/>
              <w:lang w:val="ro-RO"/>
            </w:rPr>
            <w:t>propus a fi amplasat în loc. Leșmir, intravilan, com. Marca, jud. Sălaj</w:t>
          </w:r>
          <w:r w:rsidR="005912D4">
            <w:rPr>
              <w:rFonts w:ascii="Arial" w:hAnsi="Arial" w:cs="Arial"/>
              <w:sz w:val="24"/>
              <w:szCs w:val="24"/>
              <w:lang w:val="ro-RO"/>
            </w:rPr>
            <w:t>,</w:t>
          </w:r>
          <w:r w:rsidR="005912D4" w:rsidRPr="005912D4">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C21E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sdt>
          <w:sdtPr>
            <w:rPr>
              <w:rFonts w:ascii="Arial" w:hAnsi="Arial" w:cs="Arial"/>
              <w:sz w:val="24"/>
              <w:szCs w:val="24"/>
            </w:rPr>
            <w:alias w:val="Câmp editabil text"/>
            <w:tag w:val="CampEditabil"/>
            <w:id w:val="5771812"/>
            <w:placeholder>
              <w:docPart w:val="3705D6558B92405095381670B03A40C1"/>
            </w:placeholder>
          </w:sdtPr>
          <w:sdtContent>
            <w:p w:rsidR="00505927" w:rsidRDefault="005912D4" w:rsidP="005912D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5912D4" w:rsidRPr="00522DB9" w:rsidRDefault="005912D4" w:rsidP="005912D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505927" w:rsidRDefault="00505927" w:rsidP="005912D4">
              <w:pPr>
                <w:autoSpaceDE w:val="0"/>
                <w:autoSpaceDN w:val="0"/>
                <w:adjustRightInd w:val="0"/>
                <w:spacing w:after="0" w:line="240" w:lineRule="auto"/>
                <w:jc w:val="both"/>
                <w:rPr>
                  <w:rFonts w:ascii="Arial" w:hAnsi="Arial" w:cs="Arial"/>
                  <w:sz w:val="24"/>
                  <w:szCs w:val="24"/>
                </w:rPr>
              </w:pPr>
            </w:p>
            <w:p w:rsidR="005912D4" w:rsidRPr="00522DB9" w:rsidRDefault="005912D4" w:rsidP="005912D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proiectul se încadrează în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anexa nr. </w:t>
              </w:r>
              <w:r w:rsidRPr="00260947">
                <w:rPr>
                  <w:rFonts w:ascii="Arial" w:hAnsi="Arial" w:cs="Arial"/>
                  <w:sz w:val="24"/>
                  <w:szCs w:val="24"/>
                  <w:lang w:val="pt-BR"/>
                </w:rPr>
                <w:t>2, pct. 2, alin. e) – instalaţii industriale de suprafaţă pentru extracţia petrolului, gazelor naturale</w:t>
              </w:r>
              <w:r w:rsidRPr="00522DB9">
                <w:rPr>
                  <w:rFonts w:ascii="Arial" w:hAnsi="Arial" w:cs="Arial"/>
                  <w:sz w:val="24"/>
                  <w:szCs w:val="24"/>
                </w:rPr>
                <w:t>;</w:t>
              </w:r>
            </w:p>
            <w:p w:rsidR="00505927" w:rsidRDefault="005912D4" w:rsidP="005912D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b) </w:t>
              </w:r>
              <w:r w:rsidRPr="00260947">
                <w:rPr>
                  <w:rFonts w:ascii="Arial" w:hAnsi="Arial" w:cs="Arial"/>
                  <w:sz w:val="24"/>
                  <w:szCs w:val="24"/>
                  <w:lang w:val="pt-BR"/>
                </w:rPr>
                <w:t>Caracteristiclie proiectului:</w:t>
              </w: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mărimea proiectului: prin proiect se propune forajul </w:t>
              </w:r>
              <w:r w:rsidR="00505927">
                <w:rPr>
                  <w:rFonts w:ascii="Arial" w:hAnsi="Arial" w:cs="Arial"/>
                  <w:sz w:val="24"/>
                  <w:szCs w:val="24"/>
                  <w:lang w:val="pt-BR"/>
                </w:rPr>
                <w:t>sondelor</w:t>
              </w:r>
              <w:r w:rsidRPr="00260947">
                <w:rPr>
                  <w:rFonts w:ascii="Arial" w:hAnsi="Arial" w:cs="Arial"/>
                  <w:sz w:val="24"/>
                  <w:szCs w:val="24"/>
                  <w:lang w:val="pt-BR"/>
                </w:rPr>
                <w:t>, de exploatare ţiţei, prin pompa</w:t>
              </w:r>
              <w:r w:rsidR="00505927">
                <w:rPr>
                  <w:rFonts w:ascii="Arial" w:hAnsi="Arial" w:cs="Arial"/>
                  <w:sz w:val="24"/>
                  <w:szCs w:val="24"/>
                  <w:lang w:val="pt-BR"/>
                </w:rPr>
                <w:t>j de adâncime, la adâncimi cuprinse între 190-250</w:t>
              </w:r>
              <w:r w:rsidRPr="00260947">
                <w:rPr>
                  <w:rFonts w:ascii="Arial" w:hAnsi="Arial" w:cs="Arial"/>
                  <w:sz w:val="24"/>
                  <w:szCs w:val="24"/>
                  <w:lang w:val="pt-BR"/>
                </w:rPr>
                <w:t xml:space="preserve"> m; se va ocupa o suprafaţă de </w:t>
              </w:r>
              <w:r w:rsidR="00505927">
                <w:rPr>
                  <w:rFonts w:ascii="Arial" w:hAnsi="Arial" w:cs="Arial"/>
                  <w:sz w:val="24"/>
                  <w:szCs w:val="24"/>
                  <w:lang w:val="pt-BR"/>
                </w:rPr>
                <w:t xml:space="preserve">2282 </w:t>
              </w:r>
              <w:r w:rsidRPr="00260947">
                <w:rPr>
                  <w:rFonts w:ascii="Arial" w:hAnsi="Arial" w:cs="Arial"/>
                  <w:sz w:val="24"/>
                  <w:szCs w:val="24"/>
                  <w:lang w:val="pt-BR"/>
                </w:rPr>
                <w:t>mp</w:t>
              </w:r>
              <w:r w:rsidR="00505927">
                <w:rPr>
                  <w:rFonts w:ascii="Arial" w:hAnsi="Arial" w:cs="Arial"/>
                  <w:sz w:val="24"/>
                  <w:szCs w:val="24"/>
                  <w:lang w:val="pt-BR"/>
                </w:rPr>
                <w:t>, din care careul sondei va ocupa 1920 mp și drum de acces 362 mp</w:t>
              </w:r>
              <w:r w:rsidRPr="00260947">
                <w:rPr>
                  <w:rFonts w:ascii="Arial" w:hAnsi="Arial" w:cs="Arial"/>
                  <w:sz w:val="24"/>
                  <w:szCs w:val="24"/>
                  <w:lang w:val="pt-BR"/>
                </w:rPr>
                <w:t xml:space="preserve">, pe aceasta suprafata nivelata si compactata se vor amplasa obiectivele: instalaţia de foraj tip </w:t>
              </w:r>
              <w:r w:rsidR="00505927">
                <w:rPr>
                  <w:rFonts w:ascii="Arial" w:hAnsi="Arial" w:cs="Arial"/>
                  <w:sz w:val="24"/>
                  <w:szCs w:val="24"/>
                  <w:lang w:val="pt-BR"/>
                </w:rPr>
                <w:t>Workover TW 40</w:t>
              </w:r>
              <w:r w:rsidRPr="00260947">
                <w:rPr>
                  <w:rFonts w:ascii="Arial" w:hAnsi="Arial" w:cs="Arial"/>
                  <w:sz w:val="24"/>
                  <w:szCs w:val="24"/>
                  <w:lang w:val="pt-BR"/>
                </w:rPr>
                <w:t xml:space="preserve">; rampă material tubular; grupuri moto-pompă; </w:t>
              </w:r>
              <w:r w:rsidR="00505927">
                <w:rPr>
                  <w:rFonts w:ascii="Arial" w:hAnsi="Arial" w:cs="Arial"/>
                  <w:sz w:val="24"/>
                  <w:szCs w:val="24"/>
                  <w:lang w:val="pt-BR"/>
                </w:rPr>
                <w:t xml:space="preserve">habă metalică cu V=5 mc, pentru depozitarea detritusului, </w:t>
              </w:r>
              <w:r w:rsidRPr="00260947">
                <w:rPr>
                  <w:rFonts w:ascii="Arial" w:hAnsi="Arial" w:cs="Arial"/>
                  <w:sz w:val="24"/>
                  <w:szCs w:val="24"/>
                  <w:lang w:val="pt-BR"/>
                </w:rPr>
                <w:t>bazin colectare ape pluviale şi reziduale ce cad pe suprafaţa careului, cu V</w:t>
              </w:r>
              <w:r w:rsidRPr="00260947">
                <w:rPr>
                  <w:rFonts w:ascii="Arial" w:hAnsi="Arial" w:cs="Arial"/>
                  <w:sz w:val="24"/>
                  <w:szCs w:val="24"/>
                  <w:lang w:val="ro-RO"/>
                </w:rPr>
                <w:t>=</w:t>
              </w:r>
              <w:r w:rsidR="00505927">
                <w:rPr>
                  <w:rFonts w:ascii="Arial" w:hAnsi="Arial" w:cs="Arial"/>
                  <w:sz w:val="24"/>
                  <w:szCs w:val="24"/>
                  <w:lang w:val="ro-RO"/>
                </w:rPr>
                <w:t>1</w:t>
              </w:r>
              <w:r w:rsidRPr="00260947">
                <w:rPr>
                  <w:rFonts w:ascii="Arial" w:hAnsi="Arial" w:cs="Arial"/>
                  <w:sz w:val="24"/>
                  <w:szCs w:val="24"/>
                  <w:lang w:val="ro-RO"/>
                </w:rPr>
                <w:t>0 mc</w:t>
              </w:r>
              <w:r w:rsidRPr="00260947">
                <w:rPr>
                  <w:rFonts w:ascii="Arial" w:hAnsi="Arial" w:cs="Arial"/>
                  <w:sz w:val="24"/>
                  <w:szCs w:val="24"/>
                  <w:lang w:val="pt-BR"/>
                </w:rPr>
                <w:t>;</w:t>
              </w:r>
              <w:r w:rsidR="00505927">
                <w:rPr>
                  <w:rFonts w:ascii="Arial" w:hAnsi="Arial" w:cs="Arial"/>
                  <w:sz w:val="24"/>
                  <w:szCs w:val="24"/>
                  <w:lang w:val="pt-BR"/>
                </w:rPr>
                <w:t xml:space="preserve"> rezervor metalic cu capacitatea de 20 mc pentru rezerva de apă PSI,                                                                                      </w:t>
              </w:r>
              <w:r w:rsidRPr="00260947">
                <w:rPr>
                  <w:rFonts w:ascii="Arial" w:hAnsi="Arial" w:cs="Arial"/>
                  <w:sz w:val="24"/>
                  <w:szCs w:val="24"/>
                  <w:lang w:val="pt-BR"/>
                </w:rPr>
                <w:t>baracamente; zona de protectie; după punerea în funcţiune pentru colectarea producţiei şi desfăşurarea procesului tehnologic, conductele de abur şi gaz nociv vor fi amplasate pe chituci de beton, iar cea de amestec va fi îngropată;</w:t>
              </w: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cumularea cu alte proiecte: în zonă se desfăşoară activităţi de foraj şi extracţie ţiţei şi sunt în derulare noi proiecte de foraj şi extracţie;</w:t>
              </w: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utilizarea resurselor naturale: se propune utilizarea următoarelor resurse naturale: balast, piatră spartă, agregate naturale, ciment, aditivi, apă, energie electrică, chimicale pentru </w:t>
              </w:r>
              <w:r w:rsidRPr="00260947">
                <w:rPr>
                  <w:rFonts w:ascii="Arial" w:hAnsi="Arial" w:cs="Arial"/>
                  <w:sz w:val="24"/>
                  <w:szCs w:val="24"/>
                  <w:lang w:val="pt-BR"/>
                </w:rPr>
                <w:lastRenderedPageBreak/>
                <w:t>prepararea fluidului de foraj, terenurile prin schimbarea categoriei de folosinţă, etc.; alimentarea cu apă potabilă folosită pentru băut şi spălat mâini, asigurată prin transport de la sursa de apă potabilă, apa tehnologică, necesară preparării fluidului de foraj şi pastei de ciment şi pentru întreţinere, asigurată prin transport de la parcurile de extracţie existente în zonă;</w:t>
              </w: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producţia de deşeuri: deşeuri tehnologice rezultate din activitate include şi deşeuri periculoase, care vor fi gestionate corespunzător: fluidul de foraj, rezultat după executarea lucrărilor de foraj se va transporta de către executant la o staţie de fluide autorizată; detritusul colectat în habe metalice etanşe va fi predat la o societate autorizată în colectare/valorificare/eliminarea acestuia; ambalajele rezultate de la substanţele necesare preparării fluidului de foraj vor fi predate la staţia de fluide furnizoare; </w:t>
              </w: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260947">
                <w:rPr>
                  <w:rFonts w:ascii="Arial" w:hAnsi="Arial" w:cs="Arial"/>
                  <w:sz w:val="24"/>
                  <w:szCs w:val="24"/>
                  <w:lang w:val="pt-BR"/>
                </w:rPr>
                <w:t xml:space="preserve">- emisiile poluante inclusiv zgomotul şi alte surse de disconfort: în urma realizării proiectului propus rezultă emisii în aer: emisii de hidrocarburi din procesul de extracţie (emisii difuze şi emisii controlate), transport şi procesare ţiţei; emisii în apa de suprafaţă şi subterană, în special produse petroliere rezultate din extracţia, transportul şi procesarea ţiţeiului, alte categorii de poluanţi emisi; </w:t>
              </w:r>
            </w:p>
            <w:p w:rsidR="005912D4" w:rsidRDefault="005912D4" w:rsidP="005912D4">
              <w:pPr>
                <w:autoSpaceDE w:val="0"/>
                <w:autoSpaceDN w:val="0"/>
                <w:adjustRightInd w:val="0"/>
                <w:spacing w:after="0" w:line="240" w:lineRule="auto"/>
                <w:jc w:val="both"/>
                <w:rPr>
                  <w:rFonts w:ascii="Arial" w:hAnsi="Arial" w:cs="Arial"/>
                  <w:sz w:val="24"/>
                  <w:szCs w:val="24"/>
                </w:rPr>
              </w:pPr>
              <w:r w:rsidRPr="00260947">
                <w:rPr>
                  <w:rFonts w:ascii="Arial" w:hAnsi="Arial" w:cs="Arial"/>
                  <w:sz w:val="24"/>
                  <w:szCs w:val="24"/>
                  <w:lang w:val="pt-BR"/>
                </w:rPr>
                <w:t>- riscul de accident, ţinându-se seama în special de substanţele şi tehnologiile utilizate: - riscuri tehnologice – nerespectarea tehnologiei de exploatare, traversarea unor strate necunoscute, cu presiuni mai mari decât presiunea coloanei de fluid de foraj, traversarea unor strate de gaze ce pot conduce la gazeificarea fluidului de foraj, ceea ce poate duce la declanşarea erupţiei</w:t>
              </w:r>
              <w:r w:rsidRPr="00522DB9">
                <w:rPr>
                  <w:rFonts w:ascii="Arial" w:hAnsi="Arial" w:cs="Arial"/>
                  <w:sz w:val="24"/>
                  <w:szCs w:val="24"/>
                </w:rPr>
                <w:t>;</w:t>
              </w:r>
            </w:p>
            <w:p w:rsidR="00505927" w:rsidRPr="00260947" w:rsidRDefault="00505927" w:rsidP="005912D4">
              <w:pPr>
                <w:autoSpaceDE w:val="0"/>
                <w:autoSpaceDN w:val="0"/>
                <w:adjustRightInd w:val="0"/>
                <w:spacing w:after="0" w:line="240" w:lineRule="auto"/>
                <w:jc w:val="both"/>
                <w:rPr>
                  <w:rFonts w:ascii="Arial" w:hAnsi="Arial" w:cs="Arial"/>
                  <w:sz w:val="24"/>
                  <w:szCs w:val="24"/>
                  <w:lang w:val="pt-BR"/>
                </w:rPr>
              </w:pPr>
            </w:p>
            <w:p w:rsidR="005912D4" w:rsidRPr="00260947" w:rsidRDefault="005912D4" w:rsidP="005912D4">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c) </w:t>
              </w:r>
              <w:r w:rsidRPr="00260947">
                <w:rPr>
                  <w:rFonts w:ascii="Arial" w:hAnsi="Arial" w:cs="Arial"/>
                  <w:sz w:val="24"/>
                  <w:szCs w:val="24"/>
                  <w:lang w:val="pt-BR"/>
                </w:rPr>
                <w:t xml:space="preserve">Localizarea proiectului: în intravilanul localităţii Leşmir, comuna Marca, jud. Sălaj, </w:t>
              </w:r>
            </w:p>
            <w:p w:rsidR="005912D4" w:rsidRPr="00260947" w:rsidRDefault="005912D4" w:rsidP="005912D4">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pt-BR"/>
                </w:rPr>
                <w:t xml:space="preserve">   -</w:t>
              </w:r>
              <w:r w:rsidRPr="00260947">
                <w:rPr>
                  <w:rFonts w:ascii="Arial" w:hAnsi="Arial" w:cs="Arial"/>
                  <w:sz w:val="24"/>
                  <w:szCs w:val="24"/>
                  <w:lang w:val="ro-RO"/>
                </w:rPr>
                <w:t xml:space="preserve"> utilizarea existentă a terenului: proiectul presupune forajul şi echiparea unei sonde de exploatare ţiţei, amplasată pe un teren intravilan, conform Certificatului de Urbanism nr. </w:t>
              </w:r>
              <w:r w:rsidR="00505927">
                <w:rPr>
                  <w:rFonts w:ascii="Arial" w:hAnsi="Arial" w:cs="Arial"/>
                  <w:sz w:val="24"/>
                  <w:szCs w:val="24"/>
                  <w:lang w:val="ro-RO"/>
                </w:rPr>
                <w:t>2</w:t>
              </w:r>
              <w:r w:rsidRPr="00260947">
                <w:rPr>
                  <w:rFonts w:ascii="Arial" w:hAnsi="Arial" w:cs="Arial"/>
                  <w:sz w:val="24"/>
                  <w:szCs w:val="24"/>
                  <w:lang w:val="ro-RO"/>
                </w:rPr>
                <w:t>1/</w:t>
              </w:r>
              <w:r w:rsidR="00505927">
                <w:rPr>
                  <w:rFonts w:ascii="Arial" w:hAnsi="Arial" w:cs="Arial"/>
                  <w:sz w:val="24"/>
                  <w:szCs w:val="24"/>
                  <w:lang w:val="ro-RO"/>
                </w:rPr>
                <w:t>20</w:t>
              </w:r>
              <w:r w:rsidRPr="00260947">
                <w:rPr>
                  <w:rFonts w:ascii="Arial" w:hAnsi="Arial" w:cs="Arial"/>
                  <w:sz w:val="24"/>
                  <w:szCs w:val="24"/>
                  <w:lang w:val="ro-RO"/>
                </w:rPr>
                <w:t>.0</w:t>
              </w:r>
              <w:r w:rsidR="00505927">
                <w:rPr>
                  <w:rFonts w:ascii="Arial" w:hAnsi="Arial" w:cs="Arial"/>
                  <w:sz w:val="24"/>
                  <w:szCs w:val="24"/>
                  <w:lang w:val="ro-RO"/>
                </w:rPr>
                <w:t>6</w:t>
              </w:r>
              <w:r w:rsidRPr="00260947">
                <w:rPr>
                  <w:rFonts w:ascii="Arial" w:hAnsi="Arial" w:cs="Arial"/>
                  <w:sz w:val="24"/>
                  <w:szCs w:val="24"/>
                  <w:lang w:val="ro-RO"/>
                </w:rPr>
                <w:t>.201</w:t>
              </w:r>
              <w:r w:rsidR="00505927">
                <w:rPr>
                  <w:rFonts w:ascii="Arial" w:hAnsi="Arial" w:cs="Arial"/>
                  <w:sz w:val="24"/>
                  <w:szCs w:val="24"/>
                  <w:lang w:val="ro-RO"/>
                </w:rPr>
                <w:t>7</w:t>
              </w:r>
              <w:r w:rsidRPr="00260947">
                <w:rPr>
                  <w:rFonts w:ascii="Arial" w:hAnsi="Arial" w:cs="Arial"/>
                  <w:sz w:val="24"/>
                  <w:szCs w:val="24"/>
                  <w:lang w:val="ro-RO"/>
                </w:rPr>
                <w:t>, eliberat de Primăria Comunei Marca;</w:t>
              </w:r>
            </w:p>
            <w:p w:rsidR="005912D4" w:rsidRPr="00260947" w:rsidRDefault="005912D4" w:rsidP="005912D4">
              <w:pPr>
                <w:autoSpaceDE w:val="0"/>
                <w:autoSpaceDN w:val="0"/>
                <w:adjustRightInd w:val="0"/>
                <w:spacing w:after="0" w:line="240" w:lineRule="auto"/>
                <w:jc w:val="both"/>
                <w:rPr>
                  <w:rFonts w:ascii="Arial" w:hAnsi="Arial" w:cs="Arial"/>
                  <w:sz w:val="24"/>
                  <w:szCs w:val="24"/>
                  <w:lang w:val="ro-RO"/>
                </w:rPr>
              </w:pPr>
              <w:r w:rsidRPr="00260947">
                <w:rPr>
                  <w:rFonts w:ascii="Arial" w:hAnsi="Arial" w:cs="Arial"/>
                  <w:sz w:val="24"/>
                  <w:szCs w:val="24"/>
                  <w:lang w:val="ro-RO"/>
                </w:rPr>
                <w:t xml:space="preserve">    - relativa abundenţă a resurselor naturale din zonă, calitatea şi capacitatea regenerativă a acestora:  nu este cazul.</w:t>
              </w:r>
            </w:p>
            <w:p w:rsidR="005912D4" w:rsidRDefault="005912D4" w:rsidP="005912D4">
              <w:pPr>
                <w:autoSpaceDE w:val="0"/>
                <w:autoSpaceDN w:val="0"/>
                <w:adjustRightInd w:val="0"/>
                <w:spacing w:after="0" w:line="240" w:lineRule="auto"/>
                <w:jc w:val="both"/>
                <w:rPr>
                  <w:rFonts w:ascii="Arial" w:hAnsi="Arial" w:cs="Arial"/>
                  <w:sz w:val="24"/>
                  <w:szCs w:val="24"/>
                </w:rPr>
              </w:pPr>
              <w:r w:rsidRPr="00260947">
                <w:rPr>
                  <w:rFonts w:ascii="Arial" w:hAnsi="Arial" w:cs="Arial"/>
                  <w:sz w:val="24"/>
                  <w:szCs w:val="24"/>
                  <w:lang w:val="ro-RO"/>
                </w:rPr>
                <w:t xml:space="preserve">d) Caracteristicile impactului potenţial: </w:t>
              </w:r>
              <w:r>
                <w:rPr>
                  <w:rFonts w:ascii="Arial" w:hAnsi="Arial" w:cs="Arial"/>
                  <w:sz w:val="24"/>
                  <w:szCs w:val="24"/>
                  <w:lang w:val="ro-RO"/>
                </w:rPr>
                <w:t>- nu este cazul</w:t>
              </w:r>
              <w:r w:rsidRPr="00522DB9">
                <w:rPr>
                  <w:rFonts w:ascii="Arial" w:hAnsi="Arial" w:cs="Arial"/>
                  <w:sz w:val="24"/>
                  <w:szCs w:val="24"/>
                </w:rPr>
                <w:t>.</w:t>
              </w:r>
            </w:p>
            <w:p w:rsidR="00505927" w:rsidRPr="00260947" w:rsidRDefault="00505927" w:rsidP="005912D4">
              <w:pPr>
                <w:autoSpaceDE w:val="0"/>
                <w:autoSpaceDN w:val="0"/>
                <w:adjustRightInd w:val="0"/>
                <w:spacing w:after="0" w:line="240" w:lineRule="auto"/>
                <w:jc w:val="both"/>
                <w:rPr>
                  <w:rFonts w:ascii="Arial" w:hAnsi="Arial" w:cs="Arial"/>
                  <w:sz w:val="24"/>
                  <w:szCs w:val="24"/>
                  <w:lang w:val="ro-RO"/>
                </w:rPr>
              </w:pPr>
            </w:p>
            <w:p w:rsidR="005912D4" w:rsidRPr="00522DB9" w:rsidRDefault="005912D4" w:rsidP="005912D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912D4" w:rsidRPr="00FF542F"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5912D4" w:rsidRPr="00FF542F"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Pr>
                  <w:rFonts w:ascii="Arial" w:hAnsi="Arial" w:cs="Arial"/>
                  <w:sz w:val="24"/>
                  <w:szCs w:val="24"/>
                  <w:lang w:val="ro-RO"/>
                </w:rPr>
                <w:t>Respectarea prevederilor din Avizul de Gospodărire a Apelor, emis de Administrația Bazinală de Apă Crișuri;</w:t>
              </w:r>
            </w:p>
            <w:p w:rsidR="005912D4"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Cunoaşterea şi urmărirea simptomelor unei manifestări eruptive; tubarea coloanelor la adâncimile de reper obligatoriu; cunoaşterea gradienţilor de fisurare şi de presiune a sondei; dotarea sondei cu capete de erupţie corespunzătoare solicitărilor maxime estimate datorită condiţiilor de strat din zonă; dotarea cu echipamente şi instalaţii de control ale proceselor tehnologice; respectarea regulamentelor de prevenire a erupţiilor.</w:t>
              </w:r>
            </w:p>
            <w:p w:rsidR="005912D4"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Transportul substanţelor periculoase utilizate la diferite operaţii, de la depozitul (staţia de preparare fluid de foraj) la punctul de lucru se va face numai cu mijloace de transport autorizate şi agrementate pentru transport substanţe periculoase conform cerinţelor HG 1175/2007 pentru aprobarea Normelor de efectuare a activităţii de transport rutier de mărfuri periculoase în România, mijloacele de transport trebuie să deţină licenţă de transport substanţe periculoase şi certificat ADR;</w:t>
              </w:r>
            </w:p>
            <w:p w:rsidR="005912D4"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Se vor respecta limitele impuse de STAS 12574/87 privind condiţiile de calitate a aerului în zonele protejate;</w:t>
              </w:r>
            </w:p>
            <w:p w:rsidR="005912D4"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lastRenderedPageBreak/>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5912D4"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5912D4" w:rsidRPr="00FF542F" w:rsidRDefault="005912D4" w:rsidP="005912D4">
              <w:pPr>
                <w:pStyle w:val="ListParagraph"/>
                <w:numPr>
                  <w:ilvl w:val="0"/>
                  <w:numId w:val="63"/>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5912D4" w:rsidRDefault="005912D4" w:rsidP="005912D4">
              <w:pPr>
                <w:spacing w:after="0" w:line="240" w:lineRule="auto"/>
                <w:ind w:firstLine="360"/>
                <w:jc w:val="both"/>
                <w:rPr>
                  <w:rFonts w:ascii="Arial" w:hAnsi="Arial" w:cs="Arial"/>
                  <w:iCs/>
                  <w:sz w:val="24"/>
                  <w:szCs w:val="24"/>
                  <w:lang w:val="ro-RO"/>
                </w:rPr>
              </w:pPr>
              <w:r w:rsidRPr="00260947">
                <w:rPr>
                  <w:rFonts w:ascii="Arial" w:hAnsi="Arial" w:cs="Arial"/>
                  <w:iCs/>
                  <w:sz w:val="24"/>
                  <w:szCs w:val="24"/>
                  <w:lang w:val="ro-RO"/>
                </w:rPr>
                <w:t>•  Deşeurile rezultate, indiferent de natura lor se vor gestiona în conformitate cu prevederile Legii 211 din 2011, privind regimul deşeurilor;</w:t>
              </w:r>
            </w:p>
            <w:p w:rsidR="005912D4"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Monitorizarea gestiunii deşeurilor prin respectarea H.G. nr. 856/2002 privind evidenţa gestiunii deşeurilor şi pentru aprobarea listei cuprinzând deşeurile, inclusiv deşeurile periculoase;</w:t>
              </w:r>
            </w:p>
            <w:p w:rsidR="005912D4"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Respectarea H.G. nr. 1403/2007 privind refacerea zonelor în care solul, subsolul, şi ecosistemele terestre au fost afectate;</w:t>
              </w:r>
            </w:p>
            <w:p w:rsidR="005912D4"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Depozitarea şi manipularea substanţelor chimice utilizate cu respectarea prevederilor Legii nr. 360/2003, privind regimul substanţelor şi preparatelor chimice periculoase, modificată şi completată prin Legea nr.263/2005 ;</w:t>
              </w:r>
            </w:p>
            <w:p w:rsidR="005912D4"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Ţinerea evidenţei cantităţilor de substanţe periculoase stocate (dacă este cazul) şi consumate ;</w:t>
              </w:r>
            </w:p>
            <w:p w:rsidR="005912D4"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Respectarea  Hotărârii  Guvernului nr. 621 din  23.06.2005  privind  gestionarea ambalajelor şi a deşeurilor din ambalaje;</w:t>
              </w:r>
            </w:p>
            <w:p w:rsidR="005912D4" w:rsidRPr="00FF542F"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iCs/>
                  <w:sz w:val="24"/>
                  <w:szCs w:val="24"/>
                  <w:lang w:val="ro-RO"/>
                </w:rPr>
                <w:t>Repararea utilajelor şi a mijloacelor de transport şi schimbul de ulei se va face numai în incinte autorizate</w:t>
              </w:r>
              <w:r w:rsidRPr="00FF542F">
                <w:rPr>
                  <w:rFonts w:ascii="Arial" w:hAnsi="Arial" w:cs="Arial"/>
                  <w:sz w:val="24"/>
                  <w:szCs w:val="24"/>
                  <w:lang w:val="ro-RO"/>
                </w:rPr>
                <w:t xml:space="preserve">; </w:t>
              </w:r>
            </w:p>
            <w:p w:rsidR="005912D4" w:rsidRPr="00FF542F" w:rsidRDefault="005912D4" w:rsidP="005912D4">
              <w:pPr>
                <w:pStyle w:val="ListParagraph"/>
                <w:numPr>
                  <w:ilvl w:val="0"/>
                  <w:numId w:val="64"/>
                </w:numPr>
                <w:spacing w:after="0" w:line="240" w:lineRule="auto"/>
                <w:ind w:left="0" w:firstLine="360"/>
                <w:jc w:val="both"/>
                <w:rPr>
                  <w:rStyle w:val="FontStyle23"/>
                  <w:iCs/>
                  <w:sz w:val="24"/>
                  <w:szCs w:val="24"/>
                  <w:lang w:val="ro-RO"/>
                </w:rPr>
              </w:pPr>
              <w:r w:rsidRPr="00FF542F">
                <w:rPr>
                  <w:rStyle w:val="FontStyle23"/>
                  <w:sz w:val="24"/>
                  <w:szCs w:val="24"/>
                  <w:lang w:val="ro-RO" w:eastAsia="ro-RO"/>
                </w:rPr>
                <w:t>Respectarea prevederilor OUG nr. 195/2005 privind protecţia mediului, aprobată cu modificări de Legea nr. 265/2006, modificată de OUG nr. 57/2007 , OUG nr. 114/2007 şi OUG nr. 164/2008</w:t>
              </w:r>
            </w:p>
            <w:p w:rsidR="005912D4" w:rsidRPr="00FF542F"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eastAsia="MS Mincho" w:hAnsi="Arial" w:cs="Arial"/>
                  <w:sz w:val="24"/>
                  <w:szCs w:val="24"/>
                  <w:lang w:val="ro-RO" w:eastAsia="ja-JP" w:bidi="he-IL"/>
                </w:rPr>
                <w:t>A</w:t>
              </w:r>
              <w:r w:rsidRPr="00FF542F">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5912D4" w:rsidRPr="00FF542F"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Respectarea prevederilor actelor/avizelor emise de alte autorităţi pentru prezentul proiect;</w:t>
              </w:r>
            </w:p>
            <w:p w:rsidR="005912D4" w:rsidRPr="00FF542F"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Respectarea prevederilor STAS 10009/1988, privind nivelul de zgomot.</w:t>
              </w:r>
            </w:p>
            <w:p w:rsidR="005912D4" w:rsidRPr="00FF542F" w:rsidRDefault="005912D4" w:rsidP="005912D4">
              <w:pPr>
                <w:pStyle w:val="ListParagraph"/>
                <w:numPr>
                  <w:ilvl w:val="0"/>
                  <w:numId w:val="64"/>
                </w:numPr>
                <w:spacing w:after="0" w:line="240" w:lineRule="auto"/>
                <w:ind w:left="0" w:firstLine="360"/>
                <w:jc w:val="both"/>
                <w:rPr>
                  <w:rFonts w:ascii="Arial" w:hAnsi="Arial" w:cs="Arial"/>
                  <w:iCs/>
                  <w:sz w:val="24"/>
                  <w:szCs w:val="24"/>
                  <w:lang w:val="ro-RO"/>
                </w:rPr>
              </w:pPr>
              <w:r w:rsidRPr="00FF542F">
                <w:rPr>
                  <w:rFonts w:ascii="Arial" w:hAnsi="Arial" w:cs="Arial"/>
                  <w:sz w:val="24"/>
                  <w:szCs w:val="24"/>
                  <w:lang w:val="ro-RO"/>
                </w:rPr>
                <w:t>Conform prevederilor Ord. 1798/2007, titularul are obligaţia ca la finalizarea investitiei şi la punerea în funcţiune a obiectivului să solicite şi să obţină autorizaţia de mediu</w:t>
              </w:r>
            </w:p>
            <w:p w:rsidR="00505927" w:rsidRDefault="00505927" w:rsidP="005912D4">
              <w:pPr>
                <w:spacing w:after="0" w:line="240" w:lineRule="auto"/>
                <w:ind w:firstLine="720"/>
                <w:jc w:val="both"/>
                <w:rPr>
                  <w:rFonts w:ascii="Arial" w:hAnsi="Arial" w:cs="Arial"/>
                  <w:sz w:val="24"/>
                  <w:szCs w:val="24"/>
                  <w:lang w:val="ro-RO"/>
                </w:rPr>
              </w:pPr>
            </w:p>
            <w:p w:rsidR="005912D4" w:rsidRPr="00260947" w:rsidRDefault="005912D4" w:rsidP="005912D4">
              <w:pPr>
                <w:spacing w:after="0" w:line="240" w:lineRule="auto"/>
                <w:ind w:firstLine="720"/>
                <w:jc w:val="both"/>
                <w:rPr>
                  <w:rFonts w:ascii="Arial" w:hAnsi="Arial" w:cs="Arial"/>
                  <w:sz w:val="24"/>
                  <w:szCs w:val="24"/>
                  <w:lang w:val="ro-RO"/>
                </w:rPr>
              </w:pPr>
              <w:r w:rsidRPr="00260947">
                <w:rPr>
                  <w:rFonts w:ascii="Arial" w:hAnsi="Arial" w:cs="Arial"/>
                  <w:sz w:val="24"/>
                  <w:szCs w:val="24"/>
                  <w:lang w:val="ro-RO"/>
                </w:rPr>
                <w:t>Pentru obţinerea autorizaţiei de construire se vor obţine actele/avizele stabilite în certificatul de urbanism şi cele solicitate de către membrii CAT:</w:t>
              </w:r>
            </w:p>
            <w:p w:rsidR="005912D4" w:rsidRPr="00260947" w:rsidRDefault="005912D4" w:rsidP="005912D4">
              <w:pPr>
                <w:numPr>
                  <w:ilvl w:val="0"/>
                  <w:numId w:val="65"/>
                </w:numPr>
                <w:spacing w:after="0" w:line="240" w:lineRule="auto"/>
                <w:jc w:val="both"/>
                <w:rPr>
                  <w:rFonts w:ascii="Arial" w:hAnsi="Arial" w:cs="Arial"/>
                  <w:sz w:val="24"/>
                  <w:szCs w:val="24"/>
                  <w:lang w:val="ro-RO"/>
                </w:rPr>
              </w:pPr>
              <w:r>
                <w:rPr>
                  <w:rFonts w:ascii="Arial" w:hAnsi="Arial" w:cs="Arial"/>
                  <w:sz w:val="24"/>
                  <w:szCs w:val="24"/>
                  <w:lang w:val="ro-RO"/>
                </w:rPr>
                <w:t>– punct de vedere DJC Sălaj</w:t>
              </w:r>
              <w:r w:rsidRPr="00260947">
                <w:rPr>
                  <w:rFonts w:ascii="Arial" w:hAnsi="Arial" w:cs="Arial"/>
                  <w:sz w:val="24"/>
                  <w:szCs w:val="24"/>
                  <w:lang w:val="ro-RO"/>
                </w:rPr>
                <w:t>;</w:t>
              </w:r>
            </w:p>
            <w:p w:rsidR="005912D4" w:rsidRDefault="005912D4" w:rsidP="005912D4">
              <w:pPr>
                <w:numPr>
                  <w:ilvl w:val="0"/>
                  <w:numId w:val="65"/>
                </w:num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60947">
                <w:rPr>
                  <w:rFonts w:ascii="Arial" w:hAnsi="Arial" w:cs="Arial"/>
                  <w:sz w:val="24"/>
                  <w:szCs w:val="24"/>
                  <w:lang w:val="ro-RO"/>
                </w:rPr>
                <w:t>aviz OSPA - clasa de calitate;</w:t>
              </w:r>
            </w:p>
            <w:p w:rsidR="005912D4" w:rsidRPr="00260947" w:rsidRDefault="005912D4" w:rsidP="005912D4">
              <w:pPr>
                <w:numPr>
                  <w:ilvl w:val="0"/>
                  <w:numId w:val="65"/>
                </w:numPr>
                <w:spacing w:after="0" w:line="240" w:lineRule="auto"/>
                <w:jc w:val="both"/>
                <w:rPr>
                  <w:rFonts w:ascii="Arial" w:hAnsi="Arial" w:cs="Arial"/>
                  <w:sz w:val="24"/>
                  <w:szCs w:val="24"/>
                  <w:lang w:val="ro-RO"/>
                </w:rPr>
              </w:pPr>
              <w:r>
                <w:rPr>
                  <w:rFonts w:ascii="Arial" w:hAnsi="Arial" w:cs="Arial"/>
                  <w:sz w:val="24"/>
                  <w:szCs w:val="24"/>
                  <w:lang w:val="ro-RO"/>
                </w:rPr>
                <w:t>– act de reglementare SGA Crișuri.</w:t>
              </w:r>
            </w:p>
            <w:p w:rsidR="00505927" w:rsidRDefault="00505927" w:rsidP="00505927">
              <w:pPr>
                <w:spacing w:after="0"/>
                <w:ind w:left="720"/>
                <w:jc w:val="both"/>
                <w:rPr>
                  <w:rFonts w:ascii="Arial" w:eastAsia="MS Mincho" w:hAnsi="Arial" w:cs="Arial"/>
                  <w:b/>
                  <w:bCs/>
                  <w:i/>
                  <w:iCs/>
                  <w:sz w:val="24"/>
                  <w:szCs w:val="24"/>
                  <w:lang w:val="ro-RO" w:eastAsia="ja-JP" w:bidi="he-IL"/>
                </w:rPr>
              </w:pPr>
            </w:p>
            <w:p w:rsidR="005912D4" w:rsidRPr="00260947" w:rsidRDefault="005912D4" w:rsidP="00182327">
              <w:pPr>
                <w:spacing w:after="0"/>
                <w:ind w:firstLine="720"/>
                <w:jc w:val="both"/>
                <w:rPr>
                  <w:rFonts w:ascii="Arial" w:eastAsia="MS Mincho" w:hAnsi="Arial" w:cs="Arial"/>
                  <w:b/>
                  <w:bCs/>
                  <w:i/>
                  <w:iCs/>
                  <w:sz w:val="24"/>
                  <w:szCs w:val="24"/>
                  <w:lang w:val="ro-RO" w:eastAsia="ja-JP" w:bidi="he-IL"/>
                </w:rPr>
              </w:pPr>
              <w:r w:rsidRPr="00260947">
                <w:rPr>
                  <w:rFonts w:ascii="Arial" w:eastAsia="MS Mincho" w:hAnsi="Arial" w:cs="Arial"/>
                  <w:b/>
                  <w:bCs/>
                  <w:i/>
                  <w:iCs/>
                  <w:sz w:val="24"/>
                  <w:szCs w:val="24"/>
                  <w:lang w:val="ro-RO" w:eastAsia="ja-JP" w:bidi="he-IL"/>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182327" w:rsidRDefault="005912D4" w:rsidP="005912D4">
              <w:pPr>
                <w:spacing w:after="0"/>
                <w:jc w:val="both"/>
                <w:rPr>
                  <w:rFonts w:ascii="Arial" w:eastAsia="MS Mincho" w:hAnsi="Arial" w:cs="Arial"/>
                  <w:b/>
                  <w:bCs/>
                  <w:i/>
                  <w:iCs/>
                  <w:sz w:val="24"/>
                  <w:szCs w:val="24"/>
                  <w:lang w:val="ro-RO" w:eastAsia="ja-JP" w:bidi="he-IL"/>
                </w:rPr>
              </w:pPr>
              <w:r w:rsidRPr="00260947">
                <w:rPr>
                  <w:rFonts w:ascii="Arial" w:eastAsia="MS Mincho" w:hAnsi="Arial" w:cs="Arial"/>
                  <w:b/>
                  <w:bCs/>
                  <w:i/>
                  <w:iCs/>
                  <w:sz w:val="24"/>
                  <w:szCs w:val="24"/>
                  <w:lang w:val="ro-RO" w:eastAsia="ja-JP" w:bidi="he-IL"/>
                </w:rPr>
                <w:tab/>
              </w:r>
            </w:p>
            <w:p w:rsidR="005912D4" w:rsidRPr="00260947" w:rsidRDefault="005912D4" w:rsidP="00182327">
              <w:pPr>
                <w:spacing w:after="0"/>
                <w:ind w:firstLine="720"/>
                <w:jc w:val="both"/>
                <w:rPr>
                  <w:rFonts w:ascii="Arial" w:eastAsia="MS Mincho" w:hAnsi="Arial" w:cs="Arial"/>
                  <w:b/>
                  <w:bCs/>
                  <w:i/>
                  <w:iCs/>
                  <w:sz w:val="24"/>
                  <w:szCs w:val="24"/>
                  <w:lang w:val="ro-RO" w:eastAsia="ja-JP" w:bidi="he-IL"/>
                </w:rPr>
              </w:pPr>
              <w:r w:rsidRPr="00260947">
                <w:rPr>
                  <w:rFonts w:ascii="Arial" w:eastAsia="MS Mincho" w:hAnsi="Arial" w:cs="Arial"/>
                  <w:sz w:val="24"/>
                  <w:szCs w:val="24"/>
                  <w:lang w:val="ro-RO" w:eastAsia="ja-JP" w:bidi="he-IL"/>
                </w:rPr>
                <w:t xml:space="preserve">Prezentul act nu exonerează de răspundere titularul, proiectantul </w:t>
              </w:r>
              <w:r w:rsidR="00182327">
                <w:rPr>
                  <w:rFonts w:ascii="Arial" w:eastAsia="MS Mincho" w:hAnsi="Arial" w:cs="Arial"/>
                  <w:sz w:val="24"/>
                  <w:szCs w:val="24"/>
                  <w:lang w:val="ro-RO" w:eastAsia="ja-JP" w:bidi="he-IL"/>
                </w:rPr>
                <w:t>ș</w:t>
              </w:r>
              <w:r w:rsidRPr="00260947">
                <w:rPr>
                  <w:rFonts w:ascii="Arial" w:eastAsia="MS Mincho" w:hAnsi="Arial" w:cs="Arial"/>
                  <w:sz w:val="24"/>
                  <w:szCs w:val="24"/>
                  <w:lang w:val="ro-RO" w:eastAsia="ja-JP" w:bidi="he-IL"/>
                </w:rPr>
                <w:t xml:space="preserve">i/sau constructorul </w:t>
              </w:r>
              <w:r w:rsidR="00182327">
                <w:rPr>
                  <w:rFonts w:ascii="Arial" w:eastAsia="MS Mincho" w:hAnsi="Arial" w:cs="Arial"/>
                  <w:sz w:val="24"/>
                  <w:szCs w:val="24"/>
                  <w:lang w:val="ro-RO" w:eastAsia="ja-JP" w:bidi="he-IL"/>
                </w:rPr>
                <w:t>î</w:t>
              </w:r>
              <w:r w:rsidRPr="00260947">
                <w:rPr>
                  <w:rFonts w:ascii="Arial" w:eastAsia="MS Mincho" w:hAnsi="Arial" w:cs="Arial"/>
                  <w:sz w:val="24"/>
                  <w:szCs w:val="24"/>
                  <w:lang w:val="ro-RO" w:eastAsia="ja-JP" w:bidi="he-IL"/>
                </w:rPr>
                <w:t>n cazul producerii unor accidente in timpul execuţiei lucrărilor sau exploatării acestora.</w:t>
              </w:r>
            </w:p>
            <w:p w:rsidR="00753675" w:rsidRPr="00522DB9" w:rsidRDefault="005912D4" w:rsidP="00522DB9">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sdtContent>
    </w:sdt>
    <w:p w:rsidR="00595382" w:rsidRPr="00447422" w:rsidRDefault="002C21E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595382" w:rsidRDefault="002C21E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C21E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C21E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C21E0" w:rsidP="00D83E21">
          <w:pPr>
            <w:spacing w:after="0" w:line="360" w:lineRule="auto"/>
            <w:ind w:left="2880" w:firstLine="720"/>
            <w:rPr>
              <w:rFonts w:ascii="Arial" w:hAnsi="Arial" w:cs="Arial"/>
              <w:b/>
              <w:bCs/>
              <w:sz w:val="24"/>
              <w:szCs w:val="24"/>
              <w:lang w:val="ro-RO"/>
            </w:rPr>
          </w:pPr>
        </w:p>
        <w:p w:rsidR="00182327" w:rsidRPr="00182327" w:rsidRDefault="00182327" w:rsidP="00182327">
          <w:pPr>
            <w:spacing w:after="0" w:line="240" w:lineRule="auto"/>
            <w:jc w:val="center"/>
            <w:rPr>
              <w:rFonts w:ascii="Arial" w:hAnsi="Arial" w:cs="Arial"/>
              <w:b/>
              <w:bCs/>
              <w:sz w:val="24"/>
              <w:szCs w:val="24"/>
              <w:lang w:val="ro-RO"/>
            </w:rPr>
          </w:pPr>
          <w:r w:rsidRPr="00182327">
            <w:rPr>
              <w:rFonts w:ascii="Arial" w:hAnsi="Arial" w:cs="Arial"/>
              <w:b/>
              <w:bCs/>
              <w:sz w:val="24"/>
              <w:szCs w:val="24"/>
              <w:lang w:val="ro-RO"/>
            </w:rPr>
            <w:t>DIRECTOR EXECUTIV,</w:t>
          </w:r>
        </w:p>
        <w:p w:rsidR="00182327" w:rsidRPr="00182327" w:rsidRDefault="00182327" w:rsidP="00182327">
          <w:pPr>
            <w:spacing w:after="0" w:line="240" w:lineRule="auto"/>
            <w:jc w:val="center"/>
            <w:rPr>
              <w:rFonts w:ascii="Arial" w:hAnsi="Arial" w:cs="Arial"/>
              <w:b/>
              <w:bCs/>
              <w:sz w:val="24"/>
              <w:szCs w:val="24"/>
              <w:lang w:val="ro-RO"/>
            </w:rPr>
          </w:pPr>
          <w:r w:rsidRPr="00182327">
            <w:rPr>
              <w:rFonts w:ascii="Arial" w:hAnsi="Arial" w:cs="Arial"/>
              <w:b/>
              <w:bCs/>
              <w:sz w:val="24"/>
              <w:szCs w:val="24"/>
              <w:lang w:val="ro-RO"/>
            </w:rPr>
            <w:t>dr. ing. Aurica GREC</w:t>
          </w:r>
        </w:p>
        <w:p w:rsidR="00182327" w:rsidRPr="00182327" w:rsidRDefault="00182327" w:rsidP="00182327">
          <w:pPr>
            <w:spacing w:after="0" w:line="360" w:lineRule="auto"/>
            <w:jc w:val="both"/>
            <w:rPr>
              <w:rFonts w:ascii="Arial" w:hAnsi="Arial" w:cs="Arial"/>
              <w:b/>
              <w:bCs/>
              <w:sz w:val="24"/>
              <w:szCs w:val="24"/>
              <w:lang w:val="ro-RO"/>
            </w:rPr>
          </w:pPr>
        </w:p>
        <w:p w:rsidR="00182327" w:rsidRDefault="00182327" w:rsidP="00182327">
          <w:pPr>
            <w:spacing w:after="0" w:line="360" w:lineRule="auto"/>
            <w:jc w:val="both"/>
            <w:rPr>
              <w:rFonts w:ascii="Arial" w:hAnsi="Arial" w:cs="Arial"/>
              <w:b/>
              <w:bCs/>
              <w:sz w:val="24"/>
              <w:szCs w:val="24"/>
              <w:lang w:val="ro-RO"/>
            </w:rPr>
          </w:pPr>
        </w:p>
        <w:p w:rsidR="00182327" w:rsidRDefault="00182327" w:rsidP="00182327">
          <w:pPr>
            <w:spacing w:after="0" w:line="360" w:lineRule="auto"/>
            <w:jc w:val="both"/>
            <w:rPr>
              <w:rFonts w:ascii="Arial" w:hAnsi="Arial" w:cs="Arial"/>
              <w:b/>
              <w:bCs/>
              <w:sz w:val="24"/>
              <w:szCs w:val="24"/>
              <w:lang w:val="ro-RO"/>
            </w:rPr>
          </w:pPr>
        </w:p>
        <w:p w:rsidR="00182327" w:rsidRDefault="00182327" w:rsidP="00182327">
          <w:pPr>
            <w:spacing w:after="0" w:line="360" w:lineRule="auto"/>
            <w:jc w:val="both"/>
            <w:rPr>
              <w:rFonts w:ascii="Arial" w:hAnsi="Arial" w:cs="Arial"/>
              <w:b/>
              <w:bCs/>
              <w:sz w:val="24"/>
              <w:szCs w:val="24"/>
              <w:lang w:val="ro-RO"/>
            </w:rPr>
          </w:pPr>
        </w:p>
        <w:p w:rsidR="00182327" w:rsidRDefault="00182327" w:rsidP="00182327">
          <w:pPr>
            <w:spacing w:after="0" w:line="360" w:lineRule="auto"/>
            <w:jc w:val="both"/>
            <w:rPr>
              <w:rFonts w:ascii="Arial" w:hAnsi="Arial" w:cs="Arial"/>
              <w:b/>
              <w:bCs/>
              <w:sz w:val="24"/>
              <w:szCs w:val="24"/>
              <w:lang w:val="ro-RO"/>
            </w:rPr>
          </w:pPr>
        </w:p>
        <w:p w:rsidR="00182327" w:rsidRPr="00182327" w:rsidRDefault="00182327" w:rsidP="00182327">
          <w:pPr>
            <w:spacing w:after="0" w:line="360" w:lineRule="auto"/>
            <w:jc w:val="both"/>
            <w:rPr>
              <w:rFonts w:ascii="Arial" w:hAnsi="Arial" w:cs="Arial"/>
              <w:b/>
              <w:bCs/>
              <w:sz w:val="24"/>
              <w:szCs w:val="24"/>
              <w:lang w:val="ro-RO"/>
            </w:rPr>
          </w:pPr>
        </w:p>
        <w:p w:rsidR="00182327" w:rsidRPr="00182327" w:rsidRDefault="00182327" w:rsidP="00182327">
          <w:pPr>
            <w:spacing w:after="0" w:line="360" w:lineRule="auto"/>
            <w:jc w:val="both"/>
            <w:rPr>
              <w:rFonts w:ascii="Arial" w:hAnsi="Arial" w:cs="Arial"/>
              <w:b/>
              <w:bCs/>
              <w:sz w:val="24"/>
              <w:szCs w:val="24"/>
              <w:lang w:val="ro-RO"/>
            </w:rPr>
          </w:pPr>
        </w:p>
        <w:p w:rsidR="00182327" w:rsidRPr="00182327" w:rsidRDefault="00182327" w:rsidP="00182327">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Şef  Serviciu Avize, Acorduri, Autorizaţii, </w:t>
          </w:r>
          <w:r w:rsidRPr="00182327">
            <w:rPr>
              <w:rFonts w:ascii="Arial" w:hAnsi="Arial" w:cs="Arial"/>
              <w:bCs/>
              <w:sz w:val="24"/>
              <w:szCs w:val="24"/>
              <w:lang w:val="ro-RO"/>
            </w:rPr>
            <w:tab/>
          </w:r>
          <w:r w:rsidRPr="00182327">
            <w:rPr>
              <w:rFonts w:ascii="Arial" w:hAnsi="Arial" w:cs="Arial"/>
              <w:bCs/>
              <w:sz w:val="24"/>
              <w:szCs w:val="24"/>
              <w:lang w:val="ro-RO"/>
            </w:rPr>
            <w:tab/>
          </w:r>
          <w:r w:rsidRPr="00182327">
            <w:rPr>
              <w:rFonts w:ascii="Arial" w:hAnsi="Arial" w:cs="Arial"/>
              <w:bCs/>
              <w:sz w:val="24"/>
              <w:szCs w:val="24"/>
              <w:lang w:val="ro-RO"/>
            </w:rPr>
            <w:tab/>
          </w:r>
          <w:r w:rsidRPr="00182327">
            <w:rPr>
              <w:rFonts w:ascii="Arial" w:hAnsi="Arial" w:cs="Arial"/>
              <w:bCs/>
              <w:sz w:val="24"/>
              <w:szCs w:val="24"/>
              <w:lang w:val="ro-RO"/>
            </w:rPr>
            <w:tab/>
            <w:t xml:space="preserve">                       </w:t>
          </w:r>
        </w:p>
        <w:p w:rsidR="00182327" w:rsidRPr="00182327" w:rsidRDefault="00182327" w:rsidP="00182327">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ing. Gizella Balint    </w:t>
          </w:r>
        </w:p>
        <w:p w:rsidR="00182327" w:rsidRPr="00182327" w:rsidRDefault="00182327" w:rsidP="00182327">
          <w:pPr>
            <w:spacing w:after="0" w:line="240" w:lineRule="auto"/>
            <w:jc w:val="both"/>
            <w:rPr>
              <w:rFonts w:ascii="Arial" w:hAnsi="Arial" w:cs="Arial"/>
              <w:bCs/>
              <w:sz w:val="24"/>
              <w:szCs w:val="24"/>
              <w:lang w:val="ro-RO"/>
            </w:rPr>
          </w:pPr>
        </w:p>
        <w:p w:rsidR="00182327" w:rsidRDefault="00182327" w:rsidP="00182327">
          <w:pPr>
            <w:spacing w:after="0" w:line="240" w:lineRule="auto"/>
            <w:jc w:val="both"/>
            <w:rPr>
              <w:rFonts w:ascii="Arial" w:hAnsi="Arial" w:cs="Arial"/>
              <w:bCs/>
              <w:sz w:val="24"/>
              <w:szCs w:val="24"/>
              <w:lang w:val="ro-RO"/>
            </w:rPr>
          </w:pPr>
        </w:p>
        <w:p w:rsidR="00182327" w:rsidRDefault="00182327" w:rsidP="00182327">
          <w:pPr>
            <w:spacing w:after="0" w:line="240" w:lineRule="auto"/>
            <w:jc w:val="both"/>
            <w:rPr>
              <w:rFonts w:ascii="Arial" w:hAnsi="Arial" w:cs="Arial"/>
              <w:bCs/>
              <w:sz w:val="24"/>
              <w:szCs w:val="24"/>
              <w:lang w:val="ro-RO"/>
            </w:rPr>
          </w:pPr>
        </w:p>
        <w:p w:rsidR="00182327" w:rsidRDefault="00182327" w:rsidP="00182327">
          <w:pPr>
            <w:spacing w:after="0" w:line="240" w:lineRule="auto"/>
            <w:jc w:val="both"/>
            <w:rPr>
              <w:rFonts w:ascii="Arial" w:hAnsi="Arial" w:cs="Arial"/>
              <w:bCs/>
              <w:sz w:val="24"/>
              <w:szCs w:val="24"/>
              <w:lang w:val="ro-RO"/>
            </w:rPr>
          </w:pPr>
          <w:r w:rsidRPr="00182327">
            <w:rPr>
              <w:rFonts w:ascii="Arial" w:hAnsi="Arial" w:cs="Arial"/>
              <w:bCs/>
              <w:sz w:val="24"/>
              <w:szCs w:val="24"/>
              <w:lang w:val="ro-RO"/>
            </w:rPr>
            <w:tab/>
          </w:r>
        </w:p>
        <w:p w:rsidR="00182327" w:rsidRPr="00182327" w:rsidRDefault="00182327" w:rsidP="00182327">
          <w:pPr>
            <w:spacing w:after="0" w:line="240" w:lineRule="auto"/>
            <w:jc w:val="both"/>
            <w:rPr>
              <w:rFonts w:ascii="Arial" w:hAnsi="Arial" w:cs="Arial"/>
              <w:bCs/>
              <w:sz w:val="24"/>
              <w:szCs w:val="24"/>
              <w:lang w:val="ro-RO"/>
            </w:rPr>
          </w:pPr>
          <w:r w:rsidRPr="00182327">
            <w:rPr>
              <w:rFonts w:ascii="Arial" w:hAnsi="Arial" w:cs="Arial"/>
              <w:bCs/>
              <w:sz w:val="24"/>
              <w:szCs w:val="24"/>
              <w:lang w:val="ro-RO"/>
            </w:rPr>
            <w:tab/>
          </w:r>
          <w:r w:rsidRPr="00182327">
            <w:rPr>
              <w:rFonts w:ascii="Arial" w:hAnsi="Arial" w:cs="Arial"/>
              <w:bCs/>
              <w:sz w:val="24"/>
              <w:szCs w:val="24"/>
              <w:lang w:val="ro-RO"/>
            </w:rPr>
            <w:tab/>
          </w:r>
          <w:r w:rsidRPr="00182327">
            <w:rPr>
              <w:rFonts w:ascii="Arial" w:hAnsi="Arial" w:cs="Arial"/>
              <w:bCs/>
              <w:sz w:val="24"/>
              <w:szCs w:val="24"/>
              <w:lang w:val="ro-RO"/>
            </w:rPr>
            <w:tab/>
            <w:t xml:space="preserve">                     </w:t>
          </w:r>
        </w:p>
        <w:p w:rsidR="00182327" w:rsidRPr="00182327" w:rsidRDefault="00182327" w:rsidP="00182327">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w:t>
          </w:r>
          <w:r w:rsidRPr="00182327">
            <w:rPr>
              <w:rFonts w:ascii="Arial" w:hAnsi="Arial" w:cs="Arial"/>
              <w:bCs/>
              <w:sz w:val="24"/>
              <w:szCs w:val="24"/>
            </w:rPr>
            <w:t>Întocmit,</w:t>
          </w:r>
        </w:p>
        <w:p w:rsidR="00182327" w:rsidRPr="00182327" w:rsidRDefault="00182327" w:rsidP="00182327">
          <w:pPr>
            <w:spacing w:after="0" w:line="240" w:lineRule="auto"/>
            <w:jc w:val="both"/>
            <w:rPr>
              <w:rFonts w:ascii="Arial" w:hAnsi="Arial" w:cs="Arial"/>
              <w:bCs/>
              <w:sz w:val="24"/>
              <w:szCs w:val="24"/>
              <w:lang w:val="ro-RO"/>
            </w:rPr>
          </w:pPr>
          <w:r w:rsidRPr="00182327">
            <w:rPr>
              <w:rFonts w:ascii="Arial" w:hAnsi="Arial" w:cs="Arial"/>
              <w:bCs/>
              <w:sz w:val="24"/>
              <w:szCs w:val="24"/>
              <w:lang w:val="ro-RO"/>
            </w:rPr>
            <w:t xml:space="preserve"> ing. Anca Horotan</w:t>
          </w:r>
        </w:p>
        <w:p w:rsidR="0071693D" w:rsidRDefault="002C21E0"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2C21E0" w:rsidP="007B1968">
      <w:pPr>
        <w:spacing w:after="0" w:line="360" w:lineRule="auto"/>
        <w:jc w:val="both"/>
        <w:rPr>
          <w:rFonts w:ascii="Arial" w:hAnsi="Arial" w:cs="Arial"/>
          <w:bCs/>
          <w:sz w:val="24"/>
          <w:szCs w:val="24"/>
          <w:lang w:val="ro-RO"/>
        </w:rPr>
      </w:pPr>
    </w:p>
    <w:p w:rsidR="00522DB9" w:rsidRPr="00447422" w:rsidRDefault="002C21E0" w:rsidP="00522DB9">
      <w:pPr>
        <w:autoSpaceDE w:val="0"/>
        <w:autoSpaceDN w:val="0"/>
        <w:adjustRightInd w:val="0"/>
        <w:spacing w:after="0" w:line="240" w:lineRule="auto"/>
        <w:jc w:val="both"/>
        <w:rPr>
          <w:rFonts w:ascii="Arial" w:hAnsi="Arial" w:cs="Arial"/>
          <w:sz w:val="24"/>
          <w:szCs w:val="24"/>
        </w:rPr>
      </w:pPr>
    </w:p>
    <w:p w:rsidR="00522DB9" w:rsidRPr="00447422" w:rsidRDefault="002C21E0" w:rsidP="007B1968">
      <w:pPr>
        <w:spacing w:after="0" w:line="360" w:lineRule="auto"/>
        <w:jc w:val="both"/>
        <w:rPr>
          <w:rFonts w:ascii="Arial" w:hAnsi="Arial" w:cs="Arial"/>
          <w:bCs/>
          <w:sz w:val="24"/>
          <w:szCs w:val="24"/>
          <w:lang w:val="ro-RO"/>
        </w:rPr>
      </w:pPr>
    </w:p>
    <w:p w:rsidR="00522DB9" w:rsidRPr="00447422" w:rsidRDefault="002C21E0" w:rsidP="007B1968">
      <w:pPr>
        <w:spacing w:after="0" w:line="360" w:lineRule="auto"/>
        <w:jc w:val="both"/>
        <w:rPr>
          <w:rFonts w:ascii="Arial" w:hAnsi="Arial" w:cs="Arial"/>
          <w:bCs/>
          <w:sz w:val="24"/>
          <w:szCs w:val="24"/>
          <w:lang w:val="ro-RO"/>
        </w:rPr>
      </w:pPr>
    </w:p>
    <w:p w:rsidR="00522DB9" w:rsidRPr="00447422" w:rsidRDefault="002C21E0" w:rsidP="00522DB9">
      <w:pPr>
        <w:autoSpaceDE w:val="0"/>
        <w:autoSpaceDN w:val="0"/>
        <w:adjustRightInd w:val="0"/>
        <w:spacing w:after="0" w:line="240" w:lineRule="auto"/>
        <w:jc w:val="both"/>
        <w:rPr>
          <w:rFonts w:ascii="Arial" w:hAnsi="Arial" w:cs="Arial"/>
          <w:sz w:val="24"/>
          <w:szCs w:val="24"/>
        </w:rPr>
      </w:pPr>
    </w:p>
    <w:p w:rsidR="00522DB9" w:rsidRPr="00447422" w:rsidRDefault="002C21E0" w:rsidP="007B1968">
      <w:pPr>
        <w:spacing w:after="0" w:line="360" w:lineRule="auto"/>
        <w:jc w:val="both"/>
        <w:rPr>
          <w:rFonts w:ascii="Arial" w:hAnsi="Arial" w:cs="Arial"/>
          <w:bCs/>
          <w:sz w:val="24"/>
          <w:szCs w:val="24"/>
          <w:lang w:val="ro-RO"/>
        </w:rPr>
      </w:pPr>
    </w:p>
    <w:p w:rsidR="00522DB9" w:rsidRPr="00447422" w:rsidRDefault="002C21E0" w:rsidP="007B1968">
      <w:pPr>
        <w:spacing w:after="0" w:line="360" w:lineRule="auto"/>
        <w:jc w:val="both"/>
        <w:rPr>
          <w:rFonts w:ascii="Arial" w:hAnsi="Arial" w:cs="Arial"/>
          <w:bCs/>
          <w:sz w:val="24"/>
          <w:szCs w:val="24"/>
          <w:lang w:val="ro-RO"/>
        </w:rPr>
      </w:pPr>
    </w:p>
    <w:sectPr w:rsidR="00522DB9" w:rsidRPr="00447422" w:rsidSect="005912D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18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37" w:rsidRDefault="006B0D37" w:rsidP="006B0D37">
      <w:pPr>
        <w:spacing w:after="0" w:line="240" w:lineRule="auto"/>
      </w:pPr>
      <w:r>
        <w:separator/>
      </w:r>
    </w:p>
  </w:endnote>
  <w:endnote w:type="continuationSeparator" w:id="0">
    <w:p w:rsidR="006B0D37" w:rsidRDefault="006B0D37" w:rsidP="006B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B0D37" w:rsidP="00BA7094">
    <w:pPr>
      <w:pStyle w:val="Footer"/>
      <w:framePr w:wrap="around" w:vAnchor="text" w:hAnchor="margin" w:xAlign="right" w:y="1"/>
      <w:rPr>
        <w:rStyle w:val="PageNumber"/>
      </w:rPr>
    </w:pPr>
    <w:r>
      <w:rPr>
        <w:rStyle w:val="PageNumber"/>
      </w:rPr>
      <w:fldChar w:fldCharType="begin"/>
    </w:r>
    <w:r w:rsidR="002C21E0">
      <w:rPr>
        <w:rStyle w:val="PageNumber"/>
      </w:rPr>
      <w:instrText xml:space="preserve">PAGE  </w:instrText>
    </w:r>
    <w:r>
      <w:rPr>
        <w:rStyle w:val="PageNumber"/>
      </w:rPr>
      <w:fldChar w:fldCharType="separate"/>
    </w:r>
    <w:r w:rsidR="002C21E0">
      <w:rPr>
        <w:rStyle w:val="PageNumber"/>
        <w:noProof/>
      </w:rPr>
      <w:t>2</w:t>
    </w:r>
    <w:r>
      <w:rPr>
        <w:rStyle w:val="PageNumber"/>
      </w:rPr>
      <w:fldChar w:fldCharType="end"/>
    </w:r>
  </w:p>
  <w:p w:rsidR="00B72680" w:rsidRDefault="002C21E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12D4" w:rsidRPr="00702379" w:rsidRDefault="005912D4" w:rsidP="005912D4">
            <w:pPr>
              <w:pStyle w:val="Header"/>
              <w:tabs>
                <w:tab w:val="clear" w:pos="4680"/>
              </w:tabs>
              <w:jc w:val="center"/>
              <w:rPr>
                <w:rFonts w:ascii="Times New Roman" w:hAnsi="Times New Roman"/>
                <w:b/>
                <w:color w:val="00214E"/>
                <w:sz w:val="24"/>
                <w:szCs w:val="24"/>
                <w:lang w:val="ro-RO"/>
              </w:rPr>
            </w:pPr>
            <w:r w:rsidRPr="003C5F7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4908047" r:id="rId2"/>
              </w:pict>
            </w:r>
            <w:r w:rsidRPr="003C5F7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5912D4" w:rsidRPr="00702379" w:rsidRDefault="005912D4" w:rsidP="005912D4">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5912D4" w:rsidRDefault="005912D4" w:rsidP="005912D4">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EA40E4">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992A14" w:rsidRPr="005912D4" w:rsidRDefault="005912D4" w:rsidP="005912D4">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r>
              <w:rPr>
                <w:rFonts w:ascii="Times New Roman" w:hAnsi="Times New Roman"/>
                <w:color w:val="00214E"/>
                <w:sz w:val="24"/>
                <w:szCs w:val="24"/>
                <w:lang w:val="ro-RO"/>
              </w:rPr>
              <w:t xml:space="preserve"> </w:t>
            </w:r>
          </w:p>
        </w:sdtContent>
      </w:sdt>
      <w:p w:rsidR="00B72680" w:rsidRPr="00C44321" w:rsidRDefault="002C21E0" w:rsidP="00C44321">
        <w:pPr>
          <w:pStyle w:val="Footer"/>
          <w:jc w:val="center"/>
        </w:pPr>
        <w:r>
          <w:t xml:space="preserve"> </w:t>
        </w:r>
        <w:r w:rsidR="006B0D37">
          <w:fldChar w:fldCharType="begin"/>
        </w:r>
        <w:r>
          <w:instrText xml:space="preserve"> PAGE   \* MERGEFORMAT </w:instrText>
        </w:r>
        <w:r w:rsidR="006B0D37">
          <w:fldChar w:fldCharType="separate"/>
        </w:r>
        <w:r>
          <w:rPr>
            <w:noProof/>
          </w:rPr>
          <w:t>3</w:t>
        </w:r>
        <w:r w:rsidR="006B0D3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12D4" w:rsidRPr="00702379" w:rsidRDefault="005912D4" w:rsidP="005912D4">
        <w:pPr>
          <w:pStyle w:val="Header"/>
          <w:tabs>
            <w:tab w:val="clear" w:pos="4680"/>
          </w:tabs>
          <w:jc w:val="center"/>
          <w:rPr>
            <w:rFonts w:ascii="Times New Roman" w:hAnsi="Times New Roman"/>
            <w:b/>
            <w:color w:val="00214E"/>
            <w:sz w:val="24"/>
            <w:szCs w:val="24"/>
            <w:lang w:val="ro-RO"/>
          </w:rPr>
        </w:pPr>
        <w:r w:rsidRPr="003C5F7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4908048" r:id="rId2"/>
          </w:pict>
        </w:r>
        <w:r w:rsidRPr="003C5F7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5912D4" w:rsidRPr="00702379" w:rsidRDefault="005912D4" w:rsidP="005912D4">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5912D4" w:rsidRDefault="005912D4" w:rsidP="005912D4">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EA40E4">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5912D4" w:rsidRDefault="005912D4" w:rsidP="005912D4">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r>
          <w:rPr>
            <w:rFonts w:ascii="Times New Roman" w:hAnsi="Times New Roman"/>
            <w:color w:val="00214E"/>
            <w:sz w:val="24"/>
            <w:szCs w:val="24"/>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37" w:rsidRDefault="006B0D37" w:rsidP="006B0D37">
      <w:pPr>
        <w:spacing w:after="0" w:line="240" w:lineRule="auto"/>
      </w:pPr>
      <w:r>
        <w:separator/>
      </w:r>
    </w:p>
  </w:footnote>
  <w:footnote w:type="continuationSeparator" w:id="0">
    <w:p w:rsidR="006B0D37" w:rsidRDefault="006B0D37" w:rsidP="006B0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E0" w:rsidRDefault="002C2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8609" o:spid="_x0000_s2095"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E0" w:rsidRDefault="002C2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8610" o:spid="_x0000_s2096" type="#_x0000_t136" style="position:absolute;margin-left:0;margin-top:0;width:439.45pt;height:263.6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2C21E0"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8608" o:spid="_x0000_s2094" type="#_x0000_t136" style="position:absolute;left:0;text-align:left;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6B0D37" w:rsidRPr="006B0D3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4908046"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652042" w:rsidRPr="00535A6C" w:rsidRDefault="006B0D3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C21E0" w:rsidRPr="00535A6C">
          <w:rPr>
            <w:rFonts w:ascii="Arial" w:hAnsi="Arial" w:cs="Arial"/>
            <w:b/>
            <w:color w:val="00214E"/>
            <w:sz w:val="36"/>
            <w:szCs w:val="36"/>
            <w:lang w:val="ro-RO"/>
          </w:rPr>
          <w:t>Agenţia Naţională pentru Protecţia</w:t>
        </w:r>
        <w:r w:rsidR="002C21E0">
          <w:rPr>
            <w:rFonts w:ascii="Arial" w:hAnsi="Arial" w:cs="Arial"/>
            <w:b/>
            <w:color w:val="00214E"/>
            <w:sz w:val="36"/>
            <w:szCs w:val="36"/>
            <w:lang w:val="ro-RO"/>
          </w:rPr>
          <w:t xml:space="preserve"> Mediului</w:t>
        </w:r>
      </w:sdtContent>
    </w:sdt>
  </w:p>
  <w:p w:rsidR="00652042" w:rsidRPr="003167DA" w:rsidRDefault="002C21E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C21E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B0D37"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C21E0" w:rsidRPr="00535A6C">
                <w:rPr>
                  <w:rFonts w:ascii="Arial" w:hAnsi="Arial" w:cs="Arial"/>
                  <w:b/>
                  <w:bCs/>
                  <w:color w:val="000000" w:themeColor="text1"/>
                  <w:sz w:val="28"/>
                  <w:szCs w:val="28"/>
                  <w:lang w:val="ro-RO"/>
                </w:rPr>
                <w:t xml:space="preserve">AGENŢIA PENTRU PROTECŢIA MEDIULUI </w:t>
              </w:r>
              <w:r w:rsidR="005912D4">
                <w:rPr>
                  <w:rFonts w:ascii="Arial" w:hAnsi="Arial" w:cs="Arial"/>
                  <w:b/>
                  <w:bCs/>
                  <w:color w:val="000000" w:themeColor="text1"/>
                  <w:sz w:val="28"/>
                  <w:szCs w:val="28"/>
                  <w:lang w:val="ro-RO"/>
                </w:rPr>
                <w:t>SĂLAJ</w:t>
              </w:r>
            </w:sdtContent>
          </w:sdt>
        </w:p>
      </w:tc>
    </w:tr>
  </w:tbl>
  <w:p w:rsidR="00B72680" w:rsidRPr="0090788F" w:rsidRDefault="002C21E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915"/>
    <w:multiLevelType w:val="multilevel"/>
    <w:tmpl w:val="F9FCC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54A9E"/>
    <w:multiLevelType w:val="hybridMultilevel"/>
    <w:tmpl w:val="BF4EB69C"/>
    <w:lvl w:ilvl="0" w:tplc="207A2C8E">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402AC"/>
    <w:multiLevelType w:val="hybridMultilevel"/>
    <w:tmpl w:val="5DD65600"/>
    <w:lvl w:ilvl="0" w:tplc="207A2C8E">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7rd+IJP9ZgWqGqetLkUjDuQdQ=" w:salt="uTE+I+ECOQo3XdvCftfdJQ=="/>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6B0D37"/>
    <w:rsid w:val="00182327"/>
    <w:rsid w:val="002C21E0"/>
    <w:rsid w:val="00505927"/>
    <w:rsid w:val="005912D4"/>
    <w:rsid w:val="006B0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23">
    <w:name w:val="Font Style23"/>
    <w:basedOn w:val="DefaultParagraphFont"/>
    <w:rsid w:val="005912D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3705D6558B92405095381670B03A40C1"/>
        <w:category>
          <w:name w:val="General"/>
          <w:gallery w:val="placeholder"/>
        </w:category>
        <w:types>
          <w:type w:val="bbPlcHdr"/>
        </w:types>
        <w:behaviors>
          <w:behavior w:val="content"/>
        </w:behaviors>
        <w:guid w:val="{EAC39CB7-034C-4954-87E4-F5A92F5C722F}"/>
      </w:docPartPr>
      <w:docPartBody>
        <w:p w:rsidR="00000000" w:rsidRDefault="00436B39" w:rsidP="00436B39">
          <w:pPr>
            <w:pStyle w:val="3705D6558B92405095381670B03A40C1"/>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39"/>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B3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705D6558B92405095381670B03A40C1">
    <w:name w:val="3705D6558B92405095381670B03A40C1"/>
    <w:rsid w:val="00436B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23233809-c2ca-40a4-a830-0a6020907d90","Numar":null,"Data":null,"NumarActReglementareInitial":null,"DataActReglementareInitial":null,"DataInceput":"2017-08-22T00:00:00","DataSfarsit":null,"Durata":null,"PunctLucruId":402107.0,"TipActId":4.0,"NumarCerere":null,"DataCerere":null,"NumarCerereScriptic":"3924","DataCerereScriptic":"2017-07-06T00:00:00","CodFiscal":null,"SordId":"(7BF6762F-0707-F44F-963B-2D6FE82E365E)","SablonSordId":"(8B66777B-56B9-65A9-2773-1FA4A6BC21FB)","DosarSordId":"4355171","LatitudineWgs84":null,"LongitudineWgs84":null,"LatitudineStereo70":null,"LongitudineStereo70":null,"NumarAutorizatieGospodarireApe":null,"DataAutorizatieGospodarireApe":null,"DurataAutorizatieGospodarireApe":null,"Aba":null,"Sga":null,"AdresaSediuSocial":"Str. Coralilor, Nr. 22, Bucureşti Sectorul 1 , Judetul Bucureşti","AdresaPunctLucru":null,"DenumireObiectiv":null,"DomeniuActivitate":null,"DomeniuSpecific":null,"ApmEmitere":null,"ApmRaportare":null,"AnpmApm":"APM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B76E8D8-D570-4C15-A142-6020766984E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040744C-87D8-4D38-B917-DA16049D19B3}">
  <ds:schemaRefs>
    <ds:schemaRef ds:uri="SIM.Reglementari.Model.Entities.ActReglementareModel"/>
  </ds:schemaRefs>
</ds:datastoreItem>
</file>

<file path=customXml/itemProps4.xml><?xml version="1.0" encoding="utf-8"?>
<ds:datastoreItem xmlns:ds="http://schemas.openxmlformats.org/officeDocument/2006/customXml" ds:itemID="{D5B93463-1FC1-4EA0-B95B-FB8DEBDADA36}">
  <ds:schemaRefs>
    <ds:schemaRef ds:uri="TableDependencies"/>
  </ds:schemaRefs>
</ds:datastoreItem>
</file>

<file path=customXml/itemProps5.xml><?xml version="1.0" encoding="utf-8"?>
<ds:datastoreItem xmlns:ds="http://schemas.openxmlformats.org/officeDocument/2006/customXml" ds:itemID="{2FEDB840-5995-4157-9EB1-E12FDE17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1561</Words>
  <Characters>8901</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10442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7</cp:revision>
  <cp:lastPrinted>2014-04-25T12:16:00Z</cp:lastPrinted>
  <dcterms:created xsi:type="dcterms:W3CDTF">2015-10-26T07:49:00Z</dcterms:created>
  <dcterms:modified xsi:type="dcterms:W3CDTF">2017-08-22T08:53:00Z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OMV PETROM Foraj sonde 2703, 4287, 4289, 4294</vt:lpwstr>
  </property>
  <property fmtid="{D5CDD505-2E9C-101B-9397-08002B2CF9AE}" pid="5" name="SordId">
    <vt:lpwstr>(7BF6762F-0707-F44F-963B-2D6FE82E365E)</vt:lpwstr>
  </property>
  <property fmtid="{D5CDD505-2E9C-101B-9397-08002B2CF9AE}" pid="6" name="VersiuneDocument">
    <vt:lpwstr>3</vt:lpwstr>
  </property>
  <property fmtid="{D5CDD505-2E9C-101B-9397-08002B2CF9AE}" pid="7" name="RuntimeGuid">
    <vt:lpwstr>42742c51-290d-4031-ab7c-493ae124c9e4</vt:lpwstr>
  </property>
  <property fmtid="{D5CDD505-2E9C-101B-9397-08002B2CF9AE}" pid="8" name="PunctLucruId">
    <vt:lpwstr>402107</vt:lpwstr>
  </property>
  <property fmtid="{D5CDD505-2E9C-101B-9397-08002B2CF9AE}" pid="9" name="SablonSordId">
    <vt:lpwstr>(8B66777B-56B9-65A9-2773-1FA4A6BC21FB)</vt:lpwstr>
  </property>
  <property fmtid="{D5CDD505-2E9C-101B-9397-08002B2CF9AE}" pid="10" name="DosarSordId">
    <vt:lpwstr>4355171</vt:lpwstr>
  </property>
  <property fmtid="{D5CDD505-2E9C-101B-9397-08002B2CF9AE}" pid="11" name="DosarCerereSordId">
    <vt:lpwstr>4280141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23233809-c2ca-40a4-a830-0a6020907d90</vt:lpwstr>
  </property>
  <property fmtid="{D5CDD505-2E9C-101B-9397-08002B2CF9AE}" pid="16" name="CommitRoles">
    <vt:lpwstr>false</vt:lpwstr>
  </property>
</Properties>
</file>