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464E8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464E8B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464E8B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464E8B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10-1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B5759F">
            <w:rPr>
              <w:rFonts w:ascii="Arial" w:hAnsi="Arial" w:cs="Arial"/>
              <w:i w:val="0"/>
              <w:lang w:val="ro-RO"/>
            </w:rPr>
            <w:t>10.10.2017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464E8B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464E8B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464E8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464E8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464E8B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B5759F">
            <w:rPr>
              <w:rFonts w:ascii="Arial" w:hAnsi="Arial" w:cs="Arial"/>
              <w:b/>
              <w:sz w:val="24"/>
              <w:szCs w:val="24"/>
              <w:lang w:val="ro-RO"/>
            </w:rPr>
            <w:t>SC OMV PETROM SA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B5759F">
            <w:rPr>
              <w:rFonts w:ascii="Arial" w:hAnsi="Arial" w:cs="Arial"/>
              <w:sz w:val="24"/>
              <w:szCs w:val="24"/>
              <w:lang w:val="ro-RO"/>
            </w:rPr>
            <w:t>Str. Coralilor, Nr. 22, Bucureşti Sectorul 1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B5759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B5759F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B5759F">
            <w:rPr>
              <w:rFonts w:ascii="Arial" w:hAnsi="Arial" w:cs="Arial"/>
              <w:sz w:val="24"/>
              <w:szCs w:val="24"/>
              <w:lang w:val="ro-RO"/>
            </w:rPr>
            <w:t>4475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8-0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B5759F">
            <w:rPr>
              <w:rFonts w:ascii="Arial" w:hAnsi="Arial" w:cs="Arial"/>
              <w:spacing w:val="-6"/>
              <w:sz w:val="24"/>
              <w:szCs w:val="24"/>
              <w:lang w:val="ro-RO"/>
            </w:rPr>
            <w:t>03.08.2017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464E8B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464E8B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E41A64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464E8B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B5759F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C3460B" w:rsidRPr="00C3460B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Punct de colectare – GP 9 Suplacu de Barcău, propus a fi amplasat în loc. Leşmir, intravilan, com. Marca, jud. Sălaj</w:t>
          </w:r>
          <w:r w:rsidR="00B5759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B5759F" w:rsidRPr="00B5759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464E8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464E8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464E8B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C3460B" w:rsidRPr="00C3460B">
            <w:rPr>
              <w:rFonts w:ascii="Arial" w:hAnsi="Arial" w:cs="Arial"/>
              <w:sz w:val="24"/>
              <w:szCs w:val="24"/>
              <w:lang w:val="ro-RO"/>
            </w:rPr>
            <w:t xml:space="preserve"> 2 la pct. 3 lit. b) și lit) e);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b) Caracteristiclie proiectului: </w:t>
          </w:r>
        </w:p>
        <w:p w:rsidR="00E728C0" w:rsidRPr="00E728C0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>
            <w:rPr>
              <w:rFonts w:ascii="Arial" w:hAnsi="Arial" w:cs="Arial"/>
              <w:sz w:val="24"/>
              <w:szCs w:val="24"/>
              <w:lang w:val="ro-RO"/>
            </w:rPr>
            <w:t>) mărimea proiectului</w:t>
          </w:r>
          <w:r w:rsidR="00E728C0"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="00E728C0" w:rsidRPr="00E728C0">
            <w:rPr>
              <w:rFonts w:ascii="Arial" w:hAnsi="Arial" w:cs="Arial"/>
              <w:sz w:val="24"/>
              <w:szCs w:val="24"/>
            </w:rPr>
            <w:t xml:space="preserve">Proiectul prevede echiparea </w:t>
          </w:r>
          <w:r w:rsidR="000F773D">
            <w:rPr>
              <w:rFonts w:ascii="Arial" w:hAnsi="Arial" w:cs="Arial"/>
              <w:sz w:val="24"/>
              <w:szCs w:val="24"/>
            </w:rPr>
            <w:t>ș</w:t>
          </w:r>
          <w:r w:rsidR="00E728C0" w:rsidRPr="00E728C0">
            <w:rPr>
              <w:rFonts w:ascii="Arial" w:hAnsi="Arial" w:cs="Arial"/>
              <w:sz w:val="24"/>
              <w:szCs w:val="24"/>
            </w:rPr>
            <w:t>i exploatarea punctului de colectare GP 9</w:t>
          </w:r>
          <w:r w:rsidR="00E728C0">
            <w:rPr>
              <w:rFonts w:ascii="Arial" w:hAnsi="Arial" w:cs="Arial"/>
              <w:sz w:val="24"/>
              <w:szCs w:val="24"/>
            </w:rPr>
            <w:t xml:space="preserve">. </w:t>
          </w:r>
          <w:r w:rsidR="00E728C0" w:rsidRPr="00E728C0">
            <w:rPr>
              <w:rFonts w:ascii="Arial" w:hAnsi="Arial" w:cs="Arial"/>
              <w:sz w:val="24"/>
              <w:szCs w:val="24"/>
            </w:rPr>
            <w:t>Suprafa</w:t>
          </w:r>
          <w:r w:rsidR="000F773D">
            <w:rPr>
              <w:rFonts w:ascii="Arial" w:hAnsi="Arial" w:cs="Arial"/>
              <w:sz w:val="24"/>
              <w:szCs w:val="24"/>
            </w:rPr>
            <w:t>ț</w:t>
          </w:r>
          <w:r w:rsidR="00E728C0" w:rsidRPr="00E728C0">
            <w:rPr>
              <w:rFonts w:ascii="Arial" w:hAnsi="Arial" w:cs="Arial"/>
              <w:sz w:val="24"/>
              <w:szCs w:val="24"/>
            </w:rPr>
            <w:t>a total</w:t>
          </w:r>
          <w:r w:rsidR="000F773D">
            <w:rPr>
              <w:rFonts w:ascii="Arial" w:hAnsi="Arial" w:cs="Arial"/>
              <w:sz w:val="24"/>
              <w:szCs w:val="24"/>
            </w:rPr>
            <w:t>ă</w:t>
          </w:r>
          <w:r w:rsidR="00E728C0" w:rsidRPr="00E728C0">
            <w:rPr>
              <w:rFonts w:ascii="Arial" w:hAnsi="Arial" w:cs="Arial"/>
              <w:sz w:val="24"/>
              <w:szCs w:val="24"/>
            </w:rPr>
            <w:t xml:space="preserve"> pe care se dore</w:t>
          </w:r>
          <w:r w:rsidR="000F773D">
            <w:rPr>
              <w:rFonts w:ascii="Arial" w:hAnsi="Arial" w:cs="Arial"/>
              <w:sz w:val="24"/>
              <w:szCs w:val="24"/>
            </w:rPr>
            <w:t>ș</w:t>
          </w:r>
          <w:r w:rsidR="00E728C0" w:rsidRPr="00E728C0">
            <w:rPr>
              <w:rFonts w:ascii="Arial" w:hAnsi="Arial" w:cs="Arial"/>
              <w:sz w:val="24"/>
              <w:szCs w:val="24"/>
            </w:rPr>
            <w:t>te realizarea proiectului m</w:t>
          </w:r>
          <w:r w:rsidR="000F773D">
            <w:rPr>
              <w:rFonts w:ascii="Arial" w:hAnsi="Arial" w:cs="Arial"/>
              <w:sz w:val="24"/>
              <w:szCs w:val="24"/>
            </w:rPr>
            <w:t>ă</w:t>
          </w:r>
          <w:r w:rsidR="00E728C0" w:rsidRPr="00E728C0">
            <w:rPr>
              <w:rFonts w:ascii="Arial" w:hAnsi="Arial" w:cs="Arial"/>
              <w:sz w:val="24"/>
              <w:szCs w:val="24"/>
            </w:rPr>
            <w:t xml:space="preserve">soara </w:t>
          </w:r>
          <w:r w:rsidR="00E728C0" w:rsidRPr="00E728C0">
            <w:rPr>
              <w:rFonts w:ascii="Arial" w:hAnsi="Arial" w:cs="Arial"/>
              <w:b/>
              <w:sz w:val="24"/>
              <w:szCs w:val="24"/>
              <w:lang w:val="ro-RO"/>
            </w:rPr>
            <w:t>335 mp</w:t>
          </w:r>
          <w:r w:rsidR="00E728C0">
            <w:rPr>
              <w:rFonts w:ascii="Arial" w:hAnsi="Arial" w:cs="Arial"/>
              <w:sz w:val="24"/>
              <w:szCs w:val="24"/>
            </w:rPr>
            <w:t xml:space="preserve">. </w:t>
          </w:r>
          <w:r w:rsidR="000F773D">
            <w:rPr>
              <w:rFonts w:ascii="Arial" w:hAnsi="Arial" w:cs="Arial"/>
              <w:sz w:val="24"/>
              <w:szCs w:val="24"/>
            </w:rPr>
            <w:t>P</w:t>
          </w:r>
          <w:r w:rsidR="00E728C0" w:rsidRPr="00E728C0">
            <w:rPr>
              <w:rFonts w:ascii="Arial" w:hAnsi="Arial" w:cs="Arial"/>
              <w:sz w:val="24"/>
              <w:szCs w:val="24"/>
            </w:rPr>
            <w:t xml:space="preserve">unctul de colectare </w:t>
          </w:r>
          <w:r w:rsidR="000F773D">
            <w:rPr>
              <w:rFonts w:ascii="Arial" w:hAnsi="Arial" w:cs="Arial"/>
              <w:sz w:val="24"/>
              <w:szCs w:val="24"/>
            </w:rPr>
            <w:t>va fi construit î</w:t>
          </w:r>
          <w:r w:rsidR="00E728C0" w:rsidRPr="00E728C0">
            <w:rPr>
              <w:rFonts w:ascii="Arial" w:hAnsi="Arial" w:cs="Arial"/>
              <w:sz w:val="24"/>
              <w:szCs w:val="24"/>
            </w:rPr>
            <w:t>n cadrul Cluster 15 de pe structura Suplacu de Barc</w:t>
          </w:r>
          <w:r w:rsidR="000F773D">
            <w:rPr>
              <w:rFonts w:ascii="Arial" w:hAnsi="Arial" w:cs="Arial"/>
              <w:sz w:val="24"/>
              <w:szCs w:val="24"/>
            </w:rPr>
            <w:t>ă</w:t>
          </w:r>
          <w:r w:rsidR="00E728C0" w:rsidRPr="00E728C0">
            <w:rPr>
              <w:rFonts w:ascii="Arial" w:hAnsi="Arial" w:cs="Arial"/>
              <w:sz w:val="24"/>
              <w:szCs w:val="24"/>
            </w:rPr>
            <w:t>u, alimentat de 6 sonde.</w:t>
          </w:r>
          <w:r w:rsidR="00E728C0">
            <w:rPr>
              <w:rFonts w:ascii="Arial" w:hAnsi="Arial" w:cs="Arial"/>
              <w:sz w:val="24"/>
              <w:szCs w:val="24"/>
            </w:rPr>
            <w:t xml:space="preserve"> Î</w:t>
          </w:r>
          <w:r w:rsidR="00E728C0" w:rsidRPr="00E728C0">
            <w:rPr>
              <w:rFonts w:ascii="Arial" w:hAnsi="Arial" w:cs="Arial"/>
              <w:sz w:val="24"/>
              <w:szCs w:val="24"/>
              <w:lang w:val="ro-RO" w:bidi="ro-RO"/>
            </w:rPr>
            <w:t>n vederea realizării obiectivului se prevăd următoarele etape:</w:t>
          </w:r>
        </w:p>
        <w:p w:rsidR="00E728C0" w:rsidRPr="00E728C0" w:rsidRDefault="00E728C0" w:rsidP="00E728C0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bidi="ro-RO"/>
            </w:rPr>
          </w:pPr>
          <w:r w:rsidRPr="00E728C0">
            <w:rPr>
              <w:rFonts w:ascii="Arial" w:hAnsi="Arial" w:cs="Arial"/>
              <w:b/>
              <w:i/>
              <w:sz w:val="24"/>
              <w:szCs w:val="24"/>
              <w:lang w:val="ro-RO" w:bidi="ro-RO"/>
            </w:rPr>
            <w:t>Amenajarea alei de acces incinta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 xml:space="preserve"> care leaga instala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 xml:space="preserve">iile 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î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ntre ele;</w:t>
          </w:r>
        </w:p>
        <w:p w:rsidR="00E728C0" w:rsidRPr="00E728C0" w:rsidRDefault="00E728C0" w:rsidP="00E728C0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  <w:lang w:val="ro-RO" w:bidi="ro-RO"/>
            </w:rPr>
          </w:pPr>
          <w:r w:rsidRPr="00E728C0">
            <w:rPr>
              <w:rFonts w:ascii="Arial" w:hAnsi="Arial" w:cs="Arial"/>
              <w:b/>
              <w:i/>
              <w:sz w:val="24"/>
              <w:szCs w:val="24"/>
              <w:lang w:val="ro-RO" w:bidi="ro-RO"/>
            </w:rPr>
            <w:t xml:space="preserve">Amenajarea careului punctului de colectare, 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punctul de colectare GP 9, separarea de titei si gaze, va fi amplasata in careul punctului de colectare cu suprafata de 335 mp, aflat in intravilanul localit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ăț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ii Marca, sat Le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ș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mir, judeţul S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laj. Instala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iile se vor monta pe funda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ii de beton, iar amplasamentul va fi delimitat cu dig de beton;</w:t>
          </w:r>
        </w:p>
        <w:p w:rsidR="00E728C0" w:rsidRPr="00E728C0" w:rsidRDefault="00E728C0" w:rsidP="00E728C0">
          <w:pPr>
            <w:numPr>
              <w:ilvl w:val="0"/>
              <w:numId w:val="63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  <w:lang w:val="ro-RO" w:bidi="ro-RO"/>
            </w:rPr>
          </w:pPr>
          <w:r w:rsidRPr="00E728C0">
            <w:rPr>
              <w:rFonts w:ascii="Arial" w:hAnsi="Arial" w:cs="Arial"/>
              <w:b/>
              <w:i/>
              <w:sz w:val="24"/>
              <w:szCs w:val="24"/>
              <w:lang w:val="ro-RO" w:bidi="ro-RO"/>
            </w:rPr>
            <w:t>Realizarea si montarea instala</w:t>
          </w:r>
          <w:r w:rsidR="000F773D">
            <w:rPr>
              <w:rFonts w:ascii="Arial" w:hAnsi="Arial" w:cs="Arial"/>
              <w:b/>
              <w:i/>
              <w:sz w:val="24"/>
              <w:szCs w:val="24"/>
              <w:lang w:val="ro-RO" w:bidi="ro-RO"/>
            </w:rPr>
            <w:t>ț</w:t>
          </w:r>
          <w:r w:rsidRPr="00E728C0">
            <w:rPr>
              <w:rFonts w:ascii="Arial" w:hAnsi="Arial" w:cs="Arial"/>
              <w:b/>
              <w:i/>
              <w:sz w:val="24"/>
              <w:szCs w:val="24"/>
              <w:lang w:val="ro-RO" w:bidi="ro-RO"/>
            </w:rPr>
            <w:t xml:space="preserve">iilor - 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Principalele faze de produc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ie se refer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 xml:space="preserve"> la colectarea produc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 xml:space="preserve">iei de 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i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ei prin intermediul urm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toarelor instala</w:t>
          </w:r>
          <w:r w:rsidR="000F773D">
            <w:rPr>
              <w:rFonts w:ascii="Arial" w:hAnsi="Arial" w:cs="Arial"/>
              <w:sz w:val="24"/>
              <w:szCs w:val="24"/>
              <w:lang w:val="ro-RO" w:bidi="ro-RO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ro-RO" w:bidi="ro-RO"/>
            </w:rPr>
            <w:t>ii:</w:t>
          </w:r>
        </w:p>
        <w:p w:rsidR="00E728C0" w:rsidRDefault="000F773D" w:rsidP="00E728C0">
          <w:pPr>
            <w:pStyle w:val="ListParagraph"/>
            <w:numPr>
              <w:ilvl w:val="2"/>
              <w:numId w:val="5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haba test producț</w:t>
          </w:r>
          <w:r w:rsidR="00E728C0" w:rsidRPr="00E728C0">
            <w:rPr>
              <w:rFonts w:ascii="Arial" w:hAnsi="Arial" w:cs="Arial"/>
              <w:sz w:val="24"/>
              <w:szCs w:val="24"/>
            </w:rPr>
            <w:t>ie: 20-TK-001;</w:t>
          </w:r>
        </w:p>
        <w:p w:rsidR="00E728C0" w:rsidRDefault="00E728C0" w:rsidP="00E728C0">
          <w:pPr>
            <w:pStyle w:val="ListParagraph"/>
            <w:numPr>
              <w:ilvl w:val="2"/>
              <w:numId w:val="5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haba test produc</w:t>
          </w:r>
          <w:r w:rsidR="000F773D">
            <w:rPr>
              <w:rFonts w:ascii="Arial" w:hAnsi="Arial" w:cs="Arial"/>
              <w:sz w:val="24"/>
              <w:szCs w:val="24"/>
            </w:rPr>
            <w:t>ț</w:t>
          </w:r>
          <w:r w:rsidRPr="00E728C0">
            <w:rPr>
              <w:rFonts w:ascii="Arial" w:hAnsi="Arial" w:cs="Arial"/>
              <w:sz w:val="24"/>
              <w:szCs w:val="24"/>
            </w:rPr>
            <w:t>ie: 20-TK-002;</w:t>
          </w:r>
        </w:p>
        <w:p w:rsidR="00E728C0" w:rsidRDefault="00E728C0" w:rsidP="00E728C0">
          <w:pPr>
            <w:pStyle w:val="ListParagraph"/>
            <w:numPr>
              <w:ilvl w:val="2"/>
              <w:numId w:val="5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2 claviaturi cu 8 intr</w:t>
          </w:r>
          <w:r w:rsidR="000F773D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>ri;</w:t>
          </w:r>
        </w:p>
        <w:p w:rsidR="00E728C0" w:rsidRDefault="00E728C0" w:rsidP="00E728C0">
          <w:pPr>
            <w:pStyle w:val="ListParagraph"/>
            <w:numPr>
              <w:ilvl w:val="2"/>
              <w:numId w:val="5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lastRenderedPageBreak/>
            <w:t xml:space="preserve">rezervor </w:t>
          </w:r>
          <w:r w:rsidR="000F773D">
            <w:rPr>
              <w:rFonts w:ascii="Arial" w:hAnsi="Arial" w:cs="Arial"/>
              <w:sz w:val="24"/>
              <w:szCs w:val="24"/>
            </w:rPr>
            <w:t>î</w:t>
          </w:r>
          <w:r w:rsidRPr="00E728C0">
            <w:rPr>
              <w:rFonts w:ascii="Arial" w:hAnsi="Arial" w:cs="Arial"/>
              <w:sz w:val="24"/>
              <w:szCs w:val="24"/>
            </w:rPr>
            <w:t>ngropat;</w:t>
          </w:r>
        </w:p>
        <w:p w:rsidR="00E728C0" w:rsidRDefault="00E728C0" w:rsidP="00E728C0">
          <w:pPr>
            <w:pStyle w:val="ListParagraph"/>
            <w:numPr>
              <w:ilvl w:val="2"/>
              <w:numId w:val="5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3 pompe de transfer: 20-P-001A, B, C;</w:t>
          </w:r>
        </w:p>
        <w:p w:rsidR="00E728C0" w:rsidRDefault="00E728C0" w:rsidP="00E728C0">
          <w:pPr>
            <w:pStyle w:val="ListParagraph"/>
            <w:numPr>
              <w:ilvl w:val="2"/>
              <w:numId w:val="5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vas scurgeri: 57-TK-002;</w:t>
          </w:r>
        </w:p>
        <w:p w:rsidR="00E728C0" w:rsidRPr="00E728C0" w:rsidRDefault="00E728C0" w:rsidP="00E728C0">
          <w:pPr>
            <w:pStyle w:val="ListParagraph"/>
            <w:numPr>
              <w:ilvl w:val="2"/>
              <w:numId w:val="5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pomp</w:t>
          </w:r>
          <w:r w:rsidR="000F773D">
            <w:rPr>
              <w:rFonts w:ascii="Arial" w:hAnsi="Arial" w:cs="Arial"/>
              <w:sz w:val="24"/>
              <w:szCs w:val="24"/>
            </w:rPr>
            <w:t>î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scurgeri: 57-P-002.</w:t>
          </w:r>
        </w:p>
        <w:p w:rsid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b/>
              <w:sz w:val="24"/>
              <w:szCs w:val="24"/>
            </w:rPr>
            <w:t>Instala</w:t>
          </w:r>
          <w:r w:rsidR="000F773D">
            <w:rPr>
              <w:rFonts w:ascii="Arial" w:hAnsi="Arial" w:cs="Arial"/>
              <w:b/>
              <w:sz w:val="24"/>
              <w:szCs w:val="24"/>
            </w:rPr>
            <w:t>ț</w:t>
          </w:r>
          <w:r w:rsidRPr="00E728C0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>le vor fi alcătuite din:</w:t>
          </w:r>
        </w:p>
        <w:p w:rsid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- d</w:t>
          </w:r>
          <w:r w:rsidRPr="00E728C0">
            <w:rPr>
              <w:rFonts w:ascii="Arial" w:hAnsi="Arial" w:cs="Arial"/>
              <w:sz w:val="24"/>
              <w:szCs w:val="24"/>
            </w:rPr>
            <w:t>oua claviaturi cu 8 intr</w:t>
          </w:r>
          <w:r w:rsidR="000F773D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>ri</w:t>
          </w:r>
          <w:r>
            <w:rPr>
              <w:rFonts w:ascii="Arial" w:hAnsi="Arial" w:cs="Arial"/>
              <w:sz w:val="24"/>
              <w:szCs w:val="24"/>
            </w:rPr>
            <w:t>;</w:t>
          </w:r>
        </w:p>
        <w:p w:rsidR="00E728C0" w:rsidRP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- d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oua habe de produc</w:t>
          </w:r>
          <w:r w:rsidR="000F773D">
            <w:rPr>
              <w:rFonts w:ascii="Arial" w:hAnsi="Arial" w:cs="Arial"/>
              <w:sz w:val="24"/>
              <w:szCs w:val="24"/>
              <w:lang w:val="nl-NL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ie de cca. 48 mc. Haba de produ</w:t>
          </w:r>
          <w:r w:rsidR="00A61EE4">
            <w:rPr>
              <w:rFonts w:ascii="Arial" w:hAnsi="Arial" w:cs="Arial"/>
              <w:sz w:val="24"/>
              <w:szCs w:val="24"/>
              <w:lang w:val="nl-NL"/>
            </w:rPr>
            <w:t>cț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ie este  </w:t>
          </w:r>
          <w:r w:rsidR="00A61EE4">
            <w:rPr>
              <w:rFonts w:ascii="Arial" w:hAnsi="Arial" w:cs="Arial"/>
              <w:sz w:val="24"/>
              <w:szCs w:val="24"/>
              <w:lang w:val="nl-NL"/>
            </w:rPr>
            <w:t>î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mp</w:t>
          </w:r>
          <w:r w:rsidR="00A61EE4">
            <w:rPr>
              <w:rFonts w:ascii="Arial" w:hAnsi="Arial" w:cs="Arial"/>
              <w:sz w:val="24"/>
              <w:szCs w:val="24"/>
              <w:lang w:val="nl-NL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r</w:t>
          </w:r>
          <w:r w:rsidR="00A61EE4">
            <w:rPr>
              <w:rFonts w:ascii="Arial" w:hAnsi="Arial" w:cs="Arial"/>
              <w:sz w:val="24"/>
              <w:szCs w:val="24"/>
              <w:lang w:val="nl-NL"/>
            </w:rPr>
            <w:t>ț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it</w:t>
          </w:r>
          <w:r w:rsidR="00A61EE4">
            <w:rPr>
              <w:rFonts w:ascii="Arial" w:hAnsi="Arial" w:cs="Arial"/>
              <w:sz w:val="24"/>
              <w:szCs w:val="24"/>
              <w:lang w:val="nl-NL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 </w:t>
          </w:r>
          <w:r w:rsidR="00A61EE4">
            <w:rPr>
              <w:rFonts w:ascii="Arial" w:hAnsi="Arial" w:cs="Arial"/>
              <w:sz w:val="24"/>
              <w:szCs w:val="24"/>
              <w:lang w:val="nl-NL"/>
            </w:rPr>
            <w:t>î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n 4 compartimente din care unul de total de cca. 36mc </w:t>
          </w:r>
          <w:r w:rsidR="00A61EE4">
            <w:rPr>
              <w:rFonts w:ascii="Arial" w:hAnsi="Arial" w:cs="Arial"/>
              <w:sz w:val="24"/>
              <w:szCs w:val="24"/>
              <w:lang w:val="nl-NL"/>
            </w:rPr>
            <w:t>ș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i 3 de etalonare de cca. 4 mc;</w:t>
          </w:r>
        </w:p>
        <w:p w:rsidR="00E728C0" w:rsidRP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nl-NL"/>
            </w:rPr>
            <w:t>-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nl-NL"/>
            </w:rPr>
            <w:t>u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n rezervor </w:t>
          </w:r>
          <w:r w:rsidR="00A61EE4">
            <w:rPr>
              <w:rFonts w:ascii="Arial" w:hAnsi="Arial" w:cs="Arial"/>
              <w:sz w:val="24"/>
              <w:szCs w:val="24"/>
              <w:lang w:val="nl-NL"/>
            </w:rPr>
            <w:t>î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ngropat care preia produț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ia din compartimentele de etalonare 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și o redirecț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ioneaz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 c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tre compartimentul de total cu ajutorul unei pompe submersibile cu o capacitate de cca. 10 mc/or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 antrenat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 de un motor de 4 kW;</w:t>
          </w:r>
        </w:p>
        <w:p w:rsidR="00E728C0" w:rsidRP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nl-NL"/>
            </w:rPr>
            <w:t>- trei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 pompe de transport tip PCP (pompe cu cavit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ăț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i progresive) cu o capacitate variabil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  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între 20 – 30 mc/ora fieca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>re antrenat</w:t>
          </w:r>
          <w:r w:rsidR="00E81C15">
            <w:rPr>
              <w:rFonts w:ascii="Arial" w:hAnsi="Arial" w:cs="Arial"/>
              <w:sz w:val="24"/>
              <w:szCs w:val="24"/>
              <w:lang w:val="nl-NL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nl-NL"/>
            </w:rPr>
            <w:t xml:space="preserve"> de un motor de cca. 30kW. </w:t>
          </w:r>
          <w:r w:rsidRPr="00E728C0">
            <w:rPr>
              <w:rFonts w:ascii="Arial" w:hAnsi="Arial" w:cs="Arial"/>
              <w:sz w:val="24"/>
              <w:szCs w:val="24"/>
            </w:rPr>
            <w:t>Dou</w:t>
          </w:r>
          <w:r w:rsidR="00E81C15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func</w:t>
          </w:r>
          <w:r w:rsidR="00E81C15">
            <w:rPr>
              <w:rFonts w:ascii="Arial" w:hAnsi="Arial" w:cs="Arial"/>
              <w:sz w:val="24"/>
              <w:szCs w:val="24"/>
            </w:rPr>
            <w:t>ț</w:t>
          </w:r>
          <w:r w:rsidRPr="00E728C0">
            <w:rPr>
              <w:rFonts w:ascii="Arial" w:hAnsi="Arial" w:cs="Arial"/>
              <w:sz w:val="24"/>
              <w:szCs w:val="24"/>
            </w:rPr>
            <w:t>ioneaz</w:t>
          </w:r>
          <w:r w:rsidR="00E81C15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</w:t>
          </w:r>
          <w:r w:rsidR="00E81C15">
            <w:rPr>
              <w:rFonts w:ascii="Arial" w:hAnsi="Arial" w:cs="Arial"/>
              <w:sz w:val="24"/>
              <w:szCs w:val="24"/>
            </w:rPr>
            <w:t>î</w:t>
          </w:r>
          <w:r w:rsidRPr="00E728C0">
            <w:rPr>
              <w:rFonts w:ascii="Arial" w:hAnsi="Arial" w:cs="Arial"/>
              <w:sz w:val="24"/>
              <w:szCs w:val="24"/>
            </w:rPr>
            <w:t xml:space="preserve">n regim continuu, </w:t>
          </w:r>
          <w:r w:rsidR="00E81C15">
            <w:rPr>
              <w:rFonts w:ascii="Arial" w:hAnsi="Arial" w:cs="Arial"/>
              <w:sz w:val="24"/>
              <w:szCs w:val="24"/>
            </w:rPr>
            <w:t>a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treia pomp</w:t>
          </w:r>
          <w:r w:rsidR="00E81C15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este de rezerv</w:t>
          </w:r>
          <w:r w:rsidR="00E81C15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intr</w:t>
          </w:r>
          <w:r w:rsidR="00E81C15">
            <w:rPr>
              <w:rFonts w:ascii="Arial" w:hAnsi="Arial" w:cs="Arial"/>
              <w:sz w:val="24"/>
              <w:szCs w:val="24"/>
            </w:rPr>
            <w:t>â</w:t>
          </w:r>
          <w:r w:rsidRPr="00E728C0">
            <w:rPr>
              <w:rFonts w:ascii="Arial" w:hAnsi="Arial" w:cs="Arial"/>
              <w:sz w:val="24"/>
              <w:szCs w:val="24"/>
            </w:rPr>
            <w:t xml:space="preserve">nd automat </w:t>
          </w:r>
          <w:r w:rsidR="00E81C15">
            <w:rPr>
              <w:rFonts w:ascii="Arial" w:hAnsi="Arial" w:cs="Arial"/>
              <w:sz w:val="24"/>
              <w:szCs w:val="24"/>
            </w:rPr>
            <w:t>î</w:t>
          </w:r>
          <w:r w:rsidRPr="00E728C0">
            <w:rPr>
              <w:rFonts w:ascii="Arial" w:hAnsi="Arial" w:cs="Arial"/>
              <w:sz w:val="24"/>
              <w:szCs w:val="24"/>
            </w:rPr>
            <w:t>n func</w:t>
          </w:r>
          <w:r w:rsidR="00E81C15">
            <w:rPr>
              <w:rFonts w:ascii="Arial" w:hAnsi="Arial" w:cs="Arial"/>
              <w:sz w:val="24"/>
              <w:szCs w:val="24"/>
            </w:rPr>
            <w:t>ț</w:t>
          </w:r>
          <w:r w:rsidRPr="00E728C0">
            <w:rPr>
              <w:rFonts w:ascii="Arial" w:hAnsi="Arial" w:cs="Arial"/>
              <w:sz w:val="24"/>
              <w:szCs w:val="24"/>
            </w:rPr>
            <w:t xml:space="preserve">ie </w:t>
          </w:r>
          <w:r w:rsidR="00E81C15">
            <w:rPr>
              <w:rFonts w:ascii="Arial" w:hAnsi="Arial" w:cs="Arial"/>
              <w:sz w:val="24"/>
              <w:szCs w:val="24"/>
            </w:rPr>
            <w:t>î</w:t>
          </w:r>
          <w:r w:rsidRPr="00E728C0">
            <w:rPr>
              <w:rFonts w:ascii="Arial" w:hAnsi="Arial" w:cs="Arial"/>
              <w:sz w:val="24"/>
              <w:szCs w:val="24"/>
            </w:rPr>
            <w:t>n caz de defec</w:t>
          </w:r>
          <w:r w:rsidR="00E81C15">
            <w:rPr>
              <w:rFonts w:ascii="Arial" w:hAnsi="Arial" w:cs="Arial"/>
              <w:sz w:val="24"/>
              <w:szCs w:val="24"/>
            </w:rPr>
            <w:t>ț</w:t>
          </w:r>
          <w:r w:rsidRPr="00E728C0">
            <w:rPr>
              <w:rFonts w:ascii="Arial" w:hAnsi="Arial" w:cs="Arial"/>
              <w:sz w:val="24"/>
              <w:szCs w:val="24"/>
            </w:rPr>
            <w:t>iune a uneia din cele dou</w:t>
          </w:r>
          <w:r w:rsidR="00E81C15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pompe sau supraproduc</w:t>
          </w:r>
          <w:r w:rsidR="00E81C15">
            <w:rPr>
              <w:rFonts w:ascii="Arial" w:hAnsi="Arial" w:cs="Arial"/>
              <w:sz w:val="24"/>
              <w:szCs w:val="24"/>
            </w:rPr>
            <w:t>ț</w:t>
          </w:r>
          <w:r w:rsidRPr="00E728C0">
            <w:rPr>
              <w:rFonts w:ascii="Arial" w:hAnsi="Arial" w:cs="Arial"/>
              <w:sz w:val="24"/>
              <w:szCs w:val="24"/>
            </w:rPr>
            <w:t>ie;</w:t>
          </w:r>
        </w:p>
        <w:p w:rsidR="00E728C0" w:rsidRP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sv-SE"/>
            </w:rPr>
            <w:t>c</w:t>
          </w:r>
          <w:r w:rsidRPr="00E728C0">
            <w:rPr>
              <w:rFonts w:ascii="Arial" w:hAnsi="Arial" w:cs="Arial"/>
              <w:sz w:val="24"/>
              <w:szCs w:val="24"/>
              <w:lang w:val="sv-SE"/>
            </w:rPr>
            <w:t>azan de ap</w:t>
          </w:r>
          <w:r w:rsidR="00E81C15">
            <w:rPr>
              <w:rFonts w:ascii="Arial" w:hAnsi="Arial" w:cs="Arial"/>
              <w:sz w:val="24"/>
              <w:szCs w:val="24"/>
              <w:lang w:val="sv-SE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sv-SE"/>
            </w:rPr>
            <w:t xml:space="preserve"> cald</w:t>
          </w:r>
          <w:r w:rsidR="00E81C15">
            <w:rPr>
              <w:rFonts w:ascii="Arial" w:hAnsi="Arial" w:cs="Arial"/>
              <w:sz w:val="24"/>
              <w:szCs w:val="24"/>
              <w:lang w:val="sv-SE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sv-SE"/>
            </w:rPr>
            <w:t xml:space="preserve">, </w:t>
          </w:r>
          <w:r w:rsidR="00E81C15">
            <w:rPr>
              <w:rFonts w:ascii="Arial" w:hAnsi="Arial" w:cs="Arial"/>
              <w:sz w:val="24"/>
              <w:szCs w:val="24"/>
              <w:lang w:val="sv-SE"/>
            </w:rPr>
            <w:t>î</w:t>
          </w:r>
          <w:r w:rsidRPr="00E728C0">
            <w:rPr>
              <w:rFonts w:ascii="Arial" w:hAnsi="Arial" w:cs="Arial"/>
              <w:sz w:val="24"/>
              <w:szCs w:val="24"/>
              <w:lang w:val="sv-SE"/>
            </w:rPr>
            <w:t>n dou</w:t>
          </w:r>
          <w:r w:rsidR="00E81C15">
            <w:rPr>
              <w:rFonts w:ascii="Arial" w:hAnsi="Arial" w:cs="Arial"/>
              <w:sz w:val="24"/>
              <w:szCs w:val="24"/>
              <w:lang w:val="sv-SE"/>
            </w:rPr>
            <w:t>ă trepte</w:t>
          </w:r>
          <w:r w:rsidRPr="00E728C0">
            <w:rPr>
              <w:rFonts w:ascii="Arial" w:hAnsi="Arial" w:cs="Arial"/>
              <w:sz w:val="24"/>
              <w:szCs w:val="24"/>
            </w:rPr>
            <w:t>;</w:t>
          </w:r>
        </w:p>
        <w:p w:rsidR="00E728C0" w:rsidRP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- electropomp</w:t>
          </w:r>
          <w:r w:rsidR="00E81C15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de circulatie ap</w:t>
          </w:r>
          <w:r w:rsidR="00E81C15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calda; </w:t>
          </w:r>
        </w:p>
        <w:p w:rsidR="00E728C0" w:rsidRPr="00E728C0" w:rsidRDefault="00E728C0" w:rsidP="00E81C1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-</w:t>
          </w:r>
          <w:r w:rsidR="00E81C15">
            <w:rPr>
              <w:rFonts w:ascii="Arial" w:hAnsi="Arial" w:cs="Arial"/>
              <w:sz w:val="24"/>
              <w:szCs w:val="24"/>
            </w:rPr>
            <w:t xml:space="preserve"> electropompa de recirculare;</w:t>
          </w:r>
        </w:p>
        <w:p w:rsidR="00E728C0" w:rsidRP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- instalati</w:t>
          </w:r>
          <w:r w:rsidR="00E81C15">
            <w:rPr>
              <w:rFonts w:ascii="Arial" w:hAnsi="Arial" w:cs="Arial"/>
              <w:sz w:val="24"/>
              <w:szCs w:val="24"/>
            </w:rPr>
            <w:t>e de dedurizare a apei</w:t>
          </w:r>
          <w:r w:rsidRPr="00E728C0">
            <w:rPr>
              <w:rFonts w:ascii="Arial" w:hAnsi="Arial" w:cs="Arial"/>
              <w:sz w:val="24"/>
              <w:szCs w:val="24"/>
            </w:rPr>
            <w:t>;</w:t>
          </w:r>
        </w:p>
        <w:p w:rsidR="00E728C0" w:rsidRP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 xml:space="preserve">- vas de expansiune inchis, cu capacitate de 200 l; </w:t>
          </w:r>
        </w:p>
        <w:p w:rsidR="00E728C0" w:rsidRP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- instalatie de umpler</w:t>
          </w:r>
          <w:r w:rsidR="00E81C15">
            <w:rPr>
              <w:rFonts w:ascii="Arial" w:hAnsi="Arial" w:cs="Arial"/>
              <w:sz w:val="24"/>
              <w:szCs w:val="24"/>
            </w:rPr>
            <w:t>e automata;</w:t>
          </w:r>
        </w:p>
        <w:p w:rsidR="00E728C0" w:rsidRPr="00E728C0" w:rsidRDefault="00E728C0" w:rsidP="00E728C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sv-SE"/>
            </w:rPr>
          </w:pPr>
          <w:r w:rsidRPr="00E728C0">
            <w:rPr>
              <w:rFonts w:ascii="Arial" w:hAnsi="Arial" w:cs="Arial"/>
              <w:sz w:val="24"/>
              <w:szCs w:val="24"/>
            </w:rPr>
            <w:t xml:space="preserve">- </w:t>
          </w:r>
          <w:r w:rsidRPr="00E728C0">
            <w:rPr>
              <w:rFonts w:ascii="Arial" w:hAnsi="Arial" w:cs="Arial"/>
              <w:sz w:val="24"/>
              <w:szCs w:val="24"/>
              <w:lang w:val="sv-SE"/>
            </w:rPr>
            <w:t>supap</w:t>
          </w:r>
          <w:r w:rsidR="00E81C15">
            <w:rPr>
              <w:rFonts w:ascii="Arial" w:hAnsi="Arial" w:cs="Arial"/>
              <w:sz w:val="24"/>
              <w:szCs w:val="24"/>
              <w:lang w:val="sv-SE"/>
            </w:rPr>
            <w:t>ă</w:t>
          </w:r>
          <w:r w:rsidRPr="00E728C0">
            <w:rPr>
              <w:rFonts w:ascii="Arial" w:hAnsi="Arial" w:cs="Arial"/>
              <w:sz w:val="24"/>
              <w:szCs w:val="24"/>
              <w:lang w:val="sv-SE"/>
            </w:rPr>
            <w:t xml:space="preserve"> de siguran</w:t>
          </w:r>
          <w:r w:rsidR="00E81C15">
            <w:rPr>
              <w:rFonts w:ascii="Arial" w:hAnsi="Arial" w:cs="Arial"/>
              <w:sz w:val="24"/>
              <w:szCs w:val="24"/>
              <w:lang w:val="sv-SE"/>
            </w:rPr>
            <w:t>ță</w:t>
          </w:r>
          <w:r w:rsidRPr="00E728C0">
            <w:rPr>
              <w:rFonts w:ascii="Arial" w:hAnsi="Arial" w:cs="Arial"/>
              <w:sz w:val="24"/>
              <w:szCs w:val="24"/>
              <w:lang w:val="sv-SE"/>
            </w:rPr>
            <w:t>, cu declan</w:t>
          </w:r>
          <w:r w:rsidR="00E81C15">
            <w:rPr>
              <w:rFonts w:ascii="Arial" w:hAnsi="Arial" w:cs="Arial"/>
              <w:sz w:val="24"/>
              <w:szCs w:val="24"/>
              <w:lang w:val="sv-SE"/>
            </w:rPr>
            <w:t>ș</w:t>
          </w:r>
          <w:r w:rsidRPr="00E728C0">
            <w:rPr>
              <w:rFonts w:ascii="Arial" w:hAnsi="Arial" w:cs="Arial"/>
              <w:sz w:val="24"/>
              <w:szCs w:val="24"/>
              <w:lang w:val="sv-SE"/>
            </w:rPr>
            <w:t>are la 5 bar.</w:t>
          </w:r>
        </w:p>
        <w:p w:rsidR="00E728C0" w:rsidRPr="00E728C0" w:rsidRDefault="00E728C0" w:rsidP="003F4E9C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E728C0">
            <w:rPr>
              <w:rFonts w:ascii="Arial" w:hAnsi="Arial" w:cs="Arial"/>
              <w:sz w:val="24"/>
              <w:szCs w:val="24"/>
            </w:rPr>
            <w:t>Accesul la loca</w:t>
          </w:r>
          <w:r w:rsidR="003F4E9C">
            <w:rPr>
              <w:rFonts w:ascii="Arial" w:hAnsi="Arial" w:cs="Arial"/>
              <w:sz w:val="24"/>
              <w:szCs w:val="24"/>
            </w:rPr>
            <w:t>ț</w:t>
          </w:r>
          <w:r w:rsidRPr="00E728C0">
            <w:rPr>
              <w:rFonts w:ascii="Arial" w:hAnsi="Arial" w:cs="Arial"/>
              <w:sz w:val="24"/>
              <w:szCs w:val="24"/>
            </w:rPr>
            <w:t>iile punctului de colectare se realizeaz</w:t>
          </w:r>
          <w:r w:rsidR="003F4E9C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prin intermediul drumului petrolier existent.</w:t>
          </w:r>
          <w:r w:rsidR="003F4E9C">
            <w:rPr>
              <w:rFonts w:ascii="Arial" w:hAnsi="Arial" w:cs="Arial"/>
              <w:sz w:val="24"/>
              <w:szCs w:val="24"/>
            </w:rPr>
            <w:t xml:space="preserve"> </w:t>
          </w:r>
          <w:r w:rsidRPr="00E728C0">
            <w:rPr>
              <w:rFonts w:ascii="Arial" w:hAnsi="Arial" w:cs="Arial"/>
              <w:sz w:val="24"/>
              <w:szCs w:val="24"/>
            </w:rPr>
            <w:t>Drum de incint</w:t>
          </w:r>
          <w:r w:rsidR="003F4E9C">
            <w:rPr>
              <w:rFonts w:ascii="Arial" w:hAnsi="Arial" w:cs="Arial"/>
              <w:sz w:val="24"/>
              <w:szCs w:val="24"/>
            </w:rPr>
            <w:t>ă</w:t>
          </w:r>
          <w:r w:rsidRPr="00E728C0">
            <w:rPr>
              <w:rFonts w:ascii="Arial" w:hAnsi="Arial" w:cs="Arial"/>
              <w:sz w:val="24"/>
              <w:szCs w:val="24"/>
            </w:rPr>
            <w:t xml:space="preserve"> – drum de acces la habe.</w:t>
          </w:r>
          <w:r w:rsidR="003F4E9C">
            <w:rPr>
              <w:rFonts w:ascii="Arial" w:hAnsi="Arial" w:cs="Arial"/>
              <w:sz w:val="24"/>
              <w:szCs w:val="24"/>
            </w:rPr>
            <w:t xml:space="preserve"> </w:t>
          </w:r>
          <w:r w:rsidR="003F4E9C" w:rsidRPr="00E728C0">
            <w:rPr>
              <w:rFonts w:ascii="Arial" w:hAnsi="Arial" w:cs="Arial"/>
              <w:sz w:val="24"/>
              <w:szCs w:val="24"/>
            </w:rPr>
            <w:t xml:space="preserve"> </w:t>
          </w:r>
          <w:r w:rsidRPr="00E728C0">
            <w:rPr>
              <w:rFonts w:ascii="Arial" w:hAnsi="Arial" w:cs="Arial"/>
              <w:sz w:val="24"/>
              <w:szCs w:val="24"/>
            </w:rPr>
            <w:t xml:space="preserve">Sistemul rutier are lungime 12 m </w:t>
          </w:r>
          <w:r w:rsidR="003F4E9C">
            <w:rPr>
              <w:rFonts w:ascii="Arial" w:hAnsi="Arial" w:cs="Arial"/>
              <w:sz w:val="24"/>
              <w:szCs w:val="24"/>
            </w:rPr>
            <w:t>ș</w:t>
          </w:r>
          <w:r w:rsidRPr="00E728C0">
            <w:rPr>
              <w:rFonts w:ascii="Arial" w:hAnsi="Arial" w:cs="Arial"/>
              <w:sz w:val="24"/>
              <w:szCs w:val="24"/>
            </w:rPr>
            <w:t>i la</w:t>
          </w:r>
          <w:r w:rsidR="003F4E9C">
            <w:rPr>
              <w:rFonts w:ascii="Arial" w:hAnsi="Arial" w:cs="Arial"/>
              <w:sz w:val="24"/>
              <w:szCs w:val="24"/>
            </w:rPr>
            <w:t>ț</w:t>
          </w:r>
          <w:r w:rsidRPr="00E728C0">
            <w:rPr>
              <w:rFonts w:ascii="Arial" w:hAnsi="Arial" w:cs="Arial"/>
              <w:sz w:val="24"/>
              <w:szCs w:val="24"/>
            </w:rPr>
            <w:t>ime de 4 m compus din:</w:t>
          </w:r>
        </w:p>
        <w:p w:rsidR="00E728C0" w:rsidRPr="00E728C0" w:rsidRDefault="003F4E9C" w:rsidP="00E728C0">
          <w:pPr>
            <w:numPr>
              <w:ilvl w:val="0"/>
              <w:numId w:val="6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bidi="ro-RO"/>
            </w:rPr>
          </w:pPr>
          <w:r>
            <w:rPr>
              <w:rFonts w:ascii="Arial" w:hAnsi="Arial" w:cs="Arial"/>
              <w:sz w:val="24"/>
              <w:szCs w:val="24"/>
              <w:lang w:val="ro-RO" w:bidi="ro-RO"/>
            </w:rPr>
            <w:t xml:space="preserve">- </w:t>
          </w:r>
          <w:r w:rsidR="00E728C0" w:rsidRPr="00E728C0">
            <w:rPr>
              <w:rFonts w:ascii="Arial" w:hAnsi="Arial" w:cs="Arial"/>
              <w:sz w:val="24"/>
              <w:szCs w:val="24"/>
              <w:lang w:val="ro-RO" w:bidi="ro-RO"/>
            </w:rPr>
            <w:t>10 cm macadam cu granulometrie 15-25 mm;</w:t>
          </w:r>
        </w:p>
        <w:p w:rsidR="00E728C0" w:rsidRPr="00E728C0" w:rsidRDefault="003F4E9C" w:rsidP="00E728C0">
          <w:pPr>
            <w:numPr>
              <w:ilvl w:val="0"/>
              <w:numId w:val="6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bidi="ro-RO"/>
            </w:rPr>
          </w:pPr>
          <w:r>
            <w:rPr>
              <w:rFonts w:ascii="Arial" w:hAnsi="Arial" w:cs="Arial"/>
              <w:sz w:val="24"/>
              <w:szCs w:val="24"/>
              <w:lang w:val="ro-RO" w:bidi="ro-RO"/>
            </w:rPr>
            <w:t xml:space="preserve">- </w:t>
          </w:r>
          <w:r w:rsidR="00E728C0" w:rsidRPr="00E728C0">
            <w:rPr>
              <w:rFonts w:ascii="Arial" w:hAnsi="Arial" w:cs="Arial"/>
              <w:sz w:val="24"/>
              <w:szCs w:val="24"/>
              <w:lang w:val="ro-RO" w:bidi="ro-RO"/>
            </w:rPr>
            <w:t>30 cm piatr</w:t>
          </w:r>
          <w:r>
            <w:rPr>
              <w:rFonts w:ascii="Arial" w:hAnsi="Arial" w:cs="Arial"/>
              <w:sz w:val="24"/>
              <w:szCs w:val="24"/>
              <w:lang w:val="ro-RO" w:bidi="ro-RO"/>
            </w:rPr>
            <w:t>ă</w:t>
          </w:r>
          <w:r w:rsidR="00E728C0" w:rsidRPr="00E728C0">
            <w:rPr>
              <w:rFonts w:ascii="Arial" w:hAnsi="Arial" w:cs="Arial"/>
              <w:sz w:val="24"/>
              <w:szCs w:val="24"/>
              <w:lang w:val="ro-RO" w:bidi="ro-RO"/>
            </w:rPr>
            <w:t xml:space="preserve"> spart</w:t>
          </w:r>
          <w:r>
            <w:rPr>
              <w:rFonts w:ascii="Arial" w:hAnsi="Arial" w:cs="Arial"/>
              <w:sz w:val="24"/>
              <w:szCs w:val="24"/>
              <w:lang w:val="ro-RO" w:bidi="ro-RO"/>
            </w:rPr>
            <w:t>ă</w:t>
          </w:r>
          <w:r w:rsidR="00E728C0" w:rsidRPr="00E728C0">
            <w:rPr>
              <w:rFonts w:ascii="Arial" w:hAnsi="Arial" w:cs="Arial"/>
              <w:sz w:val="24"/>
              <w:szCs w:val="24"/>
              <w:lang w:val="ro-RO" w:bidi="ro-RO"/>
            </w:rPr>
            <w:t xml:space="preserve"> de cariera cu granulometrie continu</w:t>
          </w:r>
          <w:r>
            <w:rPr>
              <w:rFonts w:ascii="Arial" w:hAnsi="Arial" w:cs="Arial"/>
              <w:sz w:val="24"/>
              <w:szCs w:val="24"/>
              <w:lang w:val="ro-RO" w:bidi="ro-RO"/>
            </w:rPr>
            <w:t>ă</w:t>
          </w:r>
          <w:r w:rsidR="00E728C0" w:rsidRPr="00E728C0">
            <w:rPr>
              <w:rFonts w:ascii="Arial" w:hAnsi="Arial" w:cs="Arial"/>
              <w:sz w:val="24"/>
              <w:szCs w:val="24"/>
              <w:lang w:val="ro-RO" w:bidi="ro-RO"/>
            </w:rPr>
            <w:t xml:space="preserve"> 15-25 mm si 40 - 60 mm;</w:t>
          </w:r>
        </w:p>
        <w:p w:rsidR="00E728C0" w:rsidRPr="00E728C0" w:rsidRDefault="003F4E9C" w:rsidP="00E728C0">
          <w:pPr>
            <w:numPr>
              <w:ilvl w:val="0"/>
              <w:numId w:val="6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bidi="ro-RO"/>
            </w:rPr>
          </w:pPr>
          <w:r>
            <w:rPr>
              <w:rFonts w:ascii="Arial" w:hAnsi="Arial" w:cs="Arial"/>
              <w:sz w:val="24"/>
              <w:szCs w:val="24"/>
              <w:lang w:val="ro-RO" w:bidi="ro-RO"/>
            </w:rPr>
            <w:t xml:space="preserve">- </w:t>
          </w:r>
          <w:r w:rsidR="00E728C0" w:rsidRPr="00E728C0">
            <w:rPr>
              <w:rFonts w:ascii="Arial" w:hAnsi="Arial" w:cs="Arial"/>
              <w:sz w:val="24"/>
              <w:szCs w:val="24"/>
              <w:lang w:val="ro-RO" w:bidi="ro-RO"/>
            </w:rPr>
            <w:t>5 cm strat de nisip, nespălat, cu granulometrie 0-7 mm;</w:t>
          </w:r>
        </w:p>
        <w:p w:rsidR="00753675" w:rsidRPr="00E728C0" w:rsidRDefault="003F4E9C" w:rsidP="00522DB9">
          <w:pPr>
            <w:numPr>
              <w:ilvl w:val="0"/>
              <w:numId w:val="65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bidi="ro-RO"/>
            </w:rPr>
          </w:pPr>
          <w:r>
            <w:rPr>
              <w:rFonts w:ascii="Arial" w:hAnsi="Arial" w:cs="Arial"/>
              <w:sz w:val="24"/>
              <w:szCs w:val="24"/>
              <w:lang w:val="ro-RO" w:bidi="ro-RO"/>
            </w:rPr>
            <w:t xml:space="preserve">- </w:t>
          </w:r>
          <w:r w:rsidR="00E728C0" w:rsidRPr="00E728C0">
            <w:rPr>
              <w:rFonts w:ascii="Arial" w:hAnsi="Arial" w:cs="Arial"/>
              <w:sz w:val="24"/>
              <w:szCs w:val="24"/>
              <w:lang w:val="ro-RO" w:bidi="ro-RO"/>
            </w:rPr>
            <w:t>geotextil 2,5 mm pentru drumuri si platforme, cu rol de filtrare si drenaj.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>
            <w:rPr>
              <w:rFonts w:ascii="Arial" w:hAnsi="Arial" w:cs="Arial"/>
              <w:sz w:val="24"/>
              <w:szCs w:val="24"/>
              <w:lang w:val="ro-RO"/>
            </w:rPr>
            <w:t>) cumularea cu alte proiecte - în zona amplasamentului nu se mai derulează alte proiecte; 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>
            <w:rPr>
              <w:rFonts w:ascii="Arial" w:hAnsi="Arial" w:cs="Arial"/>
              <w:sz w:val="24"/>
              <w:szCs w:val="24"/>
              <w:lang w:val="ro-RO"/>
            </w:rPr>
            <w:t>) utilizarea resurselor naturale - se vor utiliza resurse naturale în cantităţi limitate, iar materialele necesare realizarii proiectului vor fi preluate de la societăţi autorizate;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) producţia de deşeuri: deşeurile rezultate în urma execuţiei lucrărilor, se vor depozita selectiv pe categorie de deşeu în containere speciale şi vor fi predate la societăţi autorizate în colectare/ valorificare/eliminare; 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 vor fi generate de utilajele şi mijloacele de transport, pe perioada de realizare a proiectului;   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de tehnologiile utilizate: riscul de accident, pe perioada execuţiei lucrărilor este redus, iar</w:t>
          </w:r>
          <w:r>
            <w:rPr>
              <w:rFonts w:ascii="Arial" w:hAnsi="Arial" w:cs="Arial"/>
              <w:sz w:val="24"/>
              <w:szCs w:val="24"/>
              <w:lang w:val="pl-PL"/>
            </w:rPr>
            <w:t xml:space="preserve"> alimentarea utilajelor cu carburanţi se face numai la staţiile de distribuţie carburanţi autorizate;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SC OMV PETROM SA are întocmit planul de prevenire şi combatere a poluărilor accidentale;  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 xml:space="preserve">c) Localizarea proiectului: în intravilanul localităţii Leşmir, comuna Marca, jud. Sălaj,     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pt-BR"/>
            </w:rPr>
            <w:t>-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utilizarea existentă a terenului: zonă producție – careu sondă, amplasată pe un teren intravilan, conform Certificatului de Urbanism nr. </w:t>
          </w:r>
          <w:r w:rsidR="00292D07">
            <w:rPr>
              <w:rFonts w:ascii="Arial" w:hAnsi="Arial" w:cs="Arial"/>
              <w:sz w:val="24"/>
              <w:szCs w:val="24"/>
              <w:lang w:val="ro-RO"/>
            </w:rPr>
            <w:t>25</w:t>
          </w:r>
          <w:r>
            <w:rPr>
              <w:rFonts w:ascii="Arial" w:hAnsi="Arial" w:cs="Arial"/>
              <w:sz w:val="24"/>
              <w:szCs w:val="24"/>
              <w:lang w:val="ro-RO"/>
            </w:rPr>
            <w:t>/2</w:t>
          </w:r>
          <w:r w:rsidR="00292D07">
            <w:rPr>
              <w:rFonts w:ascii="Arial" w:hAnsi="Arial" w:cs="Arial"/>
              <w:sz w:val="24"/>
              <w:szCs w:val="24"/>
              <w:lang w:val="ro-RO"/>
            </w:rPr>
            <w:t>4</w:t>
          </w:r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  <w:r w:rsidR="00292D07">
            <w:rPr>
              <w:rFonts w:ascii="Arial" w:hAnsi="Arial" w:cs="Arial"/>
              <w:sz w:val="24"/>
              <w:szCs w:val="24"/>
              <w:lang w:val="ro-RO"/>
            </w:rPr>
            <w:t>07</w:t>
          </w:r>
          <w:r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292D07">
            <w:rPr>
              <w:rFonts w:ascii="Arial" w:hAnsi="Arial" w:cs="Arial"/>
              <w:sz w:val="24"/>
              <w:szCs w:val="24"/>
              <w:lang w:val="ro-RO"/>
            </w:rPr>
            <w:t>7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eliberat de Primăria Comunei Marca;     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relativa abundenţă a resurselor naturale din zonă, calitatea şi capacitatea regenerativă a acestora:  nu este cazul. 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d) Caracteristicile impactului potenţial: - nu este cazul.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lastRenderedPageBreak/>
            <w:t xml:space="preserve">II. Condiţiile de realizare a proiectului: </w:t>
          </w:r>
        </w:p>
        <w:p w:rsid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modificări". </w:t>
          </w:r>
        </w:p>
        <w:p w:rsidR="00292D07" w:rsidRP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>Se vor respecta limitele impuse de STAS 12574/87 privind condiţiile de calitate a aerului în zonele protejate;</w:t>
          </w:r>
        </w:p>
        <w:p w:rsidR="00292D07" w:rsidRP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Pe perioada execuţiei lucrărilor vor fi întreprinse măsuri pentru prevenirea şi reducerea poluării atmosferei cu pulberi, praf şi noxe chimice de orice fel, prin transportul şi manipularea adecvată a materialelor de orice natură şi a substanţelor chimice periculoase; </w:t>
          </w:r>
        </w:p>
        <w:p w:rsidR="00292D07" w:rsidRP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Menţinerea permanentă a drumurilor de acces în stare bună, întreţinerea continuă a utilajelor şi mijloacelor de transport pentru limitarea nivelului emisiilor în atmosferă; </w:t>
          </w:r>
        </w:p>
        <w:p w:rsidR="00292D07" w:rsidRPr="00292D07" w:rsidRDefault="00F45979" w:rsidP="00292D07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>Se vor lua măsuri de evitare a poluării fonice şi de încadrare în normativele standard pentru vibraţii şi zgomote conform STAS nr. 10009/1988 şi STAS 12025/2/1981</w:t>
          </w:r>
        </w:p>
        <w:p w:rsidR="00292D07" w:rsidRPr="00292D07" w:rsidRDefault="00F45979" w:rsidP="00292D07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>Deşeurile rezultate, indiferent de natura lor se vor gestiona în conformitate cu prevederile Legii 211 din 2011</w:t>
          </w:r>
          <w:r w:rsidR="00292D07">
            <w:rPr>
              <w:rFonts w:ascii="Arial" w:hAnsi="Arial" w:cs="Arial"/>
              <w:iCs/>
              <w:sz w:val="24"/>
              <w:szCs w:val="24"/>
              <w:lang w:val="ro-RO"/>
            </w:rPr>
            <w:t>(r1)</w:t>
          </w: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>, privind regimul deşeurilor</w:t>
          </w:r>
          <w:r w:rsidR="00292D07">
            <w:rPr>
              <w:rFonts w:ascii="Arial" w:hAnsi="Arial" w:cs="Arial"/>
              <w:iCs/>
              <w:sz w:val="24"/>
              <w:szCs w:val="24"/>
              <w:lang w:val="ro-RO"/>
            </w:rPr>
            <w:t>, cu modificările ulterioare</w:t>
          </w: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;    </w:t>
          </w:r>
        </w:p>
        <w:p w:rsidR="00292D07" w:rsidRP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Monitorizarea gestiunii deşeurilor prin respectarea H.G. nr. 856/2002, cu modificările ulterioare privind evidenţa gestiunii deşeurilor şi pentru aprobarea listei cuprinzând deşeurile, inclusiv deşeurile periculoase;    </w:t>
          </w:r>
        </w:p>
        <w:p w:rsidR="00292D07" w:rsidRP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>Respectarea H.G. nr. 1403/2007 privind refacerea zonelor în care solul, subsolul, şi ecosistemele terestre au fost afectate;</w:t>
          </w:r>
        </w:p>
        <w:p w:rsidR="00292D07" w:rsidRP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Depozitarea şi manipularea substanţelor chimice utilizate cu respectarea prevederilor Legii nr. 360/2003, privind regimul substanţelor şi preparatelor chimice periculoase, modificată şi completată prin Legea nr.263/2005 ; </w:t>
          </w:r>
        </w:p>
        <w:p w:rsidR="00292D07" w:rsidRP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Ţinerea evidenţei cantităţilor de substanţe periculoase stocate (dacă este cazul) şi consumate; </w:t>
          </w:r>
        </w:p>
        <w:p w:rsidR="00292D07" w:rsidRP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Respectarea  Hotărârii  Guvernului nr. 621 din  23.06.2005  privind  gestionarea ambalajelor şi a deşeurilor din ambalaje; </w:t>
          </w:r>
        </w:p>
        <w:p w:rsid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iCs/>
              <w:sz w:val="24"/>
              <w:szCs w:val="24"/>
              <w:lang w:val="ro-RO"/>
            </w:rPr>
            <w:t>Repararea utilajelor şi a mijloacelor de transport şi schimbul de ulei se va face numai în incinte autorizate</w:t>
          </w:r>
          <w:r w:rsidRPr="00292D07">
            <w:rPr>
              <w:rFonts w:ascii="Arial" w:hAnsi="Arial" w:cs="Arial"/>
              <w:sz w:val="24"/>
              <w:szCs w:val="24"/>
              <w:lang w:val="ro-RO"/>
            </w:rPr>
            <w:t xml:space="preserve">;  </w:t>
          </w:r>
        </w:p>
        <w:p w:rsid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Style w:val="FontStyle23"/>
              <w:sz w:val="24"/>
              <w:szCs w:val="24"/>
              <w:lang w:val="ro-RO"/>
            </w:rPr>
          </w:pPr>
          <w:r w:rsidRPr="00292D07">
            <w:rPr>
              <w:rStyle w:val="FontStyle23"/>
              <w:sz w:val="24"/>
              <w:szCs w:val="24"/>
              <w:lang w:val="ro-RO" w:eastAsia="ro-RO"/>
            </w:rPr>
            <w:t>Respectarea prevederilor OUG nr. 195/2005 privind protecţia mediului, aprobată cu modificări de Legea nr. 265/2006, modificată de OUG nr. 57/2007 , OUG nr. 114/2007 şi OUG nr. 164/2008;</w:t>
          </w:r>
        </w:p>
        <w:p w:rsid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  <w:t>A</w:t>
          </w:r>
          <w:r w:rsidRPr="00292D07">
            <w:rPr>
              <w:rFonts w:ascii="Arial" w:hAnsi="Arial" w:cs="Arial"/>
              <w:sz w:val="24"/>
              <w:szCs w:val="24"/>
              <w:lang w:val="ro-RO"/>
            </w:rPr>
            <w:t xml:space="preserve">mplasarea organizării de şantier şi a depozitelor, precum şi alte activităţi conexe, se vor realiza cu respectarea prevederilor O.U.G. nr. 195/2005 aprobată cu modificări prin Legea nr. 265/2006 privind protecţia mediului cu completările şi modificările ulterioare; </w:t>
          </w:r>
        </w:p>
        <w:p w:rsid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sz w:val="24"/>
              <w:szCs w:val="24"/>
              <w:lang w:val="ro-RO"/>
            </w:rPr>
            <w:t>Respectarea prevederilor actelor/avizelor emise de alte autorităţi pentru prezentul proiect;</w:t>
          </w:r>
        </w:p>
        <w:p w:rsidR="00F45979" w:rsidRPr="00292D07" w:rsidRDefault="00F45979" w:rsidP="00F45979">
          <w:pPr>
            <w:pStyle w:val="ListParagraph"/>
            <w:numPr>
              <w:ilvl w:val="0"/>
              <w:numId w:val="12"/>
            </w:numPr>
            <w:autoSpaceDE w:val="0"/>
            <w:autoSpaceDN w:val="0"/>
            <w:adjustRightInd w:val="0"/>
            <w:spacing w:after="0" w:line="240" w:lineRule="auto"/>
            <w:ind w:left="0"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STAS 10009/1988, privind nivelul de zgomot.  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F45979" w:rsidRDefault="00F45979" w:rsidP="00F45979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Pentru obţinerea autorizaţiei de construire se vor obţine actele/avizele stabilite în certificatul de urbanism și cele solicitate în şedinţa CAT, respectiv:</w:t>
          </w:r>
        </w:p>
        <w:p w:rsidR="00F45979" w:rsidRDefault="00F45979" w:rsidP="00F45979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punct de vedere DJC Sălaj;</w:t>
          </w:r>
        </w:p>
        <w:p w:rsidR="00292D07" w:rsidRDefault="00292D07" w:rsidP="00F45979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aviz ANIF;</w:t>
          </w:r>
        </w:p>
        <w:p w:rsidR="00F45979" w:rsidRDefault="00F45979" w:rsidP="00F45979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clasă de calitate OSPA.</w:t>
          </w: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MS Mincho" w:hAnsi="Arial" w:cs="Arial"/>
              <w:b/>
              <w:bCs/>
              <w:i/>
              <w:iCs/>
              <w:sz w:val="24"/>
              <w:szCs w:val="24"/>
              <w:lang w:val="ro-RO" w:eastAsia="ja-JP" w:bidi="he-IL"/>
            </w:rPr>
          </w:pPr>
          <w:r>
            <w:rPr>
              <w:rFonts w:ascii="Arial" w:eastAsia="MS Mincho" w:hAnsi="Arial" w:cs="Arial"/>
              <w:b/>
              <w:bCs/>
              <w:i/>
              <w:iCs/>
              <w:sz w:val="24"/>
              <w:szCs w:val="24"/>
              <w:lang w:val="ro-RO" w:eastAsia="ja-JP" w:bidi="he-IL"/>
            </w:rPr>
            <w:tab/>
          </w:r>
        </w:p>
        <w:p w:rsidR="00292D07" w:rsidRDefault="00292D07" w:rsidP="00F4597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MS Mincho" w:hAnsi="Arial" w:cs="Arial"/>
              <w:b/>
              <w:bCs/>
              <w:i/>
              <w:iCs/>
              <w:sz w:val="24"/>
              <w:szCs w:val="24"/>
              <w:lang w:val="ro-RO" w:eastAsia="ja-JP" w:bidi="he-IL"/>
            </w:rPr>
          </w:pPr>
        </w:p>
        <w:p w:rsidR="00292D07" w:rsidRDefault="00292D07" w:rsidP="00F4597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MS Mincho" w:hAnsi="Arial" w:cs="Arial"/>
              <w:b/>
              <w:bCs/>
              <w:i/>
              <w:iCs/>
              <w:sz w:val="24"/>
              <w:szCs w:val="24"/>
              <w:lang w:val="ro-RO" w:eastAsia="ja-JP" w:bidi="he-IL"/>
            </w:rPr>
          </w:pPr>
        </w:p>
        <w:p w:rsidR="00F45979" w:rsidRDefault="00F45979" w:rsidP="00F4597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MS Mincho" w:hAnsi="Arial" w:cs="Arial"/>
              <w:b/>
              <w:bCs/>
              <w:i/>
              <w:iCs/>
              <w:sz w:val="24"/>
              <w:szCs w:val="24"/>
              <w:lang w:val="ro-RO" w:eastAsia="ja-JP" w:bidi="he-IL"/>
            </w:rPr>
          </w:pPr>
          <w:r>
            <w:rPr>
              <w:rFonts w:ascii="Arial" w:eastAsia="MS Mincho" w:hAnsi="Arial" w:cs="Arial"/>
              <w:b/>
              <w:bCs/>
              <w:i/>
              <w:iCs/>
              <w:sz w:val="24"/>
              <w:szCs w:val="24"/>
              <w:lang w:val="ro-RO" w:eastAsia="ja-JP" w:bidi="he-IL"/>
            </w:rPr>
            <w:lastRenderedPageBreak/>
            <w:t xml:space="preserve"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 </w:t>
          </w:r>
          <w:r>
            <w:rPr>
              <w:rFonts w:ascii="Arial" w:eastAsia="MS Mincho" w:hAnsi="Arial" w:cs="Arial"/>
              <w:b/>
              <w:bCs/>
              <w:i/>
              <w:iCs/>
              <w:sz w:val="24"/>
              <w:szCs w:val="24"/>
              <w:lang w:val="ro-RO" w:eastAsia="ja-JP" w:bidi="he-IL"/>
            </w:rPr>
            <w:tab/>
          </w:r>
        </w:p>
        <w:p w:rsidR="00F45979" w:rsidRDefault="00F45979" w:rsidP="00F45979">
          <w:pPr>
            <w:pStyle w:val="ListParagraph"/>
            <w:tabs>
              <w:tab w:val="left" w:pos="450"/>
            </w:tabs>
            <w:autoSpaceDE w:val="0"/>
            <w:autoSpaceDN w:val="0"/>
            <w:adjustRightInd w:val="0"/>
            <w:spacing w:after="0" w:line="240" w:lineRule="auto"/>
            <w:ind w:left="0"/>
            <w:jc w:val="both"/>
            <w:rPr>
              <w:rStyle w:val="FontStyle23"/>
              <w:sz w:val="24"/>
              <w:szCs w:val="24"/>
              <w:lang w:eastAsia="ro-RO"/>
            </w:rPr>
          </w:pPr>
          <w:r>
            <w:rPr>
              <w:rFonts w:ascii="Arial" w:eastAsia="MS Mincho" w:hAnsi="Arial" w:cs="Arial"/>
              <w:sz w:val="24"/>
              <w:szCs w:val="24"/>
              <w:lang w:val="ro-RO" w:eastAsia="ja-JP" w:bidi="he-IL"/>
            </w:rPr>
            <w:tab/>
            <w:t xml:space="preserve">Prezentul act nu exonerează de răspundere titularul, proiectantul si/sau constructorul in cazul producerii unor accidente in timpul execuţiei lucrărilor sau exploatării acestora. </w:t>
          </w:r>
          <w:r>
            <w:rPr>
              <w:rFonts w:ascii="Arial" w:hAnsi="Arial" w:cs="Arial"/>
              <w:sz w:val="24"/>
              <w:szCs w:val="24"/>
              <w:lang w:val="ro-RO"/>
            </w:rPr>
            <w:t>Prezenta decizie poate fi contestată în conformitate cu prevederile H.G. nr. 445/2009 şi ale Legii contenciosului administrativ nr. 554/2004, cu modificările şi completările ulterioare.</w:t>
          </w:r>
        </w:p>
        <w:p w:rsidR="00753675" w:rsidRPr="00522DB9" w:rsidRDefault="00F45979" w:rsidP="00F4597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464E8B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464E8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464E8B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464E8B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292D07" w:rsidRPr="00292D07" w:rsidRDefault="00292D07" w:rsidP="00292D07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292D07" w:rsidRPr="00292D07" w:rsidRDefault="00292D07" w:rsidP="00292D07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292D0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it-IT"/>
            </w:rPr>
          </w:pPr>
          <w:r w:rsidRPr="00292D0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 xml:space="preserve">Şef  Serviciu Avize, Acorduri, Autorizaţii, </w:t>
          </w: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  <w:t xml:space="preserve">                       </w:t>
          </w: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it-IT"/>
            </w:rPr>
          </w:pP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 xml:space="preserve"> ing. Gizella Balint             </w:t>
          </w: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</w: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ab/>
            <w:t xml:space="preserve">                  </w:t>
          </w: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it-IT"/>
            </w:rPr>
          </w:pP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it-IT"/>
            </w:rPr>
          </w:pP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it-IT"/>
            </w:rPr>
          </w:pPr>
        </w:p>
        <w:p w:rsidR="00292D07" w:rsidRPr="00292D07" w:rsidRDefault="00292D07" w:rsidP="00292D07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292D07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 xml:space="preserve">     </w:t>
          </w:r>
          <w:r w:rsidRPr="00292D07">
            <w:rPr>
              <w:rFonts w:ascii="Arial" w:hAnsi="Arial" w:cs="Arial"/>
              <w:b/>
              <w:bCs/>
              <w:sz w:val="24"/>
              <w:szCs w:val="24"/>
            </w:rPr>
            <w:t>Întocmit,</w:t>
          </w:r>
        </w:p>
        <w:p w:rsidR="0071693D" w:rsidRPr="00292D07" w:rsidRDefault="00292D07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it-IT"/>
            </w:rPr>
          </w:pPr>
          <w:r w:rsidRPr="00292D07">
            <w:rPr>
              <w:rFonts w:ascii="Arial" w:hAnsi="Arial" w:cs="Arial"/>
              <w:b/>
              <w:bCs/>
              <w:sz w:val="24"/>
              <w:szCs w:val="24"/>
            </w:rPr>
            <w:t>ing. Anca Horotan</w:t>
          </w:r>
        </w:p>
      </w:sdtContent>
    </w:sdt>
    <w:p w:rsidR="00522DB9" w:rsidRPr="00447422" w:rsidRDefault="00464E8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64E8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64E8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64E8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64E8B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464E8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464E8B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64" w:rsidRDefault="00E41A64" w:rsidP="00E41A64">
      <w:pPr>
        <w:spacing w:after="0" w:line="240" w:lineRule="auto"/>
      </w:pPr>
      <w:r>
        <w:separator/>
      </w:r>
    </w:p>
  </w:endnote>
  <w:endnote w:type="continuationSeparator" w:id="0">
    <w:p w:rsidR="00E41A64" w:rsidRDefault="00E41A64" w:rsidP="00E4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E41A6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4E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E8B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464E8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B5759F" w:rsidRPr="00702379" w:rsidRDefault="00B5759F" w:rsidP="00B5759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17731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69143222" r:id="rId2"/>
              </w:pict>
            </w:r>
            <w:r w:rsidRPr="0017731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B5759F" w:rsidRPr="00702379" w:rsidRDefault="00B5759F" w:rsidP="00B5759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B5759F" w:rsidRDefault="00B5759F" w:rsidP="00B5759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A52468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@apmsj.anpm.ro</w:t>
              </w:r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  <w:p w:rsidR="00992A14" w:rsidRPr="00B5759F" w:rsidRDefault="00B5759F" w:rsidP="00B5759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hyperlink r:id="rId4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http://apmsj.anpm.ro</w:t>
              </w:r>
            </w:hyperlink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</w:p>
        </w:sdtContent>
      </w:sdt>
      <w:p w:rsidR="00B72680" w:rsidRPr="00C44321" w:rsidRDefault="00464E8B" w:rsidP="00C44321">
        <w:pPr>
          <w:pStyle w:val="Footer"/>
          <w:jc w:val="center"/>
        </w:pPr>
        <w:r>
          <w:t xml:space="preserve"> </w:t>
        </w:r>
        <w:r w:rsidR="00E41A64">
          <w:fldChar w:fldCharType="begin"/>
        </w:r>
        <w:r>
          <w:instrText xml:space="preserve"> PAGE   \* MERGEFORMAT </w:instrText>
        </w:r>
        <w:r w:rsidR="00E41A64">
          <w:fldChar w:fldCharType="separate"/>
        </w:r>
        <w:r>
          <w:rPr>
            <w:noProof/>
          </w:rPr>
          <w:t>4</w:t>
        </w:r>
        <w:r w:rsidR="00E41A6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B5759F" w:rsidRPr="00702379" w:rsidRDefault="00B5759F" w:rsidP="00B5759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177314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69143221" r:id="rId2"/>
          </w:pict>
        </w:r>
        <w:r w:rsidRPr="00177314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B5759F" w:rsidRPr="00702379" w:rsidRDefault="00B5759F" w:rsidP="00B5759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B5759F" w:rsidRDefault="00B5759F" w:rsidP="00B5759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A52468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B72680" w:rsidRPr="00B5759F" w:rsidRDefault="00B5759F" w:rsidP="00B5759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hyperlink r:id="rId4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http://apmsj.anpm.ro</w:t>
          </w:r>
        </w:hyperlink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64" w:rsidRDefault="00E41A64" w:rsidP="00E41A64">
      <w:pPr>
        <w:spacing w:after="0" w:line="240" w:lineRule="auto"/>
      </w:pPr>
      <w:r>
        <w:separator/>
      </w:r>
    </w:p>
  </w:footnote>
  <w:footnote w:type="continuationSeparator" w:id="0">
    <w:p w:rsidR="00E41A64" w:rsidRDefault="00E41A64" w:rsidP="00E4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575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969" o:spid="_x0000_s2095" type="#_x0000_t136" style="position:absolute;margin-left:0;margin-top:0;width:439.45pt;height:263.6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B575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970" o:spid="_x0000_s2096" type="#_x0000_t136" style="position:absolute;margin-left:0;margin-top:0;width:439.45pt;height:263.6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B5759F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1968" o:spid="_x0000_s2094" type="#_x0000_t136" style="position:absolute;left:0;text-align:left;margin-left:0;margin-top:0;width:439.45pt;height:263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E41A64" w:rsidRPr="00E41A6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9143220" r:id="rId2"/>
      </w:pict>
    </w:r>
    <w:r w:rsidR="00464E8B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464E8B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464E8B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E41A6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464E8B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464E8B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464E8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464E8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41A6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464E8B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B5759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S[LAJ</w:t>
              </w:r>
            </w:sdtContent>
          </w:sdt>
        </w:p>
      </w:tc>
    </w:tr>
  </w:tbl>
  <w:p w:rsidR="00B72680" w:rsidRPr="0090788F" w:rsidRDefault="00464E8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3EBE50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97D"/>
    <w:multiLevelType w:val="hybridMultilevel"/>
    <w:tmpl w:val="155477C0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AB5AF7"/>
    <w:multiLevelType w:val="multilevel"/>
    <w:tmpl w:val="EF5C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C162E0F"/>
    <w:multiLevelType w:val="hybridMultilevel"/>
    <w:tmpl w:val="7E62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B155F8"/>
    <w:multiLevelType w:val="multilevel"/>
    <w:tmpl w:val="9828B12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9">
    <w:nsid w:val="67D51CBA"/>
    <w:multiLevelType w:val="multilevel"/>
    <w:tmpl w:val="A21C870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B09S2iTlXQwQ+alHXkJoSVj9/jc=" w:salt="rYv7ahduIKiPLBH+j1Icj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1A64"/>
    <w:rsid w:val="000F773D"/>
    <w:rsid w:val="00292D07"/>
    <w:rsid w:val="003F4E9C"/>
    <w:rsid w:val="00464E8B"/>
    <w:rsid w:val="00A61EE4"/>
    <w:rsid w:val="00B5759F"/>
    <w:rsid w:val="00C3460B"/>
    <w:rsid w:val="00E41A64"/>
    <w:rsid w:val="00E728C0"/>
    <w:rsid w:val="00E81C15"/>
    <w:rsid w:val="00F45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23">
    <w:name w:val="Font Style23"/>
    <w:basedOn w:val="DefaultParagraphFont"/>
    <w:rsid w:val="00F45979"/>
    <w:rPr>
      <w:rFonts w:ascii="Arial" w:hAnsi="Arial" w:cs="Arial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177859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859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FEC158BC09EE411E9FADD6ED4CCA0EC6">
    <w:name w:val="FEC158BC09EE411E9FADD6ED4CCA0EC6"/>
    <w:rsid w:val="00177859"/>
  </w:style>
  <w:style w:type="paragraph" w:customStyle="1" w:styleId="720F094488E74611BA254541D5C35E8D">
    <w:name w:val="720F094488E74611BA254541D5C35E8D"/>
    <w:rsid w:val="001778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dd96722a-3401-4493-b653-2a63809ccae5","Numar":null,"Data":null,"NumarActReglementareInitial":null,"DataActReglementareInitial":null,"DataInceput":"2017-10-10T00:00:00","DataSfarsit":null,"Durata":null,"PunctLucruId":404031.0,"TipActId":4.0,"NumarCerere":null,"DataCerere":null,"NumarCerereScriptic":"4475","DataCerereScriptic":"2017-08-03T00:00:00","CodFiscal":null,"SordId":"(4BE1EAA7-F323-5B0E-4F25-5E917140074A)","SablonSordId":"(8B66777B-56B9-65A9-2773-1FA4A6BC21FB)","DosarSordId":"4460521","LatitudineWgs84":null,"LongitudineWgs84":null,"LatitudineStereo70":null,"LongitudineStereo70":null,"NumarAutorizatieGospodarireApe":null,"DataAutorizatieGospodarireApe":null,"DurataAutorizatieGospodarireApe":null,"Aba":null,"Sga":null,"AdresaSediuSocial":"Str. Coralilor, Nr. 22, Bucureşti Sectorul 1","AdresaPunctLucru":null,"DenumireObiectiv":null,"DomeniuActivitate":null,"DomeniuSpecific":null,"ApmEmitere":null,"ApmRaportare":null,"AnpmApm":"APM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3475CA5-4265-4BCA-A724-4DA7A4B823C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69A55F3E-4660-48E1-8C13-CB72EFFEA7FD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8D7923D-B2DB-4B6B-BC49-9F38BAFE51B7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8B38C7A-C3EB-471C-8AF1-329190B1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1495</Words>
  <Characters>8524</Characters>
  <Application>Microsoft Office Word</Application>
  <DocSecurity>8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10000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9</cp:revision>
  <cp:lastPrinted>2014-04-25T12:16:00Z</cp:lastPrinted>
  <dcterms:created xsi:type="dcterms:W3CDTF">2015-10-26T07:49:00Z</dcterms:created>
  <dcterms:modified xsi:type="dcterms:W3CDTF">2017-10-10T09:20:00Z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omv-gp9</vt:lpwstr>
  </property>
  <property fmtid="{D5CDD505-2E9C-101B-9397-08002B2CF9AE}" pid="5" name="SordId">
    <vt:lpwstr>(4BE1EAA7-F323-5B0E-4F25-5E917140074A)</vt:lpwstr>
  </property>
  <property fmtid="{D5CDD505-2E9C-101B-9397-08002B2CF9AE}" pid="6" name="VersiuneDocument">
    <vt:lpwstr>5</vt:lpwstr>
  </property>
  <property fmtid="{D5CDD505-2E9C-101B-9397-08002B2CF9AE}" pid="7" name="RuntimeGuid">
    <vt:lpwstr>6abc081a-b885-4ea2-b873-aa814938c9f2</vt:lpwstr>
  </property>
  <property fmtid="{D5CDD505-2E9C-101B-9397-08002B2CF9AE}" pid="8" name="PunctLucruId">
    <vt:lpwstr>404031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4460521</vt:lpwstr>
  </property>
  <property fmtid="{D5CDD505-2E9C-101B-9397-08002B2CF9AE}" pid="11" name="DosarCerereSordId">
    <vt:lpwstr>4349381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dd96722a-3401-4493-b653-2a63809ccae5</vt:lpwstr>
  </property>
  <property fmtid="{D5CDD505-2E9C-101B-9397-08002B2CF9AE}" pid="16" name="CommitRoles">
    <vt:lpwstr>false</vt:lpwstr>
  </property>
</Properties>
</file>