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AB" w:rsidRDefault="005D33AB" w:rsidP="005D33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5D33AB" w:rsidRPr="00064581" w:rsidRDefault="005D33AB" w:rsidP="005D33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5D33AB" w:rsidRPr="00EA2AD9" w:rsidRDefault="005D33AB" w:rsidP="005D33AB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5D33AB" w:rsidRDefault="005D33AB" w:rsidP="005D33AB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6-0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5656C3">
            <w:rPr>
              <w:rFonts w:ascii="Arial" w:hAnsi="Arial" w:cs="Arial"/>
              <w:i w:val="0"/>
              <w:lang w:val="ro-RO"/>
            </w:rPr>
            <w:t>08.06.2016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5D33AB" w:rsidRPr="004B088C" w:rsidRDefault="004B088C" w:rsidP="004B088C">
          <w:pPr>
            <w:spacing w:after="0"/>
            <w:jc w:val="center"/>
            <w:rPr>
              <w:color w:val="808080"/>
              <w:lang w:val="ro-RO"/>
            </w:rPr>
          </w:pPr>
          <w:r>
            <w:rPr>
              <w:color w:val="808080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5D33AB" w:rsidRPr="00074A9F" w:rsidRDefault="005D33AB" w:rsidP="005D33AB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5D33AB" w:rsidRDefault="005D33AB" w:rsidP="005D33A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D33AB" w:rsidRDefault="005D33AB" w:rsidP="005D33A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D33AB" w:rsidRDefault="005D33AB" w:rsidP="005D33A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5656C3">
            <w:rPr>
              <w:rFonts w:ascii="Arial" w:hAnsi="Arial" w:cs="Arial"/>
              <w:b/>
              <w:sz w:val="24"/>
              <w:szCs w:val="24"/>
              <w:lang w:val="ro-RO"/>
            </w:rPr>
            <w:t>SC OMV PETROM SA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5656C3">
            <w:rPr>
              <w:rFonts w:ascii="Arial" w:hAnsi="Arial" w:cs="Arial"/>
              <w:sz w:val="24"/>
              <w:szCs w:val="24"/>
              <w:lang w:val="ro-RO"/>
            </w:rPr>
            <w:t>Str. Coralilor, Nr. 22, Bucureşti - Sectorul 1, Judetul Bucureşti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5656C3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5656C3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5656C3">
            <w:rPr>
              <w:rFonts w:ascii="Arial" w:hAnsi="Arial" w:cs="Arial"/>
              <w:sz w:val="24"/>
              <w:szCs w:val="24"/>
              <w:lang w:val="ro-RO"/>
            </w:rPr>
            <w:t>1909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3-30T00:00:00Z">
            <w:dateFormat w:val="dd.MM.yyyy"/>
            <w:lid w:val="ro-RO"/>
            <w:storeMappedDataAs w:val="dateTime"/>
            <w:calendar w:val="gregorian"/>
          </w:date>
        </w:sdtPr>
        <w:sdtContent>
          <w:r w:rsidR="005656C3">
            <w:rPr>
              <w:rFonts w:ascii="Arial" w:hAnsi="Arial" w:cs="Arial"/>
              <w:spacing w:val="-6"/>
              <w:sz w:val="24"/>
              <w:szCs w:val="24"/>
              <w:lang w:val="ro-RO"/>
            </w:rPr>
            <w:t>30.03.2016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5D33AB" w:rsidRPr="00313E08" w:rsidRDefault="005D33AB" w:rsidP="005D33AB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D33AB" w:rsidRPr="005656C3" w:rsidRDefault="005D33AB" w:rsidP="005D33AB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D33AB" w:rsidRPr="0001311F" w:rsidRDefault="005D33AB" w:rsidP="005D3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5656C3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5656C3">
            <w:rPr>
              <w:rFonts w:ascii="Arial" w:hAnsi="Arial" w:cs="Arial"/>
              <w:sz w:val="24"/>
              <w:szCs w:val="24"/>
              <w:lang w:val="ro-RO"/>
            </w:rPr>
            <w:t>06.06.2016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5656C3" w:rsidRPr="005656C3">
            <w:rPr>
              <w:rFonts w:ascii="Arial" w:hAnsi="Arial" w:cs="Arial"/>
              <w:b/>
              <w:sz w:val="24"/>
              <w:szCs w:val="24"/>
              <w:lang w:val="ro-RO"/>
            </w:rPr>
            <w:t>Amplasare conducte gaze, apă, abur, gaz nociv, țiței și alimentare cu energie electrică în cablu de la Cluster 15 la Clusterul 16, 17, și zona carbonată – tronson 1</w:t>
          </w:r>
          <w:r w:rsidR="005656C3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5656C3" w:rsidRPr="005656C3">
            <w:rPr>
              <w:rFonts w:ascii="Arial" w:hAnsi="Arial" w:cs="Arial"/>
              <w:sz w:val="24"/>
              <w:szCs w:val="24"/>
              <w:lang w:val="ro-RO"/>
            </w:rPr>
            <w:t>loc. Leşmir, intravilan, com. Marca, jud. Sălaj</w:t>
          </w:r>
          <w:r w:rsidR="005656C3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D33AB" w:rsidRPr="00447422" w:rsidRDefault="005D33AB" w:rsidP="005D3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5D33AB" w:rsidRPr="00522DB9" w:rsidRDefault="005D33AB" w:rsidP="005D33A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54472A" w:rsidRDefault="005D33AB" w:rsidP="0054472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5656C3"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 </w:t>
          </w:r>
          <w:r w:rsidR="005656C3">
            <w:rPr>
              <w:rFonts w:ascii="Arial" w:hAnsi="Arial" w:cs="Arial"/>
              <w:sz w:val="24"/>
              <w:szCs w:val="24"/>
            </w:rPr>
            <w:t>10 lit. i)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54472A" w:rsidRDefault="0054472A" w:rsidP="0054472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="005D33AB" w:rsidRPr="00522DB9">
            <w:rPr>
              <w:rFonts w:ascii="Arial" w:hAnsi="Arial" w:cs="Arial"/>
              <w:sz w:val="24"/>
              <w:szCs w:val="24"/>
            </w:rPr>
            <w:t xml:space="preserve">b) </w:t>
          </w:r>
          <w:r>
            <w:rPr>
              <w:rFonts w:ascii="Arial" w:hAnsi="Arial" w:cs="Arial"/>
              <w:sz w:val="24"/>
              <w:szCs w:val="24"/>
            </w:rPr>
            <w:t>Caracteristicile proiectului:</w:t>
          </w:r>
        </w:p>
        <w:p w:rsidR="005978AE" w:rsidRPr="005F5CC5" w:rsidRDefault="0054472A" w:rsidP="00FE00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b1) Mărimea proiectului: prin proiect de propune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p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unerea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î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>n produc</w:t>
          </w:r>
          <w:r w:rsidR="005F5CC5" w:rsidRPr="005F5CC5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ie a sondelor din cadrul “Cluster 15”, 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prin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construirea de conducte tehnologice noi, dup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cum urmeaz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>:</w:t>
          </w:r>
          <w:r w:rsidR="00FE0087">
            <w:rPr>
              <w:rFonts w:ascii="Arial" w:hAnsi="Arial" w:cs="Arial"/>
              <w:sz w:val="24"/>
              <w:szCs w:val="24"/>
            </w:rPr>
            <w:t xml:space="preserve"> 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>conducta de gaze, care va asigura alimentarea cu gaze a boilerelor;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>conducta de ap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>, care va asigura debitul de ap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necesar func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>ion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>rii boilerelor;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5 conducte de 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>i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ei, care vor asigura transportul de hidrocarburi 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ș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>i ap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de z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>c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>m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â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>nt de la sonde la parc;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>cabluri pentru alimentare cu energie electric</w:t>
          </w:r>
          <w:r w:rsidR="00FE0087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="005978AE"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“Cluster 15, 16, 17.</w:t>
          </w:r>
        </w:p>
        <w:p w:rsidR="005978AE" w:rsidRPr="00FE0087" w:rsidRDefault="005978AE" w:rsidP="005978AE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i/>
              <w:color w:val="000000"/>
              <w:sz w:val="24"/>
              <w:szCs w:val="24"/>
            </w:rPr>
          </w:pPr>
          <w:r w:rsidRPr="00FE0087">
            <w:rPr>
              <w:rFonts w:ascii="Arial" w:hAnsi="Arial" w:cs="Arial"/>
              <w:i/>
              <w:color w:val="000000"/>
              <w:sz w:val="24"/>
              <w:szCs w:val="24"/>
            </w:rPr>
            <w:t>Beneficiarul a renun</w:t>
          </w:r>
          <w:r w:rsidR="00FE0087" w:rsidRPr="00FE0087">
            <w:rPr>
              <w:rFonts w:ascii="Arial" w:hAnsi="Arial" w:cs="Arial"/>
              <w:i/>
              <w:color w:val="000000"/>
              <w:sz w:val="24"/>
              <w:szCs w:val="24"/>
            </w:rPr>
            <w:t>ț</w:t>
          </w:r>
          <w:r w:rsidRPr="00FE0087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at la proiectarea conductelor de abur </w:t>
          </w:r>
          <w:r w:rsidR="00FE0087" w:rsidRPr="00FE0087">
            <w:rPr>
              <w:rFonts w:ascii="Arial" w:hAnsi="Arial" w:cs="Arial"/>
              <w:i/>
              <w:color w:val="000000"/>
              <w:sz w:val="24"/>
              <w:szCs w:val="24"/>
            </w:rPr>
            <w:t>ș</w:t>
          </w:r>
          <w:r w:rsidRPr="00FE0087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i gaz nociv din motive tehnico – eonomice, “Zona Carbonata” – Tronson 4, va face obiectul unui alt </w:t>
          </w:r>
          <w:r w:rsidR="00FE0087">
            <w:rPr>
              <w:rFonts w:ascii="Arial" w:hAnsi="Arial" w:cs="Arial"/>
              <w:i/>
              <w:color w:val="000000"/>
              <w:sz w:val="24"/>
              <w:szCs w:val="24"/>
            </w:rPr>
            <w:t>proiect</w:t>
          </w:r>
          <w:r w:rsidRPr="00FE0087">
            <w:rPr>
              <w:rFonts w:ascii="Arial" w:hAnsi="Arial" w:cs="Arial"/>
              <w:i/>
              <w:color w:val="000000"/>
              <w:sz w:val="24"/>
              <w:szCs w:val="24"/>
            </w:rPr>
            <w:t>.</w:t>
          </w:r>
        </w:p>
        <w:p w:rsidR="002A1B86" w:rsidRDefault="005978AE" w:rsidP="002A1B86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>Accesul la loca</w:t>
          </w:r>
          <w:r w:rsidR="00FE0087">
            <w:rPr>
              <w:rFonts w:ascii="Arial" w:hAnsi="Arial" w:cs="Arial"/>
              <w:color w:val="000000"/>
              <w:sz w:val="24"/>
              <w:szCs w:val="24"/>
              <w:lang w:val="fr-FR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ie, se </w:t>
          </w:r>
          <w:r w:rsidR="00FE0087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 va 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>realiza pe drumurile de exploatare petrolier</w:t>
          </w:r>
          <w:r w:rsidR="00E86CCF">
            <w:rPr>
              <w:rFonts w:ascii="Arial" w:hAnsi="Arial" w:cs="Arial"/>
              <w:color w:val="000000"/>
              <w:sz w:val="24"/>
              <w:szCs w:val="24"/>
              <w:lang w:val="fr-FR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 existente </w:t>
          </w:r>
          <w:r w:rsidR="00E86CCF">
            <w:rPr>
              <w:rFonts w:ascii="Arial" w:hAnsi="Arial" w:cs="Arial"/>
              <w:color w:val="000000"/>
              <w:sz w:val="24"/>
              <w:szCs w:val="24"/>
              <w:lang w:val="fr-FR"/>
            </w:rPr>
            <w:t>î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>n zon</w:t>
          </w:r>
          <w:r w:rsidR="00E86CCF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ă. 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Pentru amplasarea santierului de lucru, se </w:t>
          </w:r>
          <w:r w:rsidR="00E86CCF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va 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>ocupa o suprafaţă total</w:t>
          </w:r>
          <w:r w:rsidR="00E86CCF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ă de 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>cca 4497 mp, pe teritoriul administrativ al localit</w:t>
          </w:r>
          <w:r w:rsidR="00E86CCF">
            <w:rPr>
              <w:rFonts w:ascii="Arial" w:hAnsi="Arial" w:cs="Arial"/>
              <w:color w:val="000000"/>
              <w:sz w:val="24"/>
              <w:szCs w:val="24"/>
              <w:lang w:val="fr-FR"/>
            </w:rPr>
            <w:t>ăț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>ii Le</w:t>
          </w:r>
          <w:r w:rsidR="00E86CCF">
            <w:rPr>
              <w:rFonts w:ascii="Arial" w:hAnsi="Arial" w:cs="Arial"/>
              <w:color w:val="000000"/>
              <w:sz w:val="24"/>
              <w:szCs w:val="24"/>
              <w:lang w:val="fr-FR"/>
            </w:rPr>
            <w:t>ș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>mir, comuna Marca, judetul S</w:t>
          </w:r>
          <w:r w:rsidR="00E86CCF">
            <w:rPr>
              <w:rFonts w:ascii="Arial" w:hAnsi="Arial" w:cs="Arial"/>
              <w:color w:val="000000"/>
              <w:sz w:val="24"/>
              <w:szCs w:val="24"/>
              <w:lang w:val="fr-FR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laj.Terenul ocupat pentru amplasarea 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ro-RO"/>
            </w:rPr>
            <w:t>celor 7 conducte tehnologice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, </w:t>
          </w:r>
          <w:r w:rsidR="00E86CCF">
            <w:rPr>
              <w:rFonts w:ascii="Arial" w:hAnsi="Arial" w:cs="Arial"/>
              <w:color w:val="000000"/>
              <w:sz w:val="24"/>
              <w:szCs w:val="24"/>
              <w:lang w:val="fr-FR"/>
            </w:rPr>
            <w:t>ș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>i a LES pentru alimentarea cu energie electric</w:t>
          </w:r>
          <w:r w:rsidR="00E86CCF">
            <w:rPr>
              <w:rFonts w:ascii="Arial" w:hAnsi="Arial" w:cs="Arial"/>
              <w:color w:val="000000"/>
              <w:sz w:val="24"/>
              <w:szCs w:val="24"/>
              <w:lang w:val="fr-FR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 a «Cluster» 15, 16, 17, apartine unor proprietari particulari, respectiv Prim</w:t>
          </w:r>
          <w:r w:rsidR="00E86CCF">
            <w:rPr>
              <w:rFonts w:ascii="Arial" w:hAnsi="Arial" w:cs="Arial"/>
              <w:color w:val="000000"/>
              <w:sz w:val="24"/>
              <w:szCs w:val="24"/>
              <w:lang w:val="fr-FR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>riei comunei Marca.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Punerea in productie a sondelor din cadrul “Cluster 15”, necesit</w:t>
          </w:r>
          <w:r w:rsidR="00E86CCF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construirea de conducte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lastRenderedPageBreak/>
            <w:t>tehnologice noi, dup</w:t>
          </w:r>
          <w:r w:rsidR="00E86CCF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cum urmeaz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: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conducta de gaze, care va asigura alimentarea cu gaze a boilerelor;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conducta de ap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, care va asigura debitul de ap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necesar func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ion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rii boilerelor;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5 conducte de 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i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ei, care vor asigura transportul de hidrocarburi 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ș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i ap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de z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ăcă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m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â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nt de la sonde la parc;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cabluri pentru alimentare cu energie electric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“Cluster 15, 16, 17.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>Alegerea diametrului şi a grosimii de perete aferente celor 7 conducte tehnologice,  s-a f</w:t>
          </w:r>
          <w:r w:rsidR="003D5BDA">
            <w:rPr>
              <w:rFonts w:ascii="Arial" w:hAnsi="Arial" w:cs="Arial"/>
              <w:color w:val="000000"/>
              <w:sz w:val="24"/>
              <w:szCs w:val="24"/>
              <w:lang w:val="fr-FR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>cut pentru a asigura debitul maxim de fluid vehiculat, precum şi presiunea maxim</w:t>
          </w:r>
          <w:r w:rsidR="003D5BDA">
            <w:rPr>
              <w:rFonts w:ascii="Arial" w:hAnsi="Arial" w:cs="Arial"/>
              <w:color w:val="000000"/>
              <w:sz w:val="24"/>
              <w:szCs w:val="24"/>
              <w:lang w:val="fr-FR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 de operare.</w:t>
          </w:r>
          <w:r w:rsidR="003D5BDA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Conducta de gaze Ø 3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 inch (90 mm x 4,6 mm)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, care va asigura alimentarea cu gaze a boilerelor,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 se va realiza din ţevi de polyetylena PEHD.</w:t>
          </w:r>
          <w:r w:rsidR="003D5BDA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Conducta de ap</w:t>
          </w:r>
          <w:r w:rsidR="00D406F7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Ø 3 inch (90 mm x 8,2 mm), care va asigura debitul de apa necesar func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ion</w:t>
          </w:r>
          <w:r w:rsidR="00D406F7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rii boilerelor 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>se va realiza de asemenea tot din ţevi de polyetylena PEHD.</w:t>
          </w:r>
          <w:r w:rsidR="003D5BDA">
            <w:rPr>
              <w:rFonts w:ascii="Arial" w:hAnsi="Arial" w:cs="Arial"/>
              <w:color w:val="000000"/>
              <w:sz w:val="24"/>
              <w:szCs w:val="24"/>
              <w:lang w:val="fr-FR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Cele 5 conducte de 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i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ei Ø 4 inch (114,3 mm x 7,1 mm), care vor asigura transportul de hidrocarburi 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ș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i ap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de z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c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m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â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nt de la </w:t>
          </w:r>
          <w:r w:rsidRPr="005F5CC5">
            <w:rPr>
              <w:rFonts w:ascii="Arial" w:hAnsi="Arial" w:cs="Arial"/>
              <w:bCs/>
              <w:color w:val="000000"/>
              <w:sz w:val="24"/>
              <w:szCs w:val="24"/>
              <w:lang w:val="it-IT"/>
            </w:rPr>
            <w:t>Cluster 15 la Cluster 16, 17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, se vor realiza din 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eav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de o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el L290 N, 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eav</w:t>
          </w:r>
          <w:r w:rsidR="003D5BDA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trasa PSL 2 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>preizolat</w:t>
          </w:r>
          <w:r w:rsidR="003D5BDA">
            <w:rPr>
              <w:rFonts w:ascii="Arial" w:hAnsi="Arial" w:cs="Arial"/>
              <w:color w:val="000000"/>
              <w:sz w:val="24"/>
              <w:szCs w:val="24"/>
              <w:lang w:val="fr-FR"/>
            </w:rPr>
            <w:t>ă</w:t>
          </w:r>
          <w:r w:rsidRPr="005F5CC5">
            <w:rPr>
              <w:rFonts w:ascii="Arial" w:hAnsi="Arial" w:cs="Arial"/>
              <w:b/>
              <w:bCs/>
              <w:color w:val="000000"/>
              <w:sz w:val="24"/>
              <w:szCs w:val="24"/>
              <w:lang w:val="fr-FR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  <w:lang w:val="fr-FR"/>
            </w:rPr>
            <w:t>cu 3 straturi de polyetylena PEHD.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Conducta de gaze (de la Cluster 15 la Cluster 16, 17)</w:t>
          </w:r>
          <w:r w:rsid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6553AA"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cu l</w:t>
          </w:r>
          <w:r w:rsidRPr="006553AA">
            <w:rPr>
              <w:rFonts w:ascii="Arial" w:hAnsi="Arial" w:cs="Arial"/>
              <w:color w:val="000000"/>
              <w:sz w:val="24"/>
              <w:szCs w:val="24"/>
            </w:rPr>
            <w:t>ungimea</w:t>
          </w:r>
          <w:r w:rsidR="006553AA">
            <w:rPr>
              <w:rFonts w:ascii="Arial" w:hAnsi="Arial" w:cs="Arial"/>
              <w:color w:val="000000"/>
              <w:sz w:val="24"/>
              <w:szCs w:val="24"/>
            </w:rPr>
            <w:t xml:space="preserve"> de </w:t>
          </w:r>
          <w:r w:rsidRPr="006553AA">
            <w:rPr>
              <w:rFonts w:ascii="Arial" w:hAnsi="Arial" w:cs="Arial"/>
              <w:color w:val="000000"/>
              <w:sz w:val="24"/>
              <w:szCs w:val="24"/>
            </w:rPr>
            <w:t>343</w:t>
          </w:r>
          <w:r w:rsidR="006553AA">
            <w:rPr>
              <w:rFonts w:ascii="Arial" w:hAnsi="Arial" w:cs="Arial"/>
              <w:color w:val="000000"/>
              <w:sz w:val="24"/>
              <w:szCs w:val="24"/>
            </w:rPr>
            <w:t xml:space="preserve"> m, c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onducta de ap</w:t>
          </w:r>
          <w:r w:rsid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ă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(de la Cluster 15 la Cluster 16, 17</w:t>
          </w:r>
          <w:r w:rsid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)</w:t>
          </w:r>
          <w:r w:rsidR="00D10E98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6553AA"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cu l</w:t>
          </w:r>
          <w:r w:rsidR="006553AA" w:rsidRPr="006553AA">
            <w:rPr>
              <w:rFonts w:ascii="Arial" w:hAnsi="Arial" w:cs="Arial"/>
              <w:color w:val="000000"/>
              <w:sz w:val="24"/>
              <w:szCs w:val="24"/>
            </w:rPr>
            <w:t>ungimea</w:t>
          </w:r>
          <w:r w:rsidR="006553AA">
            <w:rPr>
              <w:rFonts w:ascii="Arial" w:hAnsi="Arial" w:cs="Arial"/>
              <w:color w:val="000000"/>
              <w:sz w:val="24"/>
              <w:szCs w:val="24"/>
            </w:rPr>
            <w:t xml:space="preserve"> de </w:t>
          </w:r>
          <w:r w:rsidRPr="006553AA">
            <w:rPr>
              <w:rFonts w:ascii="Arial" w:hAnsi="Arial" w:cs="Arial"/>
              <w:color w:val="000000"/>
              <w:sz w:val="24"/>
              <w:szCs w:val="24"/>
            </w:rPr>
            <w:t>358</w:t>
          </w:r>
          <w:r w:rsidR="006553AA">
            <w:rPr>
              <w:rFonts w:ascii="Arial" w:hAnsi="Arial" w:cs="Arial"/>
              <w:color w:val="000000"/>
              <w:sz w:val="24"/>
              <w:szCs w:val="24"/>
            </w:rPr>
            <w:t xml:space="preserve"> m, c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onducta de </w:t>
          </w:r>
          <w:r w:rsid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ț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i</w:t>
          </w:r>
          <w:r w:rsid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ț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ei (de la Cluster 15 la sonda CSH2)</w:t>
          </w:r>
          <w:r w:rsidR="006553AA"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cu l</w:t>
          </w:r>
          <w:r w:rsidR="006553AA" w:rsidRPr="006553AA">
            <w:rPr>
              <w:rFonts w:ascii="Arial" w:hAnsi="Arial" w:cs="Arial"/>
              <w:color w:val="000000"/>
              <w:sz w:val="24"/>
              <w:szCs w:val="24"/>
            </w:rPr>
            <w:t>ungimea</w:t>
          </w:r>
          <w:r w:rsidR="006553AA">
            <w:rPr>
              <w:rFonts w:ascii="Arial" w:hAnsi="Arial" w:cs="Arial"/>
              <w:color w:val="000000"/>
              <w:sz w:val="24"/>
              <w:szCs w:val="24"/>
            </w:rPr>
            <w:t xml:space="preserve"> de </w:t>
          </w:r>
          <w:r w:rsidRPr="006553AA">
            <w:rPr>
              <w:rFonts w:ascii="Arial" w:hAnsi="Arial" w:cs="Arial"/>
              <w:color w:val="000000"/>
              <w:sz w:val="24"/>
              <w:szCs w:val="24"/>
            </w:rPr>
            <w:t>328</w:t>
          </w:r>
          <w:r w:rsidR="006553AA">
            <w:rPr>
              <w:rFonts w:ascii="Arial" w:hAnsi="Arial" w:cs="Arial"/>
              <w:color w:val="000000"/>
              <w:sz w:val="24"/>
              <w:szCs w:val="24"/>
            </w:rPr>
            <w:t xml:space="preserve"> m, c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onducta de </w:t>
          </w:r>
          <w:r w:rsid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ț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i</w:t>
          </w:r>
          <w:r w:rsid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ț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ei (</w:t>
          </w:r>
          <w:r w:rsid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de la Cluster 15 la sonda CSH3)</w:t>
          </w:r>
          <w:r w:rsidR="00D10E98" w:rsidRPr="00D10E98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D10E98"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cu l</w:t>
          </w:r>
          <w:r w:rsidR="00D10E98" w:rsidRPr="006553AA">
            <w:rPr>
              <w:rFonts w:ascii="Arial" w:hAnsi="Arial" w:cs="Arial"/>
              <w:color w:val="000000"/>
              <w:sz w:val="24"/>
              <w:szCs w:val="24"/>
            </w:rPr>
            <w:t>ungimea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 xml:space="preserve"> de </w:t>
          </w:r>
          <w:r w:rsidRPr="006553AA">
            <w:rPr>
              <w:rFonts w:ascii="Arial" w:hAnsi="Arial" w:cs="Arial"/>
              <w:color w:val="000000"/>
              <w:sz w:val="24"/>
              <w:szCs w:val="24"/>
            </w:rPr>
            <w:t>327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 xml:space="preserve"> m, conducta de țiței 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(de la Cluster 15 la sonda CSH5)</w:t>
          </w:r>
          <w:r w:rsidR="00D10E98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D10E98"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cu l</w:t>
          </w:r>
          <w:r w:rsidR="00D10E98" w:rsidRPr="006553AA">
            <w:rPr>
              <w:rFonts w:ascii="Arial" w:hAnsi="Arial" w:cs="Arial"/>
              <w:color w:val="000000"/>
              <w:sz w:val="24"/>
              <w:szCs w:val="24"/>
            </w:rPr>
            <w:t>ungimea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 xml:space="preserve"> de </w:t>
          </w:r>
          <w:r w:rsidRPr="006553AA">
            <w:rPr>
              <w:rFonts w:ascii="Arial" w:hAnsi="Arial" w:cs="Arial"/>
              <w:color w:val="000000"/>
              <w:sz w:val="24"/>
              <w:szCs w:val="24"/>
            </w:rPr>
            <w:t>324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 xml:space="preserve"> m, c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onducta de </w:t>
          </w:r>
          <w:r w:rsidR="00D10E98">
            <w:rPr>
              <w:rFonts w:ascii="Arial" w:hAnsi="Arial" w:cs="Arial"/>
              <w:color w:val="000000"/>
              <w:sz w:val="24"/>
              <w:szCs w:val="24"/>
              <w:lang w:val="ro-RO"/>
            </w:rPr>
            <w:t>ț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i</w:t>
          </w:r>
          <w:r w:rsidR="00D10E98">
            <w:rPr>
              <w:rFonts w:ascii="Arial" w:hAnsi="Arial" w:cs="Arial"/>
              <w:color w:val="000000"/>
              <w:sz w:val="24"/>
              <w:szCs w:val="24"/>
              <w:lang w:val="ro-RO"/>
            </w:rPr>
            <w:t>ț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ei (de la Cluster 15 la sonda CSH6)</w:t>
          </w:r>
          <w:r w:rsidR="00D10E98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D10E98"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cu l</w:t>
          </w:r>
          <w:r w:rsidR="00D10E98" w:rsidRPr="006553AA">
            <w:rPr>
              <w:rFonts w:ascii="Arial" w:hAnsi="Arial" w:cs="Arial"/>
              <w:color w:val="000000"/>
              <w:sz w:val="24"/>
              <w:szCs w:val="24"/>
            </w:rPr>
            <w:t>ungimea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 xml:space="preserve"> de</w:t>
          </w:r>
          <w:r w:rsidRPr="006553AA">
            <w:rPr>
              <w:rFonts w:ascii="Arial" w:hAnsi="Arial" w:cs="Arial"/>
              <w:color w:val="000000"/>
              <w:sz w:val="24"/>
              <w:szCs w:val="24"/>
            </w:rPr>
            <w:tab/>
            <w:t>325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 xml:space="preserve"> m, c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onducta de </w:t>
          </w:r>
          <w:r w:rsidR="00D10E98">
            <w:rPr>
              <w:rFonts w:ascii="Arial" w:hAnsi="Arial" w:cs="Arial"/>
              <w:color w:val="000000"/>
              <w:sz w:val="24"/>
              <w:szCs w:val="24"/>
              <w:lang w:val="ro-RO"/>
            </w:rPr>
            <w:t>ț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i</w:t>
          </w:r>
          <w:r w:rsidR="00D10E98">
            <w:rPr>
              <w:rFonts w:ascii="Arial" w:hAnsi="Arial" w:cs="Arial"/>
              <w:color w:val="000000"/>
              <w:sz w:val="24"/>
              <w:szCs w:val="24"/>
              <w:lang w:val="ro-RO"/>
            </w:rPr>
            <w:t>ț</w:t>
          </w:r>
          <w:r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ei (</w:t>
          </w:r>
          <w:r w:rsidR="00D10E98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 la Cluster 15 la sonda CSH7) </w:t>
          </w:r>
          <w:r w:rsidR="00D10E98" w:rsidRPr="006553AA">
            <w:rPr>
              <w:rFonts w:ascii="Arial" w:hAnsi="Arial" w:cs="Arial"/>
              <w:color w:val="000000"/>
              <w:sz w:val="24"/>
              <w:szCs w:val="24"/>
              <w:lang w:val="ro-RO"/>
            </w:rPr>
            <w:t>cu l</w:t>
          </w:r>
          <w:r w:rsidR="00D10E98" w:rsidRPr="006553AA">
            <w:rPr>
              <w:rFonts w:ascii="Arial" w:hAnsi="Arial" w:cs="Arial"/>
              <w:color w:val="000000"/>
              <w:sz w:val="24"/>
              <w:szCs w:val="24"/>
            </w:rPr>
            <w:t>ungimea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 xml:space="preserve"> de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327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 xml:space="preserve"> m, cabluri de alimentare cu energie electrică: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LES 20 kV alimentare cu energie electric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, de la PTA 20/04 kV 250 kVA 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>C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luster 15, la PT 20/0,4 kV 250 kVA container definitiv, cablu tip A2XSEYABY 3x95/16 mmp, av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>â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nd L = 42 m;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LES 0,4 kV alimentare cu energie electric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, de la PTA 20/04kV 250 kVA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 xml:space="preserve"> C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luster 15, la amplasament cutie de distribu</w:t>
          </w:r>
          <w:r w:rsidR="002372D8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ie 0,4 kV, cablu tip N2XY 0,6/1 kV,  2x(3x185+95 mmp), av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>Â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nd L = 86 m;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LES 0,4 kV alimentare cu energie electric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, de la cutie de distribu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ie 0,4 kV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>,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12 plec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ri, la amplasament “booster”, cablu tip N2XY 0,6/1 kV, 3x35+16 mmp, av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>â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nd L = 43 m;</w:t>
          </w:r>
          <w:r w:rsidR="00D10E98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LES 0,4 kV alimentare cu energie electric</w:t>
          </w:r>
          <w:r w:rsidR="002372D8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, de la cutie de distributie 0,4 kV 12 plec</w:t>
          </w:r>
          <w:r w:rsidR="002372D8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ri, la amplasament cofret electric cu 2 plec</w:t>
          </w:r>
          <w:r w:rsidR="002372D8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ri, cablu tip N2XY 0,6/1 kV, </w:t>
          </w:r>
          <w:r w:rsidR="002372D8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3x35+16 mmp, av</w:t>
          </w:r>
          <w:r w:rsidR="002372D8">
            <w:rPr>
              <w:rFonts w:ascii="Arial" w:hAnsi="Arial" w:cs="Arial"/>
              <w:color w:val="000000"/>
              <w:sz w:val="24"/>
              <w:szCs w:val="24"/>
            </w:rPr>
            <w:t>â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nd L = 56 m;</w:t>
          </w:r>
          <w:r w:rsidR="002372D8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LES 0,4 kV alimentare cu energie electric</w:t>
          </w:r>
          <w:r w:rsidR="002372D8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, de la cutie de distributie 0,4 kV 12 plec</w:t>
          </w:r>
          <w:r w:rsidR="002372D8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ri, la amplasament cofret electric cu 3 pl</w:t>
          </w:r>
          <w:r w:rsidR="002372D8">
            <w:rPr>
              <w:rFonts w:ascii="Arial" w:hAnsi="Arial" w:cs="Arial"/>
              <w:color w:val="000000"/>
              <w:sz w:val="24"/>
              <w:szCs w:val="24"/>
            </w:rPr>
            <w:t>ecari, cablu tip N2XY 0,6/1 kV,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3x70+35 mmp, av</w:t>
          </w:r>
          <w:r w:rsidR="002372D8">
            <w:rPr>
              <w:rFonts w:ascii="Arial" w:hAnsi="Arial" w:cs="Arial"/>
              <w:color w:val="000000"/>
              <w:sz w:val="24"/>
              <w:szCs w:val="24"/>
            </w:rPr>
            <w:t>â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nd L = 361 m (Cluster 16);</w:t>
          </w:r>
          <w:r w:rsidR="002372D8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LES 0,4 kV alimentare cu energie electrica, de la cutie de distribu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ie 0,4 kV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12 plec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ri, la amplasament cofret electric cu 3 plec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 xml:space="preserve">ări, cablu tip N2XY 0,6/1 kV,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2x(3x185+95 mmp), av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â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nd L = 361 m (Cluster 17).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Exploatarea sondelor din zona aferenta “Cluster” 15 Suplac, se face prin pompare, cu unit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ăț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i de pompare tip LRP.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Amestecul de hidrocarburi este adus la suprafa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a prin garnitura de 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evi de extrac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ie, </w:t>
          </w:r>
          <w:r w:rsidRPr="005F5CC5">
            <w:rPr>
              <w:rFonts w:ascii="Arial" w:hAnsi="Arial" w:cs="Arial"/>
              <w:sz w:val="24"/>
              <w:szCs w:val="24"/>
            </w:rPr>
            <w:t xml:space="preserve">trecut prin capul de pompare </w:t>
          </w:r>
          <w:r w:rsidR="002240BB">
            <w:rPr>
              <w:rFonts w:ascii="Arial" w:hAnsi="Arial" w:cs="Arial"/>
              <w:sz w:val="24"/>
              <w:szCs w:val="24"/>
            </w:rPr>
            <w:t>ș</w:t>
          </w:r>
          <w:r w:rsidRPr="005F5CC5">
            <w:rPr>
              <w:rFonts w:ascii="Arial" w:hAnsi="Arial" w:cs="Arial"/>
              <w:sz w:val="24"/>
              <w:szCs w:val="24"/>
            </w:rPr>
            <w:t xml:space="preserve">i transportat prin intermediul conductelor de </w:t>
          </w:r>
          <w:r w:rsidR="002240BB">
            <w:rPr>
              <w:rFonts w:ascii="Arial" w:hAnsi="Arial" w:cs="Arial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sz w:val="24"/>
              <w:szCs w:val="24"/>
            </w:rPr>
            <w:t>i</w:t>
          </w:r>
          <w:r w:rsidR="002240BB">
            <w:rPr>
              <w:rFonts w:ascii="Arial" w:hAnsi="Arial" w:cs="Arial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sz w:val="24"/>
              <w:szCs w:val="24"/>
            </w:rPr>
            <w:t>ei, pentru depozitare.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Conductele pentru transportul amestecului de hidrocarburi (lichide 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ș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i gazoase) au lungimi diferite, diametrul Ø 4 inch (114,3 mm x 7,1 mm) 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ș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i 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vor fi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preizolate cu polietilena de 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î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nalt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densitate PEHD, aplicat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î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n 3 straturi (care este rezistent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ă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 la agen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ț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 xml:space="preserve">i chimici </w:t>
          </w:r>
          <w:r w:rsidR="002240BB">
            <w:rPr>
              <w:rFonts w:ascii="Arial" w:hAnsi="Arial" w:cs="Arial"/>
              <w:color w:val="000000"/>
              <w:sz w:val="24"/>
              <w:szCs w:val="24"/>
            </w:rPr>
            <w:t>ș</w:t>
          </w:r>
          <w:r w:rsidRPr="005F5CC5">
            <w:rPr>
              <w:rFonts w:ascii="Arial" w:hAnsi="Arial" w:cs="Arial"/>
              <w:color w:val="000000"/>
              <w:sz w:val="24"/>
              <w:szCs w:val="24"/>
            </w:rPr>
            <w:t>i la lovituri mecanice).</w:t>
          </w:r>
        </w:p>
        <w:p w:rsidR="002A1B86" w:rsidRPr="002A1B86" w:rsidRDefault="002A1B86" w:rsidP="002A1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2A1B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b</w:t>
          </w:r>
          <w:r w:rsidRPr="002A1B86">
            <w:rPr>
              <w:rFonts w:ascii="Arial" w:hAnsi="Arial" w:cs="Arial"/>
              <w:color w:val="000000"/>
              <w:sz w:val="24"/>
              <w:szCs w:val="24"/>
              <w:vertAlign w:val="subscript"/>
              <w:lang w:val="ro-RO"/>
            </w:rPr>
            <w:t>2</w:t>
          </w:r>
          <w:r w:rsidRPr="002A1B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) cumularea cu alte proiecte - în zona amplasamentului nu se mai derulează alte proiecte;</w:t>
          </w:r>
        </w:p>
        <w:p w:rsidR="002A1B86" w:rsidRPr="002A1B86" w:rsidRDefault="002A1B86" w:rsidP="002A1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2A1B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b</w:t>
          </w:r>
          <w:r w:rsidRPr="002A1B86">
            <w:rPr>
              <w:rFonts w:ascii="Arial" w:hAnsi="Arial" w:cs="Arial"/>
              <w:color w:val="000000"/>
              <w:sz w:val="24"/>
              <w:szCs w:val="24"/>
              <w:vertAlign w:val="subscript"/>
              <w:lang w:val="ro-RO"/>
            </w:rPr>
            <w:t>3</w:t>
          </w:r>
          <w:r w:rsidRPr="002A1B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) utilizarea resurselor naturale - se vor utiliza resurse naturale în cantităţi limitate, iar materialele necesare realizarii proiectului vor fi preluate de la societăţi autorizate;</w:t>
          </w:r>
        </w:p>
        <w:p w:rsidR="002A1B86" w:rsidRPr="002A1B86" w:rsidRDefault="002A1B86" w:rsidP="002A1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2A1B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b</w:t>
          </w:r>
          <w:r w:rsidRPr="002A1B86">
            <w:rPr>
              <w:rFonts w:ascii="Arial" w:hAnsi="Arial" w:cs="Arial"/>
              <w:color w:val="000000"/>
              <w:sz w:val="24"/>
              <w:szCs w:val="24"/>
              <w:vertAlign w:val="subscript"/>
              <w:lang w:val="ro-RO"/>
            </w:rPr>
            <w:t>4</w:t>
          </w:r>
          <w:r w:rsidRPr="002A1B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) producţia de deşeuri: deşeurile rezultate în urma execuţiei lucrărilor, se vor depozita selectiv pe categorie de deşeu în containere speciale şi vor fi predate la societăţi autorizate în colectare/ valorificare/eliminare;</w:t>
          </w:r>
        </w:p>
        <w:p w:rsidR="002A1B86" w:rsidRPr="0006044C" w:rsidRDefault="002A1B86" w:rsidP="002A1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044C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6044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06044C">
            <w:rPr>
              <w:rFonts w:ascii="Arial" w:hAnsi="Arial" w:cs="Arial"/>
              <w:sz w:val="24"/>
              <w:szCs w:val="24"/>
              <w:lang w:val="ro-RO"/>
            </w:rPr>
            <w:t>) emisiile poluante, inclusiv zgomotul şi alte surse de disconfort: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044C">
            <w:rPr>
              <w:rFonts w:ascii="Arial" w:hAnsi="Arial" w:cs="Arial"/>
              <w:sz w:val="24"/>
              <w:szCs w:val="24"/>
              <w:lang w:val="ro-RO"/>
            </w:rPr>
            <w:t xml:space="preserve">vor fi generate de utilajele şi mijloacele de transport, pe perioada de realizare a proiectului; </w:t>
          </w:r>
        </w:p>
        <w:p w:rsidR="002A1B86" w:rsidRPr="0006044C" w:rsidRDefault="002A1B86" w:rsidP="002A1B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044C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6044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06044C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de tehnologiile utilizate: riscul de accident, pe perioada execuţiei lucrărilor este redus, iar</w:t>
          </w:r>
          <w:r w:rsidRPr="0006044C">
            <w:rPr>
              <w:rFonts w:ascii="Arial" w:hAnsi="Arial" w:cs="Arial"/>
              <w:sz w:val="24"/>
              <w:szCs w:val="24"/>
              <w:lang w:val="pl-PL"/>
            </w:rPr>
            <w:t xml:space="preserve"> alimentarea utilajelor cu carburanţi se face numai la staţiile de distribuţie carburanţi autorizate;</w:t>
          </w:r>
          <w:r w:rsidRPr="0006044C">
            <w:rPr>
              <w:rFonts w:ascii="Arial" w:hAnsi="Arial" w:cs="Arial"/>
              <w:sz w:val="24"/>
              <w:szCs w:val="24"/>
              <w:lang w:val="ro-RO"/>
            </w:rPr>
            <w:t xml:space="preserve"> SC OMV PETROM SA are întocmit planul de prevenire şi combatere a poluărilor accidentale; </w:t>
          </w:r>
        </w:p>
        <w:p w:rsidR="002A1B86" w:rsidRPr="00850E5A" w:rsidRDefault="002A1B86" w:rsidP="00DB143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9194218"/>
            <w:placeholder>
              <w:docPart w:val="C7D73EBB93F54FD5B488EA01058F38D3"/>
            </w:placeholder>
          </w:sdtPr>
          <w:sdtContent>
            <w:p w:rsidR="002A1B86" w:rsidRPr="00850E5A" w:rsidRDefault="002A1B86" w:rsidP="002A1B8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c) </w:t>
              </w:r>
              <w:r w:rsidRPr="00850E5A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Localizarea proiectului: în intravilanul localităţii Leşmir, comuna Marca, jud. Sălaj, </w:t>
              </w:r>
            </w:p>
            <w:p w:rsidR="002A1B86" w:rsidRPr="00850E5A" w:rsidRDefault="002A1B86" w:rsidP="002A1B8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850E5A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  -</w:t>
              </w: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utilizarea existentă a terenului: zonă producție – teren agricol intravilan, conform Certificatului de Urbanism nr.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02</w:t>
              </w: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>/</w:t>
              </w:r>
              <w:r w:rsidR="004B088C">
                <w:rPr>
                  <w:rFonts w:ascii="Arial" w:hAnsi="Arial" w:cs="Arial"/>
                  <w:sz w:val="24"/>
                  <w:szCs w:val="24"/>
                  <w:lang w:val="ro-RO"/>
                </w:rPr>
                <w:t>26</w:t>
              </w: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>.0</w:t>
              </w:r>
              <w:r w:rsidR="004B088C">
                <w:rPr>
                  <w:rFonts w:ascii="Arial" w:hAnsi="Arial" w:cs="Arial"/>
                  <w:sz w:val="24"/>
                  <w:szCs w:val="24"/>
                  <w:lang w:val="ro-RO"/>
                </w:rPr>
                <w:t>2</w:t>
              </w: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>.201</w:t>
              </w:r>
              <w:r w:rsidR="004B088C">
                <w:rPr>
                  <w:rFonts w:ascii="Arial" w:hAnsi="Arial" w:cs="Arial"/>
                  <w:sz w:val="24"/>
                  <w:szCs w:val="24"/>
                  <w:lang w:val="ro-RO"/>
                </w:rPr>
                <w:t>6</w:t>
              </w: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>, eliberat de Primăria Comunei Marca;</w:t>
              </w:r>
            </w:p>
            <w:p w:rsidR="002A1B86" w:rsidRPr="00850E5A" w:rsidRDefault="002A1B86" w:rsidP="002A1B8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- relativa abundenţă a resurselor naturale din zonă, calitatea şi capacitatea regenerativă a acestora:  nu este cazul.</w:t>
              </w:r>
            </w:p>
            <w:p w:rsidR="002A1B86" w:rsidRPr="00850E5A" w:rsidRDefault="002A1B86" w:rsidP="002A1B8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</w:t>
              </w: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>d) Caracteristicile impactului potenţial: - nu este cazul.</w:t>
              </w:r>
            </w:p>
            <w:p w:rsidR="002A1B86" w:rsidRDefault="002A1B86" w:rsidP="002A1B8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A1B86" w:rsidRPr="00850E5A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>II. Condiţiile de realizare a proiectului:</w:t>
              </w:r>
            </w:p>
            <w:p w:rsidR="002A1B86" w:rsidRPr="00850E5A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</w:t>
              </w: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modificări".</w:t>
              </w:r>
            </w:p>
            <w:p w:rsidR="002A1B86" w:rsidRPr="00850E5A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 xml:space="preserve">     </w:t>
              </w:r>
              <w:r w:rsidRPr="00850E5A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Se vor respecta limitele impuse de STAS 12574/87 privind condiţiile de calitate a aerului în zonele protejate;</w:t>
              </w:r>
            </w:p>
            <w:p w:rsidR="002A1B86" w:rsidRPr="00850E5A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 xml:space="preserve">     </w:t>
              </w:r>
              <w:r w:rsidRPr="00850E5A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Pe perioada execuţiei lucrărilor vor fi întreprinse măsuri pentru prevenirea şi reducerea poluării atmosferei cu pulberi, praf şi noxe chimice de orice fel, prin transportul şi manipularea adecvată a materialelor de orice natură şi a substanţelor chimice periculoase;</w:t>
              </w:r>
            </w:p>
            <w:p w:rsidR="002A1B86" w:rsidRPr="00850E5A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 xml:space="preserve">     </w:t>
              </w:r>
              <w:r w:rsidRPr="00850E5A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Menţinerea permanentă a drumurilor de acces în stare bună, întreţinerea continuă a utilajelor şi mijloacelor de transport pentru limitarea nivelului emisiilor în atmosferă;</w:t>
              </w:r>
            </w:p>
            <w:p w:rsidR="002A1B86" w:rsidRPr="00850E5A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 xml:space="preserve">     </w:t>
              </w:r>
              <w:r w:rsidRPr="00850E5A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Se vor lua măsuri de evitare a poluării fonice şi de încadrare în normativele standard pentru vibraţii şi zgomote conform STAS nr. 10009/1988 şi STAS 12025/2/1981.</w:t>
              </w:r>
            </w:p>
            <w:p w:rsidR="002A1B86" w:rsidRPr="00850E5A" w:rsidRDefault="002A1B86" w:rsidP="002A1B86">
              <w:pPr>
                <w:tabs>
                  <w:tab w:val="num" w:pos="0"/>
                </w:tabs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 xml:space="preserve">      </w:t>
              </w:r>
              <w:r w:rsidRPr="00850E5A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Deşeurile rezultate, indiferent de natura lor se vor gestiona în conformitate cu prevederile Legii 211 din 2011, privind regimul deşeurilor;</w:t>
              </w:r>
            </w:p>
            <w:p w:rsidR="002A1B86" w:rsidRPr="00850E5A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 xml:space="preserve">      </w:t>
              </w:r>
              <w:r w:rsidRPr="00850E5A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Monitorizarea gestiunii deşeurilor prin respectarea H.G. nr. 856/2002, cu modificările ulterioare privind evidenţa gestiunii deşeurilor şi pentru aprobarea listei cuprinzând deşeurile, inclusiv deşeurile periculoase;</w:t>
              </w:r>
            </w:p>
            <w:p w:rsidR="002A1B86" w:rsidRPr="00850E5A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 xml:space="preserve">      </w:t>
              </w:r>
              <w:r w:rsidRPr="00850E5A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Respectarea H.G. nr. 1403/2007 privind refacerea zonelor în care solul, subsolul, şi ecosistemele terestre au fost afectate;</w:t>
              </w:r>
            </w:p>
            <w:p w:rsidR="002A1B86" w:rsidRPr="00850E5A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 xml:space="preserve">      </w:t>
              </w:r>
              <w:r w:rsidRPr="00850E5A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Respectarea  Hotărârii  Guvernului nr. 621 din 23.06.2005 privind gestionarea ambalajelor şi a deşeurilor din ambalaje;</w:t>
              </w:r>
            </w:p>
            <w:p w:rsidR="002A1B86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 xml:space="preserve">      </w:t>
              </w:r>
              <w:r w:rsidRPr="00850E5A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Repararea utilajelor şi a mijloacelor de transport şi schimbul de ulei se va face numai în incinte autorizate</w:t>
              </w: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; </w:t>
              </w:r>
            </w:p>
            <w:p w:rsidR="002A1B86" w:rsidRPr="00850E5A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</w:t>
              </w: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OUG nr. 195/2005 privind protecţia mediului, aprobată cu modificări de Legea nr. 265/2006, modificată de OUG nr. 57/2007 , OUG nr. 114/2007 şi OUG nr. 164/2008</w:t>
              </w:r>
            </w:p>
            <w:p w:rsidR="002A1B86" w:rsidRPr="00850E5A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</w:t>
              </w: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>Amplasarea organizării de şantier şi a depozitelor, precum şi alte activităţi conexe, se vor realiza cu respectarea prevederilor O.U.G. nr. 195/2005 aprobată cu modificări prin Legea nr. 265/2006 privind protecţia mediului cu completările şi modificările ulterioare;</w:t>
              </w:r>
            </w:p>
            <w:p w:rsidR="002A1B86" w:rsidRPr="00850E5A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</w:t>
              </w: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actelor/avizelor emise de alte autorităţi pentru prezentul proiect;</w:t>
              </w:r>
            </w:p>
            <w:p w:rsidR="002A1B86" w:rsidRPr="00850E5A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</w:t>
              </w: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STAS 10009/1988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și </w:t>
              </w:r>
              <w:r w:rsidRPr="005257A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pl-PL"/>
                </w:rPr>
                <w:t>a</w:t>
              </w:r>
              <w:r w:rsidRPr="005257A3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 Ord. MS </w:t>
              </w:r>
              <w:r>
                <w:rPr>
                  <w:rFonts w:ascii="Arial" w:hAnsi="Arial" w:cs="Arial"/>
                  <w:sz w:val="24"/>
                  <w:szCs w:val="24"/>
                  <w:lang w:val="pl-PL"/>
                </w:rPr>
                <w:t>1</w:t>
              </w:r>
              <w:r w:rsidRPr="005257A3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19/2014 </w:t>
              </w: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2A1B86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</w:t>
              </w:r>
            </w:p>
            <w:p w:rsidR="002A1B86" w:rsidRPr="00850E5A" w:rsidRDefault="002A1B86" w:rsidP="002A1B86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>Pentru obţinerea autorizaţiei de construire se vor obţine actele/avizele stabilite în certificatul de urbanism și cele solicitate în ședința CAT:</w:t>
              </w:r>
            </w:p>
            <w:p w:rsidR="002A1B86" w:rsidRDefault="002A1B86" w:rsidP="002A1B86">
              <w:pPr>
                <w:numPr>
                  <w:ilvl w:val="0"/>
                  <w:numId w:val="9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850E5A">
                <w:rPr>
                  <w:rFonts w:ascii="Arial" w:hAnsi="Arial" w:cs="Arial"/>
                  <w:sz w:val="24"/>
                  <w:szCs w:val="24"/>
                  <w:lang w:val="ro-RO"/>
                </w:rPr>
                <w:t>Act/punct de vedere Direcția Apelor Crișuri.</w:t>
              </w:r>
            </w:p>
            <w:p w:rsidR="002A1B86" w:rsidRPr="00850E5A" w:rsidRDefault="002A1B86" w:rsidP="002A1B86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2A1B86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2A1B86" w:rsidRPr="00065BB6" w:rsidRDefault="002A1B86" w:rsidP="002A1B86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</w:pPr>
              <w:r w:rsidRPr="00065BB6"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  <w:lastRenderedPageBreak/>
                <w:tab/>
                <w:t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</w:t>
              </w:r>
            </w:p>
            <w:p w:rsidR="005D33AB" w:rsidRPr="002A1B86" w:rsidRDefault="002A1B86" w:rsidP="005D33AB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val="ro-RO"/>
                </w:rPr>
              </w:pPr>
              <w:r w:rsidRPr="00065BB6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val="ro-RO"/>
                </w:rPr>
                <w:tab/>
              </w:r>
              <w:r w:rsidRPr="00065BB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Prezentul act nu exonerează de răspundere titularul, proiectantul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ș</w:t>
              </w:r>
              <w:r w:rsidRPr="00065BB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i/sau constructorul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î</w:t>
              </w:r>
              <w:r w:rsidRPr="00065BB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 cazul producerii unor accidente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î</w:t>
              </w:r>
              <w:r w:rsidRPr="00065BB6">
                <w:rPr>
                  <w:rFonts w:ascii="Arial" w:hAnsi="Arial" w:cs="Arial"/>
                  <w:sz w:val="24"/>
                  <w:szCs w:val="24"/>
                  <w:lang w:val="ro-RO"/>
                </w:rPr>
                <w:t>n timpul execuţiei lucrărilor sau exploatării acestora.</w:t>
              </w:r>
            </w:p>
          </w:sdtContent>
        </w:sdt>
      </w:sdtContent>
    </w:sdt>
    <w:p w:rsidR="005D33AB" w:rsidRPr="00447422" w:rsidRDefault="005D33AB" w:rsidP="005D3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D33AB" w:rsidRDefault="005D33AB" w:rsidP="005D3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5D33AB" w:rsidRDefault="005D33AB" w:rsidP="005D3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9194244"/>
            <w:placeholder>
              <w:docPart w:val="B5A70CA41CF8498DA455420B43CB3F72"/>
            </w:placeholder>
          </w:sdtPr>
          <w:sdtEndPr>
            <w:rPr>
              <w:b w:val="0"/>
            </w:rPr>
          </w:sdtEndPr>
          <w:sdtContent>
            <w:p w:rsidR="002A1B86" w:rsidRPr="00850E5A" w:rsidRDefault="002A1B86" w:rsidP="002A1B86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  <w:r w:rsidRPr="00850E5A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2A1B86" w:rsidRPr="00850E5A" w:rsidRDefault="002A1B86" w:rsidP="002A1B86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  <w:r w:rsidRPr="00850E5A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Dr. ing. AURICA GREC</w:t>
              </w:r>
            </w:p>
            <w:p w:rsidR="002A1B86" w:rsidRDefault="002A1B86" w:rsidP="002A1B86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</w:t>
              </w:r>
            </w:p>
            <w:p w:rsidR="00DB143B" w:rsidRDefault="00DB143B" w:rsidP="002A1B86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A1B86" w:rsidRDefault="002A1B86" w:rsidP="002A1B8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DB143B" w:rsidRDefault="00DB143B" w:rsidP="002A1B8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DB143B" w:rsidRDefault="00DB143B" w:rsidP="002A1B8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DB143B" w:rsidRDefault="00DB143B" w:rsidP="002A1B8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DB143B" w:rsidRPr="00CE7AE0" w:rsidRDefault="00DB143B" w:rsidP="002A1B8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2A1B86" w:rsidRPr="00CE7AE0" w:rsidRDefault="002A1B86" w:rsidP="002A1B8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</w:pPr>
              <w:r w:rsidRPr="00CE7AE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E7AE0"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  <w:t xml:space="preserve">Şef  Serviciu Avize, Acorduri, Autorizaţii, </w:t>
              </w:r>
              <w:r w:rsidRPr="00CE7AE0"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  <w:tab/>
              </w:r>
              <w:r w:rsidRPr="00CE7AE0"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  <w:tab/>
              </w:r>
              <w:r w:rsidRPr="00CE7AE0"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  <w:tab/>
              </w:r>
              <w:r w:rsidRPr="00CE7AE0"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  <w:tab/>
                <w:t xml:space="preserve">                       </w:t>
              </w:r>
            </w:p>
            <w:p w:rsidR="002A1B86" w:rsidRPr="00CE7AE0" w:rsidRDefault="002A1B86" w:rsidP="002A1B8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</w:pPr>
              <w:r w:rsidRPr="00CE7AE0"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  <w:t xml:space="preserve"> ing. Gizella Balint             </w:t>
              </w:r>
              <w:r w:rsidRPr="00CE7AE0"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  <w:tab/>
              </w:r>
              <w:r w:rsidRPr="00CE7AE0"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  <w:tab/>
              </w:r>
              <w:r w:rsidRPr="00CE7AE0"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  <w:tab/>
              </w:r>
              <w:r w:rsidRPr="00CE7AE0"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  <w:tab/>
                <w:t xml:space="preserve">                  </w:t>
              </w:r>
            </w:p>
            <w:p w:rsidR="002A1B86" w:rsidRDefault="002A1B86" w:rsidP="002A1B8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</w:pPr>
            </w:p>
            <w:p w:rsidR="00DB143B" w:rsidRDefault="00DB143B" w:rsidP="002A1B8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</w:pPr>
            </w:p>
            <w:p w:rsidR="00DB143B" w:rsidRDefault="00DB143B" w:rsidP="002A1B8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</w:pPr>
            </w:p>
            <w:p w:rsidR="00DB143B" w:rsidRPr="00CE7AE0" w:rsidRDefault="00DB143B" w:rsidP="002A1B8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</w:pPr>
            </w:p>
            <w:p w:rsidR="002A1B86" w:rsidRPr="00CE7AE0" w:rsidRDefault="002A1B86" w:rsidP="002A1B8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</w:pPr>
            </w:p>
            <w:p w:rsidR="002A1B86" w:rsidRPr="00CE7AE0" w:rsidRDefault="002A1B86" w:rsidP="002A1B8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CE7AE0">
                <w:rPr>
                  <w:rFonts w:ascii="Arial" w:hAnsi="Arial" w:cs="Arial"/>
                  <w:bCs/>
                  <w:sz w:val="24"/>
                  <w:szCs w:val="24"/>
                  <w:lang w:val="it-IT"/>
                </w:rPr>
                <w:t xml:space="preserve">   </w:t>
              </w:r>
              <w:r w:rsidRPr="00CE7AE0">
                <w:rPr>
                  <w:rFonts w:ascii="Arial" w:hAnsi="Arial" w:cs="Arial"/>
                  <w:bCs/>
                  <w:sz w:val="24"/>
                  <w:szCs w:val="24"/>
                </w:rPr>
                <w:t>Întocmit,</w:t>
              </w:r>
            </w:p>
            <w:p w:rsidR="002A1B86" w:rsidRDefault="002A1B86" w:rsidP="002A1B8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E7AE0">
                <w:rPr>
                  <w:rFonts w:ascii="Arial" w:hAnsi="Arial" w:cs="Arial"/>
                  <w:bCs/>
                  <w:sz w:val="24"/>
                  <w:szCs w:val="24"/>
                </w:rPr>
                <w:t>ing. Anca Horotan</w:t>
              </w:r>
            </w:p>
          </w:sdtContent>
        </w:sdt>
        <w:p w:rsidR="005D33AB" w:rsidRDefault="005D33AB" w:rsidP="005D33A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D33AB" w:rsidRPr="00447422" w:rsidRDefault="005D33AB" w:rsidP="005D33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D33AB" w:rsidRPr="00447422" w:rsidRDefault="005D33AB" w:rsidP="005D3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33AB" w:rsidRPr="00447422" w:rsidRDefault="005D33AB" w:rsidP="005D33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D33AB" w:rsidRPr="00447422" w:rsidRDefault="005D33AB" w:rsidP="005D33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D33AB" w:rsidRPr="00447422" w:rsidRDefault="005D33AB" w:rsidP="005D3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33AB" w:rsidRPr="00447422" w:rsidRDefault="005D33AB" w:rsidP="005D33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D33AB" w:rsidRPr="00447422" w:rsidRDefault="005D33AB" w:rsidP="005D33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D33AB" w:rsidRPr="00447422" w:rsidSect="005D33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AB" w:rsidRDefault="005D33AB" w:rsidP="003B0576">
      <w:pPr>
        <w:spacing w:after="0" w:line="240" w:lineRule="auto"/>
      </w:pPr>
      <w:r>
        <w:separator/>
      </w:r>
    </w:p>
  </w:endnote>
  <w:endnote w:type="continuationSeparator" w:id="0">
    <w:p w:rsidR="005D33AB" w:rsidRDefault="005D33AB" w:rsidP="003B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AB" w:rsidRDefault="005D33AB" w:rsidP="005D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33AB" w:rsidRDefault="005D33AB" w:rsidP="005D33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9193404"/>
            </w:sdtPr>
            <w:sdtEndPr>
              <w:rPr>
                <w:sz w:val="22"/>
                <w:szCs w:val="22"/>
              </w:rPr>
            </w:sdtEndPr>
            <w:sdtContent>
              <w:p w:rsidR="005D33AB" w:rsidRPr="00702379" w:rsidRDefault="005D33AB" w:rsidP="005656C3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  <w:lang w:val="ro-RO"/>
                  </w:rPr>
                </w:pPr>
                <w:r w:rsidRPr="00F10C8D">
                  <w:rPr>
                    <w:rFonts w:ascii="Times New Roman" w:hAnsi="Times New Roman"/>
                    <w:noProof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    <v:imagedata r:id="rId1" o:title=""/>
                    </v:shape>
                    <o:OLEObject Type="Embed" ProgID="CorelDRAW.Graphic.13" ShapeID="_x0000_s2092" DrawAspect="Content" ObjectID="_1526897160" r:id="rId2"/>
                  </w:pict>
                </w:r>
                <w:r w:rsidRPr="00F10C8D">
                  <w:rPr>
                    <w:rFonts w:ascii="Times New Roman" w:hAnsi="Times New Roman"/>
                    <w:noProof/>
                    <w:sz w:val="24"/>
                    <w:szCs w:val="24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    </w:pict>
                </w:r>
                <w:r w:rsidRPr="00C639A0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</w:rPr>
                  <w:t>A</w:t>
                </w:r>
                <w:r w:rsidRPr="00702379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</w:rPr>
                  <w:t>GEN</w:t>
                </w:r>
                <w:r w:rsidRPr="00702379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  <w:lang w:val="ro-RO"/>
                  </w:rPr>
                  <w:t xml:space="preserve">ŢIA PENTRU PROTECŢIA MEDIULUI </w:t>
                </w:r>
                <w:r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  <w:lang w:val="ro-RO"/>
                  </w:rPr>
                  <w:t>SĂLAJ</w:t>
                </w:r>
              </w:p>
              <w:p w:rsidR="005D33AB" w:rsidRPr="00702379" w:rsidRDefault="005D33AB" w:rsidP="005656C3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</w:pPr>
                <w:r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Strada Parcului nr. 2, Zalău, jud. Sălaj, Cod 450045</w:t>
                </w:r>
              </w:p>
              <w:p w:rsidR="005D33AB" w:rsidRPr="005656C3" w:rsidRDefault="005D33AB" w:rsidP="005656C3">
                <w:pPr>
                  <w:pStyle w:val="Header"/>
                  <w:jc w:val="center"/>
                </w:pPr>
                <w:r w:rsidRPr="00702379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 xml:space="preserve">E-mail: </w:t>
                </w:r>
                <w:hyperlink r:id="rId3" w:history="1">
                  <w:r w:rsidRPr="005F4182">
                    <w:rPr>
                      <w:rStyle w:val="Hyperlink"/>
                      <w:rFonts w:ascii="Times New Roman" w:hAnsi="Times New Roman"/>
                      <w:sz w:val="24"/>
                      <w:szCs w:val="24"/>
                      <w:lang w:val="ro-RO"/>
                    </w:rPr>
                    <w:t>office</w:t>
                  </w:r>
                  <w:r w:rsidRPr="00A52468">
                    <w:rPr>
                      <w:rStyle w:val="Hyperlink"/>
                      <w:rFonts w:ascii="Times New Roman" w:hAnsi="Times New Roman"/>
                      <w:sz w:val="24"/>
                      <w:szCs w:val="24"/>
                      <w:lang w:val="it-IT"/>
                    </w:rPr>
                    <w:t>@apmsj.anpm.ro</w:t>
                  </w:r>
                </w:hyperlink>
                <w:r w:rsidRPr="00702379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; Tel</w:t>
                </w:r>
                <w:r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 xml:space="preserve">.0260-662619, 0260-662621, </w:t>
                </w:r>
                <w:r w:rsidRPr="00702379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Fax.</w:t>
                </w:r>
                <w:r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 xml:space="preserve"> 0260-662622</w:t>
                </w:r>
                <w:hyperlink r:id="rId4" w:history="1">
                  <w:r w:rsidRPr="005F4182">
                    <w:rPr>
                      <w:rStyle w:val="Hyperlink"/>
                      <w:rFonts w:ascii="Times New Roman" w:hAnsi="Times New Roman"/>
                      <w:sz w:val="24"/>
                      <w:szCs w:val="24"/>
                      <w:lang w:val="ro-RO"/>
                    </w:rPr>
                    <w:t>http://apmsj.anpm.ro</w:t>
                  </w:r>
                </w:hyperlink>
              </w:p>
            </w:sdtContent>
          </w:sdt>
        </w:sdtContent>
      </w:sdt>
      <w:p w:rsidR="005D33AB" w:rsidRPr="00C44321" w:rsidRDefault="005D33AB" w:rsidP="005D33AB">
        <w:pPr>
          <w:pStyle w:val="Footer"/>
          <w:jc w:val="center"/>
        </w:pPr>
        <w:r>
          <w:t xml:space="preserve"> </w:t>
        </w:r>
        <w:fldSimple w:instr=" PAGE   \* MERGEFORMAT ">
          <w:r w:rsidR="00033B0C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5D33AB" w:rsidRPr="00702379" w:rsidRDefault="005D33AB" w:rsidP="005656C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F10C8D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26897159" r:id="rId2"/>
          </w:pict>
        </w:r>
        <w:r w:rsidRPr="00F10C8D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5D33AB" w:rsidRPr="00702379" w:rsidRDefault="005D33AB" w:rsidP="005656C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5D33AB" w:rsidRPr="005656C3" w:rsidRDefault="005D33AB" w:rsidP="005656C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A52468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  <w:hyperlink r:id="rId4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AB" w:rsidRDefault="005D33AB" w:rsidP="003B0576">
      <w:pPr>
        <w:spacing w:after="0" w:line="240" w:lineRule="auto"/>
      </w:pPr>
      <w:r>
        <w:separator/>
      </w:r>
    </w:p>
  </w:footnote>
  <w:footnote w:type="continuationSeparator" w:id="0">
    <w:p w:rsidR="005D33AB" w:rsidRDefault="005D33AB" w:rsidP="003B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AB" w:rsidRDefault="005D33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5001" o:spid="_x0000_s2095" type="#_x0000_t136" style="position:absolute;margin-left:0;margin-top:0;width:502.2pt;height:20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AB" w:rsidRDefault="005D33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5002" o:spid="_x0000_s2096" type="#_x0000_t136" style="position:absolute;margin-left:0;margin-top:0;width:502.2pt;height:200.8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AB" w:rsidRPr="00535A6C" w:rsidRDefault="005D33AB" w:rsidP="005D33A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5000" o:spid="_x0000_s2094" type="#_x0000_t136" style="position:absolute;left:0;text-align:left;margin-left:0;margin-top:0;width:502.2pt;height:20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Pr="003B057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6897158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5D33AB" w:rsidRPr="00535A6C" w:rsidRDefault="005D33AB" w:rsidP="005D33AB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5D33AB" w:rsidRPr="003167DA" w:rsidRDefault="005D33AB" w:rsidP="005D33AB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5D33AB" w:rsidRPr="00992A14" w:rsidRDefault="005D33AB" w:rsidP="005D33AB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5D33AB" w:rsidRPr="00992A14" w:rsidTr="005D33AB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5D33AB" w:rsidRPr="00992A14" w:rsidRDefault="005D33AB" w:rsidP="005656C3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5D33AB" w:rsidRPr="0090788F" w:rsidRDefault="005D33AB" w:rsidP="005D33AB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B14"/>
    <w:multiLevelType w:val="multilevel"/>
    <w:tmpl w:val="1C30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46304"/>
    <w:multiLevelType w:val="hybridMultilevel"/>
    <w:tmpl w:val="F0C66522"/>
    <w:lvl w:ilvl="0" w:tplc="135891E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F1D133E"/>
    <w:multiLevelType w:val="hybridMultilevel"/>
    <w:tmpl w:val="6366B678"/>
    <w:lvl w:ilvl="0" w:tplc="914ECA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Q3u0aYKkgw0AmE98GokpUgu5aOs=" w:salt="+1TT87L/qknonMpDDBDMDA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0576"/>
    <w:rsid w:val="00033B0C"/>
    <w:rsid w:val="002240BB"/>
    <w:rsid w:val="002372D8"/>
    <w:rsid w:val="00283F0E"/>
    <w:rsid w:val="002A1B86"/>
    <w:rsid w:val="003B0576"/>
    <w:rsid w:val="003D5BDA"/>
    <w:rsid w:val="004B088C"/>
    <w:rsid w:val="0054472A"/>
    <w:rsid w:val="005656C3"/>
    <w:rsid w:val="005978AE"/>
    <w:rsid w:val="005D33AB"/>
    <w:rsid w:val="005F5CC5"/>
    <w:rsid w:val="006553AA"/>
    <w:rsid w:val="00D10E98"/>
    <w:rsid w:val="00D406F7"/>
    <w:rsid w:val="00DB143B"/>
    <w:rsid w:val="00E86CCF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uiPriority w:val="99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C7D73EBB93F54FD5B488EA01058F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4A01-FA24-4DA6-A7EA-0184F27885B6}"/>
      </w:docPartPr>
      <w:docPartBody>
        <w:p w:rsidR="00210EB1" w:rsidRDefault="00210EB1" w:rsidP="00210EB1">
          <w:pPr>
            <w:pStyle w:val="C7D73EBB93F54FD5B488EA01058F38D3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B5A70CA41CF8498DA455420B43CB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8237-50B2-42E7-9D49-3E7D2D4F2468}"/>
      </w:docPartPr>
      <w:docPartBody>
        <w:p w:rsidR="00210EB1" w:rsidRDefault="00210EB1" w:rsidP="00210EB1">
          <w:pPr>
            <w:pStyle w:val="B5A70CA41CF8498DA455420B43CB3F72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10EB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EB1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C7D73EBB93F54FD5B488EA01058F38D3">
    <w:name w:val="C7D73EBB93F54FD5B488EA01058F38D3"/>
    <w:rsid w:val="00210EB1"/>
  </w:style>
  <w:style w:type="paragraph" w:customStyle="1" w:styleId="B5A70CA41CF8498DA455420B43CB3F72">
    <w:name w:val="B5A70CA41CF8498DA455420B43CB3F72"/>
    <w:rsid w:val="00210E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68305dce-2472-4d47-b574-c8ce6cdb1dbf","Numar":null,"Data":null,"NumarActReglementareInitial":null,"DataActReglementareInitial":null,"DataInceput":"2016-06-08T00:00:00","DataSfarsit":null,"Durata":null,"PunctLucruId":375573.0,"TipActId":4.0,"NumarCerere":null,"DataCerere":null,"NumarCerereScriptic":"1909","DataCerereScriptic":"2016-03-30T00:00:00","CodFiscal":null,"SordId":"(114B1F44-6031-A33E-A286-E4AB5F44E8F5)","SablonSordId":"(8B66777B-56B9-65A9-2773-1FA4A6BC21FB)","DosarSordId":"3406886","LatitudineWgs84":null,"LongitudineWgs84":null,"LatitudineStereo70":null,"LongitudineStereo70":null,"NumarAutorizatieGospodarireApe":null,"DataAutorizatieGospodarireApe":null,"DurataAutorizatieGospodarireApe":null,"Aba":null,"Sga":null,"AdresaSediuSocial":"Str. Coralilor, Nr. 22, Bucureşti - Sectorul 1, Judetul Bucureşti","AdresaPunctLucru":null,"DenumireObiectiv":null,"DomeniuActivitate":null,"DomeniuSpecific":null,"ApmEmitere":null,"ApmRaportare":null,"AnpmApm":"APM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713D2BDC-200D-40B1-B993-95C154AF232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EF79493-2135-4A80-B1F2-0EBA926A0C4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231C023F-6438-40C9-9A82-873AC1401257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852295B8-168C-4763-B60D-A94754D7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1734</Words>
  <Characters>9889</Characters>
  <Application>Microsoft Office Word</Application>
  <DocSecurity>8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11600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anca.horotan</cp:lastModifiedBy>
  <cp:revision>14</cp:revision>
  <cp:lastPrinted>2014-04-25T12:16:00Z</cp:lastPrinted>
  <dcterms:created xsi:type="dcterms:W3CDTF">2015-10-26T07:49:00Z</dcterms:created>
  <dcterms:modified xsi:type="dcterms:W3CDTF">2016-06-08T10:18:00Z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PETROM Tronson 1</vt:lpwstr>
  </property>
  <property fmtid="{D5CDD505-2E9C-101B-9397-08002B2CF9AE}" pid="5" name="SordId">
    <vt:lpwstr>(114B1F44-6031-A33E-A286-E4AB5F44E8F5)</vt:lpwstr>
  </property>
  <property fmtid="{D5CDD505-2E9C-101B-9397-08002B2CF9AE}" pid="6" name="VersiuneDocument">
    <vt:lpwstr>12</vt:lpwstr>
  </property>
  <property fmtid="{D5CDD505-2E9C-101B-9397-08002B2CF9AE}" pid="7" name="RuntimeGuid">
    <vt:lpwstr>558475c7-cd0c-4b8b-b071-98ebe45c5588</vt:lpwstr>
  </property>
  <property fmtid="{D5CDD505-2E9C-101B-9397-08002B2CF9AE}" pid="8" name="PunctLucruId">
    <vt:lpwstr>375573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3406886</vt:lpwstr>
  </property>
  <property fmtid="{D5CDD505-2E9C-101B-9397-08002B2CF9AE}" pid="11" name="DosarCerereSordId">
    <vt:lpwstr>3242087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68305dce-2472-4d47-b574-c8ce6cdb1dbf</vt:lpwstr>
  </property>
  <property fmtid="{D5CDD505-2E9C-101B-9397-08002B2CF9AE}" pid="16" name="CommitRoles">
    <vt:lpwstr>false</vt:lpwstr>
  </property>
</Properties>
</file>