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9B243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9B2437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9B2437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9B2437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387004" w:rsidRDefault="00387004" w:rsidP="00AC0360">
          <w:pPr>
            <w:spacing w:after="0"/>
            <w:jc w:val="center"/>
            <w:rPr>
              <w:color w:val="808080"/>
              <w:lang w:val="ro-RO"/>
            </w:rPr>
          </w:pPr>
        </w:p>
        <w:p w:rsidR="00AC0360" w:rsidRPr="00AC0360" w:rsidRDefault="00387004" w:rsidP="00AC0360">
          <w:pPr>
            <w:spacing w:after="0"/>
            <w:jc w:val="center"/>
            <w:rPr>
              <w:lang w:val="ro-RO"/>
            </w:rPr>
          </w:pPr>
          <w:r w:rsidRPr="00387004">
            <w:rPr>
              <w:rFonts w:ascii="Arial" w:hAnsi="Arial" w:cs="Arial"/>
              <w:b/>
              <w:sz w:val="40"/>
              <w:szCs w:val="4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9B2437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B243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B243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9B2437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8700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SC MICHELIN ROMANIA SA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87004">
            <w:rPr>
              <w:rFonts w:ascii="Arial" w:hAnsi="Arial" w:cs="Arial"/>
              <w:sz w:val="24"/>
              <w:szCs w:val="24"/>
              <w:lang w:val="ro-RO"/>
            </w:rPr>
            <w:t>Str. Piata Montreal, Nr. 10, Bucureşti Sectorul 1 , Judetul Bucureşti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38700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87004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87004">
            <w:rPr>
              <w:rFonts w:ascii="Arial" w:hAnsi="Arial" w:cs="Arial"/>
              <w:sz w:val="24"/>
              <w:szCs w:val="24"/>
              <w:lang w:val="ro-RO"/>
            </w:rPr>
            <w:t>6572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1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87004">
            <w:rPr>
              <w:rFonts w:ascii="Arial" w:hAnsi="Arial" w:cs="Arial"/>
              <w:spacing w:val="-6"/>
              <w:sz w:val="24"/>
              <w:szCs w:val="24"/>
              <w:lang w:val="ro-RO"/>
            </w:rPr>
            <w:t>11.11.2016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9B2437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387004" w:rsidRDefault="009B2437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9B2437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387004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387004">
            <w:rPr>
              <w:rFonts w:ascii="Arial" w:hAnsi="Arial" w:cs="Arial"/>
              <w:sz w:val="24"/>
              <w:szCs w:val="24"/>
              <w:lang w:val="ro-RO"/>
            </w:rPr>
            <w:t>ca urmare a consultărilor desfăşura</w:t>
          </w:r>
          <w:r w:rsidR="00387004" w:rsidRPr="00387004">
            <w:rPr>
              <w:rFonts w:ascii="Arial" w:hAnsi="Arial" w:cs="Arial"/>
              <w:sz w:val="24"/>
              <w:szCs w:val="24"/>
              <w:lang w:val="ro-RO"/>
            </w:rPr>
            <w:t>te în cadrul şedinţei</w:t>
          </w:r>
          <w:r w:rsidRPr="00387004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bookmarkStart w:id="0" w:name="_GoBack"/>
          <w:r w:rsidR="00387004">
            <w:rPr>
              <w:rFonts w:ascii="Arial" w:hAnsi="Arial" w:cs="Arial"/>
              <w:sz w:val="24"/>
              <w:szCs w:val="24"/>
              <w:lang w:val="ro-RO"/>
            </w:rPr>
            <w:t>12.12.2016</w:t>
          </w:r>
          <w:r w:rsidRPr="00387004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387004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387004" w:rsidRPr="00387004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387004" w:rsidRPr="00387004">
            <w:rPr>
              <w:rFonts w:ascii="Arial" w:hAnsi="Arial" w:cs="Arial"/>
              <w:b/>
              <w:sz w:val="24"/>
              <w:szCs w:val="24"/>
              <w:lang w:val="ro-RO"/>
            </w:rPr>
            <w:t>Construire cabină repaus, parcare şi amenajare acces din b-dul Mihai Viteazul”</w:t>
          </w:r>
          <w:r w:rsidRPr="00387004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387004" w:rsidRPr="00387004">
            <w:rPr>
              <w:rFonts w:ascii="Arial" w:hAnsi="Arial" w:cs="Arial"/>
              <w:sz w:val="24"/>
              <w:szCs w:val="24"/>
              <w:lang w:val="ro-RO"/>
            </w:rPr>
            <w:t>Zalău, b-dul Mihai Viteazul, PUZ Parc Industrial Zalău Vest, jud. Sălaj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387004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nu se supune </w:t>
          </w:r>
          <w:bookmarkEnd w:id="0"/>
          <w:r w:rsidRPr="00387004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9B243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9B243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387004" w:rsidRPr="00955F92" w:rsidRDefault="009B2437" w:rsidP="003870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387004" w:rsidRPr="00955F92">
            <w:rPr>
              <w:rFonts w:ascii="Arial" w:hAnsi="Arial" w:cs="Arial"/>
              <w:b/>
              <w:sz w:val="24"/>
              <w:szCs w:val="24"/>
            </w:rPr>
            <w:t>a)</w:t>
          </w:r>
          <w:r w:rsidR="00387004"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="00387004" w:rsidRPr="00955F92">
            <w:rPr>
              <w:rFonts w:ascii="Arial" w:hAnsi="Arial" w:cs="Arial"/>
              <w:b/>
              <w:sz w:val="24"/>
              <w:szCs w:val="24"/>
            </w:rPr>
            <w:t>proiectul se încadrează</w:t>
          </w:r>
          <w:r w:rsidR="00387004" w:rsidRPr="00955F92">
            <w:rPr>
              <w:rFonts w:ascii="Arial" w:hAnsi="Arial" w:cs="Arial"/>
              <w:sz w:val="24"/>
              <w:szCs w:val="24"/>
            </w:rPr>
            <w:t xml:space="preserve"> în prevederile </w:t>
          </w:r>
          <w:r w:rsidR="00387004" w:rsidRPr="00955F92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387004" w:rsidRPr="00955F92">
            <w:rPr>
              <w:rFonts w:ascii="Arial" w:hAnsi="Arial" w:cs="Arial"/>
              <w:sz w:val="24"/>
              <w:szCs w:val="24"/>
            </w:rPr>
            <w:t>, anexa nr. 2, pct. 10 lit. b) şi pct. 13, lit. a);</w:t>
          </w:r>
        </w:p>
        <w:p w:rsidR="00387004" w:rsidRDefault="00387004" w:rsidP="003870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387004" w:rsidRPr="009B2437" w:rsidRDefault="00387004" w:rsidP="009B2437">
          <w:pPr>
            <w:tabs>
              <w:tab w:val="left" w:pos="990"/>
              <w:tab w:val="left" w:pos="1350"/>
            </w:tabs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</w:t>
          </w:r>
          <w:r w:rsidRPr="009B2437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- </w:t>
          </w:r>
          <w:r w:rsidRPr="009B2437">
            <w:rPr>
              <w:rFonts w:ascii="Arial" w:hAnsi="Arial" w:cs="Arial"/>
              <w:color w:val="FF0000"/>
              <w:sz w:val="24"/>
              <w:szCs w:val="24"/>
            </w:rPr>
            <w:t xml:space="preserve">prin proiect se prevede realizarea </w:t>
          </w:r>
        </w:p>
        <w:p w:rsidR="009B2437" w:rsidRPr="002561ED" w:rsidRDefault="009B2437" w:rsidP="009B2437">
          <w:pPr>
            <w:tabs>
              <w:tab w:val="left" w:pos="990"/>
              <w:tab w:val="left" w:pos="135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87004" w:rsidRPr="00955F92" w:rsidRDefault="00387004" w:rsidP="003870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9B2437"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387004" w:rsidRPr="00955F92" w:rsidRDefault="00387004" w:rsidP="00387004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 nu este cazul;</w:t>
          </w:r>
        </w:p>
        <w:p w:rsidR="00387004" w:rsidRPr="00955F92" w:rsidRDefault="00387004" w:rsidP="00387004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211/2011, privind regimul deşeurilor :</w:t>
          </w:r>
        </w:p>
        <w:p w:rsidR="00387004" w:rsidRPr="00955F92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excutante într-un depozit autorizat ;</w:t>
          </w:r>
        </w:p>
        <w:p w:rsidR="00387004" w:rsidRPr="009B2437" w:rsidRDefault="00387004" w:rsidP="00387004">
          <w:pPr>
            <w:pStyle w:val="Style4"/>
            <w:widowControl/>
            <w:tabs>
              <w:tab w:val="left" w:pos="144"/>
            </w:tabs>
            <w:spacing w:line="240" w:lineRule="auto"/>
            <w:jc w:val="both"/>
            <w:rPr>
              <w:rStyle w:val="FontStyle12"/>
              <w:sz w:val="24"/>
              <w:szCs w:val="24"/>
            </w:rPr>
          </w:pPr>
          <w:r w:rsidRPr="009B2437">
            <w:rPr>
              <w:lang w:val="pt-BR"/>
            </w:rPr>
            <w:t>-</w:t>
          </w:r>
          <w:r w:rsidRPr="009B2437">
            <w:rPr>
              <w:lang w:val="it-IT"/>
            </w:rPr>
            <w:t xml:space="preserve"> </w:t>
          </w:r>
          <w:r w:rsidRPr="009B2437">
            <w:rPr>
              <w:color w:val="FF0000"/>
              <w:lang w:val="it-IT"/>
            </w:rPr>
            <w:t>lucrările necesare organizării de şantier:</w:t>
          </w:r>
          <w:r w:rsidRPr="009B2437">
            <w:rPr>
              <w:noProof/>
              <w:color w:val="FF0000"/>
            </w:rPr>
            <w:t xml:space="preserve"> </w:t>
          </w:r>
          <w:r w:rsidRPr="009B2437">
            <w:rPr>
              <w:rStyle w:val="FontStyle12"/>
              <w:sz w:val="24"/>
              <w:szCs w:val="24"/>
            </w:rPr>
            <w:t>perimetrul zonei de realizare a lucrărilor va fi împrejmuit şi semnalizat pentru interzicerea accesului persoanelor străine în zona de lucru;</w:t>
          </w:r>
        </w:p>
        <w:p w:rsidR="00387004" w:rsidRPr="009B2437" w:rsidRDefault="00387004" w:rsidP="00387004">
          <w:pPr>
            <w:pStyle w:val="Style4"/>
            <w:widowControl/>
            <w:tabs>
              <w:tab w:val="left" w:pos="144"/>
            </w:tabs>
            <w:spacing w:line="240" w:lineRule="auto"/>
            <w:jc w:val="both"/>
            <w:rPr>
              <w:rStyle w:val="FontStyle12"/>
              <w:sz w:val="24"/>
              <w:szCs w:val="24"/>
            </w:rPr>
          </w:pPr>
          <w:r w:rsidRPr="009B2437">
            <w:rPr>
              <w:rStyle w:val="FontStyle12"/>
              <w:sz w:val="24"/>
              <w:szCs w:val="24"/>
            </w:rPr>
            <w:t xml:space="preserve">Se vor executa semnalizarile necesare: </w:t>
          </w:r>
        </w:p>
        <w:p w:rsidR="00387004" w:rsidRPr="009B2437" w:rsidRDefault="00387004" w:rsidP="00387004">
          <w:pPr>
            <w:pStyle w:val="Style4"/>
            <w:widowControl/>
            <w:tabs>
              <w:tab w:val="left" w:pos="144"/>
            </w:tabs>
            <w:spacing w:line="240" w:lineRule="auto"/>
            <w:jc w:val="both"/>
            <w:rPr>
              <w:rStyle w:val="FontStyle12"/>
              <w:sz w:val="24"/>
              <w:szCs w:val="24"/>
            </w:rPr>
          </w:pPr>
          <w:r w:rsidRPr="009B2437">
            <w:rPr>
              <w:rStyle w:val="FontStyle12"/>
              <w:sz w:val="24"/>
              <w:szCs w:val="24"/>
            </w:rPr>
            <w:t>•</w:t>
          </w:r>
          <w:r w:rsidRPr="009B2437">
            <w:rPr>
              <w:rStyle w:val="FontStyle12"/>
              <w:sz w:val="24"/>
              <w:szCs w:val="24"/>
            </w:rPr>
            <w:tab/>
            <w:t xml:space="preserve">de restrictii in zonele de descărcare şi depozitare a locurilor de trecere; </w:t>
          </w:r>
        </w:p>
        <w:p w:rsidR="00387004" w:rsidRPr="009B2437" w:rsidRDefault="00387004" w:rsidP="00387004">
          <w:pPr>
            <w:pStyle w:val="Style4"/>
            <w:widowControl/>
            <w:tabs>
              <w:tab w:val="left" w:pos="144"/>
            </w:tabs>
            <w:spacing w:line="240" w:lineRule="auto"/>
            <w:jc w:val="both"/>
            <w:rPr>
              <w:rStyle w:val="FontStyle12"/>
              <w:sz w:val="24"/>
              <w:szCs w:val="24"/>
            </w:rPr>
          </w:pPr>
          <w:r w:rsidRPr="009B2437">
            <w:rPr>
              <w:rStyle w:val="FontStyle12"/>
              <w:sz w:val="24"/>
              <w:szCs w:val="24"/>
            </w:rPr>
            <w:t>•</w:t>
          </w:r>
          <w:r w:rsidRPr="009B2437">
            <w:rPr>
              <w:rStyle w:val="FontStyle12"/>
              <w:sz w:val="24"/>
              <w:szCs w:val="24"/>
            </w:rPr>
            <w:tab/>
            <w:t>de restricţie a accesului persoanelor în zonele de lucru, pe fiecare etapă de lucru ;</w:t>
          </w:r>
        </w:p>
        <w:p w:rsidR="00387004" w:rsidRPr="009B2437" w:rsidRDefault="00387004" w:rsidP="00387004">
          <w:pPr>
            <w:pStyle w:val="Style4"/>
            <w:widowControl/>
            <w:tabs>
              <w:tab w:val="left" w:pos="144"/>
            </w:tabs>
            <w:spacing w:line="240" w:lineRule="auto"/>
            <w:jc w:val="both"/>
            <w:rPr>
              <w:rStyle w:val="FontStyle12"/>
              <w:sz w:val="24"/>
              <w:szCs w:val="24"/>
            </w:rPr>
          </w:pPr>
          <w:r w:rsidRPr="009B2437">
            <w:rPr>
              <w:rStyle w:val="FontStyle12"/>
              <w:sz w:val="24"/>
              <w:szCs w:val="24"/>
            </w:rPr>
            <w:t>•</w:t>
          </w:r>
          <w:r w:rsidRPr="009B2437">
            <w:rPr>
              <w:rStyle w:val="FontStyle12"/>
              <w:sz w:val="24"/>
              <w:szCs w:val="24"/>
            </w:rPr>
            <w:tab/>
            <w:t xml:space="preserve">de stabilire a traseelor de deplasare în hala a personalului lucrător şi special pentru persoanele care au acces la spatiile unde se lucrează, pe fiecare etapă de lucru. </w:t>
          </w:r>
        </w:p>
        <w:p w:rsidR="00387004" w:rsidRPr="009B2437" w:rsidRDefault="00387004" w:rsidP="00387004">
          <w:pPr>
            <w:pStyle w:val="Style4"/>
            <w:widowControl/>
            <w:tabs>
              <w:tab w:val="left" w:pos="144"/>
            </w:tabs>
            <w:spacing w:line="240" w:lineRule="auto"/>
            <w:ind w:firstLine="0"/>
            <w:jc w:val="both"/>
            <w:rPr>
              <w:rStyle w:val="FontStyle12"/>
              <w:sz w:val="24"/>
              <w:szCs w:val="24"/>
            </w:rPr>
          </w:pPr>
          <w:r w:rsidRPr="009B2437">
            <w:rPr>
              <w:rStyle w:val="FontStyle12"/>
              <w:sz w:val="24"/>
              <w:szCs w:val="24"/>
            </w:rPr>
            <w:lastRenderedPageBreak/>
            <w:t xml:space="preserve">   Ca spaţii de echipare, adăpost, servire masa, se vor folosi spaţiile existente din hala de producţie. </w:t>
          </w:r>
        </w:p>
        <w:p w:rsidR="00387004" w:rsidRPr="009B2437" w:rsidRDefault="00387004" w:rsidP="00387004">
          <w:pPr>
            <w:shd w:val="clear" w:color="auto" w:fill="FFFFFF"/>
            <w:spacing w:after="0" w:line="240" w:lineRule="auto"/>
            <w:ind w:firstLine="202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 w:rsidRPr="009B2437">
            <w:rPr>
              <w:rFonts w:ascii="Arial" w:hAnsi="Arial" w:cs="Arial"/>
              <w:color w:val="191919"/>
              <w:sz w:val="24"/>
              <w:szCs w:val="24"/>
            </w:rPr>
            <w:t xml:space="preserve">Pe durata realizarii lucrarilor vor rezulta: deseuri de constructii , ape uzate menajere;  </w:t>
          </w:r>
        </w:p>
        <w:p w:rsidR="00387004" w:rsidRPr="009B2437" w:rsidRDefault="00387004" w:rsidP="00387004">
          <w:pPr>
            <w:shd w:val="clear" w:color="auto" w:fill="FFFFFF"/>
            <w:spacing w:after="0" w:line="240" w:lineRule="auto"/>
            <w:ind w:firstLine="202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 w:rsidRPr="009B2437">
            <w:rPr>
              <w:rFonts w:ascii="Arial" w:hAnsi="Arial" w:cs="Arial"/>
              <w:color w:val="191919"/>
              <w:sz w:val="24"/>
              <w:szCs w:val="24"/>
            </w:rPr>
            <w:t>Pentru  prevenirea si reducerea impactului asupra mediului  sunt prevăzute:</w:t>
          </w:r>
        </w:p>
        <w:p w:rsidR="00387004" w:rsidRPr="009B2437" w:rsidRDefault="00387004" w:rsidP="00387004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 w:rsidRPr="009B2437">
            <w:rPr>
              <w:rFonts w:ascii="Arial" w:hAnsi="Arial" w:cs="Arial"/>
              <w:color w:val="191919"/>
              <w:sz w:val="24"/>
              <w:szCs w:val="24"/>
            </w:rPr>
            <w:t>- containere pentru colectarea selectivă  a deşeurilor menajere şi de construcţii/demolări si încheierea de contracte pentru valorificarea/depozitarea acestora;</w:t>
          </w:r>
        </w:p>
        <w:p w:rsidR="00387004" w:rsidRPr="009B2437" w:rsidRDefault="00387004" w:rsidP="00387004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 w:rsidRPr="009B2437">
            <w:rPr>
              <w:rFonts w:ascii="Arial" w:hAnsi="Arial" w:cs="Arial"/>
              <w:color w:val="191919"/>
              <w:sz w:val="24"/>
              <w:szCs w:val="24"/>
            </w:rPr>
            <w:t>- utilizarea grupurilor sanitare  amplaste în incintă;</w:t>
          </w:r>
        </w:p>
        <w:p w:rsidR="00387004" w:rsidRPr="009B2437" w:rsidRDefault="00387004" w:rsidP="00387004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 w:rsidRPr="009B2437">
            <w:rPr>
              <w:rFonts w:ascii="Arial" w:hAnsi="Arial" w:cs="Arial"/>
              <w:color w:val="191919"/>
              <w:sz w:val="24"/>
              <w:szCs w:val="24"/>
            </w:rPr>
            <w:t>- utilizarea mijloacelor de transport şi utilajelor care au verificarea tehnică la zi;</w:t>
          </w:r>
        </w:p>
        <w:p w:rsidR="00387004" w:rsidRPr="009B2437" w:rsidRDefault="00387004" w:rsidP="00387004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 w:rsidRPr="009B2437">
            <w:rPr>
              <w:rFonts w:ascii="Arial" w:hAnsi="Arial" w:cs="Arial"/>
              <w:color w:val="191919"/>
              <w:sz w:val="24"/>
              <w:szCs w:val="24"/>
            </w:rPr>
            <w:t>- întreţinerea curăţeniei la locurile de muncă pentru prevenirea formării de pulberi;</w:t>
          </w:r>
        </w:p>
        <w:p w:rsidR="00387004" w:rsidRPr="009B2437" w:rsidRDefault="00387004" w:rsidP="00387004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 w:rsidRPr="009B2437">
            <w:rPr>
              <w:rFonts w:ascii="Arial" w:hAnsi="Arial" w:cs="Arial"/>
              <w:color w:val="191919"/>
              <w:sz w:val="24"/>
              <w:szCs w:val="24"/>
            </w:rPr>
            <w:t>- materialele de construcţii vor fi aduse pe amplasament de către firma constructoare (ex. betoane);</w:t>
          </w:r>
        </w:p>
        <w:p w:rsidR="00387004" w:rsidRPr="009B2437" w:rsidRDefault="00387004" w:rsidP="00387004">
          <w:pPr>
            <w:pStyle w:val="Style4"/>
            <w:widowControl/>
            <w:tabs>
              <w:tab w:val="left" w:pos="144"/>
            </w:tabs>
            <w:ind w:firstLine="0"/>
            <w:jc w:val="both"/>
          </w:pPr>
          <w:r w:rsidRPr="009B2437">
            <w:rPr>
              <w:lang w:val="pt-BR"/>
            </w:rPr>
            <w:t xml:space="preserve">     </w:t>
          </w:r>
          <w:r w:rsidRPr="009B2437">
            <w:t>b</w:t>
          </w:r>
          <w:r w:rsidRPr="009B2437">
            <w:rPr>
              <w:vertAlign w:val="subscript"/>
            </w:rPr>
            <w:t>5</w:t>
          </w:r>
          <w:r w:rsidRPr="009B2437">
            <w:t xml:space="preserve">) </w:t>
          </w:r>
          <w:r w:rsidRPr="009B2437">
            <w:rPr>
              <w:lang w:val="pt-BR"/>
            </w:rPr>
            <w:t>emisiile poluante, inclusiv zgomotul şi alte surse de disconfort:</w:t>
          </w:r>
          <w:r w:rsidRPr="009B2437">
            <w:t xml:space="preserve"> se vor respecta limitele prevăzute de normele în vigoare; </w:t>
          </w:r>
        </w:p>
        <w:p w:rsidR="00387004" w:rsidRPr="009B2437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B243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ab/>
          </w:r>
        </w:p>
        <w:p w:rsidR="00387004" w:rsidRPr="009B2437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b/>
              <w:sz w:val="24"/>
              <w:szCs w:val="24"/>
            </w:rPr>
            <w:t xml:space="preserve">    c)</w:t>
          </w:r>
          <w:r w:rsidRPr="009B2437">
            <w:rPr>
              <w:rFonts w:ascii="Arial" w:hAnsi="Arial" w:cs="Arial"/>
              <w:sz w:val="24"/>
              <w:szCs w:val="24"/>
            </w:rPr>
            <w:t xml:space="preserve"> </w:t>
          </w:r>
          <w:r w:rsidRPr="009B2437">
            <w:rPr>
              <w:rFonts w:ascii="Arial" w:hAnsi="Arial" w:cs="Arial"/>
              <w:b/>
              <w:sz w:val="24"/>
              <w:szCs w:val="24"/>
              <w:lang w:val="pt-BR"/>
            </w:rPr>
            <w:t>Localizarea proiectului</w:t>
          </w:r>
          <w:r w:rsidRPr="009B2437">
            <w:rPr>
              <w:rFonts w:ascii="Arial" w:hAnsi="Arial" w:cs="Arial"/>
              <w:sz w:val="24"/>
              <w:szCs w:val="24"/>
              <w:lang w:val="pt-BR"/>
            </w:rPr>
            <w:t>:</w:t>
          </w:r>
          <w:r w:rsidRPr="009B2437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loc. Zalău, </w:t>
          </w:r>
          <w:r w:rsidR="009B2437" w:rsidRPr="00387004">
            <w:rPr>
              <w:rFonts w:ascii="Arial" w:hAnsi="Arial" w:cs="Arial"/>
              <w:sz w:val="24"/>
              <w:szCs w:val="24"/>
              <w:lang w:val="ro-RO"/>
            </w:rPr>
            <w:t>b-dul Mihai Viteazul, PUZ Parc Industrial Zalău Vest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>, jud. Sălaj,</w:t>
          </w:r>
        </w:p>
        <w:p w:rsidR="00387004" w:rsidRPr="009B2437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B243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9B2437">
            <w:rPr>
              <w:rFonts w:ascii="Arial" w:hAnsi="Arial" w:cs="Arial"/>
              <w:sz w:val="24"/>
              <w:szCs w:val="24"/>
              <w:lang w:val="ro-RO"/>
            </w:rPr>
            <w:t>1276 din 01.11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.2016, emis de Primăria Municipiului Zalău, imobilul este constituit din teren proprietatea SC Michelin SA, situat în intravilanul municipiului Zalău; </w:t>
          </w:r>
          <w:r w:rsidR="009B2437">
            <w:rPr>
              <w:rFonts w:ascii="Arial" w:hAnsi="Arial" w:cs="Arial"/>
              <w:sz w:val="24"/>
              <w:szCs w:val="24"/>
              <w:lang w:val="ro-RO"/>
            </w:rPr>
            <w:t>parţial terenul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 se află situată în zona protejată a patrimoniului arheologic. Cf. PUG 2010 imobilul se află în </w:t>
          </w:r>
          <w:r w:rsidR="009B2437">
            <w:rPr>
              <w:rFonts w:ascii="Arial" w:hAnsi="Arial" w:cs="Arial"/>
              <w:sz w:val="24"/>
              <w:szCs w:val="24"/>
              <w:lang w:val="ro-RO"/>
            </w:rPr>
            <w:t>sub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zona </w:t>
          </w:r>
          <w:r w:rsidR="009B2437">
            <w:rPr>
              <w:rFonts w:ascii="Arial" w:hAnsi="Arial" w:cs="Arial"/>
              <w:sz w:val="24"/>
              <w:szCs w:val="24"/>
              <w:lang w:val="ro-RO"/>
            </w:rPr>
            <w:t xml:space="preserve">cu 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unităţi </w:t>
          </w:r>
          <w:r w:rsidR="009B2437">
            <w:rPr>
              <w:rFonts w:ascii="Arial" w:hAnsi="Arial" w:cs="Arial"/>
              <w:sz w:val="24"/>
              <w:szCs w:val="24"/>
              <w:lang w:val="ro-RO"/>
            </w:rPr>
            <w:t xml:space="preserve">de industrie mică şi mijlocie, 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de depozitare </w:t>
          </w:r>
          <w:r w:rsidR="009B2437">
            <w:rPr>
              <w:rFonts w:ascii="Arial" w:hAnsi="Arial" w:cs="Arial"/>
              <w:sz w:val="24"/>
              <w:szCs w:val="24"/>
              <w:lang w:val="ro-RO"/>
            </w:rPr>
            <w:t>şi alte servicii comerciale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387004" w:rsidRPr="009B2437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B243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387004" w:rsidRPr="009B2437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B2437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387004" w:rsidRPr="009B2437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B2437">
            <w:rPr>
              <w:rFonts w:ascii="Arial" w:hAnsi="Arial" w:cs="Arial"/>
              <w:sz w:val="24"/>
              <w:szCs w:val="24"/>
            </w:rPr>
            <w:t xml:space="preserve">    </w:t>
          </w:r>
          <w:r w:rsidRPr="009B2437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B2437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potenţial</w:t>
          </w:r>
          <w:r w:rsidRPr="009B2437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387004" w:rsidRPr="00955F92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387004" w:rsidRPr="00955F92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387004" w:rsidRPr="00955F92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387004" w:rsidRPr="00955F92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387004" w:rsidRDefault="00387004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9B2437" w:rsidRPr="00955F92" w:rsidRDefault="009B2437" w:rsidP="0038700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387004" w:rsidRPr="00955F92" w:rsidRDefault="00387004" w:rsidP="00387004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387004" w:rsidRPr="00B118E6" w:rsidRDefault="00387004" w:rsidP="00387004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387004" w:rsidRPr="00B118E6" w:rsidRDefault="00387004" w:rsidP="00387004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387004" w:rsidRPr="00B118E6" w:rsidRDefault="00387004" w:rsidP="00387004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387004" w:rsidRDefault="00387004" w:rsidP="00387004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zgomot.</w:t>
          </w:r>
        </w:p>
        <w:p w:rsidR="00387004" w:rsidRPr="00B118E6" w:rsidRDefault="00387004" w:rsidP="00387004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387004" w:rsidRPr="00B118E6" w:rsidRDefault="00387004" w:rsidP="00387004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387004" w:rsidRPr="00B118E6" w:rsidRDefault="00387004" w:rsidP="00387004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lastRenderedPageBreak/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387004" w:rsidRPr="00955F92" w:rsidRDefault="00387004" w:rsidP="00387004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955F9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387004" w:rsidRPr="003B6D3A" w:rsidRDefault="00387004" w:rsidP="00387004">
          <w:pPr>
            <w:spacing w:after="0" w:line="240" w:lineRule="auto"/>
            <w:ind w:firstLine="33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Conform prevederilor Ord. nr. 1798/2007 cu modificările ulterioare, titularul are obligaţia solicitării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revizuirii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autorizaţiei de mediu.</w:t>
          </w:r>
        </w:p>
        <w:p w:rsidR="00387004" w:rsidRPr="00955F92" w:rsidRDefault="00387004" w:rsidP="00387004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La şedinţa CAT din data de </w:t>
          </w:r>
          <w:r w:rsidR="009B2437">
            <w:rPr>
              <w:rFonts w:ascii="Arial" w:hAnsi="Arial" w:cs="Arial"/>
              <w:sz w:val="24"/>
              <w:szCs w:val="24"/>
              <w:lang w:val="ro-RO"/>
            </w:rPr>
            <w:t>12.12</w:t>
          </w:r>
          <w:r>
            <w:rPr>
              <w:rFonts w:ascii="Arial" w:hAnsi="Arial" w:cs="Arial"/>
              <w:sz w:val="24"/>
              <w:szCs w:val="24"/>
              <w:lang w:val="ro-RO"/>
            </w:rPr>
            <w:t>.2016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au fost solicitate următoarele acte/avize:</w:t>
          </w:r>
        </w:p>
        <w:p w:rsidR="00387004" w:rsidRPr="00955F92" w:rsidRDefault="00387004" w:rsidP="00387004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 Aviz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ISU</w:t>
          </w: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>;</w:t>
          </w:r>
        </w:p>
        <w:p w:rsidR="00387004" w:rsidRDefault="00387004" w:rsidP="00387004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 P.d.v. DJC;</w:t>
          </w:r>
        </w:p>
        <w:p w:rsidR="00387004" w:rsidRDefault="00387004" w:rsidP="00387004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 Aviz ANIF,</w:t>
          </w:r>
        </w:p>
        <w:p w:rsidR="00387004" w:rsidRDefault="00387004" w:rsidP="00387004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>Notificare DSP,</w:t>
          </w:r>
        </w:p>
        <w:p w:rsidR="00387004" w:rsidRDefault="00387004" w:rsidP="00387004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>Act de reglementare Apele Române,</w:t>
          </w:r>
        </w:p>
        <w:p w:rsidR="00753675" w:rsidRPr="00387004" w:rsidRDefault="00387004" w:rsidP="00387004">
          <w:pPr>
            <w:numPr>
              <w:ilvl w:val="0"/>
              <w:numId w:val="63"/>
            </w:numPr>
            <w:spacing w:after="0" w:line="240" w:lineRule="auto"/>
            <w:ind w:left="726" w:hanging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FF0000"/>
              <w:sz w:val="24"/>
              <w:szCs w:val="24"/>
              <w:lang w:val="ro-RO"/>
            </w:rPr>
            <w:t>Aviz Compania de Apă Someş SA.</w:t>
          </w:r>
        </w:p>
      </w:sdtContent>
    </w:sdt>
    <w:p w:rsidR="00595382" w:rsidRPr="00447422" w:rsidRDefault="009B2437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9B243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B2437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B243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B243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9B243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9B243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9B2437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9B24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9B24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9B24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9B243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9B243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9B24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B243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B24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B24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B2437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B24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B2437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6E" w:rsidRDefault="00B7326E" w:rsidP="00B7326E">
      <w:pPr>
        <w:spacing w:after="0" w:line="240" w:lineRule="auto"/>
      </w:pPr>
      <w:r>
        <w:separator/>
      </w:r>
    </w:p>
  </w:endnote>
  <w:endnote w:type="continuationSeparator" w:id="0">
    <w:p w:rsidR="00B7326E" w:rsidRDefault="00B7326E" w:rsidP="00B7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7326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24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43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B243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9B2437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387004">
              <w:rPr>
                <w:rFonts w:ascii="Arial" w:hAnsi="Arial" w:cs="Arial"/>
                <w:b/>
                <w:sz w:val="20"/>
                <w:szCs w:val="20"/>
              </w:rPr>
              <w:t>ENŢIA PENTRU PROTECŢIA MEDIULUI SĂLAJ</w:t>
            </w:r>
          </w:p>
          <w:p w:rsidR="00387004" w:rsidRPr="007A4C64" w:rsidRDefault="00387004" w:rsidP="0038700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387004" w:rsidP="0038700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676699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0260-662622</w:t>
            </w:r>
          </w:p>
        </w:sdtContent>
      </w:sdt>
      <w:p w:rsidR="00B72680" w:rsidRPr="00C44321" w:rsidRDefault="009B2437" w:rsidP="00C44321">
        <w:pPr>
          <w:pStyle w:val="Footer"/>
          <w:jc w:val="center"/>
        </w:pPr>
        <w:r>
          <w:t xml:space="preserve"> </w:t>
        </w:r>
        <w:r w:rsidR="00B7326E">
          <w:fldChar w:fldCharType="begin"/>
        </w:r>
        <w:r>
          <w:instrText xml:space="preserve"> PAGE   \* MERGEFORMAT </w:instrText>
        </w:r>
        <w:r w:rsidR="00B7326E">
          <w:fldChar w:fldCharType="separate"/>
        </w:r>
        <w:r>
          <w:rPr>
            <w:noProof/>
          </w:rPr>
          <w:t>2</w:t>
        </w:r>
        <w:r w:rsidR="00B7326E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B2437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387004">
          <w:rPr>
            <w:rFonts w:ascii="Arial" w:hAnsi="Arial" w:cs="Arial"/>
            <w:b/>
            <w:sz w:val="20"/>
            <w:szCs w:val="20"/>
          </w:rPr>
          <w:t xml:space="preserve"> SĂLAJ</w:t>
        </w:r>
      </w:p>
      <w:p w:rsidR="00992A14" w:rsidRPr="007A4C64" w:rsidRDefault="009B243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387004">
          <w:rPr>
            <w:rFonts w:ascii="Arial" w:hAnsi="Arial" w:cs="Arial"/>
            <w:color w:val="00214E"/>
            <w:sz w:val="20"/>
            <w:szCs w:val="20"/>
            <w:lang w:val="ro-RO"/>
          </w:rPr>
          <w:t>Parcului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387004"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387004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387004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B243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387004" w:rsidRPr="00676699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387004">
          <w:rPr>
            <w:rFonts w:ascii="Arial" w:hAnsi="Arial" w:cs="Arial"/>
            <w:color w:val="00214E"/>
            <w:sz w:val="20"/>
            <w:szCs w:val="20"/>
            <w:lang w:val="ro-RO"/>
          </w:rPr>
          <w:t>0260662619,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387004">
          <w:rPr>
            <w:rFonts w:ascii="Arial" w:hAnsi="Arial" w:cs="Arial"/>
            <w:color w:val="00214E"/>
            <w:sz w:val="20"/>
            <w:szCs w:val="20"/>
            <w:lang w:val="ro-RO"/>
          </w:rPr>
          <w:t>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6E" w:rsidRDefault="00B7326E" w:rsidP="00B7326E">
      <w:pPr>
        <w:spacing w:after="0" w:line="240" w:lineRule="auto"/>
      </w:pPr>
      <w:r>
        <w:separator/>
      </w:r>
    </w:p>
  </w:footnote>
  <w:footnote w:type="continuationSeparator" w:id="0">
    <w:p w:rsidR="00B7326E" w:rsidRDefault="00B7326E" w:rsidP="00B7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7326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7326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2702862" r:id="rId2"/>
      </w:pict>
    </w:r>
    <w:r w:rsidR="009B243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B243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9B2437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7326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9B243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B243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B243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B243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7326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9B243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B243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9B243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153B37"/>
    <w:multiLevelType w:val="multilevel"/>
    <w:tmpl w:val="E620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3+eWspUIHmOpqVe0ItpfzCktl1k=" w:salt="/pD2SWXWH0q5QJec+S3b9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7326E"/>
    <w:rsid w:val="00387004"/>
    <w:rsid w:val="009B2437"/>
    <w:rsid w:val="00B7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4">
    <w:name w:val="Style4"/>
    <w:basedOn w:val="Normal"/>
    <w:rsid w:val="00387004"/>
    <w:pPr>
      <w:widowControl w:val="0"/>
      <w:autoSpaceDE w:val="0"/>
      <w:autoSpaceDN w:val="0"/>
      <w:adjustRightInd w:val="0"/>
      <w:spacing w:after="0" w:line="266" w:lineRule="exact"/>
      <w:ind w:firstLine="194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FontStyle12">
    <w:name w:val="Font Style12"/>
    <w:rsid w:val="0038700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D4CEF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CE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5019ba88-c82f-4114-83a2-dfbeaadf16df","Numar":null,"Data":null,"NumarActReglementareInitial":null,"DataActReglementareInitial":null,"DataInceput":null,"DataSfarsit":null,"Durata":null,"PunctLucruId":287684.0,"TipActId":4.0,"NumarCerere":null,"DataCerere":null,"NumarCerereScriptic":"6572","DataCerereScriptic":"2016-11-11T00:00:00","CodFiscal":null,"SordId":"(8DD19919-06AF-5652-7525-72FED1606B3C)","SablonSordId":"(8B66777B-56B9-65A9-2773-1FA4A6BC21FB)","DosarSordId":"3762551","LatitudineWgs84":null,"LongitudineWgs84":null,"LatitudineStereo70":null,"LongitudineStereo70":null,"NumarAutorizatieGospodarireApe":null,"DataAutorizatieGospodarireApe":null,"DurataAutorizatieGospodarireApe":null,"Aba":null,"Sga":null,"AdresaSediuSocial":"Str. Piata Montreal, Nr. 10, Bucureşti Sectorul 1 , Judetul Bucureşti","AdresaPunctLucru":null,"DenumireObiectiv":null,"DomeniuActivitate":null,"DomeniuSpecific":null,"ApmEmitere":null,"ApmRaportare":null,"AnpmApm":"APM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BF94FA9-E493-4752-947B-21823394AE0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813AB072-5A24-4924-B9E4-86EB5E9DC33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C35AD21-28C5-41CD-922B-35F735A7573C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AF40A92-9666-428C-AAEE-465446DD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1161</Words>
  <Characters>6619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7765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5</cp:revision>
  <cp:lastPrinted>2014-04-25T12:16:00Z</cp:lastPrinted>
  <dcterms:created xsi:type="dcterms:W3CDTF">2015-10-26T07:49:00Z</dcterms:created>
  <dcterms:modified xsi:type="dcterms:W3CDTF">2016-12-08T09:48:00Z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SC Michelin Romania - parcare</vt:lpwstr>
  </property>
  <property fmtid="{D5CDD505-2E9C-101B-9397-08002B2CF9AE}" pid="5" name="SordId">
    <vt:lpwstr>(8DD19919-06AF-5652-7525-72FED1606B3C)</vt:lpwstr>
  </property>
  <property fmtid="{D5CDD505-2E9C-101B-9397-08002B2CF9AE}" pid="6" name="VersiuneDocument">
    <vt:lpwstr>2</vt:lpwstr>
  </property>
  <property fmtid="{D5CDD505-2E9C-101B-9397-08002B2CF9AE}" pid="7" name="RuntimeGuid">
    <vt:lpwstr>855e2ab2-8e43-4a44-827e-7e48c7104bbe</vt:lpwstr>
  </property>
  <property fmtid="{D5CDD505-2E9C-101B-9397-08002B2CF9AE}" pid="8" name="PunctLucruId">
    <vt:lpwstr>287684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3762551</vt:lpwstr>
  </property>
  <property fmtid="{D5CDD505-2E9C-101B-9397-08002B2CF9AE}" pid="11" name="DosarCerereSordId">
    <vt:lpwstr>3756398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5019ba88-c82f-4114-83a2-dfbeaadf16df</vt:lpwstr>
  </property>
  <property fmtid="{D5CDD505-2E9C-101B-9397-08002B2CF9AE}" pid="16" name="CommitRoles">
    <vt:lpwstr>false</vt:lpwstr>
  </property>
</Properties>
</file>