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BB1BBC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BB1BBC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BB1BBC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BB1BBC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Content>
        <w:p w:rsidR="00AC0360" w:rsidRPr="00AC0360" w:rsidRDefault="00BB1BBC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BB1BBC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BB1BBC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BB1BBC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BB1BBC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521CDE">
            <w:rPr>
              <w:rFonts w:ascii="Arial" w:hAnsi="Arial" w:cs="Arial"/>
              <w:b/>
              <w:sz w:val="24"/>
              <w:szCs w:val="24"/>
              <w:lang w:val="ro-RO"/>
            </w:rPr>
            <w:t>SOCIETATEA FILIALA DE DISTRIBUTIE A ENERGIEI ELECTRICE " ELECTRICA DISTRIBUTIE TRANSILVANIA NORD " S.A. CLUJ-NAPOCA SUCURSALA DE DISTRIBUTIE A ENERGIEI ELECTRICE ZALAU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521CDE">
            <w:rPr>
              <w:rFonts w:ascii="Arial" w:hAnsi="Arial" w:cs="Arial"/>
              <w:sz w:val="24"/>
              <w:szCs w:val="24"/>
              <w:lang w:val="ro-RO"/>
            </w:rPr>
            <w:t>Str. B-dul MIHAI VITEAZUL, Nr. 79, Zalău,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5C6F21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521CDE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521CDE">
            <w:rPr>
              <w:rFonts w:ascii="Arial" w:hAnsi="Arial" w:cs="Arial"/>
              <w:sz w:val="24"/>
              <w:szCs w:val="24"/>
              <w:lang w:val="ro-RO"/>
            </w:rPr>
            <w:t>7109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5-11-12T00:00:00Z">
            <w:dateFormat w:val="dd.MM.yyyy"/>
            <w:lid w:val="ro-RO"/>
            <w:storeMappedDataAs w:val="dateTime"/>
            <w:calendar w:val="gregorian"/>
          </w:date>
        </w:sdtPr>
        <w:sdtContent>
          <w:r w:rsidR="00521CDE">
            <w:rPr>
              <w:rFonts w:ascii="Arial" w:hAnsi="Arial" w:cs="Arial"/>
              <w:spacing w:val="-6"/>
              <w:sz w:val="24"/>
              <w:szCs w:val="24"/>
              <w:lang w:val="ro-RO"/>
            </w:rPr>
            <w:t>12.11.2015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BB1BBC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521CDE" w:rsidRDefault="00BB1BBC" w:rsidP="00595382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BB1BBC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521CDE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521CDE">
            <w:rPr>
              <w:rFonts w:ascii="Arial" w:hAnsi="Arial" w:cs="Arial"/>
              <w:sz w:val="24"/>
              <w:szCs w:val="24"/>
              <w:lang w:val="ro-RO"/>
            </w:rPr>
            <w:t>14.03.2016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5C6F21" w:rsidRPr="005C6F21">
            <w:rPr>
              <w:rFonts w:ascii="Arial" w:hAnsi="Arial" w:cs="Arial"/>
              <w:b/>
              <w:sz w:val="24"/>
              <w:szCs w:val="24"/>
              <w:lang w:val="ro-RO"/>
            </w:rPr>
            <w:t>Modernizare LEA 20kv Şărmăşag Şimleu şi racord Criştelec,</w:t>
          </w:r>
          <w:r w:rsidR="005C6F21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.</w:t>
          </w:r>
          <w:r w:rsidR="005C6F21">
            <w:rPr>
              <w:rFonts w:ascii="Arial" w:hAnsi="Arial" w:cs="Arial"/>
              <w:sz w:val="24"/>
              <w:szCs w:val="24"/>
              <w:lang w:val="ro-RO"/>
            </w:rPr>
            <w:t>com. Măerişte, Şimleu Silvaniei, loc. Criştelec, Giurtelecu Şimleului, Mălădia, şi Cehei,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BB1BBC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BB1BBC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753675" w:rsidRDefault="00BB1BBC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>, anexa nr.</w:t>
          </w:r>
          <w:r w:rsidR="005C6F21">
            <w:rPr>
              <w:rFonts w:ascii="Arial" w:hAnsi="Arial" w:cs="Arial"/>
              <w:sz w:val="24"/>
              <w:szCs w:val="24"/>
            </w:rPr>
            <w:t xml:space="preserve">2, la pct 13, lit.a) 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5C6F21" w:rsidRPr="00522DB9" w:rsidRDefault="005C6F21" w:rsidP="005C6F2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5C6F21" w:rsidRDefault="005C6F21" w:rsidP="005C6F2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>
            <w:rPr>
              <w:rFonts w:ascii="Arial" w:hAnsi="Arial" w:cs="Arial"/>
              <w:sz w:val="24"/>
              <w:szCs w:val="24"/>
            </w:rPr>
            <w:t>2</w:t>
          </w:r>
          <w:r w:rsidRPr="00522DB9">
            <w:rPr>
              <w:rFonts w:ascii="Arial" w:hAnsi="Arial" w:cs="Arial"/>
              <w:sz w:val="24"/>
              <w:szCs w:val="24"/>
            </w:rPr>
            <w:t>, pct. .</w:t>
          </w:r>
          <w:r>
            <w:rPr>
              <w:rFonts w:ascii="Arial" w:hAnsi="Arial" w:cs="Arial"/>
              <w:sz w:val="24"/>
              <w:szCs w:val="24"/>
            </w:rPr>
            <w:t>13, lit.a</w:t>
          </w:r>
        </w:p>
        <w:p w:rsidR="005C6F21" w:rsidRDefault="005C6F21" w:rsidP="005C6F2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8259B9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Caracteristicile proiectului: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b/>
              <w:bCs/>
              <w:sz w:val="24"/>
              <w:szCs w:val="24"/>
              <w:lang w:eastAsia="ro-RO"/>
            </w:rPr>
            <w:t>Situa</w:t>
          </w:r>
          <w:r w:rsidR="007467BD" w:rsidRPr="007467BD">
            <w:rPr>
              <w:rFonts w:ascii="Arial" w:hAnsi="Arial" w:cs="Arial"/>
              <w:b/>
              <w:bCs/>
              <w:sz w:val="24"/>
              <w:szCs w:val="24"/>
              <w:lang w:eastAsia="ro-RO"/>
            </w:rPr>
            <w:t>ţi</w:t>
          </w:r>
          <w:r w:rsidRPr="007467BD">
            <w:rPr>
              <w:rFonts w:ascii="Arial" w:hAnsi="Arial" w:cs="Arial"/>
              <w:b/>
              <w:bCs/>
              <w:sz w:val="24"/>
              <w:szCs w:val="24"/>
              <w:lang w:eastAsia="ro-RO"/>
            </w:rPr>
            <w:t>a proiectată: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În vederea respectării temei de proiectare, a constatărilor realizate în urma ieşirii în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teren, respectiv în urma discuţiilor cu Beneficiarul, se vor realiza lucrări de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modernizare la LEA 20 kV Sarmasg – Simleu , între stâlpii nr.103(separator SS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6830), si nr.193, respectiv Racordul Cristelec intre stalpii nr.1 si nr.18 pe raza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judeţului Sălaj.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 xml:space="preserve">Se vor realiza urmatoarele lucrari la </w:t>
          </w: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LEA 20 kV Sarmasg – Simleu: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 Schimbare de izolatie ceramica cu izolatie compozita intre SS 6830 si racordul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20KV Orange Cehei pe 65 de stalpi;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lastRenderedPageBreak/>
            <w:t> Montare stalpi de intindere unde panourile sunt foarte lungi;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 Înlocuire consolelor deteriorate existente, pe tronsoanele existente;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 Se vor realiza lucrări de demontare / montare / înlocuire a stâlpilor existenţi,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respectiv de plantare de stâlpi noi, dacă este cazul (stâlpi înclinaţi, ancoraţi,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deterioraţi, tronsoane cu alunecări de teren etc.)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 Se vor monta descarcatori cu ZnO in zonele cu activitate Keraunica ridicata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 Inscriptionare stalpi si renumerotare;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 Montare console nou proiectate pe stâlpii nou montaţi;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 Se vor realiza lucrări de montare/îmbunătăţire/refacere a prizelor de pământ,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unde este cazul;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 În vederea asigurării culoarului de protecţie şi de siguranţă al LEA 20 kV, se vor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realiza lucrări de defrişare, pe tronsoanele studiate ale LEA 20 kV Sarmasag –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Simleu;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 Reconstruire lea 20KV langa drumul Judetean DJ 108H pe o portiune de 770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m, se va planta 1 buc stalp SE9, la circa 4m de stalpul nr.8 din racordul abator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2 Simleu ,langa drumul Judetean 108 H si se va executa legatura intre ele.Se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va muta separatorul SR 7419 pe stalpul existent nr. 55 al racordului abator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Simleu.Se va reface legatura cu LEA Simleu pe stalpul SE 9 nou plantat.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 Se va revizui LEA 20KV abator 2 Simleu intre stalpul nr.1 si nr.8 si se va reloca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separatorul STE 20KV nr 7355 pe stalpul nr. 1 al LEA 20KV Abator 2.Se va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inlocui celula 20KV Sarmasag in Statia Simleu intre statie si stalpul nr.1din LEA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20KV Abator 2 .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 Se va demola LEA 20KV intre stalpii nr.176-193;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Lucrari la LEA 20KV racord Cristelec:</w:t>
          </w:r>
        </w:p>
        <w:p w:rsidR="005C6F21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 Scimbare izolatie ceramica cu izolatie compozita, pe 18 stalpi si inlocuirea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Scimbare izolatie ceramica cu izolatie compozita, pe 18 stalpi si inlocuirea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conductorului OLAL 35/6mmp care este uat tehnic.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 Deviere LEA 20KV existenta pe o lungime de 280 m pentru evitarea traversarii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de case a liniei lea 20KV;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 Inlocuire doi separatori necorespunzatori;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 Inscriptionare stalpi si renumerotare;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 Se va demola LEA 20KV intre stalpii nr.7-1si9-1;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Scimbare izolatie ceramica cu izolatie compozita, pe 18 stalpi si inlocuirea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conductorului OLAL 35/6mmp care este uat tehnic.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 Deviere LEA 20KV existenta pe o lungime de 280 m pentru evitarea traversarii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de case a liniei lea 20KV;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 Inlocuire doi separatori necorespunzatori;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 Inscriptionare stalpi si renumerotare;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Pentru reţele: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LEA 20 kV Simleu- Sarmasag respectiv Racord Cristelec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b/>
              <w:bCs/>
              <w:sz w:val="24"/>
              <w:szCs w:val="24"/>
              <w:lang w:eastAsia="ro-RO"/>
            </w:rPr>
            <w:t>2.3. Structura constructivă: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LEA 20 kV, realizată pe stâlpi de beton .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b/>
              <w:bCs/>
              <w:sz w:val="24"/>
              <w:szCs w:val="24"/>
              <w:lang w:eastAsia="ro-RO"/>
            </w:rPr>
            <w:t>2.4. Urmărirea execušiei şi controlul calităšii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La execuţia lucrărilor se vor respecta următoarele normative privind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construcţiile: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 C56 - Normativ pentru verificarea calităţii şi recepţia lucrărilor de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construcţii şi instalaţii aferente;</w:t>
          </w:r>
        </w:p>
        <w:p w:rsidR="002E48D2" w:rsidRPr="007467BD" w:rsidRDefault="002E48D2" w:rsidP="002E48D2">
          <w:pPr>
            <w:autoSpaceDE w:val="0"/>
            <w:autoSpaceDN w:val="0"/>
            <w:adjustRightInd w:val="0"/>
            <w:spacing w:after="0" w:line="240" w:lineRule="auto"/>
            <w:rPr>
              <w:rFonts w:ascii="Arial" w:eastAsia="TimesNewRoman" w:hAnsi="Arial" w:cs="Arial"/>
              <w:sz w:val="24"/>
              <w:szCs w:val="24"/>
              <w:lang w:eastAsia="ro-RO"/>
            </w:rPr>
          </w:pPr>
          <w:r w:rsidRPr="007467BD">
            <w:rPr>
              <w:rFonts w:ascii="Arial" w:hAnsi="Arial" w:cs="Arial"/>
              <w:sz w:val="24"/>
              <w:szCs w:val="24"/>
              <w:lang w:eastAsia="ro-RO"/>
            </w:rPr>
            <w:t> Legea 50 - autorizarea executării lucrărilor de construcţii;</w:t>
          </w:r>
        </w:p>
        <w:p w:rsidR="005C6F21" w:rsidRPr="00A55DC5" w:rsidRDefault="005C6F21" w:rsidP="005C6F21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) mărimea proiectului: - lucrările propuse a fi executate sunt:</w:t>
          </w:r>
        </w:p>
        <w:p w:rsidR="005C6F21" w:rsidRDefault="005C6F21" w:rsidP="005C6F21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) cumularea cu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alte proiecte: - nu este cazul</w:t>
          </w:r>
        </w:p>
        <w:p w:rsidR="005C6F21" w:rsidRPr="0053077F" w:rsidRDefault="005C6F21" w:rsidP="005C6F21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lastRenderedPageBreak/>
            <w:t>b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) cumularea cu alte proiecte: - nu este cazul;</w:t>
          </w:r>
        </w:p>
        <w:p w:rsidR="005C6F21" w:rsidRPr="0053077F" w:rsidRDefault="005C6F21" w:rsidP="005C6F21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) utilizarea resurselor naturale:</w:t>
          </w:r>
          <w:r w:rsidRPr="0053077F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- 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nu este cazul;  </w:t>
          </w:r>
        </w:p>
        <w:p w:rsidR="005C6F21" w:rsidRDefault="005C6F21" w:rsidP="005C6F2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) apele uzate rezultate: - nu este cazul</w:t>
          </w:r>
        </w:p>
        <w:p w:rsidR="005C6F21" w:rsidRPr="0053077F" w:rsidRDefault="005C6F21" w:rsidP="005C6F21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)producţia de deşeuri: conform Legii 211/2011, privind regimul deşeurilor: - în perioada de execuţie a proiectului vor rezulta deşeuri care</w:t>
          </w:r>
          <w:r w:rsidRPr="0053077F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, vor fi colectate selectiv și se vor valorifica/elimina numai prin operatori economici autorizați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; nu sunt necesare lucrări pentru organizarea de şantier;</w:t>
          </w:r>
        </w:p>
        <w:p w:rsidR="005C6F21" w:rsidRPr="0053077F" w:rsidRDefault="005C6F21" w:rsidP="005C6F21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     b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) emisiile poluante, inclusiv zgomotul şi alte surse de disconfort: se vor respecta limitele prevăzute de normele în vigoare; </w:t>
          </w:r>
        </w:p>
        <w:p w:rsidR="005C6F21" w:rsidRPr="0053077F" w:rsidRDefault="005C6F21" w:rsidP="005C6F21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     b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7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) riscul de accident, ţinându-se seama în special de substanţele şi tehnologiile utilizate: - nu este cazul.</w:t>
          </w:r>
        </w:p>
        <w:p w:rsidR="005C6F21" w:rsidRPr="0053077F" w:rsidRDefault="005C6F21" w:rsidP="005C6F21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6F17FC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Localizarea proiectului:</w:t>
          </w:r>
          <w:r w:rsidRPr="0053077F"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="007467BD">
            <w:rPr>
              <w:rFonts w:ascii="Arial" w:hAnsi="Arial" w:cs="Arial"/>
              <w:sz w:val="24"/>
              <w:szCs w:val="24"/>
              <w:lang w:val="ro-RO"/>
            </w:rPr>
            <w:t xml:space="preserve">om. Măerişte, Şimleu Silvaniei, loc. Criştelec, Giurtelecu Şimleului, Mălădia şi Cehei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, jud. Sălaj;</w:t>
          </w:r>
        </w:p>
        <w:p w:rsidR="005C6F21" w:rsidRPr="0053077F" w:rsidRDefault="005C6F21" w:rsidP="007467BD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) utilizarea existentă a terenului: conform certificatului de urbanism nr. </w:t>
          </w:r>
          <w:r w:rsidR="007467BD">
            <w:rPr>
              <w:rFonts w:ascii="Arial" w:hAnsi="Arial" w:cs="Arial"/>
              <w:sz w:val="24"/>
              <w:szCs w:val="24"/>
              <w:lang w:val="ro-RO"/>
            </w:rPr>
            <w:t>153/10.11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.2015 </w:t>
          </w:r>
          <w:r w:rsidR="007467BD">
            <w:rPr>
              <w:rFonts w:ascii="Arial" w:hAnsi="Arial" w:cs="Arial"/>
              <w:sz w:val="24"/>
              <w:szCs w:val="24"/>
              <w:lang w:val="ro-RO"/>
            </w:rPr>
            <w:t xml:space="preserve">emis de Consiliul Judeţean Sălaj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, teren aflat în intravilan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ul </w:t>
          </w:r>
          <w:r w:rsidR="007467BD">
            <w:rPr>
              <w:rFonts w:ascii="Arial" w:hAnsi="Arial" w:cs="Arial"/>
              <w:sz w:val="24"/>
              <w:szCs w:val="24"/>
              <w:lang w:val="ro-RO"/>
            </w:rPr>
            <w:t xml:space="preserve"> şi extravilanul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loc. Valcău de Jos </w:t>
          </w:r>
          <w:r w:rsidR="007467BD">
            <w:rPr>
              <w:rFonts w:ascii="Arial" w:hAnsi="Arial" w:cs="Arial"/>
              <w:sz w:val="24"/>
              <w:szCs w:val="24"/>
              <w:lang w:val="ro-RO"/>
            </w:rPr>
            <w:t xml:space="preserve">loc. Criştelec, Giurtelecu Şimleului, Mălădia şi Cehei  </w:t>
          </w:r>
          <w:r w:rsidR="007467BD" w:rsidRPr="0053077F">
            <w:rPr>
              <w:rFonts w:ascii="Arial" w:hAnsi="Arial" w:cs="Arial"/>
              <w:sz w:val="24"/>
              <w:szCs w:val="24"/>
              <w:lang w:val="ro-RO"/>
            </w:rPr>
            <w:t>, jud. Sălaj;</w:t>
          </w:r>
        </w:p>
        <w:p w:rsidR="005C6F21" w:rsidRPr="0053077F" w:rsidRDefault="005C6F21" w:rsidP="005C6F21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) relativa abundenţă a resurselor naturale din zonă, calitatea şi capacitatea regenerativă a acestora: - nu este cazul;</w:t>
          </w:r>
        </w:p>
        <w:p w:rsidR="005C6F21" w:rsidRPr="0053077F" w:rsidRDefault="005C6F21" w:rsidP="005C6F21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) Capacitatea de absorbţie a mediului: - nu este cazul.</w:t>
          </w:r>
        </w:p>
        <w:p w:rsidR="005C6F21" w:rsidRPr="0053077F" w:rsidRDefault="005C6F21" w:rsidP="005C6F21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b/>
              <w:sz w:val="24"/>
              <w:szCs w:val="24"/>
              <w:lang w:val="ro-RO"/>
            </w:rPr>
            <w:t>d.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 Caracteristicile impactului potenţial:</w:t>
          </w:r>
        </w:p>
        <w:p w:rsidR="005C6F21" w:rsidRPr="0053077F" w:rsidRDefault="005C6F21" w:rsidP="005C6F21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) extinderea impactului, aria geografică şi numărul persoanelor afectate: - punctual pe perioada de execuţie. </w:t>
          </w:r>
        </w:p>
        <w:p w:rsidR="005C6F21" w:rsidRPr="0053077F" w:rsidRDefault="005C6F21" w:rsidP="005C6F21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) natura transfrontieră a impactului: - nu este cazul; </w:t>
          </w:r>
        </w:p>
        <w:p w:rsidR="005C6F21" w:rsidRPr="0053077F" w:rsidRDefault="005C6F21" w:rsidP="005C6F21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) mărimea şi complexitatea impactului: - impact redus pe perioada de execuţie şi funcţionare;</w:t>
          </w:r>
        </w:p>
        <w:p w:rsidR="005C6F21" w:rsidRPr="0053077F" w:rsidRDefault="005C6F21" w:rsidP="005C6F21">
          <w:pPr>
            <w:spacing w:after="0"/>
            <w:ind w:left="550" w:hanging="2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) probabilitatea impactului: - redusă, pe perioada de execuţie şi funcţionare; </w:t>
          </w:r>
        </w:p>
        <w:p w:rsidR="005C6F21" w:rsidRPr="0053077F" w:rsidRDefault="005C6F21" w:rsidP="005C6F21">
          <w:pPr>
            <w:spacing w:after="0"/>
            <w:ind w:firstLine="33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) durata, frecvenţa şi reversibilitatea impactului: - Perioada de expunere va fi redusă, întrucât poluanţii se vor manifesta doar pe amplasamentul unde au loc lucrări de execuţie. În perioada de execuţie a proiectului impactul asupra factorilor de mediu va fi temporar. Pe măsura realizării lucrărilor şi închiderii fronturilor de lucru, calitatea factorilor de mediu afectaţi va reveni la parametrii iniţiali. </w:t>
          </w:r>
        </w:p>
        <w:p w:rsidR="005C6F21" w:rsidRPr="0053077F" w:rsidRDefault="005C6F21" w:rsidP="005C6F21">
          <w:pPr>
            <w:spacing w:after="0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b/>
              <w:sz w:val="24"/>
              <w:szCs w:val="24"/>
              <w:lang w:val="ro-RO"/>
            </w:rPr>
            <w:t>Condiţiile de realizare a proiectului:</w:t>
          </w:r>
        </w:p>
        <w:p w:rsidR="005C6F21" w:rsidRPr="0053077F" w:rsidRDefault="005C6F21" w:rsidP="005C6F21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a) Respectarea prevederilor art. 22 alin.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    </w:r>
        </w:p>
        <w:p w:rsidR="005C6F21" w:rsidRPr="0053077F" w:rsidRDefault="005C6F21" w:rsidP="005C6F21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b) În cadrul organizării de şantier, precum şi pe durata execuţiei lucrărilor se vor lua toate măsurile necesare pentru evitarea poluării factorilor de mediu sau prejudicierea stării de sănătate sau confort a populaţiei, fiind obligatoriu să se respecte normele, standardele şi legislaţia privind protecţia mediului, în vigoare.</w:t>
          </w:r>
        </w:p>
        <w:p w:rsidR="005C6F21" w:rsidRPr="0053077F" w:rsidRDefault="005C6F21" w:rsidP="005C6F21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c) Colectarea deşeurilor rezultate pe durata execuţiei lucrărilor şi depozitarea/valorificarea acestora cu respectarea prevederilor legislaţiei privind regimul deşeurilor.</w:t>
          </w:r>
        </w:p>
        <w:p w:rsidR="005C6F21" w:rsidRPr="0053077F" w:rsidRDefault="005C6F21" w:rsidP="005C6F21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d) Respectarea prevederilor actelor/avizelor emise de alte autorităţi pentru prezentul proiect.</w:t>
          </w:r>
        </w:p>
        <w:p w:rsidR="005C6F21" w:rsidRPr="0053077F" w:rsidRDefault="005C6F21" w:rsidP="005C6F21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lastRenderedPageBreak/>
            <w:t>e) Realizarea reţelelor de canalizare etanşe pentru a preveni poluarea solului şi a pânzei freatice.</w:t>
          </w:r>
        </w:p>
        <w:p w:rsidR="005C6F21" w:rsidRPr="0053077F" w:rsidRDefault="005C6F21" w:rsidP="005C6F21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f) Respectarea prevederilor STAS 10009/1988, privind nivelul de zgomot.</w:t>
          </w:r>
        </w:p>
        <w:p w:rsidR="005C6F21" w:rsidRPr="0053077F" w:rsidRDefault="005C6F21" w:rsidP="005C6F21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g) Interzicerea depozitării direct pe sol a deşeurilor sau a materialelor cu pericol de poluare.</w:t>
          </w:r>
        </w:p>
        <w:p w:rsidR="00522DB9" w:rsidRPr="005C6F21" w:rsidRDefault="005C6F21" w:rsidP="005C6F21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h) Conform art. 49, alin. 3-4 din Ordinul MMP nr. 135 din 2010 </w:t>
          </w:r>
          <w:r w:rsidRPr="0053077F">
            <w:rPr>
              <w:rFonts w:ascii="Arial" w:hAnsi="Arial" w:cs="Arial"/>
              <w:i/>
              <w:sz w:val="24"/>
              <w:szCs w:val="24"/>
              <w:lang w:val="ro-RO"/>
            </w:rPr>
            <w:t>privind aprobarea Metodologiei de aplicare a evaluării impactului asupra mediului pentru proiecte publice şi private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</w:r>
        </w:p>
        <w:p w:rsidR="00753675" w:rsidRPr="00522DB9" w:rsidRDefault="00BB1BBC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</w:t>
          </w:r>
          <w:r w:rsidRPr="00522DB9">
            <w:rPr>
              <w:rFonts w:ascii="Arial" w:hAnsi="Arial" w:cs="Arial"/>
              <w:sz w:val="24"/>
              <w:szCs w:val="24"/>
            </w:rPr>
            <w:t>(se aplică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BB1BBC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BB1BBC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</w:t>
          </w:r>
          <w:r w:rsidRPr="00EB548E">
            <w:rPr>
              <w:rFonts w:ascii="Arial" w:hAnsi="Arial" w:cs="Arial"/>
              <w:sz w:val="24"/>
              <w:szCs w:val="24"/>
            </w:rPr>
            <w:t>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BB1BBC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BB1BBC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BB1BBC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Default="00BB1BBC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  <w:r w:rsidR="005C6F21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, </w:t>
          </w:r>
        </w:p>
        <w:p w:rsidR="005C6F21" w:rsidRPr="00CA4590" w:rsidRDefault="005C6F21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Dr. ing. Aurica GREC</w:t>
          </w:r>
        </w:p>
        <w:p w:rsidR="00EE38CA" w:rsidRPr="00CA4590" w:rsidRDefault="00BB1BBC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BB1BBC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BB1BBC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BB1BBC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C6F21" w:rsidRDefault="00BB1BBC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Şef serviciu</w:t>
          </w:r>
          <w:r w:rsidR="005C6F21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Avize, Acorduri, Autorizaţii, </w:t>
          </w:r>
        </w:p>
        <w:p w:rsidR="007902CE" w:rsidRPr="00CA4590" w:rsidRDefault="005C6F21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ing. Gizella BALINT</w:t>
          </w:r>
        </w:p>
        <w:p w:rsidR="00864A55" w:rsidRDefault="00BB1BBC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2E48D2" w:rsidRDefault="002E48D2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2E48D2" w:rsidRDefault="002E48D2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2E48D2" w:rsidRDefault="002E48D2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2E48D2" w:rsidRDefault="002E48D2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2E48D2" w:rsidRPr="00C033AF" w:rsidRDefault="002E48D2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2E48D2" w:rsidRDefault="00BB1BBC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  <w:p w:rsidR="0071693D" w:rsidRDefault="002E48D2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ing. Filomela Pop</w:t>
          </w:r>
        </w:p>
      </w:sdtContent>
    </w:sdt>
    <w:p w:rsidR="00522DB9" w:rsidRPr="00447422" w:rsidRDefault="00BB1BB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BB1BBC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BB1BB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BB1BB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BB1BBC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BB1BB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BB1BB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1C7" w:rsidRDefault="00D761C7" w:rsidP="00D761C7">
      <w:pPr>
        <w:spacing w:after="0" w:line="240" w:lineRule="auto"/>
      </w:pPr>
      <w:r>
        <w:separator/>
      </w:r>
    </w:p>
  </w:endnote>
  <w:endnote w:type="continuationSeparator" w:id="0">
    <w:p w:rsidR="00D761C7" w:rsidRDefault="00D761C7" w:rsidP="00D7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D761C7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1B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1BBC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BB1BBC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6F21" w:rsidRPr="00AF21F3" w:rsidRDefault="005C6F21" w:rsidP="005C6F2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sz w:val="24"/>
            <w:szCs w:val="24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2" type="#_x0000_t75" style="position:absolute;left:0;text-align:left;margin-left:-46.65pt;margin-top:-33.6pt;width:41.9pt;height:34.45pt;z-index:-251653120;mso-position-horizontal-relative:text;mso-position-vertical-relative:text">
              <v:imagedata r:id="rId1" o:title=""/>
            </v:shape>
            <o:OLEObject Type="Embed" ProgID="CorelDRAW.Graphic.13" ShapeID="_x0000_s2092" DrawAspect="Content" ObjectID="_1519032210" r:id="rId2"/>
          </w:pict>
        </w:r>
        <w:r w:rsidRPr="00AF21F3">
          <w:rPr>
            <w:rFonts w:ascii="Times New Roman" w:hAnsi="Times New Roman"/>
            <w:sz w:val="24"/>
            <w:szCs w:val="24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3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</w:pict>
        </w:r>
        <w:r w:rsidRPr="00AF21F3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AGENŢIA PENTRU PROTECŢIA MEDIULUI SĂLAJ</w:t>
        </w:r>
      </w:p>
      <w:p w:rsidR="005C6F21" w:rsidRPr="00AF21F3" w:rsidRDefault="005C6F21" w:rsidP="005C6F2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5C6F21" w:rsidRPr="00AF21F3" w:rsidRDefault="005C6F21" w:rsidP="005C6F2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AF21F3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; Tel.0260-662619, 0260-662621, Fax. 0260-662622</w:t>
        </w:r>
      </w:p>
      <w:p w:rsidR="005C6F21" w:rsidRPr="00AF21F3" w:rsidRDefault="005C6F21" w:rsidP="005C6F2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</w:p>
      <w:p w:rsidR="00B72680" w:rsidRPr="00C44321" w:rsidRDefault="00BB1BBC" w:rsidP="00C44321">
        <w:pPr>
          <w:pStyle w:val="Footer"/>
          <w:jc w:val="center"/>
        </w:pPr>
        <w:r>
          <w:t xml:space="preserve"> </w:t>
        </w:r>
        <w:r w:rsidR="00D761C7">
          <w:fldChar w:fldCharType="begin"/>
        </w:r>
        <w:r>
          <w:instrText xml:space="preserve"> PAGE   \* MERGEFORMAT </w:instrText>
        </w:r>
        <w:r w:rsidR="00D761C7">
          <w:fldChar w:fldCharType="separate"/>
        </w:r>
        <w:r>
          <w:rPr>
            <w:noProof/>
          </w:rPr>
          <w:t>5</w:t>
        </w:r>
        <w:r w:rsidR="00D761C7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5C6F21" w:rsidRPr="00AF21F3" w:rsidRDefault="005C6F21" w:rsidP="005C6F2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sz w:val="24"/>
            <w:szCs w:val="24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0" type="#_x0000_t75" style="position:absolute;left:0;text-align:left;margin-left:-46.65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90" DrawAspect="Content" ObjectID="_1519032209" r:id="rId2"/>
          </w:pict>
        </w:r>
        <w:r w:rsidRPr="00AF21F3">
          <w:rPr>
            <w:rFonts w:ascii="Times New Roman" w:hAnsi="Times New Roman"/>
            <w:sz w:val="24"/>
            <w:szCs w:val="24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1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</w:pict>
        </w:r>
        <w:r w:rsidRPr="00AF21F3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AGENŢIA PENTRU PROTECŢIA MEDIULUI SĂLAJ</w:t>
        </w:r>
      </w:p>
      <w:p w:rsidR="005C6F21" w:rsidRPr="00AF21F3" w:rsidRDefault="005C6F21" w:rsidP="005C6F2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5C6F21" w:rsidRPr="00AF21F3" w:rsidRDefault="005C6F21" w:rsidP="005C6F2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AF21F3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; Tel.0260-662619, 0260-662621, Fax. 0260-662622</w:t>
        </w:r>
      </w:p>
      <w:p w:rsidR="005C6F21" w:rsidRPr="00AF21F3" w:rsidRDefault="005C6F21" w:rsidP="005C6F2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</w:p>
      <w:p w:rsidR="00B72680" w:rsidRPr="00992A14" w:rsidRDefault="00D761C7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1C7" w:rsidRDefault="00D761C7" w:rsidP="00D761C7">
      <w:pPr>
        <w:spacing w:after="0" w:line="240" w:lineRule="auto"/>
      </w:pPr>
      <w:r>
        <w:separator/>
      </w:r>
    </w:p>
  </w:footnote>
  <w:footnote w:type="continuationSeparator" w:id="0">
    <w:p w:rsidR="00D761C7" w:rsidRDefault="00D761C7" w:rsidP="00D7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F21" w:rsidRDefault="005C6F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F21" w:rsidRDefault="005C6F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D761C7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D761C7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19032208" r:id="rId2"/>
      </w:pict>
    </w:r>
    <w:r w:rsidR="00BB1BBC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BB1BBC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BB1BBC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D761C7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BB1BBC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BB1BB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BB1BBC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BB1BBC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D761C7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BB1BBC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5C6F21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BB1BBC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VF9eOLMkQEwGCo+l6W5k+2oXFfQ=" w:salt="JjRgH/WuZIzvpj9K0/nlgQ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91"/>
        <o:r id="V:Rule2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61C7"/>
    <w:rsid w:val="002E48D2"/>
    <w:rsid w:val="00521CDE"/>
    <w:rsid w:val="005C6F21"/>
    <w:rsid w:val="007467BD"/>
    <w:rsid w:val="00BB1BBC"/>
    <w:rsid w:val="00D7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5E45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5E45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29f1ddc6-50b7-49fb-b80b-61b3cefab276","Numar":null,"Data":null,"NumarActReglementareInitial":null,"DataActReglementareInitial":null,"DataInceput":null,"DataSfarsit":null,"Durata":null,"PunctLucruId":367012.0,"TipActId":4.0,"NumarCerere":null,"DataCerere":null,"NumarCerereScriptic":"7109","DataCerereScriptic":"2015-11-12T00:00:00","CodFiscal":null,"SordId":"(5DE08477-4957-C514-9D00-C18F8C4B4A24)","SablonSordId":"(8B66777B-56B9-65A9-2773-1FA4A6BC21FB)","DosarSordId":"3190795","LatitudineWgs84":null,"LongitudineWgs84":null,"LatitudineStereo70":null,"LongitudineStereo70":null,"NumarAutorizatieGospodarireApe":null,"DataAutorizatieGospodarireApe":null,"DurataAutorizatieGospodarireApe":null,"Aba":null,"Sga":null,"AdresaSediuSocial":"Str. B-dul MIHAI VITEAZUL, Nr. 79, Zalău,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5E6DFCE2-855B-4C3C-BC3E-685ABE81F78E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966EA991-E4A2-43D4-A370-E76ECD3F80FC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60F36FD8-3041-403F-8E0C-722B71EE03CE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FAC6CE11-CCCF-48C3-82FD-51CCCB10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1496</Words>
  <Characters>8530</Characters>
  <Application>Microsoft Office Word</Application>
  <DocSecurity>8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10006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filomela.pop</cp:lastModifiedBy>
  <cp:revision>5</cp:revision>
  <cp:lastPrinted>2016-03-09T10:35:00Z</cp:lastPrinted>
  <dcterms:created xsi:type="dcterms:W3CDTF">2015-10-26T07:49:00Z</dcterms:created>
  <dcterms:modified xsi:type="dcterms:W3CDTF">2016-03-09T10:37:00Z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Electrica SA SDEE Sucursala Zalau Şimleu si racord Cristelec 14319574</vt:lpwstr>
  </property>
  <property fmtid="{D5CDD505-2E9C-101B-9397-08002B2CF9AE}" pid="5" name="SordId">
    <vt:lpwstr>(5DE08477-4957-C514-9D00-C18F8C4B4A24)</vt:lpwstr>
  </property>
  <property fmtid="{D5CDD505-2E9C-101B-9397-08002B2CF9AE}" pid="6" name="VersiuneDocument">
    <vt:lpwstr>3</vt:lpwstr>
  </property>
  <property fmtid="{D5CDD505-2E9C-101B-9397-08002B2CF9AE}" pid="7" name="RuntimeGuid">
    <vt:lpwstr>1b6b416a-a85d-46f7-ad82-19bffe1a87b9</vt:lpwstr>
  </property>
  <property fmtid="{D5CDD505-2E9C-101B-9397-08002B2CF9AE}" pid="8" name="PunctLucruId">
    <vt:lpwstr>367012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3190795</vt:lpwstr>
  </property>
  <property fmtid="{D5CDD505-2E9C-101B-9397-08002B2CF9AE}" pid="11" name="DosarCerereSordId">
    <vt:lpwstr>2943559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29f1ddc6-50b7-49fb-b80b-61b3cefab276</vt:lpwstr>
  </property>
  <property fmtid="{D5CDD505-2E9C-101B-9397-08002B2CF9AE}" pid="16" name="CommitRoles">
    <vt:lpwstr>false</vt:lpwstr>
  </property>
</Properties>
</file>