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754863"/>
        <w:lock w:val="sdtContentLocked"/>
        <w:placeholder>
          <w:docPart w:val="DefaultPlaceholder_2267570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8D67A0" w:rsidRDefault="008D67A0" w:rsidP="008D67A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D67A0" w:rsidRPr="00064581" w:rsidRDefault="008D67A0" w:rsidP="008D67A0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D67A0" w:rsidRPr="00EA2AD9" w:rsidRDefault="008D67A0" w:rsidP="008D67A0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8D67A0" w:rsidRDefault="008D67A0" w:rsidP="008D67A0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66B6324C644F93A2921616F6DAD042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22577A4F77440BFA9AE62B983DC167A"/>
              </w:placeholder>
              <w:date w:fullDate="2016-07-2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B8053F">
                <w:rPr>
                  <w:rFonts w:ascii="Arial" w:hAnsi="Arial" w:cs="Arial"/>
                  <w:i w:val="0"/>
                  <w:lang w:val="ro-RO"/>
                </w:rPr>
                <w:t>25.07.2016</w:t>
              </w:r>
            </w:sdtContent>
          </w:sdt>
        </w:p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509059168"/>
            <w:placeholder>
              <w:docPart w:val="71B67E317EA441F380BC70C141C2B799"/>
            </w:placeholder>
          </w:sdtPr>
          <w:sdtContent>
            <w:p w:rsidR="008D67A0" w:rsidRPr="002F5074" w:rsidRDefault="002F5074" w:rsidP="008D67A0">
              <w:pPr>
                <w:spacing w:after="0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2F5074">
                <w:rPr>
                  <w:rFonts w:ascii="Arial" w:hAnsi="Arial" w:cs="Arial"/>
                  <w:b/>
                  <w:color w:val="808080"/>
                  <w:sz w:val="24"/>
                  <w:szCs w:val="24"/>
                  <w:lang w:val="ro-RO"/>
                </w:rPr>
                <w:t>(PROIECT)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DefaultPlaceholder_1082065158"/>
            </w:placeholder>
          </w:sdtPr>
          <w:sdtContent>
            <w:p w:rsidR="008D67A0" w:rsidRPr="00074A9F" w:rsidRDefault="008D67A0" w:rsidP="008D67A0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8D67A0" w:rsidRDefault="008D67A0" w:rsidP="008D67A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D67A0" w:rsidRDefault="008D67A0" w:rsidP="008D67A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D67A0" w:rsidRDefault="008D67A0" w:rsidP="008D67A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C0E0601A955467A8D075E830AD388BE"/>
              </w:placeholder>
              <w:text/>
            </w:sdtPr>
            <w:sdtContent>
              <w:r w:rsidR="00B8053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AUTO DANIANA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C39BB0E60A44C0C809633B4C3E6625F"/>
              </w:placeholder>
              <w:text/>
            </w:sdtPr>
            <w:sdtContent>
              <w:r w:rsidR="00B8053F">
                <w:rPr>
                  <w:rFonts w:ascii="Arial" w:hAnsi="Arial" w:cs="Arial"/>
                  <w:sz w:val="24"/>
                  <w:szCs w:val="24"/>
                  <w:lang w:val="ro-RO"/>
                </w:rPr>
                <w:t>Str. Partizanilor, Nr. 1/A, Simleu Silvaniei, Judetul Sălaj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AFFD0B57AA42A6ABA082B77D446F5C"/>
              </w:placeholder>
            </w:sdtPr>
            <w:sdtContent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9A4604811574144B24B6959114727D2"/>
              </w:placeholder>
              <w:text/>
            </w:sdtPr>
            <w:sdtContent>
              <w:r w:rsidR="00B8053F">
                <w:rPr>
                  <w:rFonts w:ascii="Arial" w:hAnsi="Arial" w:cs="Arial"/>
                  <w:sz w:val="24"/>
                  <w:szCs w:val="24"/>
                  <w:lang w:val="ro-RO"/>
                </w:rPr>
                <w:t>APM Salaj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160FF055FA440DABF4AF27F3CF3EE7E"/>
              </w:placeholder>
              <w:text/>
            </w:sdtPr>
            <w:sdtContent>
              <w:r w:rsidR="00B8053F">
                <w:rPr>
                  <w:rFonts w:ascii="Arial" w:hAnsi="Arial" w:cs="Arial"/>
                  <w:sz w:val="24"/>
                  <w:szCs w:val="24"/>
                  <w:lang w:val="ro-RO"/>
                </w:rPr>
                <w:t>4025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0ED3B7A74D44136B120CC10267295E1"/>
              </w:placeholder>
              <w:date w:fullDate="2016-07-0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B8053F"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05.07.2016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A94D02D0D0A4A2F80BDDBBB0C011262"/>
            </w:placeholder>
          </w:sdtPr>
          <w:sdtContent>
            <w:p w:rsidR="008D67A0" w:rsidRPr="006E71E3" w:rsidRDefault="008D67A0" w:rsidP="006E71E3">
              <w:pPr>
                <w:pStyle w:val="ListParagraph"/>
                <w:numPr>
                  <w:ilvl w:val="0"/>
                  <w:numId w:val="1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6E71E3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6E71E3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D67A0" w:rsidRPr="006E71E3" w:rsidRDefault="008D67A0" w:rsidP="006E71E3">
              <w:pPr>
                <w:pStyle w:val="ListParagraph"/>
                <w:numPr>
                  <w:ilvl w:val="0"/>
                  <w:numId w:val="1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6E71E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6E71E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6E71E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6E71E3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8D67A0" w:rsidRPr="0001311F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5A93A0DC3D041A4BB5E3337A6F97C2B"/>
              </w:placeholder>
              <w:text/>
            </w:sdtPr>
            <w:sdtContent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>APM Sălaj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B79EEDA942C45679A3BD1BD43557DB0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Comisiei de Analiză Tehnică din data de</w:t>
              </w:r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25.07.2016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că proiectul: </w:t>
              </w:r>
              <w:r w:rsidR="002F5074" w:rsidRPr="002F507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CONSTRUIRE HALĂ SERVICE ȘI SPĂLĂTORIE AUTO, EXTINDERE HALĂ EXISTENTĂ, CONSTRUIRE MAGAZIE COLECTARE DEȘEURI, ASFALTARE CURTE</w:t>
              </w:r>
              <w:r w:rsidR="002F507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="002F5074" w:rsidRPr="002F5074">
                <w:rPr>
                  <w:rFonts w:ascii="Arial" w:hAnsi="Arial" w:cs="Arial"/>
                  <w:sz w:val="24"/>
                  <w:szCs w:val="24"/>
                  <w:lang w:val="ro-RO"/>
                </w:rPr>
                <w:t>oraș Șimleu Silvaniei, str. Tudor Vladimirescu, nr. 56, jud. Sălaj</w:t>
              </w:r>
              <w:r w:rsidR="002F5074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F507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nu se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F507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supune evaluării impactului asupra mediului şi nu se supune evaluării adecvate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D67A0" w:rsidRPr="00447422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C53098233974098B11ED4B4A33869E9"/>
            </w:placeholder>
          </w:sdtPr>
          <w:sdtContent>
            <w:p w:rsidR="002F5074" w:rsidRPr="00522DB9" w:rsidRDefault="002F5074" w:rsidP="002F507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4464467"/>
                <w:placeholder>
                  <w:docPart w:val="B5D8D1AF8AA94381B8180B6EED2A5D59"/>
                </w:placeholder>
              </w:sdtPr>
              <w:sdtContent>
                <w:p w:rsidR="009501A2" w:rsidRPr="003E4471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Motivele care au stat la baza luării deciziei etapei de încadrare în procedura de evaluare a impactului asupra mediului sunt următoarele:</w:t>
                  </w:r>
                </w:p>
                <w:p w:rsidR="009501A2" w:rsidRPr="003E4471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a) P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roiectul se încadrează în prevederile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u w:val="single"/>
                      <w:lang w:val="ro-RO"/>
                    </w:rPr>
                    <w:t>Hotărârii Guvernului nr. 445/2009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anexa nr.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pct. 10, lit. a) – proiecte de dezvoltare a unităților / zonelor industriale și pct. 13, lit. a)</w:t>
                  </w:r>
                  <w:r w:rsidRPr="00EE1AC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–</w:t>
                  </w:r>
                  <w:r w:rsidRPr="00EE1AC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orice modificări sau extinderi, altele decât cele prevăzute la pct. 22 din anexa nr. 1, ale proiectelor prevăzute în anexa nr. 1 sau în prezenta anexă, deja autorizate, executate sau a fi în curs de a fi executate, care pot avea efecte semnificative negative asupra mediului</w:t>
                  </w:r>
                  <w:r w:rsidRPr="007B521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9501A2" w:rsidRPr="00F049F4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b) 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aracteristicile proiectului:</w:t>
                  </w:r>
                </w:p>
                <w:p w:rsidR="00B84263" w:rsidRDefault="009501A2" w:rsidP="008A050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it-IT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mărimea proiectului: prin proiect se propune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2844E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realizarea </w:t>
                  </w:r>
                  <w:r w:rsidR="00B84263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it-IT"/>
                    </w:rPr>
                    <w:t>unei hale</w:t>
                  </w:r>
                  <w:r w:rsidR="00B84263" w:rsidRPr="00B84263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it-IT"/>
                    </w:rPr>
                    <w:t xml:space="preserve"> compusă dintr-un service auto și o spălătorie auto pentru autocamioane; să extindă hala service existentă cu o boxă de 6 m lățime; </w:t>
                  </w:r>
                  <w:r w:rsidR="00B84263" w:rsidRPr="00B84263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pt-BR"/>
                    </w:rPr>
                    <w:t>s</w:t>
                  </w:r>
                  <w:r w:rsidR="00B84263" w:rsidRPr="00B84263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it-IT"/>
                    </w:rPr>
                    <w:t xml:space="preserve">ă realizeze o magazie pentru colectarea selectivă a deșeurilor și să asfalteze curtea. </w:t>
                  </w:r>
                </w:p>
                <w:p w:rsidR="008A0502" w:rsidRDefault="008A0502" w:rsidP="008A050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4"/>
                    <w:jc w:val="both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it-IT"/>
                    </w:rPr>
                  </w:pPr>
                </w:p>
                <w:p w:rsidR="00B84263" w:rsidRPr="008A0502" w:rsidRDefault="00B84263" w:rsidP="00B84263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6"/>
                      <w:szCs w:val="26"/>
                      <w:lang w:val="ro-RO"/>
                    </w:rPr>
                  </w:pP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CONSTRUC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>Ţ</w:t>
                  </w: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IA EXISTENT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>Ă</w:t>
                  </w: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:</w:t>
                  </w:r>
                </w:p>
                <w:p w:rsidR="00B84263" w:rsidRPr="008A0502" w:rsidRDefault="00B84263" w:rsidP="00B84263">
                  <w:pPr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ro-RO"/>
                    </w:rPr>
                  </w:pPr>
                  <w:r w:rsidRPr="008A0502">
                    <w:rPr>
                      <w:rFonts w:ascii="Times New Roman" w:hAnsi="Times New Roman" w:cs="Courier New"/>
                      <w:bCs/>
                      <w:i/>
                      <w:iCs/>
                      <w:sz w:val="26"/>
                      <w:szCs w:val="26"/>
                      <w:lang w:val="ro-RO"/>
                    </w:rPr>
                    <w:t xml:space="preserve">  </w:t>
                  </w:r>
                  <w:r w:rsidRPr="008A0502">
                    <w:rPr>
                      <w:rFonts w:ascii="Arial" w:hAnsi="Arial" w:cs="Arial"/>
                      <w:iCs/>
                      <w:sz w:val="24"/>
                      <w:szCs w:val="24"/>
                      <w:lang w:val="ro-RO"/>
                    </w:rPr>
                    <w:t>Număr  de nivele:</w:t>
                  </w:r>
                  <w:r w:rsidRPr="008A050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ro-RO"/>
                    </w:rPr>
                    <w:t xml:space="preserve"> Parter + Mansardă (Magazin de prezentare)</w:t>
                  </w:r>
                  <w:r w:rsidRPr="008A0502">
                    <w:rPr>
                      <w:rFonts w:ascii="Arial" w:hAnsi="Arial" w:cs="Arial"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B84263" w:rsidRPr="008A0502" w:rsidRDefault="00B84263" w:rsidP="00CE050C">
                  <w:pP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A0502">
                    <w:rPr>
                      <w:rFonts w:ascii="Arial" w:hAnsi="Arial" w:cs="Arial"/>
                      <w:iCs/>
                      <w:sz w:val="24"/>
                      <w:szCs w:val="24"/>
                      <w:lang w:val="ro-RO"/>
                    </w:rPr>
                    <w:t xml:space="preserve">                                 Parter (Hală)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bCs/>
                      <w:lang w:val="ro-RO"/>
                    </w:rPr>
                  </w:pPr>
                  <w:r w:rsidRPr="008A0502">
                    <w:rPr>
                      <w:rFonts w:cs="Arial"/>
                      <w:lang w:val="ro-RO"/>
                    </w:rPr>
                    <w:lastRenderedPageBreak/>
                    <w:t xml:space="preserve">  Suprafa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lang w:val="ro-RO"/>
                    </w:rPr>
                    <w:t xml:space="preserve"> construit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lang w:val="ro-RO"/>
                    </w:rPr>
                    <w:t xml:space="preserve"> existent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lang w:val="ro-RO"/>
                    </w:rPr>
                    <w:t xml:space="preserve"> parter              Scep = 334.00 mp;  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lang w:val="ro-RO"/>
                    </w:rPr>
                  </w:pPr>
                  <w:r w:rsidRPr="008A0502">
                    <w:rPr>
                      <w:rFonts w:cs="Arial"/>
                      <w:bCs/>
                      <w:lang w:val="ro-RO"/>
                    </w:rPr>
                    <w:t xml:space="preserve">  Suprafa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construit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extindere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parter        </w:t>
                  </w:r>
                  <w:r w:rsidR="00CE050C">
                    <w:rPr>
                      <w:rFonts w:cs="Arial"/>
                      <w:bCs/>
                      <w:lang w:val="ro-RO"/>
                    </w:rPr>
                    <w:t xml:space="preserve">    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Scxp = 72.00 mp;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bCs/>
                      <w:lang w:val="ro-RO"/>
                    </w:rPr>
                  </w:pPr>
                  <w:r w:rsidRPr="008A0502">
                    <w:rPr>
                      <w:rFonts w:cs="Arial"/>
                      <w:lang w:val="ro-RO"/>
                    </w:rPr>
                    <w:t xml:space="preserve">  Suprafa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lang w:val="ro-RO"/>
                    </w:rPr>
                    <w:t xml:space="preserve"> desfășurat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lang w:val="ro-RO"/>
                    </w:rPr>
                    <w:t xml:space="preserve"> existent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lang w:val="ro-RO"/>
                    </w:rPr>
                    <w:t xml:space="preserve">                     Sde = 436.00 mp;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lang w:val="ro-RO"/>
                    </w:rPr>
                  </w:pPr>
                  <w:r w:rsidRPr="008A0502">
                    <w:rPr>
                      <w:rFonts w:cs="Arial"/>
                      <w:bCs/>
                      <w:lang w:val="ro-RO"/>
                    </w:rPr>
                    <w:t xml:space="preserve">  Suprafa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desfăsurat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ex</w:t>
                  </w: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>tindere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                 </w:t>
                  </w:r>
                  <w:r w:rsidR="00CE050C">
                    <w:rPr>
                      <w:rFonts w:cs="Arial"/>
                      <w:bCs/>
                      <w:lang w:val="ro-RO"/>
                    </w:rPr>
                    <w:t xml:space="preserve">    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 xml:space="preserve">Sdx = 72.00 mp;  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lang w:val="ro-RO"/>
                    </w:rPr>
                  </w:pPr>
                  <w:r w:rsidRPr="008A0502">
                    <w:rPr>
                      <w:rFonts w:cs="Arial"/>
                      <w:lang w:val="ro-RO"/>
                    </w:rPr>
                    <w:t xml:space="preserve">  Suprafa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lang w:val="ro-RO"/>
                    </w:rPr>
                    <w:t xml:space="preserve"> construit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ă</w:t>
                  </w:r>
                  <w:r w:rsidRPr="008A0502">
                    <w:rPr>
                      <w:rFonts w:cs="Arial"/>
                      <w:lang w:val="ro-RO"/>
                    </w:rPr>
                    <w:t xml:space="preserve"> propusă                          Scp = 406.00 mp;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lang w:val="ro-RO"/>
                    </w:rPr>
                  </w:pPr>
                  <w:r w:rsidRPr="008A0502">
                    <w:rPr>
                      <w:rFonts w:cs="Arial"/>
                      <w:lang w:val="ro-RO"/>
                    </w:rPr>
                    <w:t xml:space="preserve">  Suprafa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ţă</w:t>
                  </w:r>
                  <w:r w:rsidRPr="008A0502">
                    <w:rPr>
                      <w:rFonts w:cs="Arial"/>
                      <w:lang w:val="ro-RO"/>
                    </w:rPr>
                    <w:t xml:space="preserve"> 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>desfășurată</w:t>
                  </w:r>
                  <w:r w:rsidRPr="008A0502">
                    <w:rPr>
                      <w:rFonts w:cs="Arial"/>
                      <w:lang w:val="ro-RO"/>
                    </w:rPr>
                    <w:t xml:space="preserve"> propusă                       Sdp = 508.00 mp;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lang w:val="ro-RO"/>
                    </w:rPr>
                  </w:pPr>
                </w:p>
                <w:p w:rsidR="00B84263" w:rsidRPr="008A0502" w:rsidRDefault="00B84263" w:rsidP="00B8426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HAL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 xml:space="preserve">Ă </w:t>
                  </w: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 xml:space="preserve">SERVICE 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>Ş</w:t>
                  </w:r>
                  <w:r w:rsidRPr="008A050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 xml:space="preserve">I 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>SPĂLĂTORIE AUTO:</w:t>
                  </w:r>
                </w:p>
                <w:p w:rsidR="00B84263" w:rsidRPr="008A0502" w:rsidRDefault="00B84263" w:rsidP="00B84263">
                  <w:pPr>
                    <w:pStyle w:val="Heading5"/>
                    <w:keepNext/>
                    <w:suppressAutoHyphens/>
                    <w:spacing w:before="0" w:after="0" w:line="240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ro-RO"/>
                    </w:rPr>
                  </w:pPr>
                  <w:r w:rsidRPr="008A0502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ro-RO"/>
                    </w:rPr>
                    <w:t xml:space="preserve">  Număr de nivele P 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bCs/>
                      <w:iCs/>
                      <w:lang w:val="ro-RO"/>
                    </w:rPr>
                  </w:pPr>
                  <w:r w:rsidRPr="008A0502">
                    <w:rPr>
                      <w:rFonts w:cs="Arial"/>
                      <w:bCs/>
                      <w:lang w:val="ro-RO"/>
                    </w:rPr>
                    <w:t xml:space="preserve">  Suprafață construită parter    </w:t>
                  </w:r>
                  <w:r w:rsidR="00537155">
                    <w:rPr>
                      <w:rFonts w:cs="Arial"/>
                      <w:bCs/>
                      <w:lang w:val="ro-RO"/>
                    </w:rPr>
                    <w:t xml:space="preserve"> </w:t>
                  </w:r>
                  <w:r w:rsidRPr="008A0502">
                    <w:rPr>
                      <w:rFonts w:cs="Arial"/>
                      <w:bCs/>
                      <w:lang w:val="ro-RO"/>
                    </w:rPr>
                    <w:t>Scp= 364.00 mp;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iCs/>
                      <w:lang w:val="ro-RO"/>
                    </w:rPr>
                  </w:pPr>
                  <w:r w:rsidRPr="008A0502">
                    <w:rPr>
                      <w:rFonts w:cs="Arial"/>
                      <w:bCs/>
                      <w:iCs/>
                      <w:lang w:val="ro-RO"/>
                    </w:rPr>
                    <w:t xml:space="preserve">  Suprafață desfasurată             Sd= 364.00 mp;   </w:t>
                  </w:r>
                  <w:r w:rsidRPr="008A0502">
                    <w:rPr>
                      <w:rFonts w:cs="Arial"/>
                      <w:iCs/>
                      <w:lang w:val="ro-RO"/>
                    </w:rPr>
                    <w:t xml:space="preserve">      </w:t>
                  </w:r>
                </w:p>
                <w:p w:rsidR="00B84263" w:rsidRPr="008A0502" w:rsidRDefault="00B84263" w:rsidP="00B84263">
                  <w:pPr>
                    <w:pStyle w:val="Default"/>
                    <w:rPr>
                      <w:lang w:val="ro-RO"/>
                    </w:rPr>
                  </w:pPr>
                </w:p>
                <w:p w:rsidR="00B84263" w:rsidRPr="008A0502" w:rsidRDefault="00B84263" w:rsidP="00B8426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ro-RO"/>
                    </w:rPr>
                    <w:t>MAGAZIE</w:t>
                  </w:r>
                  <w:r w:rsidRPr="008A0502">
                    <w:rPr>
                      <w:rFonts w:ascii="Arial" w:eastAsia="Times New Roman" w:hAnsi="Arial" w:cs="Arial"/>
                      <w:bCs/>
                      <w:iCs/>
                      <w:sz w:val="24"/>
                      <w:szCs w:val="24"/>
                      <w:lang w:val="en-GB"/>
                    </w:rPr>
                    <w:t xml:space="preserve"> COLECTARE DEŞEURI:</w:t>
                  </w:r>
                </w:p>
                <w:p w:rsidR="00B84263" w:rsidRPr="008A0502" w:rsidRDefault="00B84263" w:rsidP="00B84263">
                  <w:pPr>
                    <w:pStyle w:val="Heading5"/>
                    <w:keepNext/>
                    <w:suppressAutoHyphens/>
                    <w:spacing w:before="0" w:after="0" w:line="240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pt-BR"/>
                    </w:rPr>
                  </w:pPr>
                  <w:r w:rsidRPr="008A0502"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pt-BR"/>
                    </w:rPr>
                    <w:t xml:space="preserve">   Numar de nivele P </w:t>
                  </w:r>
                </w:p>
                <w:p w:rsidR="00B84263" w:rsidRPr="008A0502" w:rsidRDefault="00B84263" w:rsidP="00B84263">
                  <w:pPr>
                    <w:pStyle w:val="BodyText"/>
                    <w:rPr>
                      <w:rFonts w:cs="Arial"/>
                      <w:bCs/>
                      <w:iCs/>
                      <w:lang w:val="pt-BR"/>
                    </w:rPr>
                  </w:pPr>
                  <w:r w:rsidRPr="008A0502">
                    <w:rPr>
                      <w:rFonts w:cs="Arial"/>
                      <w:bCs/>
                      <w:lang w:val="pt-BR"/>
                    </w:rPr>
                    <w:t xml:space="preserve">  Suprafață construită parter   </w:t>
                  </w:r>
                  <w:r w:rsidR="008A0502" w:rsidRPr="008A0502">
                    <w:rPr>
                      <w:rFonts w:cs="Arial"/>
                      <w:bCs/>
                      <w:lang w:val="pt-BR"/>
                    </w:rPr>
                    <w:t xml:space="preserve"> </w:t>
                  </w:r>
                  <w:r w:rsidRPr="008A0502">
                    <w:rPr>
                      <w:rFonts w:cs="Arial"/>
                      <w:bCs/>
                      <w:lang w:val="pt-BR"/>
                    </w:rPr>
                    <w:t>Scp= 48.00 mp;</w:t>
                  </w:r>
                </w:p>
                <w:p w:rsidR="00B84263" w:rsidRPr="008A0502" w:rsidRDefault="00B84263" w:rsidP="008A0502">
                  <w:pPr>
                    <w:pStyle w:val="BodyText"/>
                    <w:jc w:val="both"/>
                    <w:rPr>
                      <w:rFonts w:cs="Arial"/>
                      <w:bCs/>
                      <w:iCs/>
                      <w:lang w:val="en-GB"/>
                    </w:rPr>
                  </w:pPr>
                  <w:r w:rsidRPr="008A0502">
                    <w:rPr>
                      <w:rFonts w:cs="Arial"/>
                      <w:bCs/>
                      <w:iCs/>
                      <w:lang w:val="pt-BR"/>
                    </w:rPr>
                    <w:t xml:space="preserve">  Su</w:t>
                  </w:r>
                  <w:r w:rsidR="00CE050C">
                    <w:rPr>
                      <w:rFonts w:cs="Arial"/>
                      <w:bCs/>
                      <w:iCs/>
                      <w:lang w:val="pt-BR"/>
                    </w:rPr>
                    <w:t xml:space="preserve">prafață desfasurată           </w:t>
                  </w:r>
                  <w:r w:rsidRPr="008A0502">
                    <w:rPr>
                      <w:rFonts w:cs="Arial"/>
                      <w:bCs/>
                      <w:iCs/>
                      <w:lang w:val="pt-BR"/>
                    </w:rPr>
                    <w:t>Sd= 48.00 mp;</w:t>
                  </w:r>
                  <w:r w:rsidRPr="008A0502">
                    <w:rPr>
                      <w:rFonts w:cs="Arial"/>
                      <w:bCs/>
                      <w:iCs/>
                      <w:lang w:val="en-GB"/>
                    </w:rPr>
                    <w:t xml:space="preserve"> </w:t>
                  </w:r>
                </w:p>
                <w:p w:rsidR="008A0502" w:rsidRPr="008A0502" w:rsidRDefault="008A0502" w:rsidP="008A0502">
                  <w:pPr>
                    <w:pStyle w:val="Default"/>
                    <w:rPr>
                      <w:lang w:val="en-GB"/>
                    </w:rPr>
                  </w:pPr>
                </w:p>
                <w:p w:rsidR="00B84263" w:rsidRPr="008A0502" w:rsidRDefault="00B84263" w:rsidP="008A0502">
                  <w:pPr>
                    <w:tabs>
                      <w:tab w:val="left" w:pos="915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</w:pPr>
                  <w:r w:rsidRPr="008A0502">
                    <w:rPr>
                      <w:rFonts w:ascii="Arial" w:hAnsi="Arial" w:cs="Arial"/>
                      <w:sz w:val="24"/>
                      <w:szCs w:val="24"/>
                    </w:rPr>
                    <w:t>ASFALTARE CURTE</w:t>
                  </w:r>
                </w:p>
                <w:p w:rsidR="00B84263" w:rsidRPr="008A0502" w:rsidRDefault="00B84263" w:rsidP="008A0502">
                  <w:pPr>
                    <w:tabs>
                      <w:tab w:val="left" w:pos="915"/>
                    </w:tabs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</w:pPr>
                  <w:r w:rsidRPr="008A0502">
                    <w:rPr>
                      <w:rFonts w:ascii="Arial" w:hAnsi="Arial" w:cs="Arial"/>
                      <w:bCs/>
                      <w:sz w:val="24"/>
                      <w:szCs w:val="24"/>
                      <w:lang w:val="pt-BR"/>
                    </w:rPr>
                    <w:t xml:space="preserve">  Suprafață curte   S = 2050.00 mp;</w:t>
                  </w:r>
                  <w:r w:rsidRPr="008A0502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  <w:p w:rsidR="009501A2" w:rsidRPr="00B84263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8426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B84263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B8426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cumularea </w:t>
                  </w:r>
                  <w:r w:rsidR="00BF14F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cu alte proiecte: nu este cazul;</w:t>
                  </w:r>
                </w:p>
                <w:p w:rsidR="00B8053F" w:rsidRDefault="009501A2" w:rsidP="00B8053F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9F513B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utilizarea resurselor naturale: </w:t>
                  </w:r>
                  <w:r w:rsidRPr="009F513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alimentarea cu apă </w:t>
                  </w:r>
                  <w:r w:rsidR="008A050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se va asigura </w:t>
                  </w:r>
                  <w:r w:rsidR="005D6A2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de la rețeaua de apă a orașului; pentru încălzirea apei menajere</w:t>
                  </w:r>
                  <w:r w:rsidR="002258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utiliza două panouri solare.</w:t>
                  </w:r>
                </w:p>
                <w:p w:rsidR="00B8053F" w:rsidRPr="00B8053F" w:rsidRDefault="00B8053F" w:rsidP="00B8053F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încălzirea spațială se va asigura prin centrală termică pe gaz</w:t>
                  </w:r>
                  <w:r w:rsidR="002258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9501A2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evacuarea apelor uzate: </w:t>
                  </w:r>
                </w:p>
                <w:p w:rsidR="009501A2" w:rsidRDefault="009501A2" w:rsidP="004805F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9943D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apele uzate menajere</w:t>
                  </w:r>
                  <w:r w:rsidR="009943D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evacua în rețeaua de canalizare a orașului;</w:t>
                  </w:r>
                </w:p>
                <w:p w:rsidR="008D67A0" w:rsidRDefault="00CE050C" w:rsidP="008D67A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apele uzate tehnologice rezultate de la spălătorie</w:t>
                  </w:r>
                  <w:r w:rsidR="00E646F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vor fi evacuate în rețeaua de canalizare a orașului, după o prealabilă </w:t>
                  </w:r>
                  <w:r w:rsidR="008D67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preepurare printr-un separator de hidrocarburi cu două compartime</w:t>
                  </w:r>
                  <w:r w:rsidR="003220D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nte</w:t>
                  </w:r>
                  <w:r w:rsidR="008D67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CE050C" w:rsidRPr="009943DA" w:rsidRDefault="008D67A0" w:rsidP="008D67A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apele pluviale colectate de pe plaforma asfaltată vor fi dirijate spre un decantor cu două compartimente după care vor fi dirijate canalizarea pluvială a orașului.  </w:t>
                  </w:r>
                  <w:r w:rsidR="00BF14F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9501A2" w:rsidRDefault="009501A2" w:rsidP="004805F9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producţia de deşeuri: </w:t>
                  </w:r>
                  <w:r w:rsidR="00EC769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conform Legii nr. 211/2011, privind regimul deșeurilor; în perioada de execuție a proiectului și de funcționare vor rezulta deșeuri care, vor fi colectate selectiv și se vor valorifica/elimina numai prin </w:t>
                  </w:r>
                  <w:r w:rsidR="00E9514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operatori economici autorizați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8D67A0" w:rsidRDefault="009501A2" w:rsidP="008D67A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D67A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lucrările necesare organizării de şantier: </w:t>
                  </w:r>
                  <w:r w:rsidR="00E9514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organizarea de șantier va consta în</w:t>
                  </w:r>
                  <w:r w:rsidR="00E9366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depozitări temporare de materiale și asigurarea mijloacelor umane</w:t>
                  </w:r>
                  <w:r w:rsidR="004805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9501A2" w:rsidRPr="00F049F4" w:rsidRDefault="009501A2" w:rsidP="004805F9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emisiile poluante, inclusiv zgomotul şi alte surse de disconfort: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respecta limitele prev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ăzute de normele în vigoare.</w:t>
                  </w:r>
                </w:p>
                <w:p w:rsidR="009501A2" w:rsidRPr="00622B9C" w:rsidRDefault="009501A2" w:rsidP="004805F9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7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riscul de accident, ţinându-se seama în special de substanţele şi tehnol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ogiile utilizate: </w:t>
                  </w:r>
                  <w:r w:rsidR="004805F9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- nu este cazul</w:t>
                  </w: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9501A2" w:rsidRPr="00622B9C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c) Localizarea proiectului: </w:t>
                  </w:r>
                </w:p>
                <w:p w:rsidR="009501A2" w:rsidRPr="00AC2FB3" w:rsidRDefault="009501A2" w:rsidP="002D5B1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utilizarea existentă a terenului: conform certificatului de urbanism nr.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</w:t>
                  </w:r>
                  <w:r w:rsidR="004805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17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din </w:t>
                  </w:r>
                  <w:r w:rsidR="004805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30.06.2016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emis de </w:t>
                  </w:r>
                  <w:r w:rsidR="00E9496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Primăria Orașului Șimleu Silvaniei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terenul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se află 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situat în </w:t>
                  </w:r>
                  <w:r w:rsidR="00E9496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intravilanul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="00E9496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orașului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9501A2" w:rsidRPr="00AC2FB3" w:rsidRDefault="009501A2" w:rsidP="002D5B1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relativa abundenţă a resurselor naturale din zonă, calitatea şi capacitatea regener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ativă a acestora: nu este cazul.</w:t>
                  </w:r>
                </w:p>
                <w:p w:rsidR="009501A2" w:rsidRDefault="009501A2" w:rsidP="002D5B1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capacitatea de absorbţie a mediului: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nu este cazul.</w:t>
                  </w:r>
                </w:p>
                <w:p w:rsidR="002D5B18" w:rsidRPr="00F049F4" w:rsidRDefault="002D5B18" w:rsidP="002D5B1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9501A2" w:rsidRPr="00F049F4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d) Caracteristicile impactului potenţial:</w:t>
                  </w:r>
                </w:p>
                <w:p w:rsidR="009501A2" w:rsidRPr="00F049F4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extinderea impactului, aria geografică şi numărul persoanelor afectate: p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unctual pe perioada de execuţie.</w:t>
                  </w:r>
                </w:p>
                <w:p w:rsidR="009501A2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natura transfronti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eră a impactului: nu este cazul.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9501A2" w:rsidRPr="00F049F4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mărime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 şi complexitatea impactului: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impact redus pe perioada de execuţie şi funcţionare. În perioada de execuţie a proiectului, impactul asupra factorilor de mediu va fi redus, sursele de poluare fiind lucrările de construcţii, utilajele şi mijloacele de transport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  <w:p w:rsidR="009501A2" w:rsidRPr="00F049F4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probabilitatea impactului: redusă, pe peri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oada de execuţie şi funcţionare.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9501A2" w:rsidRDefault="009501A2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durata, frecvenţa şi reversibilitatea impactului: perioada de expunere va fi redusă, întrucât poluanţii se vor manifesta doar pe amplasamentul unde au loc lucrări de execuţie.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6E71E3" w:rsidRPr="003415C1" w:rsidRDefault="006E71E3" w:rsidP="009501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9501A2" w:rsidRPr="00B00954" w:rsidRDefault="009501A2" w:rsidP="009501A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Condiţiile de realizare a proiectului: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cu modificările ulterioare</w:t>
                  </w:r>
                  <w:r w:rsidRPr="00B00954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.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Colectarea, depozitarea/valorificarea deşeurilor rezultate pe durata execuţiei lucrărilor şi în perioada de funcţionare a obiectivului, cu respectarea prevederilor legislaţiei privind regimul deşeurilor.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Respectarea prevederilor actelor/avizelor emise de alte autorităţi pentru prezentul proiect. 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Respectarea prevederilor STAS 10009/1988, privind nivelul de zgomot.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Interzicerea depozitării direct pe sol a deşeurilor sau a materialelor cu pericol de poluare.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Realizarea reţelelor de canalizare etanşe pentru a preveni poluarea solului şi a pânzei freatice.</w:t>
                  </w:r>
                </w:p>
                <w:p w:rsidR="009501A2" w:rsidRPr="00B00954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    </w:r>
                </w:p>
                <w:p w:rsidR="009501A2" w:rsidRDefault="009501A2" w:rsidP="001A750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Conform art. 49, alin. 3-4 din Ordinul MMP nr. 135 din 2010 </w:t>
                  </w:r>
                  <w:r w:rsidRPr="00B00954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privind aprobarea Metodologiei de aplicare a evaluării impactului asupra mediului pentru proiecte publice şi private</w:t>
                  </w:r>
                  <w:r w:rsidRPr="00B0095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    </w:r>
                </w:p>
                <w:p w:rsidR="006E71E3" w:rsidRDefault="009501A2" w:rsidP="00B8053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646F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prevederilor Ord. nr. 1798/2007 – pentru aprobarea Procedurii de emitere a autorizaţiei de mediu, cu modificările ulterioare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titularul are obligația ca la finalizarea investiției și la punerea în funcțiune a obiectivului să solicite și să obțină autorizația de mediu</w:t>
                  </w:r>
                  <w:r w:rsidRPr="00646FF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B8053F" w:rsidRDefault="00B8053F" w:rsidP="00B8053F">
                  <w:pPr>
                    <w:pStyle w:val="ListParagraph"/>
                    <w:spacing w:after="0" w:line="240" w:lineRule="auto"/>
                    <w:ind w:left="432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B8053F" w:rsidRDefault="00B8053F" w:rsidP="00B8053F">
                  <w:pPr>
                    <w:pStyle w:val="ListParagraph"/>
                    <w:spacing w:after="0" w:line="240" w:lineRule="auto"/>
                    <w:ind w:left="432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B8053F" w:rsidRDefault="00B8053F" w:rsidP="00B8053F">
                  <w:pPr>
                    <w:pStyle w:val="ListParagraph"/>
                    <w:spacing w:after="0" w:line="240" w:lineRule="auto"/>
                    <w:ind w:left="432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B8053F" w:rsidRPr="00B8053F" w:rsidRDefault="00B8053F" w:rsidP="00B8053F">
                  <w:pPr>
                    <w:pStyle w:val="ListParagraph"/>
                    <w:spacing w:after="0" w:line="240" w:lineRule="auto"/>
                    <w:ind w:left="432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522DB9" w:rsidRDefault="009501A2" w:rsidP="009501A2">
                  <w:pPr>
                    <w:tabs>
                      <w:tab w:val="num" w:pos="720"/>
                    </w:tabs>
                    <w:spacing w:before="120"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 xml:space="preserve">    </w:t>
                  </w:r>
                  <w:r w:rsidRPr="00126F6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Prezentul act nu exonereză de răspundere titularul, proiectantul şi/sau constructorul în cazul producerii unor accidente în timpul execuţiei lucrărilor sau exploatării acestora.</w:t>
                  </w:r>
                </w:p>
              </w:sdtContent>
            </w:sdt>
            <w:p w:rsidR="008D67A0" w:rsidRPr="002F5074" w:rsidRDefault="00F9473D" w:rsidP="002F507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8D67A0" w:rsidRPr="00447422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D67A0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67594C30AB684841ACAE2EA4D5746903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D67A0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B0413CF93D849288DC0D6DCD416D5D5"/>
            </w:placeholder>
          </w:sdtPr>
          <w:sdtEndPr>
            <w:rPr>
              <w:b w:val="0"/>
            </w:rPr>
          </w:sdtEndPr>
          <w:sdtContent>
            <w:p w:rsidR="008D67A0" w:rsidRDefault="008D67A0" w:rsidP="008D6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1920978"/>
                <w:placeholder>
                  <w:docPart w:val="EA29167306674136A38FA75943D4AE41"/>
                </w:placeholder>
              </w:sdtPr>
              <w:sdtEndPr>
                <w:rPr>
                  <w:b w:val="0"/>
                </w:rPr>
              </w:sdtEndPr>
              <w:sdtContent>
                <w:p w:rsidR="009501A2" w:rsidRDefault="009501A2" w:rsidP="009501A2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DIRECTOR EXECUTIV,</w:t>
                  </w:r>
                </w:p>
                <w:p w:rsidR="009501A2" w:rsidRPr="00AC2FB3" w:rsidRDefault="009501A2" w:rsidP="009501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dr. ing. Aurica GREC</w:t>
                  </w: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Şef Serviciu Avize, Acorduri, Autorizaţii,</w:t>
                  </w: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ing. Gizella Balint</w:t>
                  </w: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9501A2" w:rsidRPr="00AC2FB3" w:rsidRDefault="009501A2" w:rsidP="009501A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Întocmit,</w:t>
                  </w:r>
                </w:p>
                <w:p w:rsidR="009501A2" w:rsidRDefault="009501A2" w:rsidP="009501A2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ing. Georgiana Jula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sdtContent>
            </w:sdt>
            <w:p w:rsidR="008D67A0" w:rsidRDefault="008D67A0" w:rsidP="008D6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D67A0" w:rsidRPr="00CA4590" w:rsidRDefault="008D67A0" w:rsidP="008D67A0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D67A0" w:rsidRPr="00CA4590" w:rsidRDefault="008D67A0" w:rsidP="008D6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8D67A0" w:rsidRPr="00CA4590" w:rsidRDefault="008D67A0" w:rsidP="008D67A0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8D67A0" w:rsidRDefault="008D67A0" w:rsidP="008D6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D67A0" w:rsidRDefault="008D67A0" w:rsidP="008D6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D67A0" w:rsidRPr="00CA4590" w:rsidRDefault="008D67A0" w:rsidP="008D6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8D67A0" w:rsidRPr="00C033AF" w:rsidRDefault="008D67A0" w:rsidP="008D67A0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D67A0" w:rsidRDefault="00F9473D" w:rsidP="008D67A0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8D67A0" w:rsidRPr="00447422" w:rsidRDefault="008D67A0" w:rsidP="008D6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D67A0" w:rsidRPr="00447422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D67A0" w:rsidRPr="00447422" w:rsidRDefault="008D67A0" w:rsidP="008D6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D67A0" w:rsidRPr="00447422" w:rsidRDefault="008D67A0" w:rsidP="008D6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D67A0" w:rsidRPr="00447422" w:rsidRDefault="008D67A0" w:rsidP="008D67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D67A0" w:rsidRPr="00447422" w:rsidRDefault="008D67A0" w:rsidP="008D6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D67A0" w:rsidRPr="00447422" w:rsidRDefault="00AC2D37" w:rsidP="008D67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8D67A0" w:rsidRPr="00447422" w:rsidSect="008D67A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65" w:rsidRDefault="007C3965" w:rsidP="00607BED">
      <w:pPr>
        <w:spacing w:after="0" w:line="240" w:lineRule="auto"/>
      </w:pPr>
      <w:r>
        <w:separator/>
      </w:r>
    </w:p>
  </w:endnote>
  <w:endnote w:type="continuationSeparator" w:id="0">
    <w:p w:rsidR="007C3965" w:rsidRDefault="007C3965" w:rsidP="0060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0" w:rsidRDefault="00F9473D" w:rsidP="008D6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67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7A0">
      <w:rPr>
        <w:rStyle w:val="PageNumber"/>
        <w:noProof/>
      </w:rPr>
      <w:t>2</w:t>
    </w:r>
    <w:r>
      <w:rPr>
        <w:rStyle w:val="PageNumber"/>
      </w:rPr>
      <w:fldChar w:fldCharType="end"/>
    </w:r>
  </w:p>
  <w:p w:rsidR="008D67A0" w:rsidRDefault="008D67A0" w:rsidP="008D67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20719"/>
          <w:docPartObj>
            <w:docPartGallery w:val="Page Numbers (Bottom of Page)"/>
            <w:docPartUnique/>
          </w:docPartObj>
        </w:sdtPr>
        <w:sdtContent>
          <w:p w:rsidR="008D67A0" w:rsidRPr="00520053" w:rsidRDefault="00F9473D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F9473D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27.7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30951690" r:id="rId2"/>
              </w:pict>
            </w:r>
            <w:r w:rsidRPr="00F9473D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7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8D67A0" w:rsidRPr="00520053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8D67A0" w:rsidRPr="00520053" w:rsidRDefault="008D67A0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8D67A0" w:rsidRPr="00520053" w:rsidRDefault="008D67A0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52005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8D67A0" w:rsidRDefault="00F9473D" w:rsidP="0067102D">
            <w:pPr>
              <w:pStyle w:val="Footer"/>
              <w:jc w:val="center"/>
            </w:pPr>
            <w:hyperlink r:id="rId4" w:history="1">
              <w:r w:rsidR="008D67A0" w:rsidRPr="0052005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8D67A0" w:rsidRPr="00C44321" w:rsidRDefault="00F9473D" w:rsidP="0067102D">
        <w:pPr>
          <w:pStyle w:val="Footer"/>
          <w:jc w:val="center"/>
        </w:pPr>
        <w:fldSimple w:instr=" PAGE   \* MERGEFORMAT ">
          <w:r w:rsidR="00AC2D37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id w:val="569258"/>
          <w:docPartObj>
            <w:docPartGallery w:val="Page Numbers (Bottom of Page)"/>
            <w:docPartUnique/>
          </w:docPartObj>
        </w:sdtPr>
        <w:sdtContent>
          <w:p w:rsidR="008D67A0" w:rsidRPr="00520053" w:rsidRDefault="00F9473D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F9473D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31.4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30951692" r:id="rId2"/>
              </w:pict>
            </w:r>
            <w:r w:rsidRPr="00F9473D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10.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="008D67A0" w:rsidRPr="00520053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8D67A0" w:rsidRPr="00520053" w:rsidRDefault="008D67A0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8D67A0" w:rsidRPr="00520053" w:rsidRDefault="008D67A0" w:rsidP="0067102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52005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520053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8D67A0" w:rsidRDefault="00F9473D" w:rsidP="0067102D">
            <w:pPr>
              <w:pStyle w:val="Footer"/>
              <w:jc w:val="center"/>
            </w:pPr>
            <w:hyperlink r:id="rId4" w:history="1">
              <w:r w:rsidR="008D67A0" w:rsidRPr="00520053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  <w:p w:rsidR="008D67A0" w:rsidRPr="0067102D" w:rsidRDefault="00F9473D" w:rsidP="0067102D">
            <w:pPr>
              <w:pStyle w:val="Footer"/>
              <w:jc w:val="center"/>
            </w:pPr>
            <w:fldSimple w:instr=" PAGE   \* MERGEFORMAT ">
              <w:r w:rsidR="00AC2D37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65" w:rsidRDefault="007C3965" w:rsidP="00607BED">
      <w:pPr>
        <w:spacing w:after="0" w:line="240" w:lineRule="auto"/>
      </w:pPr>
      <w:r>
        <w:separator/>
      </w:r>
    </w:p>
  </w:footnote>
  <w:footnote w:type="continuationSeparator" w:id="0">
    <w:p w:rsidR="007C3965" w:rsidRDefault="007C3965" w:rsidP="0060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A0" w:rsidRPr="00535A6C" w:rsidRDefault="00F9473D" w:rsidP="008D67A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9473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0951691" r:id="rId2"/>
      </w:pict>
    </w:r>
    <w:r w:rsidR="008D67A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D67A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8D67A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8D67A0" w:rsidRPr="00535A6C" w:rsidRDefault="00F9473D" w:rsidP="008D67A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8D67A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D67A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8D67A0" w:rsidRPr="003167DA" w:rsidRDefault="008D67A0" w:rsidP="008D67A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8D67A0" w:rsidRPr="00992A14" w:rsidRDefault="008D67A0" w:rsidP="008D67A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8D67A0" w:rsidRPr="00992A14" w:rsidTr="008D67A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8D67A0" w:rsidRPr="00992A14" w:rsidRDefault="00F9473D" w:rsidP="0067102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D67A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D67A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8D67A0" w:rsidRPr="0090788F" w:rsidRDefault="008D67A0" w:rsidP="008D67A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848EC"/>
    <w:multiLevelType w:val="hybridMultilevel"/>
    <w:tmpl w:val="91E22D38"/>
    <w:lvl w:ilvl="0" w:tplc="5944F7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549"/>
    <w:multiLevelType w:val="hybridMultilevel"/>
    <w:tmpl w:val="AB38FF7E"/>
    <w:lvl w:ilvl="0" w:tplc="94D8BD7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82A38"/>
    <w:multiLevelType w:val="multilevel"/>
    <w:tmpl w:val="DB88763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>
    <w:nsid w:val="262D3BB9"/>
    <w:multiLevelType w:val="hybridMultilevel"/>
    <w:tmpl w:val="E3CA7B7E"/>
    <w:lvl w:ilvl="0" w:tplc="5944F7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A2F75"/>
    <w:multiLevelType w:val="hybridMultilevel"/>
    <w:tmpl w:val="9F6A13BA"/>
    <w:lvl w:ilvl="0" w:tplc="5944F7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AD46D2"/>
    <w:multiLevelType w:val="hybridMultilevel"/>
    <w:tmpl w:val="747A120C"/>
    <w:lvl w:ilvl="0" w:tplc="5944F7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D40E8"/>
    <w:multiLevelType w:val="hybridMultilevel"/>
    <w:tmpl w:val="702E2A32"/>
    <w:lvl w:ilvl="0" w:tplc="94D8BD70">
      <w:start w:val="1"/>
      <w:numFmt w:val="bullet"/>
      <w:lvlText w:val="-"/>
      <w:lvlJc w:val="left"/>
      <w:pPr>
        <w:ind w:left="1714" w:hanging="360"/>
      </w:pPr>
      <w:rPr>
        <w:rFonts w:ascii="Arial" w:eastAsia="Calibr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7BED"/>
    <w:rsid w:val="001A7508"/>
    <w:rsid w:val="002258ED"/>
    <w:rsid w:val="002D5B18"/>
    <w:rsid w:val="002F5074"/>
    <w:rsid w:val="003220DB"/>
    <w:rsid w:val="00455423"/>
    <w:rsid w:val="004805F9"/>
    <w:rsid w:val="00537155"/>
    <w:rsid w:val="005D6A2D"/>
    <w:rsid w:val="00607BED"/>
    <w:rsid w:val="0067102D"/>
    <w:rsid w:val="006B2743"/>
    <w:rsid w:val="006E71E3"/>
    <w:rsid w:val="007C3965"/>
    <w:rsid w:val="008A0502"/>
    <w:rsid w:val="008D67A0"/>
    <w:rsid w:val="009501A2"/>
    <w:rsid w:val="009943DA"/>
    <w:rsid w:val="009E7853"/>
    <w:rsid w:val="00A15940"/>
    <w:rsid w:val="00AC2D37"/>
    <w:rsid w:val="00B8053F"/>
    <w:rsid w:val="00B84263"/>
    <w:rsid w:val="00BF14F1"/>
    <w:rsid w:val="00CE050C"/>
    <w:rsid w:val="00E646FE"/>
    <w:rsid w:val="00E9366B"/>
    <w:rsid w:val="00E94960"/>
    <w:rsid w:val="00E95144"/>
    <w:rsid w:val="00EC7691"/>
    <w:rsid w:val="00F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B5D8D1AF8AA94381B8180B6EED2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C6C3-4F42-4569-A4BC-F20E3F9B866C}"/>
      </w:docPartPr>
      <w:docPartBody>
        <w:p w:rsidR="005D5267" w:rsidRDefault="005D5267" w:rsidP="005D5267">
          <w:pPr>
            <w:pStyle w:val="B5D8D1AF8AA94381B8180B6EED2A5D5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A29167306674136A38FA75943D4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C6BB-885F-448F-A370-A0D0267ECAB0}"/>
      </w:docPartPr>
      <w:docPartBody>
        <w:p w:rsidR="005D5267" w:rsidRDefault="005D5267" w:rsidP="005D5267">
          <w:pPr>
            <w:pStyle w:val="EA29167306674136A38FA75943D4AE41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233B-C096-48C6-BC0D-E19C967B9F3D}"/>
      </w:docPartPr>
      <w:docPartBody>
        <w:p w:rsidR="00000000" w:rsidRDefault="00A55B17">
          <w:r w:rsidRPr="008D1F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D5267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55B1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B1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B5D8D1AF8AA94381B8180B6EED2A5D59">
    <w:name w:val="B5D8D1AF8AA94381B8180B6EED2A5D59"/>
    <w:rsid w:val="005D5267"/>
  </w:style>
  <w:style w:type="paragraph" w:customStyle="1" w:styleId="EA29167306674136A38FA75943D4AE41">
    <w:name w:val="EA29167306674136A38FA75943D4AE41"/>
    <w:rsid w:val="005D52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b6ce625-f23a-4cfd-874f-2aea85f24715","Numar":null,"Data":null,"NumarActReglementareInitial":null,"DataActReglementareInitial":null,"DataInceput":"2016-07-25T00:00:00","DataSfarsit":null,"Durata":null,"PunctLucruId":286834.0,"TipActId":4.0,"NumarCerere":null,"DataCerere":null,"NumarCerereScriptic":"4025","DataCerereScriptic":"2016-07-05T00:00:00","CodFiscal":null,"SordId":"(0D10981B-C886-D368-D916-9DF6C2887F0A)","SablonSordId":"(8B66777B-56B9-65A9-2773-1FA4A6BC21FB)","DosarSordId":"3510432","LatitudineWgs84":null,"LongitudineWgs84":null,"LatitudineStereo70":null,"LongitudineStereo70":null,"NumarAutorizatieGospodarireApe":null,"DataAutorizatieGospodarireApe":null,"DurataAutorizatieGospodarireApe":null,"Aba":null,"Sga":null,"AdresaSediuSocial":"Str. Partizanilor, Nr. 1/A, Simleu Silvaniei,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855ED0F-B208-45D5-8C6F-55AED511DBB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AB98DA0-6E47-420D-8A22-F3F2443383D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07A3C06-2D14-4CAD-8AAB-7FFAC0A8036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0FD7BED-61F2-41AC-B98A-4A6A8E32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8769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</cp:revision>
  <cp:lastPrinted>2016-07-25T08:33:00Z</cp:lastPrinted>
  <dcterms:created xsi:type="dcterms:W3CDTF">2016-07-25T08:34:00Z</dcterms:created>
  <dcterms:modified xsi:type="dcterms:W3CDTF">2016-07-25T08:34:00Z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Auto Daniana SRL - Constr. hala service si spalatorie auto</vt:lpwstr>
  </property>
  <property fmtid="{D5CDD505-2E9C-101B-9397-08002B2CF9AE}" pid="5" name="SordId">
    <vt:lpwstr>(0D10981B-C886-D368-D916-9DF6C2887F0A)</vt:lpwstr>
  </property>
  <property fmtid="{D5CDD505-2E9C-101B-9397-08002B2CF9AE}" pid="6" name="VersiuneDocument">
    <vt:lpwstr>22</vt:lpwstr>
  </property>
  <property fmtid="{D5CDD505-2E9C-101B-9397-08002B2CF9AE}" pid="7" name="RuntimeGuid">
    <vt:lpwstr>83133f62-a931-4698-ac11-bd4faca8c569</vt:lpwstr>
  </property>
  <property fmtid="{D5CDD505-2E9C-101B-9397-08002B2CF9AE}" pid="8" name="PunctLucruId">
    <vt:lpwstr>286834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3510432</vt:lpwstr>
  </property>
  <property fmtid="{D5CDD505-2E9C-101B-9397-08002B2CF9AE}" pid="11" name="DosarCerereSordId">
    <vt:lpwstr>3467275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1b6ce625-f23a-4cfd-874f-2aea85f24715</vt:lpwstr>
  </property>
  <property fmtid="{D5CDD505-2E9C-101B-9397-08002B2CF9AE}" pid="16" name="CommitRoles">
    <vt:lpwstr>false</vt:lpwstr>
  </property>
</Properties>
</file>