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BC5CE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BC5CE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BC5CE0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BC5CE0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BC5CE0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BC5CE0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BC5CE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BC5CE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BC5CE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4A2D2C">
            <w:rPr>
              <w:rFonts w:ascii="Arial" w:hAnsi="Arial" w:cs="Arial"/>
              <w:b/>
              <w:sz w:val="24"/>
              <w:szCs w:val="24"/>
              <w:lang w:val="ro-RO"/>
            </w:rPr>
            <w:t>SELECT FURAJ SILVANIA FNC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4A2D2C">
            <w:rPr>
              <w:rFonts w:ascii="Arial" w:hAnsi="Arial" w:cs="Arial"/>
              <w:sz w:val="24"/>
              <w:szCs w:val="24"/>
              <w:lang w:val="ro-RO"/>
            </w:rPr>
            <w:t>Str. HODODULUI, Nr. 10, Cehu Silvaniei,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4A2D2C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4A2D2C">
            <w:rPr>
              <w:rFonts w:ascii="Arial" w:hAnsi="Arial" w:cs="Arial"/>
              <w:sz w:val="24"/>
              <w:szCs w:val="24"/>
              <w:lang w:val="ro-RO"/>
            </w:rPr>
            <w:t>2870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5-1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4A2D2C">
            <w:rPr>
              <w:rFonts w:ascii="Arial" w:hAnsi="Arial" w:cs="Arial"/>
              <w:spacing w:val="-6"/>
              <w:sz w:val="24"/>
              <w:szCs w:val="24"/>
              <w:lang w:val="ro-RO"/>
            </w:rPr>
            <w:t>16.05.2016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BC5CE0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BC5CE0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BC5CE0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BC5CE0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4A2D2C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EB0CDC">
            <w:rPr>
              <w:rFonts w:ascii="Arial" w:hAnsi="Arial" w:cs="Arial"/>
              <w:sz w:val="24"/>
              <w:szCs w:val="24"/>
              <w:lang w:val="ro-RO"/>
            </w:rPr>
            <w:t>27.06.2016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EB0CDC">
            <w:rPr>
              <w:rFonts w:ascii="Times New Roman" w:hAnsi="Times New Roman"/>
              <w:b/>
              <w:color w:val="0D0D0D"/>
              <w:sz w:val="24"/>
              <w:szCs w:val="24"/>
              <w:lang w:val="ro-RO"/>
            </w:rPr>
            <w:t xml:space="preserve">CONSTRUIRE DEPOZITE P, SILOZURI, PLATFORME SI SOPRON DE PRELUARE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 fi amplasat în</w:t>
          </w:r>
          <w:r w:rsidR="00EB0CDC" w:rsidRPr="00EB0CDC">
            <w:rPr>
              <w:rFonts w:ascii="Times New Roman" w:hAnsi="Times New Roman"/>
              <w:color w:val="0D0D0D"/>
              <w:sz w:val="24"/>
              <w:szCs w:val="24"/>
              <w:lang w:val="ro-RO"/>
            </w:rPr>
            <w:t xml:space="preserve"> </w:t>
          </w:r>
          <w:r w:rsidR="00EB0CDC" w:rsidRPr="00EB0CDC">
            <w:rPr>
              <w:rFonts w:ascii="Arial" w:hAnsi="Arial" w:cs="Arial"/>
              <w:color w:val="0D0D0D"/>
              <w:sz w:val="24"/>
              <w:szCs w:val="24"/>
              <w:lang w:val="ro-RO"/>
            </w:rPr>
            <w:t>orasul Cehu-Silvaniei, str. Hododului</w:t>
          </w:r>
          <w:r w:rsidR="00EB0CDC">
            <w:rPr>
              <w:rFonts w:ascii="Times New Roman" w:hAnsi="Times New Roman"/>
              <w:color w:val="0D0D0D"/>
              <w:sz w:val="24"/>
              <w:szCs w:val="24"/>
              <w:lang w:val="ro-RO"/>
            </w:rPr>
            <w:t xml:space="preserve">, </w:t>
          </w:r>
          <w:r w:rsidR="00EB0CDC">
            <w:rPr>
              <w:rFonts w:ascii="Times New Roman" w:hAnsi="Times New Roman"/>
              <w:b/>
              <w:color w:val="0D0D0D"/>
              <w:sz w:val="24"/>
              <w:szCs w:val="24"/>
              <w:lang w:val="ro-RO"/>
            </w:rPr>
            <w:t xml:space="preserve"> </w:t>
          </w:r>
          <w:r w:rsidR="00EB0CDC" w:rsidRPr="00EB0CDC">
            <w:rPr>
              <w:rFonts w:ascii="Arial" w:hAnsi="Arial" w:cs="Arial"/>
              <w:color w:val="0D0D0D"/>
              <w:sz w:val="24"/>
              <w:szCs w:val="24"/>
              <w:lang w:val="ro-RO"/>
            </w:rPr>
            <w:t>jud.Salaj</w:t>
          </w:r>
          <w:r w:rsidR="00EB0CDC">
            <w:rPr>
              <w:rFonts w:ascii="Times New Roman" w:hAnsi="Times New Roman"/>
              <w:color w:val="0D0D0D"/>
              <w:sz w:val="24"/>
              <w:szCs w:val="24"/>
              <w:lang w:val="ro-RO"/>
            </w:rPr>
            <w:t xml:space="preserve"> 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BC5CE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BC5CE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BC5CE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EB0CDC"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>, pct. ..</w:t>
          </w:r>
          <w:r w:rsidR="00EB0CDC">
            <w:rPr>
              <w:rFonts w:ascii="Arial" w:hAnsi="Arial" w:cs="Arial"/>
              <w:sz w:val="24"/>
              <w:szCs w:val="24"/>
            </w:rPr>
            <w:t>10, lit. a),pct. 13, it a); pct. 6, lit. c)</w:t>
          </w:r>
        </w:p>
        <w:p w:rsidR="00F744A9" w:rsidRDefault="00BC5CE0" w:rsidP="00F744A9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F744A9" w:rsidRPr="00413251">
            <w:rPr>
              <w:rFonts w:ascii="Arial" w:hAnsi="Arial" w:cs="Arial"/>
              <w:sz w:val="24"/>
              <w:szCs w:val="24"/>
            </w:rPr>
            <w:t>b) Caracteristicile proiectului:</w:t>
          </w:r>
        </w:p>
        <w:p w:rsidR="00F744A9" w:rsidRPr="00F744A9" w:rsidRDefault="00F744A9" w:rsidP="00F744A9">
          <w:pPr>
            <w:spacing w:after="0" w:line="240" w:lineRule="auto"/>
            <w:ind w:left="-30"/>
            <w:rPr>
              <w:rFonts w:ascii="Arial" w:hAnsi="Arial" w:cs="Arial"/>
              <w:b/>
              <w:sz w:val="24"/>
              <w:szCs w:val="24"/>
            </w:rPr>
          </w:pPr>
          <w:r w:rsidRPr="00F744A9">
            <w:rPr>
              <w:rFonts w:ascii="Arial" w:hAnsi="Arial" w:cs="Arial"/>
              <w:b/>
              <w:sz w:val="24"/>
              <w:szCs w:val="24"/>
            </w:rPr>
            <w:tab/>
            <w:t>Situatie existent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r w:rsidRPr="00F744A9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F744A9" w:rsidRDefault="00F744A9" w:rsidP="00F744A9">
          <w:pPr>
            <w:spacing w:after="0" w:line="240" w:lineRule="auto"/>
            <w:ind w:left="720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pod electronic rutier (cantar) format din CABINA CANTAR – 6 mp si </w:t>
          </w:r>
          <w:r>
            <w:rPr>
              <w:rFonts w:ascii="Arial" w:hAnsi="Arial" w:cs="Arial"/>
              <w:sz w:val="24"/>
              <w:szCs w:val="24"/>
            </w:rPr>
            <w:tab/>
            <w:t>CANTAR BASCUL rutier 60 t .</w:t>
          </w:r>
        </w:p>
        <w:p w:rsidR="00F744A9" w:rsidRDefault="00F744A9" w:rsidP="00F744A9">
          <w:pPr>
            <w:spacing w:after="0" w:line="240" w:lineRule="auto"/>
            <w:ind w:left="720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  <w:lang w:val="it-IT"/>
            </w:rPr>
            <w:t>cladire administrativa</w:t>
          </w:r>
        </w:p>
        <w:p w:rsidR="00F744A9" w:rsidRDefault="00F744A9" w:rsidP="00F744A9">
          <w:pPr>
            <w:spacing w:after="0" w:line="240" w:lineRule="auto"/>
            <w:ind w:left="720" w:firstLine="720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cabina </w:t>
          </w:r>
          <w:r>
            <w:rPr>
              <w:rFonts w:ascii="Arial" w:hAnsi="Arial" w:cs="Arial"/>
              <w:sz w:val="24"/>
              <w:szCs w:val="24"/>
            </w:rPr>
            <w:t>poarta</w:t>
          </w:r>
        </w:p>
        <w:p w:rsidR="00F744A9" w:rsidRDefault="00F744A9" w:rsidP="00F744A9">
          <w:pPr>
            <w:spacing w:after="0" w:line="240" w:lineRule="auto"/>
            <w:ind w:left="720" w:firstLine="720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-2 baterii de cite 3 silozuri – instalatii tehnologice</w:t>
          </w:r>
        </w:p>
        <w:p w:rsidR="00F744A9" w:rsidRDefault="00F744A9" w:rsidP="00F744A9">
          <w:pPr>
            <w:spacing w:after="0" w:line="240" w:lineRule="auto"/>
            <w:ind w:left="720" w:firstLine="720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 xml:space="preserve">- cladire de productie si depozitare </w:t>
          </w:r>
        </w:p>
        <w:p w:rsidR="00F744A9" w:rsidRDefault="00F744A9" w:rsidP="00F744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 xml:space="preserve">             </w:t>
          </w:r>
          <w:r>
            <w:rPr>
              <w:rFonts w:ascii="Arial" w:hAnsi="Arial" w:cs="Arial"/>
              <w:sz w:val="24"/>
              <w:szCs w:val="24"/>
              <w:lang w:val="it-IT"/>
            </w:rPr>
            <w:tab/>
            <w:t xml:space="preserve">- statie de pompare si un rezervor pentru apa </w:t>
          </w:r>
        </w:p>
        <w:p w:rsidR="00F744A9" w:rsidRDefault="00F744A9" w:rsidP="00F744A9">
          <w:pPr>
            <w:spacing w:after="0" w:line="240" w:lineRule="auto"/>
            <w:ind w:left="720" w:firstLine="720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-2 puturi forate pentru alimentarea cu apa a incintei</w:t>
          </w:r>
        </w:p>
        <w:p w:rsidR="00F744A9" w:rsidRDefault="00F744A9" w:rsidP="00F744A9">
          <w:pPr>
            <w:ind w:left="720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Constructii propuse :</w:t>
          </w:r>
        </w:p>
        <w:p w:rsidR="00F744A9" w:rsidRDefault="00F744A9" w:rsidP="00F744A9">
          <w:pPr>
            <w:numPr>
              <w:ilvl w:val="0"/>
              <w:numId w:val="64"/>
            </w:numPr>
            <w:suppressAutoHyphens/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două clădiri parter pentru depozitare cereale</w:t>
          </w:r>
        </w:p>
        <w:p w:rsidR="00F744A9" w:rsidRDefault="00F744A9" w:rsidP="00F744A9">
          <w:pPr>
            <w:numPr>
              <w:ilvl w:val="0"/>
              <w:numId w:val="64"/>
            </w:numPr>
            <w:suppressAutoHyphens/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un sopron preluare cereale</w:t>
          </w:r>
        </w:p>
        <w:p w:rsidR="00F744A9" w:rsidRDefault="00F744A9" w:rsidP="00F744A9">
          <w:pPr>
            <w:numPr>
              <w:ilvl w:val="0"/>
              <w:numId w:val="64"/>
            </w:numPr>
            <w:suppressAutoHyphens/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 xml:space="preserve">statie de alimentare cu carburant – motorină -in care se 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va desfasura comert cu amanuntul al carburantilor pentru autovehicule. </w:t>
          </w:r>
        </w:p>
        <w:p w:rsidR="00F744A9" w:rsidRDefault="00F744A9" w:rsidP="00F744A9">
          <w:pPr>
            <w:rPr>
              <w:rFonts w:ascii="Arial" w:hAnsi="Arial" w:cs="Arial"/>
              <w:sz w:val="24"/>
              <w:szCs w:val="24"/>
              <w:lang w:val="it-IT"/>
            </w:rPr>
          </w:pPr>
        </w:p>
        <w:p w:rsidR="00F744A9" w:rsidRDefault="00F744A9" w:rsidP="00F744A9">
          <w:pPr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>Clădirile de depozitare vor avea regim de înălţime parter</w:t>
          </w:r>
        </w:p>
        <w:p w:rsidR="00F744A9" w:rsidRDefault="00F744A9" w:rsidP="00F744A9">
          <w:pPr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Hala A :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 xml:space="preserve"> Ac = Acd = 1108,47 mp </w:t>
          </w:r>
          <w:r>
            <w:rPr>
              <w:rFonts w:ascii="Arial" w:hAnsi="Arial" w:cs="Arial"/>
              <w:sz w:val="24"/>
              <w:szCs w:val="24"/>
            </w:rPr>
            <w:tab/>
            <w:t xml:space="preserve"> Au = 1053,80 mp  </w:t>
          </w:r>
        </w:p>
        <w:p w:rsidR="00F744A9" w:rsidRDefault="00F744A9" w:rsidP="00F744A9">
          <w:pPr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Hala B :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 xml:space="preserve"> Ac = Acd = 986,19 mp  </w:t>
          </w:r>
          <w:r>
            <w:rPr>
              <w:rFonts w:ascii="Arial" w:hAnsi="Arial" w:cs="Arial"/>
              <w:sz w:val="24"/>
              <w:szCs w:val="24"/>
            </w:rPr>
            <w:tab/>
            <w:t xml:space="preserve"> Au = 925,78 mp  </w:t>
          </w:r>
        </w:p>
        <w:p w:rsidR="00F744A9" w:rsidRDefault="00F744A9" w:rsidP="00F744A9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  <w:t xml:space="preserve">Clădire producție -  șopron de preluare </w:t>
          </w:r>
          <w:r>
            <w:rPr>
              <w:rFonts w:ascii="Arial" w:eastAsia="Arial" w:hAnsi="Arial" w:cs="Arial"/>
              <w:i/>
              <w:iCs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clădire cu regim de înălţime parter.</w:t>
          </w:r>
          <w:r>
            <w:rPr>
              <w:rFonts w:ascii="Arial" w:hAnsi="Arial" w:cs="Arial"/>
              <w:sz w:val="24"/>
              <w:szCs w:val="24"/>
            </w:rPr>
            <w:t xml:space="preserve">: Ac = Acd = 149,69 mp ;Au = 134,34 mp  </w:t>
          </w:r>
        </w:p>
        <w:p w:rsidR="00F744A9" w:rsidRPr="00F744A9" w:rsidRDefault="00F744A9" w:rsidP="00F744A9">
          <w:pPr>
            <w:rPr>
              <w:rFonts w:ascii="Arial" w:hAnsi="Arial" w:cs="Arial"/>
              <w:sz w:val="28"/>
              <w:szCs w:val="28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Platforma pentru amplasarea statiei de distributie carburanti va avea dimensiunile de 9,00mx3,1 m.Statia de distributie carburanti </w:t>
          </w:r>
          <w:r>
            <w:rPr>
              <w:rFonts w:ascii="Arial" w:hAnsi="Arial" w:cs="Arial"/>
              <w:sz w:val="24"/>
              <w:szCs w:val="24"/>
            </w:rPr>
            <w:t>va avea in componenta sa un rezervor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metalic cu pereţi dubli pentru depozitarea combustibililor Diesel.Se va monta in cuva de retentie din beton.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Pompa de livrare carburanti se fixeaza pe postament de beton, cu soclu de 20 cm fata de cota finita a carosabilului.Zona ocupata cu pompa de distributie se limiteaza cu borduri, panta de scurgere, rigole, base colectoare pentru preluarea apelor pluviale cu eventuale scurgeri de carburanti.</w:t>
          </w:r>
        </w:p>
        <w:p w:rsidR="00F744A9" w:rsidRPr="0081007A" w:rsidRDefault="00F744A9" w:rsidP="00F744A9">
          <w:pPr>
            <w:tabs>
              <w:tab w:val="left" w:pos="990"/>
              <w:tab w:val="left" w:pos="1350"/>
            </w:tabs>
            <w:spacing w:after="0" w:line="240" w:lineRule="auto"/>
            <w:jc w:val="both"/>
          </w:pPr>
        </w:p>
        <w:p w:rsidR="00F744A9" w:rsidRPr="00413251" w:rsidRDefault="00F744A9" w:rsidP="00F744A9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b2) cumularea cu alte proiecte: nu este cazul;</w:t>
          </w:r>
        </w:p>
        <w:p w:rsidR="00F744A9" w:rsidRPr="00F744A9" w:rsidRDefault="00F744A9" w:rsidP="00F744A9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 xml:space="preserve">b3) </w:t>
          </w:r>
          <w:r w:rsidRPr="00F744A9">
            <w:rPr>
              <w:rFonts w:ascii="Arial" w:hAnsi="Arial" w:cs="Arial"/>
              <w:sz w:val="24"/>
              <w:szCs w:val="24"/>
            </w:rPr>
            <w:t xml:space="preserve">utilizarea resurselor naturale: </w:t>
          </w:r>
        </w:p>
        <w:p w:rsidR="00F744A9" w:rsidRPr="00F744A9" w:rsidRDefault="00F744A9" w:rsidP="00F744A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u w:val="single"/>
              <w:lang w:val="it-IT"/>
            </w:rPr>
          </w:pPr>
          <w:r w:rsidRPr="00F744A9">
            <w:rPr>
              <w:rFonts w:ascii="Arial" w:hAnsi="Arial" w:cs="Arial"/>
              <w:sz w:val="24"/>
              <w:szCs w:val="24"/>
              <w:u w:val="single"/>
            </w:rPr>
            <w:t xml:space="preserve">Apa </w:t>
          </w:r>
          <w:r w:rsidRPr="00F744A9">
            <w:rPr>
              <w:rFonts w:ascii="Arial" w:hAnsi="Arial" w:cs="Arial"/>
              <w:sz w:val="24"/>
              <w:szCs w:val="24"/>
            </w:rPr>
            <w:t>– Amplasamentul are asigurata alimentarea cu apă de la putul forat din incinta cu H=120 m,Q=280 mm.</w:t>
          </w:r>
        </w:p>
        <w:p w:rsidR="00F744A9" w:rsidRPr="00F744A9" w:rsidRDefault="00F744A9" w:rsidP="00F744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 w:rsidRPr="00F744A9">
            <w:rPr>
              <w:rFonts w:ascii="Arial" w:hAnsi="Arial" w:cs="Arial"/>
              <w:sz w:val="24"/>
              <w:szCs w:val="24"/>
              <w:u w:val="single"/>
              <w:lang w:val="it-IT"/>
            </w:rPr>
            <w:t>Canalizare -</w:t>
          </w:r>
          <w:r w:rsidRPr="00F744A9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F744A9">
            <w:rPr>
              <w:rFonts w:ascii="Arial" w:hAnsi="Arial" w:cs="Arial"/>
              <w:i/>
              <w:sz w:val="24"/>
              <w:szCs w:val="24"/>
              <w:lang w:val="it-IT"/>
            </w:rPr>
            <w:t>Evacuarea apei uzate fecaloid</w:t>
          </w:r>
          <w:r w:rsidRPr="00F744A9">
            <w:rPr>
              <w:rFonts w:ascii="Arial" w:hAnsi="Arial" w:cs="Arial"/>
              <w:sz w:val="24"/>
              <w:szCs w:val="24"/>
              <w:lang w:val="it-IT"/>
            </w:rPr>
            <w:t xml:space="preserve"> – menajere se va realiza la cele doua bazine, vidanjabile betonate cu capacitatea de 5 mc fiecare;</w:t>
          </w:r>
        </w:p>
        <w:p w:rsidR="00F744A9" w:rsidRDefault="00F744A9" w:rsidP="00F744A9">
          <w:pPr>
            <w:pStyle w:val="BodyText"/>
            <w:rPr>
              <w:rFonts w:cs="Arial"/>
              <w:sz w:val="26"/>
              <w:szCs w:val="26"/>
              <w:lang w:val="it-IT"/>
            </w:rPr>
          </w:pPr>
          <w:r w:rsidRPr="00F744A9">
            <w:rPr>
              <w:rFonts w:cs="Arial"/>
            </w:rPr>
            <w:t xml:space="preserve">b4) evacuarea apelor uzate: </w:t>
          </w:r>
          <w:r w:rsidRPr="00F744A9">
            <w:rPr>
              <w:rFonts w:cs="Arial"/>
              <w:i/>
              <w:lang w:val="it-IT"/>
            </w:rPr>
            <w:t>Evacuarea apelor pluviale</w:t>
          </w:r>
          <w:r w:rsidRPr="00F744A9">
            <w:rPr>
              <w:rFonts w:cs="Arial"/>
              <w:lang w:val="it-IT"/>
            </w:rPr>
            <w:t>, cu eventuale incarcari de produse petroliere, se va face prin rigole cu gratare metalice, in separatorul de</w:t>
          </w:r>
          <w:r>
            <w:rPr>
              <w:rFonts w:cs="Arial"/>
              <w:sz w:val="26"/>
              <w:szCs w:val="26"/>
              <w:lang w:val="it-IT"/>
            </w:rPr>
            <w:t xml:space="preserve"> hidrocarburi si apoi in decantorul – separator pentru retentia temporara a acestora.</w:t>
          </w:r>
        </w:p>
        <w:p w:rsidR="00F744A9" w:rsidRDefault="00F744A9" w:rsidP="00F744A9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it-IT"/>
            </w:rPr>
          </w:pPr>
          <w:r>
            <w:rPr>
              <w:rFonts w:ascii="Arial" w:hAnsi="Arial" w:cs="Arial"/>
              <w:sz w:val="26"/>
              <w:szCs w:val="26"/>
              <w:lang w:val="it-IT"/>
            </w:rPr>
            <w:t xml:space="preserve">   Evacuarea apelor pluviale din afara zonei instalatiilor statiei de distributie carburanti se va face in rigole perimetrale</w:t>
          </w:r>
        </w:p>
        <w:p w:rsidR="00F744A9" w:rsidRPr="00F744A9" w:rsidRDefault="00F744A9" w:rsidP="00F744A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F744A9">
            <w:rPr>
              <w:rFonts w:ascii="Arial" w:hAnsi="Arial" w:cs="Arial"/>
              <w:sz w:val="24"/>
              <w:szCs w:val="24"/>
            </w:rPr>
            <w:t xml:space="preserve">b5) producţia de deşeuri: conform Legii nr. 211/2011, privind regimul deşeurilor: - în perioada de execuţie a proiectului vor rezulta deşeuri, care vor fi colectate selectiv și se vor valorifica/elimina numai prin operatori economici autorizați; </w:t>
          </w:r>
        </w:p>
        <w:p w:rsidR="00F744A9" w:rsidRPr="00FE0B4B" w:rsidRDefault="00F744A9" w:rsidP="00F744A9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- lucrările necesare organizării de şantier: organizarea de şantier va</w:t>
          </w:r>
          <w:r w:rsidRPr="00FE0B4B">
            <w:rPr>
              <w:rFonts w:ascii="Arial" w:hAnsi="Arial" w:cs="Arial"/>
              <w:sz w:val="24"/>
              <w:szCs w:val="24"/>
            </w:rPr>
            <w:t xml:space="preserve"> consta în depozitări temporare de materiale şi asigurarea mijloacelor umane.</w:t>
          </w:r>
          <w:r w:rsidRPr="00FE0B4B">
            <w:rPr>
              <w:rFonts w:ascii="Arial" w:hAnsi="Arial" w:cs="Arial"/>
              <w:sz w:val="24"/>
              <w:szCs w:val="24"/>
            </w:rPr>
            <w:tab/>
          </w:r>
        </w:p>
        <w:p w:rsidR="00F744A9" w:rsidRPr="00FE0B4B" w:rsidRDefault="00F744A9" w:rsidP="00F744A9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b6) emisiile poluante, inclusiv zgomotul şi alte surse de disconfort: se vor respecta limitele prevăzute de normele în vigoare; </w:t>
          </w:r>
        </w:p>
        <w:p w:rsidR="00F744A9" w:rsidRDefault="00F744A9" w:rsidP="00F744A9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b7) riscul de accident, ţinându-se seama în special de substanţele şi tehnologiile utilizate: - se vor respecta prevederile legislaţiei specifice în domeniul protecţiei mediului, OUG nr. 195/2005 privind protecţia mediului aprobată prin Legea nr. 265/2006 cu modifică</w:t>
          </w:r>
          <w:r>
            <w:rPr>
              <w:rFonts w:ascii="Arial" w:hAnsi="Arial" w:cs="Arial"/>
              <w:sz w:val="24"/>
              <w:szCs w:val="24"/>
            </w:rPr>
            <w:t>rile şi completările ulterioare.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325451"/>
            <w:placeholder>
              <w:docPart w:val="730689DBDCEE41C194A5346D02389BFE"/>
            </w:placeholder>
          </w:sdtPr>
          <w:sdtContent>
            <w:p w:rsidR="00F744A9" w:rsidRPr="00935543" w:rsidRDefault="00F744A9" w:rsidP="00F744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color w:val="FF0000"/>
                  <w:sz w:val="24"/>
                  <w:szCs w:val="24"/>
                </w:rPr>
              </w:pPr>
            </w:p>
            <w:p w:rsidR="00F744A9" w:rsidRPr="00FE0B4B" w:rsidRDefault="00F744A9" w:rsidP="00F744A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c) Localizarea proiectului:.</w:t>
              </w:r>
            </w:p>
            <w:p w:rsidR="00F744A9" w:rsidRPr="00FE0B4B" w:rsidRDefault="00F744A9" w:rsidP="00F744A9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c1) utilizarea existentă a terenului: conform certificatului de urbanism nr. </w:t>
              </w:r>
              <w:r w:rsidR="000A4B67">
                <w:rPr>
                  <w:rFonts w:ascii="Arial" w:hAnsi="Arial" w:cs="Arial"/>
                  <w:sz w:val="24"/>
                  <w:szCs w:val="24"/>
                </w:rPr>
                <w:t>17/10.05.2016</w:t>
              </w: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emis de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Primaria </w:t>
              </w:r>
              <w:r w:rsidR="000A4B67">
                <w:rPr>
                  <w:rFonts w:ascii="Arial" w:hAnsi="Arial" w:cs="Arial"/>
                  <w:sz w:val="24"/>
                  <w:szCs w:val="24"/>
                </w:rPr>
                <w:t>orasului Cehu-Silvaniei</w:t>
              </w: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>
                <w:rPr>
                  <w:rFonts w:ascii="Arial" w:hAnsi="Arial" w:cs="Arial"/>
                  <w:sz w:val="24"/>
                  <w:szCs w:val="24"/>
                </w:rPr>
                <w:t>terenul</w:t>
              </w:r>
              <w:r w:rsidR="000A4B67">
                <w:rPr>
                  <w:rFonts w:ascii="Arial" w:hAnsi="Arial" w:cs="Arial"/>
                  <w:sz w:val="24"/>
                  <w:szCs w:val="24"/>
                </w:rPr>
                <w:t xml:space="preserve"> studiat este de 17400 mp si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este situat in zona de unitati </w:t>
              </w:r>
              <w:r w:rsidR="000A4B67">
                <w:rPr>
                  <w:rFonts w:ascii="Arial" w:hAnsi="Arial" w:cs="Arial"/>
                  <w:sz w:val="24"/>
                  <w:szCs w:val="24"/>
                </w:rPr>
                <w:t xml:space="preserve">de productie, de prelucrare </w:t>
              </w:r>
              <w:r>
                <w:rPr>
                  <w:rFonts w:ascii="Arial" w:hAnsi="Arial" w:cs="Arial"/>
                  <w:sz w:val="24"/>
                  <w:szCs w:val="24"/>
                </w:rPr>
                <w:t>si depozitare</w:t>
              </w:r>
              <w:r w:rsidR="000A4B67">
                <w:rPr>
                  <w:rFonts w:ascii="Arial" w:hAnsi="Arial" w:cs="Arial"/>
                  <w:sz w:val="24"/>
                  <w:szCs w:val="24"/>
                </w:rPr>
                <w:t>, baze de transport  si servicii industrial,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potrivit PUG. </w:t>
              </w:r>
            </w:p>
            <w:p w:rsidR="00F744A9" w:rsidRPr="00FE0B4B" w:rsidRDefault="00F744A9" w:rsidP="00F744A9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c2) relativa abundenţă a resurselor naturale din zonă, calitatea şi capacitatea regenerativă a acestora: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nu este cazul; </w:t>
              </w:r>
            </w:p>
            <w:p w:rsidR="00F744A9" w:rsidRPr="00FE0B4B" w:rsidRDefault="00F744A9" w:rsidP="00F744A9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c3) capacitatea de absorbţie a mediului:  nu este cazul;</w:t>
              </w:r>
            </w:p>
            <w:p w:rsidR="00F744A9" w:rsidRPr="00FE0B4B" w:rsidRDefault="00F744A9" w:rsidP="00F744A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d) Caracteristicile impactului potenţial:</w:t>
              </w:r>
            </w:p>
            <w:p w:rsidR="00F744A9" w:rsidRPr="00FE0B4B" w:rsidRDefault="00F744A9" w:rsidP="00F744A9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lastRenderedPageBreak/>
                <w:t>d1) extinderea impactului, aria geografică şi numărul persoanelor afectate:  punctual pe perioada de execuţie;</w:t>
              </w:r>
            </w:p>
            <w:p w:rsidR="00F744A9" w:rsidRPr="00FE0B4B" w:rsidRDefault="00F744A9" w:rsidP="00F744A9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d2) natura transfrontieră a impactului:- nu este cazul; </w:t>
              </w:r>
            </w:p>
            <w:p w:rsidR="00F744A9" w:rsidRPr="00FE0B4B" w:rsidRDefault="00F744A9" w:rsidP="00F744A9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d3) mărimea şi complexitatea impactului: în perioada de execuţie a proiectului, impactul asupra factorilor de mediu va fi redus, sursele de poluare fiind lucrările de construcţii, utilajele şi mijloacele de transport. </w:t>
              </w:r>
            </w:p>
            <w:p w:rsidR="00F744A9" w:rsidRPr="00FE0B4B" w:rsidRDefault="00F744A9" w:rsidP="00F744A9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d4) probabilitatea impactului:  redusă, pe perioada de execuţie şi funcţionare; </w:t>
              </w:r>
            </w:p>
            <w:p w:rsidR="00F744A9" w:rsidRPr="00450628" w:rsidRDefault="00F744A9" w:rsidP="00F744A9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d5) durata, frecvenţa şi reversibilitatea impactului: perioada de expunere va fi redusă, întrucât poluanţii se vor manifesta doar pe amplasamentul unde au loc lucrări de execuţie. În perioada de execuţie a proiectului impactul asupra factorilor de mediu</w:t>
              </w: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va fi temporar. Pe măsura realizării lucrărilor şi închiderii fronturilor de lucru, calitatea factorilor de mediu afectaţi va reveni la parametrii iniţiali. </w:t>
              </w:r>
            </w:p>
            <w:p w:rsidR="00F744A9" w:rsidRPr="00086450" w:rsidRDefault="00F744A9" w:rsidP="00F744A9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      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086450">
                <w:rPr>
                  <w:rFonts w:ascii="Arial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F744A9" w:rsidRPr="00086450" w:rsidRDefault="00F744A9" w:rsidP="00F744A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1.</w:t>
              </w:r>
              <w:r w:rsidRPr="00086450">
                <w:rPr>
                  <w:rFonts w:ascii="Arial" w:hAnsi="Arial" w:cs="Arial"/>
                  <w:sz w:val="24"/>
                  <w:szCs w:val="24"/>
                </w:rPr>
                <w:t xml:space="preserve">  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F744A9" w:rsidRPr="00086450" w:rsidRDefault="00F744A9" w:rsidP="00F744A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2.</w:t>
              </w:r>
              <w:r w:rsidRPr="00086450">
                <w:rPr>
                  <w:rFonts w:ascii="Arial" w:hAnsi="Arial" w:cs="Arial"/>
                  <w:sz w:val="24"/>
                  <w:szCs w:val="24"/>
                </w:rPr>
    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        </w:r>
            </w:p>
            <w:p w:rsidR="00F744A9" w:rsidRPr="00B94686" w:rsidRDefault="00F744A9" w:rsidP="00F744A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3.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Colectarea, depozitarea/valorificarea deşeurilor rezultate pe durata execuţiei lucrărilor şi în perioada de funcţionare a obiectivului, cu respectarea prevederilor legislaţiei privind regimul deşeurilor.</w:t>
              </w:r>
            </w:p>
            <w:p w:rsidR="00F744A9" w:rsidRPr="00B94686" w:rsidRDefault="00F744A9" w:rsidP="00F744A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4.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Respectarea prevederilor actelor/avizelor emise de alte autorităţi pentru prezentul proiect.</w:t>
              </w:r>
            </w:p>
            <w:p w:rsidR="00F744A9" w:rsidRPr="00B94686" w:rsidRDefault="00F744A9" w:rsidP="00F744A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5.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Realizarea reţelelor de canalizare etanşe pentru a preveni poluarea solului şi a pânzei freatice.</w:t>
              </w:r>
            </w:p>
            <w:p w:rsidR="00F744A9" w:rsidRPr="00B94686" w:rsidRDefault="00F744A9" w:rsidP="00F744A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6.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Respectarea prevederilor STAS 10009/1988, privind nivelul de zgomot.</w:t>
              </w:r>
            </w:p>
            <w:p w:rsidR="00F744A9" w:rsidRPr="00B94686" w:rsidRDefault="00F744A9" w:rsidP="00F744A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7.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Interzicerea depozitării direct pe sol a deşeurilor sau a materialelor cu pericol de poluare.</w:t>
              </w:r>
            </w:p>
            <w:p w:rsidR="00F744A9" w:rsidRPr="00086450" w:rsidRDefault="00F744A9" w:rsidP="00F744A9">
              <w:pPr>
                <w:autoSpaceDE w:val="0"/>
                <w:autoSpaceDN w:val="0"/>
                <w:adjustRightInd w:val="0"/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86450">
                <w:rPr>
                  <w:rFonts w:ascii="Arial" w:hAnsi="Arial" w:cs="Arial"/>
                  <w:sz w:val="24"/>
                  <w:szCs w:val="24"/>
                </w:rPr>
        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F744A9" w:rsidRPr="00086450" w:rsidRDefault="00F744A9" w:rsidP="00F744A9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Prezentul act nu exonerează de răspundere titularul, proiectantul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ș</w:t>
              </w:r>
              <w:r w:rsidRPr="00450628">
                <w:rPr>
                  <w:rFonts w:ascii="Arial" w:hAnsi="Arial" w:cs="Arial"/>
                  <w:sz w:val="24"/>
                  <w:szCs w:val="24"/>
                </w:rPr>
                <w:t>i/sau constructorul în cazul producerii unor accidente în timpul execuţiei lucr</w:t>
              </w:r>
              <w:r>
                <w:rPr>
                  <w:rFonts w:ascii="Arial" w:hAnsi="Arial" w:cs="Arial"/>
                  <w:sz w:val="24"/>
                  <w:szCs w:val="24"/>
                </w:rPr>
                <w:t>ărilor sau exploatării acestora.</w:t>
              </w:r>
            </w:p>
            <w:p w:rsidR="00F744A9" w:rsidRPr="00522DB9" w:rsidRDefault="00F744A9" w:rsidP="00F744A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F744A9" w:rsidRPr="00CB71C3" w:rsidRDefault="00F744A9" w:rsidP="00F744A9">
          <w:pPr>
            <w:spacing w:after="0" w:line="240" w:lineRule="auto"/>
            <w:ind w:left="142" w:firstLine="117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744A9" w:rsidRPr="00522DB9" w:rsidRDefault="00F744A9" w:rsidP="00F744A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1007A">
            <w:rPr>
              <w:rFonts w:ascii="Arial" w:hAnsi="Arial" w:cs="Arial"/>
              <w:b/>
              <w:sz w:val="24"/>
              <w:szCs w:val="24"/>
            </w:rPr>
            <w:t xml:space="preserve">In sedinta CAT din </w:t>
          </w:r>
          <w:r w:rsidR="000A4B67">
            <w:rPr>
              <w:rFonts w:ascii="Arial" w:hAnsi="Arial" w:cs="Arial"/>
              <w:b/>
              <w:sz w:val="24"/>
              <w:szCs w:val="24"/>
            </w:rPr>
            <w:t>27</w:t>
          </w:r>
          <w:r w:rsidRPr="0081007A">
            <w:rPr>
              <w:rFonts w:ascii="Arial" w:hAnsi="Arial" w:cs="Arial"/>
              <w:b/>
              <w:sz w:val="24"/>
              <w:szCs w:val="24"/>
            </w:rPr>
            <w:t>.06.2016 s-a solicitat aviz Apele Romane</w:t>
          </w:r>
          <w:r w:rsidR="00BC5CE0">
            <w:rPr>
              <w:rFonts w:ascii="Arial" w:hAnsi="Arial" w:cs="Arial"/>
              <w:b/>
              <w:sz w:val="24"/>
              <w:szCs w:val="24"/>
            </w:rPr>
            <w:t>, accord ANIF, aviz PSI, aviz DSP</w:t>
          </w:r>
          <w:r>
            <w:rPr>
              <w:rFonts w:ascii="Arial" w:hAnsi="Arial" w:cs="Arial"/>
              <w:sz w:val="24"/>
              <w:szCs w:val="24"/>
            </w:rPr>
            <w:t>;</w:t>
          </w:r>
        </w:p>
        <w:p w:rsidR="00F744A9" w:rsidRPr="00522DB9" w:rsidRDefault="00F744A9" w:rsidP="00F744A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F744A9" w:rsidRDefault="00F744A9" w:rsidP="00F744A9">
          <w:pPr>
            <w:autoSpaceDE w:val="0"/>
            <w:autoSpaceDN w:val="0"/>
            <w:adjustRightInd w:val="0"/>
            <w:spacing w:after="0" w:line="240" w:lineRule="auto"/>
            <w:jc w:val="both"/>
          </w:pPr>
        </w:p>
        <w:p w:rsidR="00753675" w:rsidRPr="00522DB9" w:rsidRDefault="00706DDA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BC5CE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BC5CE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BC5CE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BC5CE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BC5CE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BC5CE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BC5CE0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BC5CE0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BC5CE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BC5CE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BC5CE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BC5CE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BC5CE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BC5CE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C5CE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C5CE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C5CE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C5CE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C5CE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C5CE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DA" w:rsidRDefault="00706DDA" w:rsidP="00706DDA">
      <w:pPr>
        <w:spacing w:after="0" w:line="240" w:lineRule="auto"/>
      </w:pPr>
      <w:r>
        <w:separator/>
      </w:r>
    </w:p>
  </w:endnote>
  <w:endnote w:type="continuationSeparator" w:id="0">
    <w:p w:rsidR="00706DDA" w:rsidRDefault="00706DDA" w:rsidP="0070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06DD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C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CE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C5CE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BC5CE0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BC5CE0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BC5CE0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BC5CE0" w:rsidP="00C44321">
        <w:pPr>
          <w:pStyle w:val="Footer"/>
          <w:jc w:val="center"/>
        </w:pPr>
        <w:r>
          <w:t xml:space="preserve"> </w:t>
        </w:r>
        <w:r w:rsidR="00706DDA">
          <w:fldChar w:fldCharType="begin"/>
        </w:r>
        <w:r>
          <w:instrText xml:space="preserve"> PAGE   \* MERGEFORMAT </w:instrText>
        </w:r>
        <w:r w:rsidR="00706DDA">
          <w:fldChar w:fldCharType="separate"/>
        </w:r>
        <w:r>
          <w:rPr>
            <w:noProof/>
          </w:rPr>
          <w:t>3</w:t>
        </w:r>
        <w:r w:rsidR="00706DDA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C5CE0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BC5CE0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Sector ...,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C5CE0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DA" w:rsidRDefault="00706DDA" w:rsidP="00706DDA">
      <w:pPr>
        <w:spacing w:after="0" w:line="240" w:lineRule="auto"/>
      </w:pPr>
      <w:r>
        <w:separator/>
      </w:r>
    </w:p>
  </w:footnote>
  <w:footnote w:type="continuationSeparator" w:id="0">
    <w:p w:rsidR="00706DDA" w:rsidRDefault="00706DDA" w:rsidP="0070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06DD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06DD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8544746" r:id="rId2"/>
      </w:pict>
    </w:r>
    <w:r w:rsidR="00BC5CE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C5CE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BC5CE0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706DD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BC5CE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BC5CE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C5CE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C5CE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06DDA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BC5CE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BC5CE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C5CE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/uZUbnlDsIv53/lFrbXSUjY7PU8=" w:salt="9qVwOugFxaRQzJEM757vP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DDA"/>
    <w:rsid w:val="000A4B67"/>
    <w:rsid w:val="004A2D2C"/>
    <w:rsid w:val="00594CB5"/>
    <w:rsid w:val="00706DDA"/>
    <w:rsid w:val="00973195"/>
    <w:rsid w:val="00BC5CE0"/>
    <w:rsid w:val="00EB0CDC"/>
    <w:rsid w:val="00F7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Style5">
    <w:name w:val="Style5"/>
    <w:basedOn w:val="Normal"/>
    <w:uiPriority w:val="99"/>
    <w:rsid w:val="00F744A9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FontStyle12">
    <w:name w:val="Font Style12"/>
    <w:basedOn w:val="DefaultParagraphFont"/>
    <w:rsid w:val="00F744A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730689DBDCEE41C194A5346D0238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00C8-9A72-4A46-8AEE-CF9AB9134F49}"/>
      </w:docPartPr>
      <w:docPartBody>
        <w:p w:rsidR="00000000" w:rsidRDefault="004B0CDD" w:rsidP="004B0CDD">
          <w:pPr>
            <w:pStyle w:val="730689DBDCEE41C194A5346D02389BF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0CDD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CDD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730689DBDCEE41C194A5346D02389BFE">
    <w:name w:val="730689DBDCEE41C194A5346D02389BFE"/>
    <w:rsid w:val="004B0C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82be5c3-f534-4bea-86a5-1fcd8b99e87c","Numar":null,"Data":null,"NumarActReglementareInitial":null,"DataActReglementareInitial":null,"DataInceput":null,"DataSfarsit":null,"Durata":null,"PunctLucruId":344114.0,"TipActId":4.0,"NumarCerere":null,"DataCerere":null,"NumarCerereScriptic":"2870","DataCerereScriptic":"2016-05-16T00:00:00","CodFiscal":null,"SordId":"(FF4F0021-1CB8-A7CD-E7D5-FF71E4044182)","SablonSordId":"(8B66777B-56B9-65A9-2773-1FA4A6BC21FB)","DosarSordId":"3448239","LatitudineWgs84":null,"LongitudineWgs84":null,"LatitudineStereo70":null,"LongitudineStereo70":null,"NumarAutorizatieGospodarireApe":null,"DataAutorizatieGospodarireApe":null,"DurataAutorizatieGospodarireApe":null,"Aba":null,"Sga":null,"AdresaSediuSocial":"Str. HODODULUI, Nr. 10, Cehu Silvaniei,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59721C1-13BB-43A8-B40B-AC1D733134A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966CBB2-9703-48C5-81A5-8776796E947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A3159C08-67F8-4FEA-A288-32CE00C0095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653DE4C-9A0A-422F-88F4-41911495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1324</Words>
  <Characters>7548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8855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steliana.banea</cp:lastModifiedBy>
  <cp:revision>7</cp:revision>
  <cp:lastPrinted>2014-04-25T12:16:00Z</cp:lastPrinted>
  <dcterms:created xsi:type="dcterms:W3CDTF">2015-10-26T07:49:00Z</dcterms:created>
  <dcterms:modified xsi:type="dcterms:W3CDTF">2016-06-27T11:59:00Z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Select Furaj Silvania FNC-depozite</vt:lpwstr>
  </property>
  <property fmtid="{D5CDD505-2E9C-101B-9397-08002B2CF9AE}" pid="5" name="SordId">
    <vt:lpwstr>(FF4F0021-1CB8-A7CD-E7D5-FF71E4044182)</vt:lpwstr>
  </property>
  <property fmtid="{D5CDD505-2E9C-101B-9397-08002B2CF9AE}" pid="6" name="VersiuneDocument">
    <vt:lpwstr>5</vt:lpwstr>
  </property>
  <property fmtid="{D5CDD505-2E9C-101B-9397-08002B2CF9AE}" pid="7" name="RuntimeGuid">
    <vt:lpwstr>e0891f07-b3ad-419a-9e00-39ac8dec7c3e</vt:lpwstr>
  </property>
  <property fmtid="{D5CDD505-2E9C-101B-9397-08002B2CF9AE}" pid="8" name="PunctLucruId">
    <vt:lpwstr>344114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3448239</vt:lpwstr>
  </property>
  <property fmtid="{D5CDD505-2E9C-101B-9397-08002B2CF9AE}" pid="11" name="DosarCerereSordId">
    <vt:lpwstr>3349350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c82be5c3-f534-4bea-86a5-1fcd8b99e87c</vt:lpwstr>
  </property>
  <property fmtid="{D5CDD505-2E9C-101B-9397-08002B2CF9AE}" pid="16" name="CommitRoles">
    <vt:lpwstr>false</vt:lpwstr>
  </property>
</Properties>
</file>