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5F5D79"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7067166" r:id="rId9"/>
        </w:object>
      </w:r>
    </w:p>
    <w:p w:rsidR="003E09E1" w:rsidRDefault="003E09E1" w:rsidP="003E09E1">
      <w:pPr>
        <w:pStyle w:val="Header"/>
        <w:tabs>
          <w:tab w:val="clear" w:pos="4680"/>
          <w:tab w:val="clear" w:pos="9360"/>
          <w:tab w:val="left" w:pos="9000"/>
        </w:tabs>
        <w:rPr>
          <w:lang w:val="it-IT"/>
        </w:rPr>
      </w:pP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9E6751" w:rsidP="008C46C0">
      <w:pPr>
        <w:jc w:val="center"/>
        <w:rPr>
          <w:rFonts w:ascii="Arial" w:hAnsi="Arial" w:cs="Arial"/>
          <w:b/>
          <w:sz w:val="24"/>
          <w:szCs w:val="24"/>
          <w:lang w:val="ro-RO"/>
        </w:rPr>
      </w:pPr>
      <w:r>
        <w:rPr>
          <w:rFonts w:ascii="Arial" w:hAnsi="Arial" w:cs="Arial"/>
          <w:b/>
          <w:sz w:val="24"/>
          <w:szCs w:val="24"/>
          <w:lang w:val="ro-RO"/>
        </w:rPr>
        <w:t xml:space="preserve">Proiect </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7964D7">
        <w:rPr>
          <w:rFonts w:ascii="Arial" w:hAnsi="Arial" w:cs="Arial"/>
          <w:sz w:val="24"/>
          <w:szCs w:val="24"/>
          <w:lang w:val="ro-RO"/>
        </w:rPr>
        <w:t>S.C. OMV Petrom S.A., cu sediul în Bucureşti, Sector 1, str. Coralilor, nr. 22</w:t>
      </w:r>
      <w:r w:rsidRPr="00C5526B">
        <w:rPr>
          <w:rFonts w:ascii="Arial" w:hAnsi="Arial" w:cs="Arial"/>
          <w:sz w:val="24"/>
          <w:szCs w:val="24"/>
          <w:lang w:val="ro-RO"/>
        </w:rPr>
        <w:t xml:space="preserve">, înregistrată la APM Sălaj cu nr. </w:t>
      </w:r>
      <w:r w:rsidR="009E6751">
        <w:rPr>
          <w:rFonts w:ascii="Arial" w:hAnsi="Arial" w:cs="Arial"/>
          <w:sz w:val="24"/>
          <w:szCs w:val="24"/>
          <w:lang w:val="ro-RO"/>
        </w:rPr>
        <w:t>8856</w:t>
      </w:r>
      <w:r w:rsidRPr="00C5526B">
        <w:rPr>
          <w:rFonts w:ascii="Arial" w:hAnsi="Arial" w:cs="Arial"/>
          <w:sz w:val="24"/>
          <w:szCs w:val="24"/>
          <w:lang w:val="ro-RO"/>
        </w:rPr>
        <w:t>/</w:t>
      </w:r>
      <w:r w:rsidR="00BB2D87">
        <w:rPr>
          <w:rFonts w:ascii="Arial" w:hAnsi="Arial" w:cs="Arial"/>
          <w:sz w:val="24"/>
          <w:szCs w:val="24"/>
          <w:lang w:val="ro-RO"/>
        </w:rPr>
        <w:t>0</w:t>
      </w:r>
      <w:r w:rsidR="009E6751">
        <w:rPr>
          <w:rFonts w:ascii="Arial" w:hAnsi="Arial" w:cs="Arial"/>
          <w:sz w:val="24"/>
          <w:szCs w:val="24"/>
          <w:lang w:val="ro-RO"/>
        </w:rPr>
        <w:t>9</w:t>
      </w:r>
      <w:r w:rsidRPr="00C5526B">
        <w:rPr>
          <w:rFonts w:ascii="Arial" w:hAnsi="Arial" w:cs="Arial"/>
          <w:sz w:val="24"/>
          <w:szCs w:val="24"/>
          <w:lang w:val="ro-RO"/>
        </w:rPr>
        <w:t>.</w:t>
      </w:r>
      <w:r w:rsidR="009E6751">
        <w:rPr>
          <w:rFonts w:ascii="Arial" w:hAnsi="Arial" w:cs="Arial"/>
          <w:sz w:val="24"/>
          <w:szCs w:val="24"/>
          <w:lang w:val="ro-RO"/>
        </w:rPr>
        <w:t>12</w:t>
      </w:r>
      <w:r w:rsidRPr="00C5526B">
        <w:rPr>
          <w:rFonts w:ascii="Arial" w:hAnsi="Arial" w:cs="Arial"/>
          <w:sz w:val="24"/>
          <w:szCs w:val="24"/>
          <w:lang w:val="ro-RO"/>
        </w:rPr>
        <w:t>.2019</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Pr>
          <w:rFonts w:ascii="Arial" w:hAnsi="Arial" w:cs="Arial"/>
          <w:sz w:val="24"/>
          <w:szCs w:val="24"/>
          <w:lang w:val="ro-RO"/>
        </w:rPr>
        <w:t>1</w:t>
      </w:r>
      <w:r w:rsidR="00D5389C">
        <w:rPr>
          <w:rFonts w:ascii="Arial" w:hAnsi="Arial" w:cs="Arial"/>
          <w:sz w:val="24"/>
          <w:szCs w:val="24"/>
          <w:lang w:val="ro-RO"/>
        </w:rPr>
        <w:t>3</w:t>
      </w:r>
      <w:r w:rsidRPr="00863440">
        <w:rPr>
          <w:rFonts w:ascii="Arial" w:hAnsi="Arial" w:cs="Arial"/>
          <w:sz w:val="24"/>
          <w:szCs w:val="24"/>
          <w:lang w:val="ro-RO"/>
        </w:rPr>
        <w:t>.</w:t>
      </w:r>
      <w:r w:rsidR="00D5389C">
        <w:rPr>
          <w:rFonts w:ascii="Arial" w:hAnsi="Arial" w:cs="Arial"/>
          <w:sz w:val="24"/>
          <w:szCs w:val="24"/>
          <w:lang w:val="ro-RO"/>
        </w:rPr>
        <w:t>0</w:t>
      </w:r>
      <w:r>
        <w:rPr>
          <w:rFonts w:ascii="Arial" w:hAnsi="Arial" w:cs="Arial"/>
          <w:sz w:val="24"/>
          <w:szCs w:val="24"/>
          <w:lang w:val="ro-RO"/>
        </w:rPr>
        <w:t>1</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9E6751">
        <w:rPr>
          <w:rFonts w:ascii="Arial" w:hAnsi="Arial" w:cs="Arial"/>
          <w:b/>
          <w:sz w:val="24"/>
          <w:szCs w:val="24"/>
          <w:lang w:val="ro-RO"/>
        </w:rPr>
        <w:t>177</w:t>
      </w:r>
      <w:r w:rsidR="00BB2D87" w:rsidRPr="00BB2D87">
        <w:rPr>
          <w:rFonts w:ascii="Arial" w:hAnsi="Arial" w:cs="Arial"/>
          <w:b/>
          <w:sz w:val="24"/>
          <w:szCs w:val="24"/>
          <w:lang w:val="ro-RO"/>
        </w:rPr>
        <w:t xml:space="preserve"> bis Suplac</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 loc. Leşmir, intravilan,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Pr="00863440"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9E6751" w:rsidRPr="009E6751">
        <w:rPr>
          <w:rFonts w:ascii="Arial" w:hAnsi="Arial" w:cs="Arial"/>
          <w:b/>
          <w:sz w:val="24"/>
          <w:szCs w:val="24"/>
          <w:lang w:val="ro-RO"/>
        </w:rPr>
        <w:t xml:space="preserve"> </w:t>
      </w:r>
      <w:r w:rsidR="009E6751" w:rsidRPr="00863440">
        <w:rPr>
          <w:rFonts w:ascii="Arial" w:hAnsi="Arial" w:cs="Arial"/>
          <w:b/>
          <w:sz w:val="24"/>
          <w:szCs w:val="24"/>
          <w:lang w:val="ro-RO"/>
        </w:rPr>
        <w:t>şi nu se supune evaluării impactului asupra corpurilor de apă</w:t>
      </w:r>
      <w:r w:rsidR="00C169D8">
        <w:rPr>
          <w:rFonts w:ascii="Arial" w:hAnsi="Arial" w:cs="Arial"/>
          <w:b/>
          <w:sz w:val="24"/>
          <w:szCs w:val="24"/>
          <w:lang w:val="ro-RO"/>
        </w:rPr>
        <w:t>.</w:t>
      </w:r>
      <w:r w:rsidRPr="00863440">
        <w:rPr>
          <w:rFonts w:ascii="Arial" w:hAnsi="Arial" w:cs="Arial"/>
          <w:b/>
          <w:sz w:val="24"/>
          <w:szCs w:val="24"/>
          <w:lang w:val="ro-RO"/>
        </w:rPr>
        <w:t xml:space="preserve">  </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9E6751">
        <w:rPr>
          <w:rFonts w:ascii="Arial" w:hAnsi="Arial" w:cs="Arial"/>
          <w:sz w:val="24"/>
          <w:szCs w:val="24"/>
          <w:lang w:val="ro-RO"/>
        </w:rPr>
        <w:t>Libertatea</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9E6751" w:rsidRPr="009E6751"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Pr="007964D7">
        <w:rPr>
          <w:rFonts w:ascii="Arial" w:hAnsi="Arial" w:cs="Arial"/>
          <w:sz w:val="24"/>
          <w:szCs w:val="24"/>
          <w:lang w:val="ro-RO"/>
        </w:rPr>
        <w:t xml:space="preserve">– </w:t>
      </w:r>
      <w:r w:rsidR="009E6751" w:rsidRPr="009E6751">
        <w:rPr>
          <w:rFonts w:ascii="Arial" w:hAnsi="Arial" w:cs="Arial"/>
          <w:sz w:val="24"/>
          <w:szCs w:val="24"/>
          <w:lang w:val="ro-RO"/>
        </w:rPr>
        <w:t>Suprafața terenului pe care se vor desfășura lucrările este 659.00 [mp] suprafață amplasament, din care 600.00 [mp] reprezintă careu sondă si 59.00 [mp] reprezinta drum de acces pietruit.</w:t>
      </w:r>
    </w:p>
    <w:p w:rsidR="00DA3704"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Pe amplasament nu se află construcții propriu-zise, ci doar platforma betonata, elemente beton, contragreutate, zona pamant cu pietris, drum pietruit, movila beton, zona slam bituminizat, ce se vor desființa în totalitate.</w:t>
      </w:r>
    </w:p>
    <w:p w:rsidR="009E6751" w:rsidRDefault="009E6751" w:rsidP="009E6751">
      <w:pPr>
        <w:spacing w:after="0" w:line="240" w:lineRule="auto"/>
        <w:jc w:val="both"/>
        <w:rPr>
          <w:rFonts w:ascii="Arial" w:hAnsi="Arial" w:cs="Arial"/>
          <w:sz w:val="24"/>
          <w:szCs w:val="24"/>
          <w:lang w:val="fr-FR"/>
        </w:rPr>
      </w:pPr>
      <w:r w:rsidRPr="009E6751">
        <w:rPr>
          <w:rFonts w:ascii="Arial" w:hAnsi="Arial" w:cs="Arial"/>
          <w:sz w:val="24"/>
          <w:szCs w:val="24"/>
          <w:lang w:val="fr-FR"/>
        </w:rPr>
        <w:t>Elementele prezente pe amplasament, propuse a fi desființate sunt:</w:t>
      </w:r>
    </w:p>
    <w:p w:rsidR="009E6751" w:rsidRPr="009E6751" w:rsidRDefault="009E6751" w:rsidP="009E6751">
      <w:pPr>
        <w:spacing w:after="0" w:line="240" w:lineRule="auto"/>
        <w:jc w:val="both"/>
        <w:rPr>
          <w:rFonts w:ascii="Arial" w:hAnsi="Arial" w:cs="Arial"/>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b/>
                <w:sz w:val="24"/>
                <w:szCs w:val="24"/>
                <w:lang w:val="ro-RO"/>
              </w:rPr>
            </w:pPr>
            <w:r w:rsidRPr="009E6751">
              <w:rPr>
                <w:rFonts w:ascii="Arial" w:hAnsi="Arial" w:cs="Arial"/>
                <w:b/>
                <w:sz w:val="24"/>
                <w:szCs w:val="24"/>
                <w:lang w:val="ro-RO"/>
              </w:rPr>
              <w:t>Elemente identificate</w:t>
            </w:r>
          </w:p>
        </w:tc>
        <w:tc>
          <w:tcPr>
            <w:tcW w:w="2354" w:type="dxa"/>
            <w:shd w:val="clear" w:color="auto" w:fill="auto"/>
          </w:tcPr>
          <w:p w:rsidR="009E6751" w:rsidRPr="009E6751" w:rsidRDefault="009E6751" w:rsidP="009E6751">
            <w:pPr>
              <w:spacing w:after="0" w:line="240" w:lineRule="auto"/>
              <w:jc w:val="both"/>
              <w:rPr>
                <w:rFonts w:ascii="Arial" w:hAnsi="Arial" w:cs="Arial"/>
                <w:b/>
                <w:sz w:val="24"/>
                <w:szCs w:val="24"/>
                <w:lang w:val="ro-RO"/>
              </w:rPr>
            </w:pPr>
            <w:r w:rsidRPr="009E6751">
              <w:rPr>
                <w:rFonts w:ascii="Arial" w:hAnsi="Arial" w:cs="Arial"/>
                <w:b/>
                <w:sz w:val="24"/>
                <w:szCs w:val="24"/>
                <w:lang w:val="ro-RO"/>
              </w:rPr>
              <w:t>Cantitatea estimata</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Platforma betonata</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38 mp</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Elemente beton</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2 buc; 0.5mc/buc</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Contragreutate</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1 buc</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Zona pamant + pietris</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127 mp; h=-0.40m</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Zona slam bituminizat</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20mp; h=+0.15m</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Drum pietruit</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59mp; h=-0.40m</w:t>
            </w:r>
          </w:p>
        </w:tc>
      </w:tr>
      <w:tr w:rsidR="009E6751" w:rsidRPr="009E6751" w:rsidTr="00AB292A">
        <w:trPr>
          <w:jc w:val="center"/>
        </w:trPr>
        <w:tc>
          <w:tcPr>
            <w:tcW w:w="3770"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Movila beton</w:t>
            </w:r>
          </w:p>
        </w:tc>
        <w:tc>
          <w:tcPr>
            <w:tcW w:w="2354" w:type="dxa"/>
            <w:shd w:val="clear" w:color="auto" w:fill="auto"/>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5 mc</w:t>
            </w:r>
          </w:p>
        </w:tc>
      </w:tr>
    </w:tbl>
    <w:p w:rsidR="009E6751" w:rsidRPr="009E6751" w:rsidRDefault="009E6751" w:rsidP="009E6751">
      <w:pPr>
        <w:spacing w:after="0" w:line="240" w:lineRule="auto"/>
        <w:jc w:val="both"/>
        <w:rPr>
          <w:rFonts w:ascii="Arial" w:hAnsi="Arial" w:cs="Arial"/>
          <w:sz w:val="24"/>
          <w:szCs w:val="24"/>
          <w:lang w:val="fr-FR"/>
        </w:rPr>
      </w:pPr>
    </w:p>
    <w:p w:rsidR="009E6751" w:rsidRPr="009E6751" w:rsidRDefault="009E6751" w:rsidP="009E6751">
      <w:pPr>
        <w:spacing w:after="0" w:line="240" w:lineRule="auto"/>
        <w:jc w:val="both"/>
        <w:rPr>
          <w:rFonts w:ascii="Arial" w:hAnsi="Arial" w:cs="Arial"/>
          <w:sz w:val="24"/>
          <w:szCs w:val="24"/>
          <w:lang w:val="fr-FR"/>
        </w:rPr>
      </w:pPr>
      <w:r w:rsidRPr="009E6751">
        <w:rPr>
          <w:rFonts w:ascii="Arial" w:hAnsi="Arial" w:cs="Arial"/>
          <w:sz w:val="24"/>
          <w:szCs w:val="24"/>
          <w:lang w:val="fr-FR"/>
        </w:rPr>
        <w:t xml:space="preserve">Elementele care nu sunt vizibile la suprafata, dar se estimeaza ca pot fi identificate în timpul execuției: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1"/>
        <w:gridCol w:w="2334"/>
      </w:tblGrid>
      <w:tr w:rsidR="009E6751" w:rsidRPr="009E6751" w:rsidTr="00AB292A">
        <w:trPr>
          <w:trHeight w:val="357"/>
          <w:jc w:val="center"/>
        </w:trPr>
        <w:tc>
          <w:tcPr>
            <w:tcW w:w="3751" w:type="dxa"/>
            <w:tcMar>
              <w:top w:w="0" w:type="dxa"/>
              <w:left w:w="108" w:type="dxa"/>
              <w:bottom w:w="0" w:type="dxa"/>
              <w:right w:w="108" w:type="dxa"/>
            </w:tcMar>
            <w:vAlign w:val="center"/>
            <w:hideMark/>
          </w:tcPr>
          <w:p w:rsidR="009E6751" w:rsidRPr="009E6751" w:rsidRDefault="009E6751" w:rsidP="009E6751">
            <w:pPr>
              <w:spacing w:after="0" w:line="240" w:lineRule="auto"/>
              <w:jc w:val="both"/>
              <w:rPr>
                <w:rFonts w:ascii="Arial" w:hAnsi="Arial" w:cs="Arial"/>
                <w:b/>
                <w:sz w:val="24"/>
                <w:szCs w:val="24"/>
                <w:lang w:val="ro-RO"/>
              </w:rPr>
            </w:pPr>
            <w:r w:rsidRPr="009E6751">
              <w:rPr>
                <w:rFonts w:ascii="Arial" w:hAnsi="Arial" w:cs="Arial"/>
                <w:b/>
                <w:sz w:val="24"/>
                <w:szCs w:val="24"/>
                <w:lang w:val="ro-RO"/>
              </w:rPr>
              <w:t>Elemente estimate, care nu sunt vizibile</w:t>
            </w:r>
          </w:p>
        </w:tc>
        <w:tc>
          <w:tcPr>
            <w:tcW w:w="2334" w:type="dxa"/>
            <w:tcMar>
              <w:top w:w="0" w:type="dxa"/>
              <w:left w:w="108" w:type="dxa"/>
              <w:bottom w:w="0" w:type="dxa"/>
              <w:right w:w="108" w:type="dxa"/>
            </w:tcMar>
            <w:vAlign w:val="center"/>
            <w:hideMark/>
          </w:tcPr>
          <w:p w:rsidR="009E6751" w:rsidRPr="009E6751" w:rsidRDefault="009E6751" w:rsidP="009E6751">
            <w:pPr>
              <w:spacing w:after="0" w:line="240" w:lineRule="auto"/>
              <w:jc w:val="both"/>
              <w:rPr>
                <w:rFonts w:ascii="Arial" w:hAnsi="Arial" w:cs="Arial"/>
                <w:b/>
                <w:sz w:val="24"/>
                <w:szCs w:val="24"/>
                <w:lang w:val="ro-RO"/>
              </w:rPr>
            </w:pPr>
            <w:r w:rsidRPr="009E6751">
              <w:rPr>
                <w:rFonts w:ascii="Arial" w:hAnsi="Arial" w:cs="Arial"/>
                <w:b/>
                <w:sz w:val="24"/>
                <w:szCs w:val="24"/>
                <w:lang w:val="ro-RO"/>
              </w:rPr>
              <w:t>Cantitatea estimată</w:t>
            </w:r>
          </w:p>
        </w:tc>
      </w:tr>
      <w:tr w:rsidR="009E6751" w:rsidRPr="009E6751" w:rsidTr="00AB292A">
        <w:trPr>
          <w:trHeight w:val="115"/>
          <w:jc w:val="center"/>
        </w:trPr>
        <w:tc>
          <w:tcPr>
            <w:tcW w:w="3751" w:type="dxa"/>
            <w:tcMar>
              <w:top w:w="0" w:type="dxa"/>
              <w:left w:w="108" w:type="dxa"/>
              <w:bottom w:w="0" w:type="dxa"/>
              <w:right w:w="108" w:type="dxa"/>
            </w:tcMar>
            <w:vAlign w:val="center"/>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Fundatie MAST</w:t>
            </w:r>
          </w:p>
        </w:tc>
        <w:tc>
          <w:tcPr>
            <w:tcW w:w="2334" w:type="dxa"/>
            <w:tcMar>
              <w:top w:w="0" w:type="dxa"/>
              <w:left w:w="108" w:type="dxa"/>
              <w:bottom w:w="0" w:type="dxa"/>
              <w:right w:w="108" w:type="dxa"/>
            </w:tcMar>
            <w:vAlign w:val="center"/>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1 buc</w:t>
            </w:r>
          </w:p>
        </w:tc>
      </w:tr>
      <w:tr w:rsidR="009E6751" w:rsidRPr="009E6751" w:rsidTr="00AB292A">
        <w:trPr>
          <w:trHeight w:val="115"/>
          <w:jc w:val="center"/>
        </w:trPr>
        <w:tc>
          <w:tcPr>
            <w:tcW w:w="3751" w:type="dxa"/>
            <w:tcMar>
              <w:top w:w="0" w:type="dxa"/>
              <w:left w:w="108" w:type="dxa"/>
              <w:bottom w:w="0" w:type="dxa"/>
              <w:right w:w="108" w:type="dxa"/>
            </w:tcMar>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Ancore</w:t>
            </w:r>
          </w:p>
        </w:tc>
        <w:tc>
          <w:tcPr>
            <w:tcW w:w="2334" w:type="dxa"/>
            <w:tcMar>
              <w:top w:w="0" w:type="dxa"/>
              <w:left w:w="108" w:type="dxa"/>
              <w:bottom w:w="0" w:type="dxa"/>
              <w:right w:w="108" w:type="dxa"/>
            </w:tcMar>
          </w:tcPr>
          <w:p w:rsidR="009E6751" w:rsidRPr="009E6751" w:rsidRDefault="009E6751" w:rsidP="009E6751">
            <w:pPr>
              <w:spacing w:after="0" w:line="240" w:lineRule="auto"/>
              <w:jc w:val="both"/>
              <w:rPr>
                <w:rFonts w:ascii="Arial" w:hAnsi="Arial" w:cs="Arial"/>
                <w:sz w:val="24"/>
                <w:szCs w:val="24"/>
                <w:lang w:val="ro-RO"/>
              </w:rPr>
            </w:pPr>
            <w:r w:rsidRPr="009E6751">
              <w:rPr>
                <w:rFonts w:ascii="Arial" w:hAnsi="Arial" w:cs="Arial"/>
                <w:sz w:val="24"/>
                <w:szCs w:val="24"/>
                <w:lang w:val="ro-RO"/>
              </w:rPr>
              <w:t>4 buc</w:t>
            </w:r>
          </w:p>
        </w:tc>
      </w:tr>
    </w:tbl>
    <w:p w:rsidR="009E6751" w:rsidRPr="009E6751" w:rsidRDefault="009E6751" w:rsidP="009E6751">
      <w:pPr>
        <w:spacing w:after="0" w:line="240" w:lineRule="auto"/>
        <w:jc w:val="both"/>
        <w:rPr>
          <w:rFonts w:ascii="Arial" w:hAnsi="Arial" w:cs="Arial"/>
          <w:sz w:val="24"/>
          <w:szCs w:val="24"/>
        </w:rPr>
      </w:pPr>
    </w:p>
    <w:p w:rsidR="00335100" w:rsidRDefault="00DF5A8B" w:rsidP="00335100">
      <w:pPr>
        <w:spacing w:after="0" w:line="240" w:lineRule="auto"/>
        <w:jc w:val="both"/>
        <w:rPr>
          <w:rFonts w:ascii="Arial" w:hAnsi="Arial" w:cs="Arial"/>
          <w:sz w:val="24"/>
          <w:szCs w:val="24"/>
          <w:lang w:val="fr-FR"/>
        </w:rPr>
      </w:pPr>
      <w:r>
        <w:rPr>
          <w:rFonts w:ascii="Arial" w:hAnsi="Arial" w:cs="Arial"/>
          <w:sz w:val="24"/>
          <w:szCs w:val="24"/>
          <w:lang w:val="fr-FR"/>
        </w:rPr>
        <w:tab/>
      </w:r>
      <w:r w:rsidR="00EE036F">
        <w:rPr>
          <w:rFonts w:ascii="Arial" w:hAnsi="Arial" w:cs="Arial"/>
          <w:sz w:val="24"/>
          <w:szCs w:val="24"/>
          <w:lang w:val="fr-FR"/>
        </w:rPr>
        <w:t>Principalele lucră</w:t>
      </w:r>
      <w:r w:rsidR="00335100" w:rsidRPr="00335100">
        <w:rPr>
          <w:rFonts w:ascii="Arial" w:hAnsi="Arial" w:cs="Arial"/>
          <w:sz w:val="24"/>
          <w:szCs w:val="24"/>
          <w:lang w:val="fr-FR"/>
        </w:rPr>
        <w:t>ri propuse a fi executate pentru abandonarea de suprafata a sondei sunt urm</w:t>
      </w:r>
      <w:r>
        <w:rPr>
          <w:rFonts w:ascii="Arial" w:hAnsi="Arial" w:cs="Arial"/>
          <w:sz w:val="24"/>
          <w:szCs w:val="24"/>
          <w:lang w:val="fr-FR"/>
        </w:rPr>
        <w:t>ă</w:t>
      </w:r>
      <w:r w:rsidR="00335100" w:rsidRPr="00335100">
        <w:rPr>
          <w:rFonts w:ascii="Arial" w:hAnsi="Arial" w:cs="Arial"/>
          <w:sz w:val="24"/>
          <w:szCs w:val="24"/>
          <w:lang w:val="fr-FR"/>
        </w:rPr>
        <w:t>toarele:</w:t>
      </w:r>
    </w:p>
    <w:p w:rsidR="00DF5A8B" w:rsidRPr="00335100" w:rsidRDefault="00DF5A8B" w:rsidP="00335100">
      <w:pPr>
        <w:spacing w:after="0" w:line="240" w:lineRule="auto"/>
        <w:jc w:val="both"/>
        <w:rPr>
          <w:rFonts w:ascii="Arial" w:hAnsi="Arial" w:cs="Arial"/>
          <w:sz w:val="24"/>
          <w:szCs w:val="24"/>
          <w:lang w:val="fr-FR"/>
        </w:rPr>
      </w:pPr>
    </w:p>
    <w:p w:rsidR="00EE036F" w:rsidRPr="00EE036F" w:rsidRDefault="00EE036F" w:rsidP="00EE036F">
      <w:pPr>
        <w:pStyle w:val="Heading3"/>
        <w:numPr>
          <w:ilvl w:val="0"/>
          <w:numId w:val="6"/>
        </w:numPr>
        <w:spacing w:before="40"/>
        <w:ind w:left="567" w:hanging="567"/>
        <w:jc w:val="both"/>
        <w:rPr>
          <w:rFonts w:ascii="Arial" w:hAnsi="Arial" w:cs="Arial"/>
          <w:color w:val="000000" w:themeColor="text1"/>
          <w:sz w:val="24"/>
          <w:szCs w:val="24"/>
          <w:lang w:val="ro-RO"/>
        </w:rPr>
      </w:pPr>
      <w:bookmarkStart w:id="0" w:name="_Toc489456793"/>
      <w:bookmarkStart w:id="1" w:name="_Toc22111937"/>
      <w:r w:rsidRPr="00EE036F">
        <w:rPr>
          <w:rFonts w:ascii="Arial" w:hAnsi="Arial" w:cs="Arial"/>
          <w:color w:val="000000" w:themeColor="text1"/>
          <w:sz w:val="24"/>
          <w:szCs w:val="24"/>
          <w:lang w:val="ro-RO"/>
        </w:rPr>
        <w:t xml:space="preserve">Organizarea de </w:t>
      </w:r>
      <w:r>
        <w:rPr>
          <w:rFonts w:ascii="Arial" w:hAnsi="Arial" w:cs="Arial"/>
          <w:color w:val="000000" w:themeColor="text1"/>
          <w:sz w:val="24"/>
          <w:szCs w:val="24"/>
          <w:lang w:val="ro-RO"/>
        </w:rPr>
        <w:t>ș</w:t>
      </w:r>
      <w:r w:rsidRPr="00EE036F">
        <w:rPr>
          <w:rFonts w:ascii="Arial" w:hAnsi="Arial" w:cs="Arial"/>
          <w:color w:val="000000" w:themeColor="text1"/>
          <w:sz w:val="24"/>
          <w:szCs w:val="24"/>
          <w:lang w:val="ro-RO"/>
        </w:rPr>
        <w:t xml:space="preserve">antier </w:t>
      </w:r>
      <w:r>
        <w:rPr>
          <w:rFonts w:ascii="Arial" w:hAnsi="Arial" w:cs="Arial"/>
          <w:color w:val="000000" w:themeColor="text1"/>
          <w:sz w:val="24"/>
          <w:szCs w:val="24"/>
          <w:lang w:val="ro-RO"/>
        </w:rPr>
        <w:t>ș</w:t>
      </w:r>
      <w:r w:rsidRPr="00EE036F">
        <w:rPr>
          <w:rFonts w:ascii="Arial" w:hAnsi="Arial" w:cs="Arial"/>
          <w:color w:val="000000" w:themeColor="text1"/>
          <w:sz w:val="24"/>
          <w:szCs w:val="24"/>
          <w:lang w:val="ro-RO"/>
        </w:rPr>
        <w:t>i preg</w:t>
      </w:r>
      <w:r>
        <w:rPr>
          <w:rFonts w:ascii="Arial" w:hAnsi="Arial" w:cs="Arial"/>
          <w:color w:val="000000" w:themeColor="text1"/>
          <w:sz w:val="24"/>
          <w:szCs w:val="24"/>
          <w:lang w:val="ro-RO"/>
        </w:rPr>
        <w:t>ă</w:t>
      </w:r>
      <w:r w:rsidRPr="00EE036F">
        <w:rPr>
          <w:rFonts w:ascii="Arial" w:hAnsi="Arial" w:cs="Arial"/>
          <w:color w:val="000000" w:themeColor="text1"/>
          <w:sz w:val="24"/>
          <w:szCs w:val="24"/>
          <w:lang w:val="ro-RO"/>
        </w:rPr>
        <w:t>tirea amplasamentului pentru execu</w:t>
      </w:r>
      <w:r>
        <w:rPr>
          <w:rFonts w:ascii="Arial" w:hAnsi="Arial" w:cs="Arial"/>
          <w:color w:val="000000" w:themeColor="text1"/>
          <w:sz w:val="24"/>
          <w:szCs w:val="24"/>
          <w:lang w:val="ro-RO"/>
        </w:rPr>
        <w:t>ț</w:t>
      </w:r>
      <w:r w:rsidRPr="00EE036F">
        <w:rPr>
          <w:rFonts w:ascii="Arial" w:hAnsi="Arial" w:cs="Arial"/>
          <w:color w:val="000000" w:themeColor="text1"/>
          <w:sz w:val="24"/>
          <w:szCs w:val="24"/>
          <w:lang w:val="ro-RO"/>
        </w:rPr>
        <w:t>ia lucr</w:t>
      </w:r>
      <w:r>
        <w:rPr>
          <w:rFonts w:ascii="Arial" w:hAnsi="Arial" w:cs="Arial"/>
          <w:color w:val="000000" w:themeColor="text1"/>
          <w:sz w:val="24"/>
          <w:szCs w:val="24"/>
          <w:lang w:val="ro-RO"/>
        </w:rPr>
        <w:t>ă</w:t>
      </w:r>
      <w:r w:rsidRPr="00EE036F">
        <w:rPr>
          <w:rFonts w:ascii="Arial" w:hAnsi="Arial" w:cs="Arial"/>
          <w:color w:val="000000" w:themeColor="text1"/>
          <w:sz w:val="24"/>
          <w:szCs w:val="24"/>
          <w:lang w:val="ro-RO"/>
        </w:rPr>
        <w:t>rilor propuse:</w:t>
      </w:r>
      <w:bookmarkEnd w:id="0"/>
      <w:bookmarkEnd w:id="1"/>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bookmarkStart w:id="2" w:name="_Hlk493670728"/>
      <w:bookmarkStart w:id="3" w:name="_Hlk493691539"/>
      <w:r w:rsidRPr="00EE036F">
        <w:rPr>
          <w:rFonts w:ascii="Arial" w:hAnsi="Arial" w:cs="Arial"/>
          <w:sz w:val="24"/>
          <w:szCs w:val="24"/>
          <w:lang w:val="ro-RO"/>
        </w:rPr>
        <w:t xml:space="preserve">Predarea cu proces verbal a amplasamentului la executant, cu asigurarea conditiilor ce ii revin pentru lucrul in siguranta; </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Imprejmuirea amplasamentului prin montare banda de semnalizare amplasament sonda;</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 xml:space="preserve">Asigurarea echipelor de lucru necesare cu personal calificat si auxiliar corespunzator pentru operatiunile de executat; </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Inlaturarea vegetatiei de pe amplasament;</w:t>
      </w:r>
    </w:p>
    <w:p w:rsidR="00EE036F" w:rsidRPr="00EE036F" w:rsidRDefault="00EE036F" w:rsidP="00EE036F">
      <w:pPr>
        <w:widowControl w:val="0"/>
        <w:numPr>
          <w:ilvl w:val="0"/>
          <w:numId w:val="13"/>
        </w:numPr>
        <w:tabs>
          <w:tab w:val="clear" w:pos="1440"/>
        </w:tabs>
        <w:spacing w:after="0"/>
        <w:ind w:left="568" w:hanging="284"/>
        <w:jc w:val="both"/>
        <w:rPr>
          <w:rFonts w:ascii="Arial" w:hAnsi="Arial" w:cs="Arial"/>
          <w:sz w:val="24"/>
          <w:szCs w:val="24"/>
          <w:lang w:val="ro-RO"/>
        </w:rPr>
      </w:pPr>
      <w:r w:rsidRPr="00EE036F">
        <w:rPr>
          <w:rFonts w:ascii="Arial" w:hAnsi="Arial" w:cs="Arial"/>
          <w:sz w:val="24"/>
          <w:szCs w:val="24"/>
          <w:lang w:val="ro-RO"/>
        </w:rPr>
        <w:t xml:space="preserve">Mobilizarea utilajelor/echipamentelor (aducerea pe santier a utilajelor si echipamentelor corespunzatoare lucrarilor si a mijloacelor de transport adecvate); </w:t>
      </w:r>
    </w:p>
    <w:p w:rsidR="00EE036F" w:rsidRPr="00EE036F" w:rsidRDefault="00EE036F" w:rsidP="00EE036F">
      <w:pPr>
        <w:widowControl w:val="0"/>
        <w:numPr>
          <w:ilvl w:val="0"/>
          <w:numId w:val="13"/>
        </w:numPr>
        <w:tabs>
          <w:tab w:val="clear" w:pos="1440"/>
        </w:tabs>
        <w:autoSpaceDE w:val="0"/>
        <w:autoSpaceDN w:val="0"/>
        <w:adjustRightInd w:val="0"/>
        <w:spacing w:after="0"/>
        <w:ind w:left="567" w:hanging="284"/>
        <w:jc w:val="both"/>
        <w:rPr>
          <w:rFonts w:ascii="Arial" w:hAnsi="Arial" w:cs="Arial"/>
          <w:sz w:val="24"/>
          <w:szCs w:val="24"/>
          <w:lang w:val="fr-FR"/>
        </w:rPr>
      </w:pPr>
      <w:r w:rsidRPr="00EE036F">
        <w:rPr>
          <w:rFonts w:ascii="Arial" w:hAnsi="Arial" w:cs="Arial"/>
          <w:sz w:val="24"/>
          <w:szCs w:val="24"/>
          <w:lang w:val="ro-RO"/>
        </w:rPr>
        <w:t>Montare panou de informare privind proiectul;</w:t>
      </w:r>
    </w:p>
    <w:p w:rsidR="00EE036F" w:rsidRDefault="00EE036F" w:rsidP="00EE036F">
      <w:pPr>
        <w:pStyle w:val="ListParagraph"/>
        <w:autoSpaceDE w:val="0"/>
        <w:autoSpaceDN w:val="0"/>
        <w:adjustRightInd w:val="0"/>
        <w:spacing w:line="276" w:lineRule="auto"/>
        <w:ind w:left="0" w:firstLine="262"/>
        <w:jc w:val="both"/>
        <w:rPr>
          <w:rFonts w:ascii="Arial" w:hAnsi="Arial" w:cs="Arial"/>
          <w:sz w:val="24"/>
          <w:szCs w:val="24"/>
          <w:lang w:val="fr-FR"/>
        </w:rPr>
      </w:pPr>
      <w:r w:rsidRPr="00EE036F">
        <w:rPr>
          <w:rFonts w:ascii="Arial" w:hAnsi="Arial" w:cs="Arial"/>
          <w:sz w:val="24"/>
          <w:szCs w:val="24"/>
          <w:lang w:val="fr-FR"/>
        </w:rPr>
        <w:t>In perioada de executie a lucrarilor, toate utilajele/echipamentele necesare pentru activitatile prevazute, vor fi instalate intr-o zona apropiata de cea a lucrarii executate (cel mai apropiat parc apartinand OMV Petrom SA).</w:t>
      </w:r>
    </w:p>
    <w:p w:rsidR="00DF5A8B" w:rsidRDefault="00DF5A8B"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9E6751" w:rsidRDefault="009E6751"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9E6751" w:rsidRDefault="009E6751"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9E6751" w:rsidRDefault="009E6751"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9E6751" w:rsidRDefault="009E6751"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9E6751" w:rsidRPr="00EE036F" w:rsidRDefault="009E6751" w:rsidP="00EE036F">
      <w:pPr>
        <w:pStyle w:val="ListParagraph"/>
        <w:autoSpaceDE w:val="0"/>
        <w:autoSpaceDN w:val="0"/>
        <w:adjustRightInd w:val="0"/>
        <w:spacing w:line="276" w:lineRule="auto"/>
        <w:ind w:left="0" w:firstLine="262"/>
        <w:jc w:val="both"/>
        <w:rPr>
          <w:rFonts w:ascii="Arial" w:hAnsi="Arial" w:cs="Arial"/>
          <w:sz w:val="24"/>
          <w:szCs w:val="24"/>
          <w:lang w:val="fr-FR"/>
        </w:rPr>
      </w:pPr>
    </w:p>
    <w:p w:rsidR="00EE036F" w:rsidRPr="00E321C3" w:rsidRDefault="00EE036F" w:rsidP="00EE036F">
      <w:pPr>
        <w:pStyle w:val="Heading3"/>
        <w:numPr>
          <w:ilvl w:val="0"/>
          <w:numId w:val="6"/>
        </w:numPr>
        <w:spacing w:before="40"/>
        <w:ind w:left="567" w:hanging="567"/>
        <w:jc w:val="both"/>
        <w:rPr>
          <w:rFonts w:ascii="Arial" w:hAnsi="Arial" w:cs="Arial"/>
          <w:color w:val="000000" w:themeColor="text1"/>
          <w:sz w:val="24"/>
          <w:szCs w:val="24"/>
        </w:rPr>
      </w:pPr>
      <w:bookmarkStart w:id="4" w:name="_Toc453252646"/>
      <w:bookmarkStart w:id="5" w:name="_Toc489456794"/>
      <w:bookmarkStart w:id="6" w:name="_Toc22111938"/>
      <w:bookmarkEnd w:id="2"/>
      <w:bookmarkEnd w:id="3"/>
      <w:r w:rsidRPr="00E321C3">
        <w:rPr>
          <w:rFonts w:ascii="Arial" w:hAnsi="Arial" w:cs="Arial"/>
          <w:color w:val="000000" w:themeColor="text1"/>
          <w:sz w:val="24"/>
          <w:szCs w:val="24"/>
        </w:rPr>
        <w:t>Deconectarea utilităților</w:t>
      </w:r>
      <w:bookmarkEnd w:id="4"/>
      <w:bookmarkEnd w:id="5"/>
      <w:bookmarkEnd w:id="6"/>
      <w:r w:rsidRPr="00E321C3">
        <w:rPr>
          <w:rFonts w:ascii="Arial" w:hAnsi="Arial" w:cs="Arial"/>
          <w:color w:val="000000" w:themeColor="text1"/>
          <w:sz w:val="24"/>
          <w:szCs w:val="24"/>
        </w:rPr>
        <w:t xml:space="preserve"> </w:t>
      </w:r>
    </w:p>
    <w:p w:rsidR="00EE036F" w:rsidRPr="00E321C3" w:rsidRDefault="00EE036F" w:rsidP="00EE036F">
      <w:pPr>
        <w:ind w:firstLine="567"/>
        <w:jc w:val="both"/>
        <w:rPr>
          <w:rFonts w:ascii="Arial" w:hAnsi="Arial" w:cs="Arial"/>
          <w:sz w:val="24"/>
          <w:szCs w:val="24"/>
          <w:lang w:val="fr-FR"/>
        </w:rPr>
      </w:pPr>
      <w:r w:rsidRPr="00E321C3">
        <w:rPr>
          <w:rFonts w:ascii="Arial" w:hAnsi="Arial" w:cs="Arial"/>
          <w:sz w:val="24"/>
          <w:szCs w:val="24"/>
          <w:lang w:val="fr-FR"/>
        </w:rPr>
        <w:t>Inainte de inceperea lucrărilor propuse se vor efectua urmatoarele activitat de catre firme autorizate in acest sens:</w:t>
      </w:r>
    </w:p>
    <w:p w:rsidR="00EE036F" w:rsidRPr="00E321C3" w:rsidRDefault="00EE036F" w:rsidP="00EE036F">
      <w:pPr>
        <w:pStyle w:val="ListParagraph"/>
        <w:numPr>
          <w:ilvl w:val="0"/>
          <w:numId w:val="4"/>
        </w:numPr>
        <w:autoSpaceDE w:val="0"/>
        <w:autoSpaceDN w:val="0"/>
        <w:adjustRightInd w:val="0"/>
        <w:spacing w:line="276" w:lineRule="auto"/>
        <w:ind w:left="567"/>
        <w:contextualSpacing/>
        <w:jc w:val="both"/>
        <w:rPr>
          <w:rFonts w:ascii="Arial" w:hAnsi="Arial" w:cs="Arial"/>
          <w:sz w:val="24"/>
          <w:szCs w:val="24"/>
          <w:lang w:val="fr-FR"/>
        </w:rPr>
      </w:pPr>
      <w:r w:rsidRPr="00E321C3">
        <w:rPr>
          <w:rFonts w:ascii="Arial" w:hAnsi="Arial" w:cs="Arial"/>
          <w:sz w:val="24"/>
          <w:szCs w:val="24"/>
          <w:lang w:val="fr-FR"/>
        </w:rPr>
        <w:t>se va efectua debranșarea de la rețelele de alimentare cu energie electrica ;</w:t>
      </w:r>
    </w:p>
    <w:p w:rsidR="00EE036F" w:rsidRDefault="00EE036F" w:rsidP="00EE036F">
      <w:pPr>
        <w:pStyle w:val="ListParagraph"/>
        <w:numPr>
          <w:ilvl w:val="0"/>
          <w:numId w:val="4"/>
        </w:numPr>
        <w:autoSpaceDE w:val="0"/>
        <w:autoSpaceDN w:val="0"/>
        <w:adjustRightInd w:val="0"/>
        <w:spacing w:line="276" w:lineRule="auto"/>
        <w:ind w:left="567"/>
        <w:contextualSpacing/>
        <w:jc w:val="both"/>
        <w:rPr>
          <w:rFonts w:ascii="Arial" w:hAnsi="Arial" w:cs="Arial"/>
          <w:sz w:val="24"/>
          <w:szCs w:val="24"/>
          <w:lang w:val="fr-FR"/>
        </w:rPr>
      </w:pPr>
      <w:r w:rsidRPr="00E321C3">
        <w:rPr>
          <w:rFonts w:ascii="Arial" w:hAnsi="Arial" w:cs="Arial"/>
          <w:sz w:val="24"/>
          <w:szCs w:val="24"/>
          <w:lang w:val="fr-FR"/>
        </w:rPr>
        <w:t>se va verifica existența tensiunii la cablurile electrice existente pe amplasament după care se va proceda la dezafectarea lor.</w:t>
      </w:r>
    </w:p>
    <w:p w:rsidR="00DF5A8B" w:rsidRPr="00E321C3" w:rsidRDefault="00DF5A8B" w:rsidP="00344B28">
      <w:pPr>
        <w:pStyle w:val="ListParagraph"/>
        <w:autoSpaceDE w:val="0"/>
        <w:autoSpaceDN w:val="0"/>
        <w:adjustRightInd w:val="0"/>
        <w:spacing w:line="276" w:lineRule="auto"/>
        <w:ind w:left="567"/>
        <w:contextualSpacing/>
        <w:jc w:val="both"/>
        <w:rPr>
          <w:rFonts w:ascii="Arial" w:hAnsi="Arial" w:cs="Arial"/>
          <w:sz w:val="24"/>
          <w:szCs w:val="24"/>
          <w:lang w:val="fr-FR"/>
        </w:rPr>
      </w:pPr>
    </w:p>
    <w:p w:rsidR="00EE036F" w:rsidRPr="00E321C3" w:rsidRDefault="00EE036F" w:rsidP="00EE036F">
      <w:pPr>
        <w:pStyle w:val="Heading3"/>
        <w:numPr>
          <w:ilvl w:val="0"/>
          <w:numId w:val="5"/>
        </w:numPr>
        <w:spacing w:before="40"/>
        <w:ind w:left="567" w:hanging="567"/>
        <w:jc w:val="both"/>
        <w:rPr>
          <w:rFonts w:ascii="Arial" w:hAnsi="Arial" w:cs="Arial"/>
          <w:b w:val="0"/>
          <w:color w:val="000000" w:themeColor="text1"/>
          <w:sz w:val="24"/>
          <w:szCs w:val="24"/>
          <w:lang w:val="fr-FR"/>
        </w:rPr>
      </w:pPr>
      <w:bookmarkStart w:id="7" w:name="_Toc453252647"/>
      <w:bookmarkStart w:id="8" w:name="_Toc489456795"/>
      <w:bookmarkStart w:id="9" w:name="_Toc22111939"/>
      <w:r w:rsidRPr="00E321C3">
        <w:rPr>
          <w:rStyle w:val="Heading3Char"/>
          <w:rFonts w:ascii="Arial" w:hAnsi="Arial" w:cs="Arial"/>
          <w:color w:val="000000" w:themeColor="text1"/>
          <w:sz w:val="24"/>
          <w:szCs w:val="24"/>
          <w:lang w:val="fr-FR"/>
        </w:rPr>
        <w:t>Debranșare și dezafectare a conductelor și instalațiilor tehnologice</w:t>
      </w:r>
      <w:bookmarkEnd w:id="7"/>
      <w:bookmarkEnd w:id="8"/>
      <w:bookmarkEnd w:id="9"/>
    </w:p>
    <w:p w:rsidR="00EE036F" w:rsidRPr="00E321C3" w:rsidRDefault="009E6751" w:rsidP="00E321C3">
      <w:pPr>
        <w:autoSpaceDE w:val="0"/>
        <w:autoSpaceDN w:val="0"/>
        <w:adjustRightInd w:val="0"/>
        <w:spacing w:after="0" w:line="240" w:lineRule="auto"/>
        <w:ind w:firstLine="562"/>
        <w:jc w:val="both"/>
        <w:rPr>
          <w:rFonts w:ascii="Arial" w:hAnsi="Arial" w:cs="Arial"/>
          <w:color w:val="FF0000"/>
          <w:sz w:val="24"/>
          <w:szCs w:val="24"/>
          <w:lang w:val="fr-FR"/>
        </w:rPr>
      </w:pPr>
      <w:bookmarkStart w:id="10" w:name="_Hlk493506834"/>
      <w:r w:rsidRPr="009E6751">
        <w:rPr>
          <w:rFonts w:ascii="Arial" w:hAnsi="Arial" w:cs="Arial"/>
          <w:sz w:val="24"/>
          <w:szCs w:val="24"/>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r w:rsidR="00EE036F" w:rsidRPr="00E321C3">
        <w:rPr>
          <w:rFonts w:ascii="Arial" w:hAnsi="Arial" w:cs="Arial"/>
          <w:sz w:val="24"/>
          <w:szCs w:val="24"/>
          <w:lang w:val="fr-FR"/>
        </w:rPr>
        <w:t xml:space="preserve">. </w:t>
      </w:r>
    </w:p>
    <w:p w:rsidR="00E321C3" w:rsidRDefault="00E321C3" w:rsidP="00E321C3">
      <w:pPr>
        <w:autoSpaceDE w:val="0"/>
        <w:autoSpaceDN w:val="0"/>
        <w:adjustRightInd w:val="0"/>
        <w:spacing w:after="0" w:line="240" w:lineRule="auto"/>
        <w:ind w:firstLine="562"/>
        <w:jc w:val="both"/>
        <w:rPr>
          <w:rFonts w:ascii="Arial" w:hAnsi="Arial" w:cs="Arial"/>
          <w:sz w:val="24"/>
          <w:szCs w:val="24"/>
          <w:lang w:val="fr-FR"/>
        </w:rPr>
      </w:pPr>
    </w:p>
    <w:p w:rsidR="00EE036F" w:rsidRPr="00E321C3" w:rsidRDefault="00EE036F" w:rsidP="00E321C3">
      <w:pPr>
        <w:spacing w:after="0" w:line="240" w:lineRule="auto"/>
        <w:ind w:firstLine="567"/>
        <w:jc w:val="both"/>
        <w:rPr>
          <w:rFonts w:ascii="Arial" w:hAnsi="Arial" w:cs="Arial"/>
          <w:sz w:val="24"/>
          <w:szCs w:val="24"/>
          <w:lang w:val="fr-FR"/>
        </w:rPr>
      </w:pPr>
      <w:r w:rsidRPr="00E321C3">
        <w:rPr>
          <w:rFonts w:ascii="Arial" w:hAnsi="Arial" w:cs="Arial"/>
          <w:sz w:val="24"/>
          <w:szCs w:val="24"/>
          <w:lang w:val="fr-FR"/>
        </w:rPr>
        <w:t>Premergător dezafectării conductelor se vor lua următoarele măsuri:</w:t>
      </w:r>
    </w:p>
    <w:p w:rsidR="00EE036F" w:rsidRPr="00E321C3" w:rsidRDefault="00EE036F" w:rsidP="00E321C3">
      <w:pPr>
        <w:pStyle w:val="ListParagraph"/>
        <w:numPr>
          <w:ilvl w:val="0"/>
          <w:numId w:val="4"/>
        </w:numPr>
        <w:autoSpaceDE w:val="0"/>
        <w:autoSpaceDN w:val="0"/>
        <w:adjustRightInd w:val="0"/>
        <w:ind w:left="567" w:hanging="283"/>
        <w:contextualSpacing/>
        <w:jc w:val="both"/>
        <w:rPr>
          <w:rFonts w:ascii="Arial" w:hAnsi="Arial" w:cs="Arial"/>
          <w:sz w:val="24"/>
          <w:szCs w:val="24"/>
          <w:lang w:val="fr-FR"/>
        </w:rPr>
      </w:pPr>
      <w:r w:rsidRPr="00E321C3">
        <w:rPr>
          <w:rFonts w:ascii="Arial" w:hAnsi="Arial" w:cs="Arial"/>
          <w:sz w:val="24"/>
          <w:szCs w:val="24"/>
          <w:lang w:val="fr-FR"/>
        </w:rPr>
        <w:t>se va împrejmui zona de lucru cu banda de semnalizare și se vor monta panouri de avertizare asupra pericolelor;</w:t>
      </w:r>
    </w:p>
    <w:p w:rsidR="00EE036F" w:rsidRPr="00E321C3" w:rsidRDefault="00EE036F" w:rsidP="00EE036F">
      <w:pPr>
        <w:pStyle w:val="ListParagraph"/>
        <w:numPr>
          <w:ilvl w:val="0"/>
          <w:numId w:val="4"/>
        </w:numPr>
        <w:autoSpaceDE w:val="0"/>
        <w:autoSpaceDN w:val="0"/>
        <w:adjustRightInd w:val="0"/>
        <w:spacing w:line="276" w:lineRule="auto"/>
        <w:ind w:left="567" w:hanging="283"/>
        <w:contextualSpacing/>
        <w:jc w:val="both"/>
        <w:rPr>
          <w:rFonts w:ascii="Arial" w:hAnsi="Arial" w:cs="Arial"/>
          <w:sz w:val="24"/>
          <w:szCs w:val="24"/>
        </w:rPr>
      </w:pPr>
      <w:r w:rsidRPr="00E321C3">
        <w:rPr>
          <w:rFonts w:ascii="Arial" w:hAnsi="Arial" w:cs="Arial"/>
          <w:sz w:val="24"/>
          <w:szCs w:val="24"/>
        </w:rPr>
        <w:t>șantierul va fi dotat cu echipamente necesare stingerii incendiilor;</w:t>
      </w:r>
    </w:p>
    <w:p w:rsidR="00EE036F" w:rsidRPr="00E321C3" w:rsidRDefault="00EE036F" w:rsidP="00EE036F">
      <w:pPr>
        <w:pStyle w:val="ListParagraph"/>
        <w:numPr>
          <w:ilvl w:val="0"/>
          <w:numId w:val="4"/>
        </w:numPr>
        <w:autoSpaceDE w:val="0"/>
        <w:autoSpaceDN w:val="0"/>
        <w:adjustRightInd w:val="0"/>
        <w:spacing w:line="276" w:lineRule="auto"/>
        <w:ind w:left="567" w:hanging="283"/>
        <w:contextualSpacing/>
        <w:jc w:val="both"/>
        <w:rPr>
          <w:rFonts w:ascii="Arial" w:hAnsi="Arial" w:cs="Arial"/>
          <w:sz w:val="24"/>
          <w:szCs w:val="24"/>
        </w:rPr>
      </w:pPr>
      <w:r w:rsidRPr="00E321C3">
        <w:rPr>
          <w:rFonts w:ascii="Arial" w:hAnsi="Arial" w:cs="Arial"/>
          <w:sz w:val="24"/>
          <w:szCs w:val="24"/>
        </w:rPr>
        <w:t>personalul prezent pe șantier va fi instruit în vederea respectării normelor de protecție a muncii și utilizarea echipamentelor de stingere a incendiilor;</w:t>
      </w:r>
    </w:p>
    <w:p w:rsidR="00EE036F" w:rsidRPr="00E321C3" w:rsidRDefault="00EE036F" w:rsidP="00EE036F">
      <w:pPr>
        <w:autoSpaceDE w:val="0"/>
        <w:autoSpaceDN w:val="0"/>
        <w:adjustRightInd w:val="0"/>
        <w:ind w:firstLine="567"/>
        <w:jc w:val="both"/>
        <w:rPr>
          <w:rFonts w:ascii="Arial" w:hAnsi="Arial" w:cs="Arial"/>
          <w:sz w:val="24"/>
          <w:szCs w:val="24"/>
          <w:lang w:val="fr-FR"/>
        </w:rPr>
      </w:pPr>
      <w:r w:rsidRPr="00E321C3">
        <w:rPr>
          <w:rFonts w:ascii="Arial" w:hAnsi="Arial" w:cs="Arial"/>
          <w:sz w:val="24"/>
          <w:szCs w:val="24"/>
          <w:lang w:val="fr-FR"/>
        </w:rPr>
        <w:t>Deșeurile metalice rezultate vor fi depozitate în locul special amenajat pentru depozitarea deșeurilor, urmând ca la finalul lucrărilor să fie predate către firme autorizate de recuperare și valorificare a deșeurilor refolosibile.</w:t>
      </w:r>
    </w:p>
    <w:p w:rsidR="00EE036F" w:rsidRDefault="00EE036F" w:rsidP="00E321C3">
      <w:pPr>
        <w:pStyle w:val="Heading3"/>
        <w:numPr>
          <w:ilvl w:val="0"/>
          <w:numId w:val="5"/>
        </w:numPr>
        <w:spacing w:before="40" w:line="240" w:lineRule="auto"/>
        <w:ind w:left="567" w:hanging="567"/>
        <w:jc w:val="both"/>
        <w:rPr>
          <w:rFonts w:ascii="Arial" w:hAnsi="Arial" w:cs="Arial"/>
          <w:caps/>
          <w:color w:val="000000" w:themeColor="text1"/>
          <w:sz w:val="24"/>
          <w:szCs w:val="24"/>
        </w:rPr>
      </w:pPr>
      <w:bookmarkStart w:id="11" w:name="_Toc489456796"/>
      <w:bookmarkStart w:id="12" w:name="_Toc22111940"/>
      <w:bookmarkEnd w:id="10"/>
      <w:r w:rsidRPr="00E321C3">
        <w:rPr>
          <w:rFonts w:ascii="Arial" w:hAnsi="Arial" w:cs="Arial"/>
          <w:caps/>
          <w:color w:val="000000" w:themeColor="text1"/>
          <w:sz w:val="24"/>
          <w:szCs w:val="24"/>
        </w:rPr>
        <w:t>L</w:t>
      </w:r>
      <w:bookmarkEnd w:id="11"/>
      <w:r w:rsidRPr="00E321C3">
        <w:rPr>
          <w:rFonts w:ascii="Arial" w:hAnsi="Arial" w:cs="Arial"/>
          <w:caps/>
          <w:color w:val="000000" w:themeColor="text1"/>
          <w:sz w:val="24"/>
          <w:szCs w:val="24"/>
        </w:rPr>
        <w:t>ucr</w:t>
      </w:r>
      <w:r w:rsidR="00E321C3">
        <w:rPr>
          <w:rFonts w:ascii="Arial" w:hAnsi="Arial" w:cs="Arial"/>
          <w:caps/>
          <w:color w:val="000000" w:themeColor="text1"/>
          <w:sz w:val="24"/>
          <w:szCs w:val="24"/>
        </w:rPr>
        <w:t>ă</w:t>
      </w:r>
      <w:r w:rsidRPr="00E321C3">
        <w:rPr>
          <w:rFonts w:ascii="Arial" w:hAnsi="Arial" w:cs="Arial"/>
          <w:caps/>
          <w:color w:val="000000" w:themeColor="text1"/>
          <w:sz w:val="24"/>
          <w:szCs w:val="24"/>
        </w:rPr>
        <w:t>ri de Demolare</w:t>
      </w:r>
      <w:bookmarkEnd w:id="12"/>
    </w:p>
    <w:p w:rsidR="00DF5A8B" w:rsidRPr="00DF5A8B" w:rsidRDefault="00DF5A8B" w:rsidP="00DF5A8B"/>
    <w:p w:rsidR="00EE036F" w:rsidRPr="00E321C3" w:rsidRDefault="00EE036F" w:rsidP="00E321C3">
      <w:pPr>
        <w:pStyle w:val="Heading4"/>
        <w:numPr>
          <w:ilvl w:val="0"/>
          <w:numId w:val="8"/>
        </w:numPr>
        <w:spacing w:before="0" w:line="240" w:lineRule="auto"/>
        <w:ind w:left="709" w:hanging="709"/>
        <w:jc w:val="both"/>
        <w:rPr>
          <w:rFonts w:ascii="Arial" w:hAnsi="Arial" w:cs="Arial"/>
          <w:color w:val="auto"/>
          <w:sz w:val="24"/>
          <w:szCs w:val="24"/>
        </w:rPr>
      </w:pPr>
      <w:r w:rsidRPr="00E321C3">
        <w:rPr>
          <w:rFonts w:ascii="Arial" w:hAnsi="Arial" w:cs="Arial"/>
          <w:color w:val="auto"/>
          <w:sz w:val="24"/>
          <w:szCs w:val="24"/>
        </w:rPr>
        <w:t>Demolarea structurilor din beton</w:t>
      </w:r>
    </w:p>
    <w:p w:rsidR="00EE036F" w:rsidRPr="00E321C3" w:rsidRDefault="00EE036F" w:rsidP="00E321C3">
      <w:pPr>
        <w:spacing w:after="0" w:line="240" w:lineRule="auto"/>
        <w:ind w:firstLine="567"/>
        <w:jc w:val="both"/>
        <w:rPr>
          <w:rFonts w:ascii="Arial" w:hAnsi="Arial" w:cs="Arial"/>
          <w:sz w:val="24"/>
          <w:szCs w:val="24"/>
          <w:lang w:val="ro-RO"/>
        </w:rPr>
      </w:pPr>
      <w:r w:rsidRPr="00E321C3">
        <w:rPr>
          <w:rFonts w:ascii="Arial" w:hAnsi="Arial" w:cs="Arial"/>
          <w:sz w:val="24"/>
          <w:szCs w:val="24"/>
          <w:lang w:val="ro-RO"/>
        </w:rPr>
        <w:t>Pentru executarea acestor lucrări se pot stabili mai multe operatiuni tehnologice de lucru în funcție de următoarele condiții:</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r w:rsidRPr="00E321C3">
        <w:rPr>
          <w:rFonts w:ascii="Arial" w:hAnsi="Arial" w:cs="Arial"/>
          <w:sz w:val="24"/>
          <w:szCs w:val="24"/>
        </w:rPr>
        <w:t>tipurile de utilaje avute în dotare de societatea care execută demolarea;</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r w:rsidRPr="00E321C3">
        <w:rPr>
          <w:rFonts w:ascii="Arial" w:hAnsi="Arial" w:cs="Arial"/>
          <w:sz w:val="24"/>
          <w:szCs w:val="24"/>
        </w:rPr>
        <w:t>structura constructivă a elementelor din beton;</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lang w:val="nl-NL"/>
        </w:rPr>
      </w:pPr>
      <w:r w:rsidRPr="00E321C3">
        <w:rPr>
          <w:rFonts w:ascii="Arial" w:hAnsi="Arial" w:cs="Arial"/>
          <w:sz w:val="24"/>
          <w:szCs w:val="24"/>
          <w:lang w:val="nl-NL"/>
        </w:rPr>
        <w:t>poziția de lucru (orizontal sau vertical);</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r w:rsidRPr="00E321C3">
        <w:rPr>
          <w:rFonts w:ascii="Arial" w:hAnsi="Arial" w:cs="Arial"/>
          <w:sz w:val="24"/>
          <w:szCs w:val="24"/>
        </w:rPr>
        <w:t>dimensiunea lucrărilor executate;</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rPr>
      </w:pPr>
      <w:r w:rsidRPr="00E321C3">
        <w:rPr>
          <w:rFonts w:ascii="Arial" w:hAnsi="Arial" w:cs="Arial"/>
          <w:sz w:val="24"/>
          <w:szCs w:val="24"/>
        </w:rPr>
        <w:t>spațiul în care se execută operația;</w:t>
      </w:r>
    </w:p>
    <w:p w:rsidR="00EE036F" w:rsidRPr="00E321C3" w:rsidRDefault="00EE036F" w:rsidP="00E321C3">
      <w:pPr>
        <w:pStyle w:val="ListParagraph"/>
        <w:numPr>
          <w:ilvl w:val="0"/>
          <w:numId w:val="9"/>
        </w:numPr>
        <w:ind w:left="567" w:hanging="425"/>
        <w:contextualSpacing/>
        <w:jc w:val="both"/>
        <w:rPr>
          <w:rFonts w:ascii="Arial" w:hAnsi="Arial" w:cs="Arial"/>
          <w:sz w:val="24"/>
          <w:szCs w:val="24"/>
          <w:lang w:val="fr-FR"/>
        </w:rPr>
      </w:pPr>
      <w:r w:rsidRPr="00E321C3">
        <w:rPr>
          <w:rFonts w:ascii="Arial" w:hAnsi="Arial" w:cs="Arial"/>
          <w:sz w:val="24"/>
          <w:szCs w:val="24"/>
          <w:lang w:val="fr-FR"/>
        </w:rPr>
        <w:t>timpul avut la dispoziție pentru executarea lucrărilor;</w:t>
      </w:r>
    </w:p>
    <w:p w:rsidR="00EE036F" w:rsidRPr="00E321C3" w:rsidRDefault="00EE036F" w:rsidP="00E321C3">
      <w:pPr>
        <w:spacing w:after="0" w:line="240" w:lineRule="auto"/>
        <w:ind w:firstLine="567"/>
        <w:jc w:val="both"/>
        <w:rPr>
          <w:rFonts w:ascii="Arial" w:hAnsi="Arial" w:cs="Arial"/>
          <w:sz w:val="24"/>
          <w:szCs w:val="24"/>
          <w:lang w:val="fr-FR"/>
        </w:rPr>
      </w:pPr>
    </w:p>
    <w:p w:rsidR="00EE036F" w:rsidRPr="00E321C3" w:rsidRDefault="00EE036F" w:rsidP="00E321C3">
      <w:pPr>
        <w:spacing w:after="0" w:line="240" w:lineRule="auto"/>
        <w:ind w:firstLine="567"/>
        <w:jc w:val="both"/>
        <w:rPr>
          <w:rFonts w:ascii="Arial" w:hAnsi="Arial" w:cs="Arial"/>
          <w:sz w:val="24"/>
          <w:szCs w:val="24"/>
        </w:rPr>
      </w:pPr>
      <w:r w:rsidRPr="00E321C3">
        <w:rPr>
          <w:rFonts w:ascii="Arial" w:hAnsi="Arial" w:cs="Arial"/>
          <w:sz w:val="24"/>
          <w:szCs w:val="24"/>
        </w:rPr>
        <w:t>În funcție de utilajele folosite pentru demolarea structurilor din beton, se pot folosi următoarele metode:</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r w:rsidRPr="00E321C3">
        <w:rPr>
          <w:rFonts w:ascii="Arial" w:hAnsi="Arial" w:cs="Arial"/>
          <w:sz w:val="24"/>
          <w:szCs w:val="24"/>
        </w:rPr>
        <w:t>prin tragere sau împingere;</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r w:rsidRPr="00E321C3">
        <w:rPr>
          <w:rFonts w:ascii="Arial" w:hAnsi="Arial" w:cs="Arial"/>
          <w:sz w:val="24"/>
          <w:szCs w:val="24"/>
        </w:rPr>
        <w:t>prin răsturnare sau afundare;</w:t>
      </w:r>
    </w:p>
    <w:p w:rsidR="00EE036F" w:rsidRPr="00E321C3" w:rsidRDefault="00EE036F" w:rsidP="00E321C3">
      <w:pPr>
        <w:pStyle w:val="ListParagraph"/>
        <w:numPr>
          <w:ilvl w:val="1"/>
          <w:numId w:val="7"/>
        </w:numPr>
        <w:ind w:left="567" w:hanging="425"/>
        <w:contextualSpacing/>
        <w:jc w:val="both"/>
        <w:rPr>
          <w:rFonts w:ascii="Arial" w:hAnsi="Arial" w:cs="Arial"/>
          <w:sz w:val="24"/>
          <w:szCs w:val="24"/>
        </w:rPr>
      </w:pPr>
      <w:r w:rsidRPr="00E321C3">
        <w:rPr>
          <w:rFonts w:ascii="Arial" w:hAnsi="Arial" w:cs="Arial"/>
          <w:sz w:val="24"/>
          <w:szCs w:val="24"/>
        </w:rPr>
        <w:t>prin utilizarea excavatorului;</w:t>
      </w:r>
    </w:p>
    <w:p w:rsidR="00EE036F" w:rsidRPr="00E321C3" w:rsidRDefault="00EE036F" w:rsidP="00E321C3">
      <w:pPr>
        <w:spacing w:after="0" w:line="240" w:lineRule="auto"/>
        <w:ind w:firstLine="567"/>
        <w:jc w:val="both"/>
        <w:rPr>
          <w:rFonts w:ascii="Arial" w:hAnsi="Arial" w:cs="Arial"/>
          <w:sz w:val="24"/>
          <w:szCs w:val="24"/>
        </w:rPr>
      </w:pPr>
      <w:r w:rsidRPr="00E321C3">
        <w:rPr>
          <w:rFonts w:ascii="Arial" w:hAnsi="Arial" w:cs="Arial"/>
          <w:sz w:val="24"/>
          <w:szCs w:val="24"/>
        </w:rPr>
        <w:t>Dezafectarea fundațiilor de beton se va face prin mijloace mecanice. Operațiunea de  dezafectare a elementelor din beton va fi precedată de săpătura pământului din jurul betonului.</w:t>
      </w:r>
    </w:p>
    <w:p w:rsidR="00EE036F" w:rsidRDefault="00EE036F" w:rsidP="00E321C3">
      <w:pPr>
        <w:spacing w:after="0" w:line="240" w:lineRule="auto"/>
        <w:ind w:firstLine="567"/>
        <w:jc w:val="both"/>
        <w:rPr>
          <w:rFonts w:ascii="Arial" w:hAnsi="Arial" w:cs="Arial"/>
          <w:sz w:val="24"/>
          <w:szCs w:val="24"/>
        </w:rPr>
      </w:pPr>
      <w:r w:rsidRPr="00E321C3">
        <w:rPr>
          <w:rFonts w:ascii="Arial" w:hAnsi="Arial" w:cs="Arial"/>
          <w:sz w:val="24"/>
          <w:szCs w:val="24"/>
        </w:rPr>
        <w:t>Beciul sondei se va curata si desființa. Se va acorda atenție sporită ca în timpul lucrărilor de desființare să nu fie afectată coloana sondei</w:t>
      </w:r>
    </w:p>
    <w:p w:rsidR="00344B28" w:rsidRDefault="00344B28" w:rsidP="00E321C3">
      <w:pPr>
        <w:spacing w:after="0" w:line="240" w:lineRule="auto"/>
        <w:ind w:firstLine="567"/>
        <w:jc w:val="both"/>
        <w:rPr>
          <w:rFonts w:ascii="Arial" w:hAnsi="Arial" w:cs="Arial"/>
          <w:sz w:val="24"/>
          <w:szCs w:val="24"/>
        </w:rPr>
      </w:pPr>
    </w:p>
    <w:p w:rsidR="00344B28" w:rsidRDefault="00344B28" w:rsidP="00E321C3">
      <w:pPr>
        <w:spacing w:after="0" w:line="240" w:lineRule="auto"/>
        <w:ind w:firstLine="567"/>
        <w:jc w:val="both"/>
        <w:rPr>
          <w:rFonts w:ascii="Arial" w:hAnsi="Arial" w:cs="Arial"/>
          <w:sz w:val="24"/>
          <w:szCs w:val="24"/>
        </w:rPr>
      </w:pPr>
    </w:p>
    <w:p w:rsidR="00344B28" w:rsidRDefault="00344B28" w:rsidP="00E321C3">
      <w:pPr>
        <w:spacing w:after="0" w:line="240" w:lineRule="auto"/>
        <w:ind w:firstLine="567"/>
        <w:jc w:val="both"/>
        <w:rPr>
          <w:rFonts w:ascii="Arial" w:hAnsi="Arial" w:cs="Arial"/>
          <w:sz w:val="24"/>
          <w:szCs w:val="24"/>
        </w:rPr>
      </w:pPr>
    </w:p>
    <w:p w:rsidR="00344B28" w:rsidRPr="00E321C3" w:rsidRDefault="00344B28" w:rsidP="00E321C3">
      <w:pPr>
        <w:spacing w:after="0" w:line="240" w:lineRule="auto"/>
        <w:ind w:firstLine="567"/>
        <w:jc w:val="both"/>
        <w:rPr>
          <w:rFonts w:ascii="Arial" w:hAnsi="Arial" w:cs="Arial"/>
          <w:sz w:val="24"/>
          <w:szCs w:val="24"/>
        </w:rPr>
      </w:pPr>
    </w:p>
    <w:p w:rsidR="00344B28" w:rsidRPr="00344B28" w:rsidRDefault="00344B28" w:rsidP="00344B28">
      <w:pPr>
        <w:keepNext/>
        <w:keepLines/>
        <w:numPr>
          <w:ilvl w:val="0"/>
          <w:numId w:val="8"/>
        </w:numPr>
        <w:spacing w:before="240" w:after="0" w:line="240" w:lineRule="auto"/>
        <w:ind w:left="567" w:hanging="567"/>
        <w:jc w:val="both"/>
        <w:outlineLvl w:val="3"/>
        <w:rPr>
          <w:rFonts w:ascii="Arial" w:eastAsia="Times New Roman" w:hAnsi="Arial" w:cs="Arial"/>
          <w:b/>
          <w:bCs/>
          <w:i/>
          <w:iCs/>
          <w:sz w:val="24"/>
          <w:szCs w:val="24"/>
          <w:lang w:val="ro-RO" w:eastAsia="ro-RO"/>
        </w:rPr>
      </w:pPr>
      <w:bookmarkStart w:id="13" w:name="_Toc485364220"/>
      <w:bookmarkStart w:id="14" w:name="_Toc534290157"/>
      <w:r w:rsidRPr="00344B28">
        <w:rPr>
          <w:rFonts w:ascii="Arial" w:eastAsia="Times New Roman" w:hAnsi="Arial" w:cs="Arial"/>
          <w:b/>
          <w:bCs/>
          <w:i/>
          <w:iCs/>
          <w:sz w:val="24"/>
          <w:szCs w:val="24"/>
          <w:lang w:val="ro-RO" w:eastAsia="ro-RO"/>
        </w:rPr>
        <w:t>Dezafectarea  zonei de slam bituminizat</w:t>
      </w:r>
      <w:bookmarkEnd w:id="13"/>
      <w:bookmarkEnd w:id="14"/>
    </w:p>
    <w:p w:rsidR="00344B28" w:rsidRPr="00344B28" w:rsidRDefault="00344B28" w:rsidP="00344B28">
      <w:pPr>
        <w:spacing w:after="0" w:line="340" w:lineRule="atLeast"/>
        <w:ind w:firstLine="567"/>
        <w:jc w:val="both"/>
        <w:rPr>
          <w:rFonts w:ascii="Arial" w:hAnsi="Arial" w:cs="Arial"/>
          <w:sz w:val="24"/>
          <w:szCs w:val="24"/>
        </w:rPr>
      </w:pPr>
      <w:r w:rsidRPr="00344B28">
        <w:rPr>
          <w:rFonts w:ascii="Arial" w:hAnsi="Arial" w:cs="Arial"/>
          <w:sz w:val="24"/>
          <w:szCs w:val="24"/>
        </w:rPr>
        <w:t>Dezafectarea suprafetei ce contine slam bituminizat, identificata pe amplasament (S=20 mp),  se va realiza prin îndepărtarea stratului de slam. Se va preda la societăți autorizate în colec</w:t>
      </w:r>
      <w:r w:rsidRPr="00344B28">
        <w:rPr>
          <w:rFonts w:ascii="Arial" w:hAnsi="Arial" w:cs="Arial"/>
          <w:sz w:val="24"/>
          <w:szCs w:val="24"/>
        </w:rPr>
        <w:softHyphen/>
        <w:t>ta</w:t>
      </w:r>
      <w:r w:rsidRPr="00344B28">
        <w:rPr>
          <w:rFonts w:ascii="Arial" w:hAnsi="Arial" w:cs="Arial"/>
          <w:sz w:val="24"/>
          <w:szCs w:val="24"/>
        </w:rPr>
        <w:softHyphen/>
        <w:t>re/eli</w:t>
      </w:r>
      <w:r w:rsidRPr="00344B28">
        <w:rPr>
          <w:rFonts w:ascii="Arial" w:hAnsi="Arial" w:cs="Arial"/>
          <w:sz w:val="24"/>
          <w:szCs w:val="24"/>
        </w:rPr>
        <w:softHyphen/>
        <w:t>minare.</w:t>
      </w:r>
    </w:p>
    <w:p w:rsidR="00344B28" w:rsidRPr="00344B28" w:rsidRDefault="00344B28" w:rsidP="00344B28">
      <w:pPr>
        <w:keepNext/>
        <w:keepLines/>
        <w:numPr>
          <w:ilvl w:val="0"/>
          <w:numId w:val="8"/>
        </w:numPr>
        <w:spacing w:before="240" w:after="0" w:line="240" w:lineRule="auto"/>
        <w:ind w:left="567" w:hanging="567"/>
        <w:jc w:val="both"/>
        <w:outlineLvl w:val="3"/>
        <w:rPr>
          <w:rFonts w:ascii="Arial" w:eastAsia="Times New Roman" w:hAnsi="Arial" w:cs="Arial"/>
          <w:b/>
          <w:bCs/>
          <w:i/>
          <w:iCs/>
          <w:sz w:val="24"/>
          <w:szCs w:val="24"/>
          <w:lang w:val="ro-RO" w:eastAsia="ro-RO"/>
        </w:rPr>
      </w:pPr>
      <w:bookmarkStart w:id="15" w:name="_Toc485364221"/>
      <w:bookmarkStart w:id="16" w:name="_Toc534290158"/>
      <w:r w:rsidRPr="00344B28">
        <w:rPr>
          <w:rFonts w:ascii="Arial" w:eastAsia="Times New Roman" w:hAnsi="Arial" w:cs="Arial"/>
          <w:b/>
          <w:bCs/>
          <w:i/>
          <w:iCs/>
          <w:sz w:val="24"/>
          <w:szCs w:val="24"/>
          <w:lang w:val="ro-RO" w:eastAsia="ro-RO"/>
        </w:rPr>
        <w:t xml:space="preserve">Dezafectarea </w:t>
      </w:r>
      <w:bookmarkEnd w:id="15"/>
      <w:r w:rsidRPr="00344B28">
        <w:rPr>
          <w:rFonts w:ascii="Arial" w:eastAsia="Times New Roman" w:hAnsi="Arial" w:cs="Arial"/>
          <w:b/>
          <w:bCs/>
          <w:i/>
          <w:iCs/>
          <w:sz w:val="24"/>
          <w:szCs w:val="24"/>
          <w:lang w:val="ro-RO" w:eastAsia="ro-RO"/>
        </w:rPr>
        <w:t>movile de pamant</w:t>
      </w:r>
      <w:bookmarkEnd w:id="16"/>
    </w:p>
    <w:p w:rsidR="00344B28" w:rsidRPr="00344B28" w:rsidRDefault="00344B28" w:rsidP="00344B28">
      <w:pPr>
        <w:spacing w:after="20" w:line="340" w:lineRule="atLeast"/>
        <w:ind w:firstLine="567"/>
        <w:jc w:val="both"/>
        <w:rPr>
          <w:rFonts w:ascii="Arial" w:hAnsi="Arial" w:cs="Arial"/>
          <w:sz w:val="24"/>
          <w:szCs w:val="24"/>
        </w:rPr>
      </w:pPr>
      <w:r w:rsidRPr="00344B28">
        <w:rPr>
          <w:rFonts w:ascii="Arial" w:hAnsi="Arial" w:cs="Arial"/>
          <w:sz w:val="24"/>
          <w:szCs w:val="24"/>
        </w:rPr>
        <w:t>Movila de pamant nepoluat identificata pe amplasament va fi dezafectat. Materialul rezultat va fi gestionat functie de caracteristicile acesteia, respectiv ca material de umplere sau in conformitate cu prevederile Legii 211/2011.</w:t>
      </w:r>
    </w:p>
    <w:p w:rsidR="00344B28" w:rsidRPr="00344B28" w:rsidRDefault="00344B28" w:rsidP="00344B28">
      <w:pPr>
        <w:keepNext/>
        <w:keepLines/>
        <w:numPr>
          <w:ilvl w:val="0"/>
          <w:numId w:val="8"/>
        </w:numPr>
        <w:spacing w:before="240" w:after="0" w:line="240" w:lineRule="auto"/>
        <w:ind w:left="567" w:hanging="567"/>
        <w:jc w:val="both"/>
        <w:outlineLvl w:val="3"/>
        <w:rPr>
          <w:rFonts w:ascii="Arial" w:eastAsia="Times New Roman" w:hAnsi="Arial" w:cs="Arial"/>
          <w:b/>
          <w:bCs/>
          <w:i/>
          <w:iCs/>
          <w:sz w:val="24"/>
          <w:szCs w:val="24"/>
          <w:lang w:val="ro-RO" w:eastAsia="ro-RO"/>
        </w:rPr>
      </w:pPr>
      <w:r w:rsidRPr="00344B28">
        <w:rPr>
          <w:rFonts w:ascii="Arial" w:eastAsia="Times New Roman" w:hAnsi="Arial" w:cs="Arial"/>
          <w:b/>
          <w:bCs/>
          <w:i/>
          <w:iCs/>
          <w:sz w:val="24"/>
          <w:szCs w:val="24"/>
          <w:lang w:val="ro-RO" w:eastAsia="ro-RO"/>
        </w:rPr>
        <w:t>Dezafectarea suprafetei de pamant cu pietris si a drumului de acces</w:t>
      </w:r>
    </w:p>
    <w:p w:rsidR="00344B28" w:rsidRPr="00344B28" w:rsidRDefault="00344B28" w:rsidP="00344B28">
      <w:pPr>
        <w:spacing w:after="0"/>
        <w:ind w:firstLine="709"/>
        <w:jc w:val="both"/>
        <w:rPr>
          <w:rFonts w:ascii="Arial" w:hAnsi="Arial" w:cs="Arial"/>
          <w:sz w:val="24"/>
          <w:szCs w:val="24"/>
          <w:lang w:val="fr-FR"/>
        </w:rPr>
      </w:pPr>
      <w:r w:rsidRPr="00344B28">
        <w:rPr>
          <w:rFonts w:ascii="Arial" w:hAnsi="Arial" w:cs="Arial"/>
          <w:sz w:val="24"/>
          <w:szCs w:val="24"/>
          <w:lang w:val="fr-FR"/>
        </w:rPr>
        <w:t xml:space="preserve">Dezafectarea </w:t>
      </w:r>
      <w:r w:rsidRPr="00344B28">
        <w:rPr>
          <w:rFonts w:ascii="Arial" w:hAnsi="Arial" w:cs="Arial"/>
          <w:sz w:val="24"/>
          <w:szCs w:val="24"/>
          <w:lang w:val="ro-RO"/>
        </w:rPr>
        <w:t xml:space="preserve">suprafetei de pamant cu pietris din cadrul amplasamentului </w:t>
      </w:r>
      <w:r w:rsidRPr="00344B28">
        <w:rPr>
          <w:rFonts w:ascii="Arial" w:hAnsi="Arial" w:cs="Arial"/>
          <w:sz w:val="24"/>
          <w:szCs w:val="24"/>
          <w:lang w:val="fr-FR"/>
        </w:rPr>
        <w:t>se va realiza prin îndepărtarea stratului format din amestecul de piatră și pământ. Inainte de dezafectare, daca se va considera necesar, se va efectua scarificarea suprafetei de pamant cu pietris ce se va dezafecta.</w:t>
      </w:r>
    </w:p>
    <w:p w:rsidR="00344B28" w:rsidRPr="00344B28" w:rsidRDefault="00344B28" w:rsidP="00344B28">
      <w:pPr>
        <w:spacing w:after="0"/>
        <w:ind w:firstLine="709"/>
        <w:jc w:val="both"/>
        <w:rPr>
          <w:rFonts w:ascii="Arial" w:hAnsi="Arial" w:cs="Arial"/>
          <w:sz w:val="24"/>
          <w:szCs w:val="24"/>
          <w:lang w:val="fr-FR"/>
        </w:rPr>
      </w:pPr>
      <w:r w:rsidRPr="00344B28">
        <w:rPr>
          <w:rFonts w:ascii="Arial" w:hAnsi="Arial" w:cs="Arial"/>
          <w:sz w:val="24"/>
          <w:szCs w:val="24"/>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344B28">
        <w:rPr>
          <w:rFonts w:ascii="Arial" w:hAnsi="Arial" w:cs="Arial"/>
          <w:sz w:val="24"/>
          <w:szCs w:val="24"/>
          <w:lang w:val="fr-FR"/>
        </w:rPr>
        <w:t xml:space="preserve"> </w:t>
      </w:r>
    </w:p>
    <w:p w:rsidR="00344B28" w:rsidRDefault="00344B28" w:rsidP="00344B28">
      <w:pPr>
        <w:spacing w:after="0"/>
        <w:ind w:firstLine="709"/>
        <w:jc w:val="both"/>
        <w:rPr>
          <w:rFonts w:ascii="Arial" w:hAnsi="Arial" w:cs="Arial"/>
          <w:sz w:val="24"/>
          <w:szCs w:val="24"/>
          <w:lang w:val="fr-FR"/>
        </w:rPr>
      </w:pPr>
      <w:r w:rsidRPr="00344B28">
        <w:rPr>
          <w:rFonts w:ascii="Arial" w:hAnsi="Arial" w:cs="Arial"/>
          <w:sz w:val="24"/>
          <w:szCs w:val="24"/>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rsidR="00344B28" w:rsidRPr="00344B28" w:rsidRDefault="00344B28" w:rsidP="00344B28">
      <w:pPr>
        <w:spacing w:after="0"/>
        <w:ind w:firstLine="709"/>
        <w:jc w:val="both"/>
        <w:rPr>
          <w:rFonts w:ascii="Arial" w:hAnsi="Arial" w:cs="Arial"/>
          <w:sz w:val="24"/>
          <w:szCs w:val="24"/>
          <w:lang w:val="ro-RO"/>
        </w:rPr>
      </w:pPr>
      <w:r w:rsidRPr="00344B28">
        <w:rPr>
          <w:rFonts w:ascii="Arial" w:hAnsi="Arial" w:cs="Arial"/>
          <w:sz w:val="24"/>
          <w:szCs w:val="24"/>
          <w:lang w:val="ro-RO"/>
        </w:rPr>
        <w:t xml:space="preserve">La finalizarea lucrărilor de demolare/desfiintare a elementelor de suprafata umplerea gropilor rezultate in urma lucrarilor de desfiintare se va realiza cu </w:t>
      </w:r>
      <w:r w:rsidRPr="00344B28">
        <w:rPr>
          <w:rFonts w:ascii="Arial" w:hAnsi="Arial" w:cs="Arial"/>
          <w:sz w:val="24"/>
          <w:szCs w:val="24"/>
        </w:rPr>
        <w:t>sol curat furnizat din surse autorizate în acest sens. Solul curat utilizat pentru umplutură trebuie să aibă categoria similară cu cea a solului învecinat amplasamentului. Ultimii 15 cm se vor umple cu sol curat furnizat din surse autorizate în acest sens</w:t>
      </w:r>
      <w:r w:rsidRPr="00344B28">
        <w:rPr>
          <w:rFonts w:ascii="Arial" w:hAnsi="Arial" w:cs="Arial"/>
          <w:sz w:val="24"/>
          <w:szCs w:val="24"/>
          <w:lang w:val="ro-RO"/>
        </w:rPr>
        <w:t xml:space="preserve">.   </w:t>
      </w:r>
    </w:p>
    <w:p w:rsidR="00344B28" w:rsidRPr="00344B28" w:rsidRDefault="00344B28" w:rsidP="00344B28">
      <w:pPr>
        <w:spacing w:after="0"/>
        <w:ind w:firstLine="709"/>
        <w:jc w:val="both"/>
        <w:rPr>
          <w:rFonts w:ascii="Arial" w:hAnsi="Arial" w:cs="Arial"/>
          <w:sz w:val="24"/>
          <w:szCs w:val="24"/>
          <w:lang w:val="fr-FR"/>
        </w:rPr>
      </w:pPr>
    </w:p>
    <w:p w:rsidR="0011227C" w:rsidRDefault="0011227C" w:rsidP="009C56CF">
      <w:pPr>
        <w:spacing w:after="0" w:line="240" w:lineRule="auto"/>
        <w:jc w:val="both"/>
        <w:rPr>
          <w:rFonts w:ascii="Arial" w:hAnsi="Arial" w:cs="Arial"/>
          <w:sz w:val="24"/>
          <w:szCs w:val="24"/>
          <w:lang w:val="ro-RO"/>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 de refacere a amplasamentului:</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344B28">
        <w:rPr>
          <w:rFonts w:ascii="Arial" w:hAnsi="Arial" w:cs="Arial"/>
          <w:b/>
          <w:i/>
          <w:sz w:val="24"/>
          <w:szCs w:val="24"/>
          <w:lang w:val="ro-RO"/>
        </w:rPr>
        <w:t>1</w:t>
      </w:r>
      <w:r w:rsidR="00344B28">
        <w:rPr>
          <w:rFonts w:ascii="Arial" w:hAnsi="Arial" w:cs="Arial"/>
          <w:b/>
          <w:i/>
          <w:sz w:val="24"/>
          <w:szCs w:val="24"/>
          <w:lang w:val="ro-RO"/>
        </w:rPr>
        <w:t>77 bis</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au fost efectuate investigatii pe amplasament constand in executia de foraje si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344B28" w:rsidRPr="00344B28" w:rsidRDefault="00344B28" w:rsidP="00344B28">
      <w:pPr>
        <w:pStyle w:val="ListParagraph"/>
        <w:numPr>
          <w:ilvl w:val="0"/>
          <w:numId w:val="10"/>
        </w:numPr>
        <w:spacing w:before="240"/>
        <w:rPr>
          <w:rFonts w:ascii="Arial" w:hAnsi="Arial" w:cs="Arial"/>
          <w:b/>
          <w:bCs/>
          <w:i/>
          <w:iCs/>
          <w:sz w:val="24"/>
          <w:szCs w:val="24"/>
          <w:u w:val="single"/>
        </w:rPr>
      </w:pPr>
      <w:bookmarkStart w:id="17" w:name="_Toc415739687"/>
      <w:bookmarkStart w:id="18" w:name="_Toc415739815"/>
      <w:bookmarkStart w:id="19" w:name="_Toc415739899"/>
      <w:bookmarkStart w:id="20" w:name="_Toc415740017"/>
      <w:bookmarkStart w:id="21" w:name="_Toc415740097"/>
      <w:bookmarkStart w:id="22" w:name="_Toc415740157"/>
      <w:bookmarkStart w:id="23" w:name="_Toc415740186"/>
      <w:bookmarkStart w:id="24" w:name="_Toc415741302"/>
      <w:bookmarkStart w:id="25" w:name="_Toc415741334"/>
      <w:bookmarkStart w:id="26" w:name="_Toc483995109"/>
      <w:r w:rsidRPr="00344B28">
        <w:rPr>
          <w:rFonts w:ascii="Arial" w:hAnsi="Arial" w:cs="Arial"/>
          <w:b/>
          <w:bCs/>
          <w:i/>
          <w:iCs/>
          <w:sz w:val="24"/>
          <w:szCs w:val="24"/>
          <w:u w:val="single"/>
        </w:rPr>
        <w:t xml:space="preserve">Excavare </w:t>
      </w:r>
      <w:bookmarkEnd w:id="17"/>
      <w:bookmarkEnd w:id="18"/>
      <w:bookmarkEnd w:id="19"/>
      <w:bookmarkEnd w:id="20"/>
      <w:bookmarkEnd w:id="21"/>
      <w:bookmarkEnd w:id="22"/>
      <w:bookmarkEnd w:id="23"/>
      <w:bookmarkEnd w:id="24"/>
      <w:bookmarkEnd w:id="25"/>
      <w:r w:rsidRPr="00344B28">
        <w:rPr>
          <w:rFonts w:ascii="Arial" w:hAnsi="Arial" w:cs="Arial"/>
          <w:b/>
          <w:bCs/>
          <w:i/>
          <w:iCs/>
          <w:sz w:val="24"/>
          <w:szCs w:val="24"/>
          <w:u w:val="single"/>
        </w:rPr>
        <w:t xml:space="preserve">sol contaminat </w:t>
      </w:r>
      <w:bookmarkEnd w:id="26"/>
    </w:p>
    <w:tbl>
      <w:tblPr>
        <w:tblW w:w="0" w:type="auto"/>
        <w:tblLook w:val="04A0" w:firstRow="1" w:lastRow="0" w:firstColumn="1" w:lastColumn="0" w:noHBand="0" w:noVBand="1"/>
      </w:tblPr>
      <w:tblGrid>
        <w:gridCol w:w="9243"/>
      </w:tblGrid>
      <w:tr w:rsidR="00344B28" w:rsidRPr="00344B28" w:rsidTr="00AB292A">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44B28" w:rsidRPr="00344B28" w:rsidTr="00AB292A">
              <w:trPr>
                <w:trHeight w:val="340"/>
              </w:trPr>
              <w:tc>
                <w:tcPr>
                  <w:tcW w:w="9345" w:type="dxa"/>
                  <w:vAlign w:val="center"/>
                  <w:hideMark/>
                </w:tcPr>
                <w:p w:rsidR="00344B28" w:rsidRDefault="00344B28" w:rsidP="00344B28">
                  <w:pPr>
                    <w:pStyle w:val="ListParagraph"/>
                    <w:widowControl w:val="0"/>
                    <w:numPr>
                      <w:ilvl w:val="0"/>
                      <w:numId w:val="11"/>
                    </w:numPr>
                    <w:autoSpaceDE w:val="0"/>
                    <w:autoSpaceDN w:val="0"/>
                    <w:adjustRightInd w:val="0"/>
                    <w:spacing w:before="240"/>
                    <w:jc w:val="both"/>
                    <w:rPr>
                      <w:rFonts w:ascii="Arial" w:hAnsi="Arial" w:cs="Arial"/>
                      <w:sz w:val="24"/>
                      <w:szCs w:val="24"/>
                    </w:rPr>
                  </w:pPr>
                  <w:r w:rsidRPr="00344B28">
                    <w:rPr>
                      <w:rFonts w:ascii="Arial" w:hAnsi="Arial" w:cs="Arial"/>
                      <w:sz w:val="24"/>
                      <w:szCs w:val="24"/>
                    </w:rPr>
                    <w:t xml:space="preserve">Suprafața de excavare în zona forajelor </w:t>
                  </w:r>
                  <w:r w:rsidRPr="00344B28">
                    <w:rPr>
                      <w:rFonts w:ascii="Arial" w:hAnsi="Arial" w:cs="Arial"/>
                      <w:b/>
                      <w:sz w:val="24"/>
                      <w:szCs w:val="24"/>
                    </w:rPr>
                    <w:t>P1 si P4</w:t>
                  </w:r>
                  <w:r w:rsidRPr="00344B28">
                    <w:rPr>
                      <w:rFonts w:ascii="Arial" w:hAnsi="Arial" w:cs="Arial"/>
                      <w:sz w:val="24"/>
                      <w:szCs w:val="24"/>
                    </w:rPr>
                    <w:t xml:space="preserve">: 169.00[mp] – adâncime de excavare 1.00[m];se suprapune partial cu o zona amestec pamant + pietris, rezulta un volum de sol contaminat de </w:t>
                  </w:r>
                  <w:r w:rsidRPr="00344B28">
                    <w:rPr>
                      <w:rFonts w:ascii="Arial" w:hAnsi="Arial" w:cs="Arial"/>
                      <w:b/>
                      <w:sz w:val="24"/>
                      <w:szCs w:val="24"/>
                    </w:rPr>
                    <w:t>V</w:t>
                  </w:r>
                  <w:r w:rsidRPr="00344B28">
                    <w:rPr>
                      <w:rFonts w:ascii="Arial" w:hAnsi="Arial" w:cs="Arial"/>
                      <w:b/>
                      <w:sz w:val="24"/>
                      <w:szCs w:val="24"/>
                      <w:vertAlign w:val="subscript"/>
                    </w:rPr>
                    <w:t>s</w:t>
                  </w:r>
                  <w:r w:rsidRPr="00344B28">
                    <w:rPr>
                      <w:rFonts w:ascii="Arial" w:hAnsi="Arial" w:cs="Arial"/>
                      <w:sz w:val="24"/>
                      <w:szCs w:val="24"/>
                    </w:rPr>
                    <w:t xml:space="preserve">= 169.00[mp] x 1.0[m] = </w:t>
                  </w:r>
                  <w:r w:rsidRPr="00344B28">
                    <w:rPr>
                      <w:rFonts w:ascii="Arial" w:hAnsi="Arial" w:cs="Arial"/>
                      <w:b/>
                      <w:sz w:val="24"/>
                      <w:szCs w:val="24"/>
                    </w:rPr>
                    <w:t>169[mc].</w:t>
                  </w:r>
                  <w:r w:rsidRPr="00344B28">
                    <w:rPr>
                      <w:rFonts w:ascii="Arial" w:hAnsi="Arial" w:cs="Arial"/>
                      <w:sz w:val="24"/>
                      <w:szCs w:val="24"/>
                    </w:rPr>
                    <w:t xml:space="preserve"> </w:t>
                  </w:r>
                </w:p>
                <w:p w:rsidR="00344B28" w:rsidRPr="00344B28" w:rsidRDefault="00344B28" w:rsidP="00344B28">
                  <w:pPr>
                    <w:widowControl w:val="0"/>
                    <w:autoSpaceDE w:val="0"/>
                    <w:autoSpaceDN w:val="0"/>
                    <w:adjustRightInd w:val="0"/>
                    <w:spacing w:before="240"/>
                    <w:jc w:val="both"/>
                    <w:rPr>
                      <w:rFonts w:ascii="Arial" w:hAnsi="Arial" w:cs="Arial"/>
                      <w:sz w:val="24"/>
                      <w:szCs w:val="24"/>
                    </w:rPr>
                  </w:pPr>
                </w:p>
              </w:tc>
            </w:tr>
            <w:tr w:rsidR="00344B28" w:rsidRPr="00344B28" w:rsidTr="00AB292A">
              <w:trPr>
                <w:trHeight w:val="340"/>
              </w:trPr>
              <w:tc>
                <w:tcPr>
                  <w:tcW w:w="9345" w:type="dxa"/>
                  <w:vAlign w:val="center"/>
                </w:tcPr>
                <w:p w:rsidR="00344B28" w:rsidRPr="00344B28" w:rsidRDefault="00344B28" w:rsidP="00344B28">
                  <w:pPr>
                    <w:pStyle w:val="ListParagraph"/>
                    <w:widowControl w:val="0"/>
                    <w:numPr>
                      <w:ilvl w:val="0"/>
                      <w:numId w:val="11"/>
                    </w:numPr>
                    <w:autoSpaceDE w:val="0"/>
                    <w:autoSpaceDN w:val="0"/>
                    <w:adjustRightInd w:val="0"/>
                    <w:spacing w:before="240"/>
                    <w:jc w:val="both"/>
                    <w:rPr>
                      <w:rFonts w:ascii="Arial" w:hAnsi="Arial" w:cs="Arial"/>
                      <w:sz w:val="24"/>
                      <w:szCs w:val="24"/>
                    </w:rPr>
                  </w:pPr>
                  <w:r w:rsidRPr="00344B28">
                    <w:rPr>
                      <w:rFonts w:ascii="Arial" w:hAnsi="Arial" w:cs="Arial"/>
                      <w:sz w:val="24"/>
                      <w:szCs w:val="24"/>
                    </w:rPr>
                    <w:lastRenderedPageBreak/>
                    <w:t xml:space="preserve">Suprafața de excavare în zona forajului </w:t>
                  </w:r>
                  <w:r w:rsidRPr="00344B28">
                    <w:rPr>
                      <w:rFonts w:ascii="Arial" w:hAnsi="Arial" w:cs="Arial"/>
                      <w:b/>
                      <w:sz w:val="24"/>
                      <w:szCs w:val="24"/>
                    </w:rPr>
                    <w:t>P3</w:t>
                  </w:r>
                  <w:r w:rsidRPr="00344B28">
                    <w:rPr>
                      <w:rFonts w:ascii="Arial" w:hAnsi="Arial" w:cs="Arial"/>
                      <w:sz w:val="24"/>
                      <w:szCs w:val="24"/>
                    </w:rPr>
                    <w:t xml:space="preserve">: 30.00[mp] – adâncime de excavare 0.70[m]; rezulta un volum de sol contaminat de </w:t>
                  </w:r>
                  <w:r w:rsidRPr="00344B28">
                    <w:rPr>
                      <w:rFonts w:ascii="Arial" w:hAnsi="Arial" w:cs="Arial"/>
                      <w:b/>
                      <w:sz w:val="24"/>
                      <w:szCs w:val="24"/>
                    </w:rPr>
                    <w:t>V</w:t>
                  </w:r>
                  <w:r w:rsidRPr="00344B28">
                    <w:rPr>
                      <w:rFonts w:ascii="Arial" w:hAnsi="Arial" w:cs="Arial"/>
                      <w:b/>
                      <w:sz w:val="24"/>
                      <w:szCs w:val="24"/>
                      <w:vertAlign w:val="subscript"/>
                    </w:rPr>
                    <w:t>s</w:t>
                  </w:r>
                  <w:r w:rsidRPr="00344B28">
                    <w:rPr>
                      <w:rFonts w:ascii="Arial" w:hAnsi="Arial" w:cs="Arial"/>
                      <w:sz w:val="24"/>
                      <w:szCs w:val="24"/>
                    </w:rPr>
                    <w:t xml:space="preserve">= 30.00[mp] x 0.7[m] = </w:t>
                  </w:r>
                  <w:r w:rsidRPr="00344B28">
                    <w:rPr>
                      <w:rFonts w:ascii="Arial" w:hAnsi="Arial" w:cs="Arial"/>
                      <w:b/>
                      <w:sz w:val="24"/>
                      <w:szCs w:val="24"/>
                    </w:rPr>
                    <w:t>21[mc].</w:t>
                  </w:r>
                </w:p>
              </w:tc>
            </w:tr>
          </w:tbl>
          <w:p w:rsidR="00344B28" w:rsidRPr="00344B28" w:rsidRDefault="00344B28" w:rsidP="00344B28">
            <w:pPr>
              <w:pStyle w:val="ListParagraph"/>
              <w:spacing w:before="240"/>
              <w:ind w:left="0" w:firstLine="644"/>
              <w:jc w:val="both"/>
              <w:rPr>
                <w:rFonts w:ascii="Arial" w:hAnsi="Arial" w:cs="Arial"/>
                <w:bCs/>
                <w:sz w:val="24"/>
                <w:szCs w:val="24"/>
                <w:lang w:val="ro-RO"/>
              </w:rPr>
            </w:pPr>
            <w:r w:rsidRPr="00344B28">
              <w:rPr>
                <w:rFonts w:ascii="Arial" w:hAnsi="Arial" w:cs="Arial"/>
                <w:b/>
                <w:sz w:val="24"/>
                <w:szCs w:val="24"/>
              </w:rPr>
              <w:t>Total volum de sol contaminat: 190 [mc]</w:t>
            </w:r>
            <w:r w:rsidRPr="00344B28">
              <w:rPr>
                <w:rFonts w:ascii="Arial" w:hAnsi="Arial" w:cs="Arial"/>
                <w:bCs/>
                <w:sz w:val="24"/>
                <w:szCs w:val="24"/>
              </w:rPr>
              <w:t>.</w:t>
            </w:r>
          </w:p>
          <w:p w:rsidR="00344B28" w:rsidRPr="00344B28" w:rsidRDefault="00344B28" w:rsidP="00344B28">
            <w:pPr>
              <w:pStyle w:val="ListParagraph"/>
              <w:spacing w:before="240"/>
              <w:ind w:left="0" w:firstLine="644"/>
              <w:jc w:val="both"/>
              <w:rPr>
                <w:rFonts w:ascii="Arial" w:hAnsi="Arial" w:cs="Arial"/>
                <w:sz w:val="24"/>
                <w:szCs w:val="24"/>
                <w:lang w:val="fr-FR"/>
              </w:rPr>
            </w:pPr>
            <w:r w:rsidRPr="00344B28">
              <w:rPr>
                <w:rFonts w:ascii="Arial" w:hAnsi="Arial" w:cs="Arial"/>
                <w:sz w:val="24"/>
                <w:szCs w:val="24"/>
                <w:lang w:val="fr-FR"/>
              </w:rPr>
              <w:t xml:space="preserve">Adancimile de excavare sunt considerate de la cota terenului natural. </w:t>
            </w:r>
          </w:p>
          <w:p w:rsidR="00344B28" w:rsidRPr="00344B28" w:rsidRDefault="00344B28" w:rsidP="00344B28">
            <w:pPr>
              <w:pStyle w:val="ListParagraph"/>
              <w:spacing w:before="240"/>
              <w:ind w:firstLine="644"/>
              <w:jc w:val="both"/>
              <w:rPr>
                <w:rFonts w:ascii="Arial" w:hAnsi="Arial" w:cs="Arial"/>
                <w:b/>
                <w:sz w:val="24"/>
                <w:szCs w:val="24"/>
              </w:rPr>
            </w:pPr>
            <w:r w:rsidRPr="00344B28">
              <w:rPr>
                <w:rFonts w:ascii="Arial" w:hAnsi="Arial" w:cs="Arial"/>
                <w:b/>
                <w:sz w:val="24"/>
                <w:szCs w:val="24"/>
                <w:u w:val="single"/>
              </w:rPr>
              <w:t>Notă</w:t>
            </w:r>
            <w:r w:rsidRPr="00344B28">
              <w:rPr>
                <w:rFonts w:ascii="Arial" w:hAnsi="Arial" w:cs="Arial"/>
                <w:b/>
                <w:sz w:val="24"/>
                <w:szCs w:val="24"/>
              </w:rPr>
              <w:t xml:space="preserve">: </w:t>
            </w:r>
          </w:p>
          <w:p w:rsidR="00344B28" w:rsidRPr="00344B28" w:rsidRDefault="00344B28" w:rsidP="00344B28">
            <w:pPr>
              <w:widowControl w:val="0"/>
              <w:autoSpaceDE w:val="0"/>
              <w:autoSpaceDN w:val="0"/>
              <w:adjustRightInd w:val="0"/>
              <w:spacing w:before="240"/>
              <w:ind w:firstLine="540"/>
              <w:jc w:val="both"/>
              <w:rPr>
                <w:rFonts w:ascii="Arial" w:hAnsi="Arial" w:cs="Arial"/>
                <w:sz w:val="24"/>
                <w:szCs w:val="24"/>
              </w:rPr>
            </w:pPr>
            <w:r w:rsidRPr="00344B28">
              <w:rPr>
                <w:rFonts w:ascii="Arial" w:hAnsi="Arial" w:cs="Arial"/>
                <w:sz w:val="24"/>
                <w:szCs w:val="24"/>
              </w:rPr>
              <w:t xml:space="preserve">Acolo unde, la excavare, se constată că suprafața poluată este mai mică decât suprafața estimată, se va excava doar solul poluat. </w:t>
            </w:r>
          </w:p>
          <w:p w:rsidR="00344B28" w:rsidRPr="00344B28" w:rsidRDefault="00344B28" w:rsidP="00344B28">
            <w:pPr>
              <w:widowControl w:val="0"/>
              <w:autoSpaceDE w:val="0"/>
              <w:autoSpaceDN w:val="0"/>
              <w:adjustRightInd w:val="0"/>
              <w:spacing w:before="240"/>
              <w:ind w:firstLine="540"/>
              <w:jc w:val="both"/>
              <w:rPr>
                <w:rFonts w:ascii="Arial" w:hAnsi="Arial" w:cs="Arial"/>
                <w:sz w:val="24"/>
                <w:szCs w:val="24"/>
              </w:rPr>
            </w:pPr>
            <w:r w:rsidRPr="00344B28">
              <w:rPr>
                <w:rFonts w:ascii="Arial" w:hAnsi="Arial" w:cs="Arial"/>
                <w:sz w:val="24"/>
                <w:szCs w:val="24"/>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344B28" w:rsidRPr="00344B28" w:rsidRDefault="00344B28" w:rsidP="00344B28">
            <w:pPr>
              <w:widowControl w:val="0"/>
              <w:autoSpaceDE w:val="0"/>
              <w:autoSpaceDN w:val="0"/>
              <w:adjustRightInd w:val="0"/>
              <w:spacing w:before="240"/>
              <w:ind w:firstLine="540"/>
              <w:jc w:val="both"/>
              <w:rPr>
                <w:rFonts w:ascii="Arial" w:hAnsi="Arial" w:cs="Arial"/>
                <w:sz w:val="24"/>
                <w:szCs w:val="24"/>
                <w:lang w:val="fr-FR"/>
              </w:rPr>
            </w:pPr>
            <w:r w:rsidRPr="00344B28">
              <w:rPr>
                <w:rFonts w:ascii="Arial" w:hAnsi="Arial" w:cs="Arial"/>
                <w:sz w:val="24"/>
                <w:szCs w:val="24"/>
              </w:rPr>
              <w:t xml:space="preserve">Solul curat excavat în timpul lucrărilor de demolare va fi depozitat pe amplasament și va putea fi refolosit pentru umplutura la finalizarea lucrărilor de excavare a solului contaminat. </w:t>
            </w:r>
          </w:p>
        </w:tc>
      </w:tr>
    </w:tbl>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11227C" w:rsidRDefault="0011227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DF5A8B" w:rsidRDefault="00DF5A8B" w:rsidP="00495736">
      <w:pPr>
        <w:spacing w:after="0" w:line="240" w:lineRule="auto"/>
        <w:jc w:val="both"/>
        <w:rPr>
          <w:rFonts w:ascii="Arial" w:hAnsi="Arial" w:cs="Arial"/>
          <w:sz w:val="24"/>
          <w:szCs w:val="24"/>
          <w:lang w:val="ro-RO"/>
        </w:rPr>
      </w:pPr>
    </w:p>
    <w:p w:rsidR="002C54EE" w:rsidRDefault="002C54EE" w:rsidP="00AD6B08">
      <w:pPr>
        <w:tabs>
          <w:tab w:val="left" w:pos="0"/>
        </w:tabs>
        <w:ind w:firstLine="567"/>
        <w:jc w:val="both"/>
        <w:rPr>
          <w:rFonts w:ascii="Arial" w:hAnsi="Arial" w:cs="Arial"/>
          <w:sz w:val="24"/>
          <w:szCs w:val="24"/>
        </w:rPr>
      </w:pPr>
    </w:p>
    <w:p w:rsidR="002C54EE" w:rsidRDefault="002C54EE" w:rsidP="00AD6B08">
      <w:pPr>
        <w:tabs>
          <w:tab w:val="left" w:pos="0"/>
        </w:tabs>
        <w:ind w:firstLine="567"/>
        <w:jc w:val="both"/>
        <w:rPr>
          <w:rFonts w:ascii="Arial" w:hAnsi="Arial" w:cs="Arial"/>
          <w:sz w:val="24"/>
          <w:szCs w:val="24"/>
        </w:rPr>
      </w:pPr>
    </w:p>
    <w:p w:rsidR="00AD6B08" w:rsidRDefault="00AD6B08" w:rsidP="00AD6B08">
      <w:pPr>
        <w:tabs>
          <w:tab w:val="left" w:pos="0"/>
        </w:tabs>
        <w:ind w:firstLine="567"/>
        <w:jc w:val="both"/>
        <w:rPr>
          <w:rFonts w:ascii="Arial" w:hAnsi="Arial" w:cs="Arial"/>
          <w:sz w:val="24"/>
          <w:szCs w:val="24"/>
        </w:rPr>
      </w:pPr>
      <w:r w:rsidRPr="00AD6B08">
        <w:rPr>
          <w:rFonts w:ascii="Arial" w:hAnsi="Arial" w:cs="Arial"/>
          <w:sz w:val="24"/>
          <w:szCs w:val="24"/>
        </w:rPr>
        <w:lastRenderedPageBreak/>
        <w:t>Tipurile de deșeuri estimate a fi generate în cadrul lucrărilor de abandonare de suprafață si planul de gestionare al acestora sunt prezentate in tabelul de mai jos:</w:t>
      </w: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Nr. Crt.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Denumirea Categoriei de Deseu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Codificare</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Denumire codificare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Plan de gestionare</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Se vor preda la societăți autorizate în colectare/ tratare/valorificare/eliminare</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344B28" w:rsidP="005415B3">
            <w:pPr>
              <w:tabs>
                <w:tab w:val="left" w:pos="0"/>
              </w:tabs>
              <w:jc w:val="center"/>
              <w:rPr>
                <w:sz w:val="20"/>
                <w:szCs w:val="20"/>
              </w:rPr>
            </w:pPr>
            <w:r>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Deseuri din constructii si demolari (</w:t>
            </w:r>
            <w:r w:rsidR="003971C5">
              <w:rPr>
                <w:sz w:val="20"/>
                <w:szCs w:val="20"/>
              </w:rPr>
              <w:pgNum/>
              <w:t>artare</w:t>
            </w:r>
            <w:r w:rsidR="003971C5">
              <w:rPr>
                <w:sz w:val="20"/>
                <w:szCs w:val="20"/>
              </w:rPr>
              <w:pgNum/>
            </w:r>
            <w:r w:rsidR="003971C5">
              <w:rPr>
                <w:sz w:val="20"/>
                <w:szCs w:val="20"/>
              </w:rPr>
              <w:pgNum/>
            </w:r>
            <w:r w:rsidRPr="00DF5A8B">
              <w:rPr>
                <w:sz w:val="20"/>
                <w:szCs w:val="20"/>
              </w:rPr>
              <w:t xml:space="preserve"> pamant excavat din situri contaminate) </w:t>
            </w:r>
          </w:p>
          <w:p w:rsidR="00DF5A8B" w:rsidRPr="00DF5A8B" w:rsidRDefault="00DF5A8B" w:rsidP="005415B3">
            <w:pPr>
              <w:tabs>
                <w:tab w:val="left" w:pos="0"/>
              </w:tabs>
              <w:jc w:val="center"/>
              <w:rPr>
                <w:sz w:val="20"/>
                <w:szCs w:val="20"/>
              </w:rPr>
            </w:pPr>
            <w:r w:rsidRPr="00DF5A8B">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 xml:space="preserve">Amestecuri de beton, caramizi, tigle sau </w:t>
            </w:r>
            <w:r w:rsidR="003971C5">
              <w:rPr>
                <w:sz w:val="20"/>
                <w:szCs w:val="20"/>
              </w:rPr>
              <w:pgNum/>
              <w:t>artare</w:t>
            </w:r>
            <w:r w:rsidR="003971C5">
              <w:rPr>
                <w:sz w:val="20"/>
                <w:szCs w:val="20"/>
              </w:rPr>
              <w:pgNum/>
            </w:r>
            <w:r w:rsidRPr="00DF5A8B">
              <w:rPr>
                <w:sz w:val="20"/>
                <w:szCs w:val="20"/>
              </w:rPr>
              <w:t xml:space="preserv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Se vor preda la cele mai apropiate societati autorizate in colectare/</w:t>
            </w:r>
            <w:r w:rsidR="003971C5">
              <w:rPr>
                <w:sz w:val="20"/>
                <w:szCs w:val="20"/>
              </w:rPr>
              <w:pgNum/>
              <w:t>artare</w:t>
            </w:r>
            <w:r w:rsidRPr="00DF5A8B">
              <w:rPr>
                <w:sz w:val="20"/>
                <w:szCs w:val="20"/>
              </w:rPr>
              <w:t xml:space="preserve"> valorificare/eliminare</w:t>
            </w:r>
          </w:p>
        </w:tc>
      </w:tr>
      <w:tr w:rsidR="00344B28"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B28" w:rsidRDefault="00344B28" w:rsidP="005415B3">
            <w:pPr>
              <w:tabs>
                <w:tab w:val="left" w:pos="0"/>
              </w:tabs>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B28" w:rsidRPr="00DF5A8B" w:rsidRDefault="003971C5" w:rsidP="005415B3">
            <w:pPr>
              <w:tabs>
                <w:tab w:val="left" w:pos="0"/>
              </w:tabs>
              <w:jc w:val="center"/>
              <w:rPr>
                <w:sz w:val="20"/>
                <w:szCs w:val="20"/>
              </w:rPr>
            </w:pPr>
            <w:r>
              <w:rPr>
                <w:sz w:val="20"/>
                <w:szCs w:val="20"/>
              </w:rPr>
              <w:t>Alte deșeuri de la construcții și demolări(inclusive amestecuri de deșeuri) cu conținut de substanțe periculoase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B28" w:rsidRPr="00DF5A8B" w:rsidRDefault="003971C5" w:rsidP="005415B3">
            <w:pPr>
              <w:tabs>
                <w:tab w:val="left" w:pos="0"/>
              </w:tabs>
              <w:jc w:val="center"/>
              <w:rPr>
                <w:sz w:val="20"/>
                <w:szCs w:val="20"/>
              </w:rPr>
            </w:pPr>
            <w:r>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rsidR="00344B28" w:rsidRPr="00DF5A8B" w:rsidRDefault="003971C5" w:rsidP="003971C5">
            <w:pPr>
              <w:tabs>
                <w:tab w:val="left" w:pos="0"/>
              </w:tabs>
              <w:jc w:val="center"/>
              <w:rPr>
                <w:sz w:val="20"/>
                <w:szCs w:val="20"/>
              </w:rPr>
            </w:pPr>
            <w:r>
              <w:rPr>
                <w:sz w:val="20"/>
                <w:szCs w:val="20"/>
              </w:rPr>
              <w:t>Alte a</w:t>
            </w:r>
            <w:r w:rsidRPr="003971C5">
              <w:rPr>
                <w:sz w:val="20"/>
                <w:szCs w:val="20"/>
              </w:rPr>
              <w:t>mestecuri de</w:t>
            </w:r>
            <w:r>
              <w:rPr>
                <w:sz w:val="20"/>
                <w:szCs w:val="20"/>
              </w:rPr>
              <w:t>șeuri</w:t>
            </w:r>
            <w:r w:rsidRPr="003971C5">
              <w:rPr>
                <w:sz w:val="20"/>
                <w:szCs w:val="20"/>
              </w:rPr>
              <w:t xml:space="preserv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4B28" w:rsidRPr="00DF5A8B" w:rsidRDefault="003971C5" w:rsidP="005415B3">
            <w:pPr>
              <w:tabs>
                <w:tab w:val="left" w:pos="0"/>
              </w:tabs>
              <w:jc w:val="center"/>
              <w:rPr>
                <w:sz w:val="20"/>
                <w:szCs w:val="20"/>
              </w:rPr>
            </w:pPr>
            <w:r w:rsidRPr="003971C5">
              <w:rPr>
                <w:sz w:val="20"/>
                <w:szCs w:val="20"/>
              </w:rPr>
              <w:t>Se vor preda la cele mai apropiate societati autorizate in colectare/</w:t>
            </w:r>
            <w:r w:rsidRPr="003971C5">
              <w:rPr>
                <w:sz w:val="20"/>
                <w:szCs w:val="20"/>
              </w:rPr>
              <w:pgNum/>
              <w:t>artare valorificare/eliminare</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Se vor preda la cele mai apropiate societăți autorizate în colectare/tratare/ valorificare/eliminare.</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Se vor preda la societati autorizate in colectare/ tratare/valorificare /eliminare.</w:t>
            </w:r>
          </w:p>
        </w:tc>
      </w:tr>
      <w:tr w:rsidR="00DF5A8B" w:rsidRPr="00DF5A8B" w:rsidTr="00DF5A8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DF5A8B" w:rsidRPr="00DF5A8B" w:rsidRDefault="00DF5A8B" w:rsidP="005415B3">
            <w:pPr>
              <w:tabs>
                <w:tab w:val="left" w:pos="0"/>
              </w:tabs>
              <w:jc w:val="center"/>
              <w:rPr>
                <w:sz w:val="20"/>
                <w:szCs w:val="20"/>
              </w:rPr>
            </w:pPr>
            <w:r w:rsidRPr="00DF5A8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5A8B" w:rsidRPr="00DF5A8B" w:rsidRDefault="00DF5A8B" w:rsidP="005415B3">
            <w:pPr>
              <w:tabs>
                <w:tab w:val="left" w:pos="0"/>
              </w:tabs>
              <w:jc w:val="center"/>
              <w:rPr>
                <w:sz w:val="20"/>
                <w:szCs w:val="20"/>
              </w:rPr>
            </w:pPr>
            <w:r w:rsidRPr="00DF5A8B">
              <w:rPr>
                <w:sz w:val="20"/>
                <w:szCs w:val="20"/>
              </w:rPr>
              <w:t>Se vor depozita corespunzator si se vor preda la societati autorizate pentru a fi transportate la un depozit autorizat.</w:t>
            </w:r>
          </w:p>
        </w:tc>
      </w:tr>
    </w:tbl>
    <w:p w:rsidR="00AD6B08" w:rsidRDefault="00AD6B08" w:rsidP="00495736">
      <w:pPr>
        <w:spacing w:after="0" w:line="240" w:lineRule="auto"/>
        <w:jc w:val="both"/>
        <w:rPr>
          <w:rFonts w:ascii="Arial" w:hAnsi="Arial" w:cs="Arial"/>
          <w:sz w:val="24"/>
          <w:szCs w:val="24"/>
          <w:lang w:val="ro-RO"/>
        </w:rPr>
      </w:pPr>
    </w:p>
    <w:p w:rsidR="00970F24" w:rsidRPr="00456C04" w:rsidRDefault="00970F24" w:rsidP="00495736">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3971C5" w:rsidRDefault="003971C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lastRenderedPageBreak/>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în intravilanul localităţii Leşmir, comuna Marca, jud. Sălaj</w:t>
      </w:r>
      <w:r w:rsidRPr="007964D7">
        <w:rPr>
          <w:rFonts w:ascii="Arial" w:hAnsi="Arial" w:cs="Arial"/>
          <w:sz w:val="24"/>
          <w:szCs w:val="24"/>
          <w:lang w:val="pt-BR"/>
        </w:rPr>
        <w:t xml:space="preserve">, </w:t>
      </w:r>
    </w:p>
    <w:p w:rsidR="00A06FCA" w:rsidRDefault="00CB1377" w:rsidP="00A06FCA">
      <w:pPr>
        <w:spacing w:after="0" w:line="240" w:lineRule="auto"/>
        <w:ind w:firstLine="284"/>
        <w:jc w:val="both"/>
        <w:rPr>
          <w:rFonts w:ascii="Arial" w:hAnsi="Arial" w:cs="Arial"/>
          <w:noProof/>
          <w:sz w:val="24"/>
          <w:szCs w:val="24"/>
          <w:lang w:val="ro-RO"/>
        </w:rPr>
      </w:pPr>
      <w:r>
        <w:rPr>
          <w:rFonts w:ascii="Arial" w:hAnsi="Arial" w:cs="Arial"/>
          <w:sz w:val="24"/>
          <w:szCs w:val="24"/>
          <w:lang w:val="pt-BR"/>
        </w:rPr>
        <w:t xml:space="preserve">   </w:t>
      </w:r>
      <w:r w:rsidR="00A06FCA">
        <w:rPr>
          <w:rFonts w:ascii="Arial" w:hAnsi="Arial" w:cs="Arial"/>
          <w:sz w:val="24"/>
          <w:szCs w:val="24"/>
          <w:lang w:val="pt-BR"/>
        </w:rPr>
        <w:t xml:space="preserve">   </w:t>
      </w:r>
      <w:r w:rsidR="00A06FCA" w:rsidRPr="00863440">
        <w:rPr>
          <w:rFonts w:ascii="Arial" w:hAnsi="Arial" w:cs="Arial"/>
          <w:bCs/>
          <w:noProof/>
          <w:sz w:val="24"/>
          <w:szCs w:val="24"/>
          <w:lang w:val="ro-RO"/>
        </w:rPr>
        <w:t>c</w:t>
      </w:r>
      <w:r w:rsidR="00A06FCA" w:rsidRPr="00863440">
        <w:rPr>
          <w:rFonts w:ascii="Arial" w:hAnsi="Arial" w:cs="Arial"/>
          <w:bCs/>
          <w:noProof/>
          <w:sz w:val="24"/>
          <w:szCs w:val="24"/>
          <w:vertAlign w:val="subscript"/>
          <w:lang w:val="ro-RO"/>
        </w:rPr>
        <w:t>1</w:t>
      </w:r>
      <w:r w:rsidR="00A06FCA" w:rsidRPr="00863440">
        <w:rPr>
          <w:rFonts w:ascii="Arial" w:hAnsi="Arial" w:cs="Arial"/>
          <w:bCs/>
          <w:noProof/>
          <w:sz w:val="24"/>
          <w:szCs w:val="24"/>
          <w:lang w:val="ro-RO"/>
        </w:rPr>
        <w:t>)</w:t>
      </w:r>
      <w:r w:rsidR="00A06FCA" w:rsidRPr="00863440">
        <w:rPr>
          <w:rFonts w:ascii="Arial" w:hAnsi="Arial" w:cs="Arial"/>
          <w:noProof/>
          <w:sz w:val="24"/>
          <w:szCs w:val="24"/>
          <w:lang w:val="ro-RO"/>
        </w:rPr>
        <w:t> utilizarea actuală şi aprobată a terenurilor:</w:t>
      </w:r>
      <w:r w:rsidR="00A06FCA" w:rsidRPr="00863440">
        <w:rPr>
          <w:rFonts w:ascii="Arial" w:hAnsi="Arial" w:cs="Arial"/>
          <w:color w:val="FF0000"/>
          <w:sz w:val="24"/>
          <w:szCs w:val="24"/>
          <w:lang w:val="ro-RO"/>
        </w:rPr>
        <w:t xml:space="preserve"> </w:t>
      </w:r>
      <w:r w:rsidR="00A06FCA" w:rsidRPr="00863440">
        <w:rPr>
          <w:rFonts w:ascii="Arial" w:hAnsi="Arial" w:cs="Arial"/>
          <w:sz w:val="24"/>
          <w:szCs w:val="24"/>
          <w:lang w:val="ro-RO"/>
        </w:rPr>
        <w:t xml:space="preserve">conform certificatului de urbanism nr. </w:t>
      </w:r>
      <w:r w:rsidR="003971C5">
        <w:rPr>
          <w:rFonts w:ascii="Arial" w:hAnsi="Arial" w:cs="Arial"/>
          <w:sz w:val="24"/>
          <w:szCs w:val="24"/>
          <w:lang w:val="ro-RO"/>
        </w:rPr>
        <w:t>24</w:t>
      </w:r>
      <w:r w:rsidR="00A06FCA">
        <w:rPr>
          <w:rFonts w:ascii="Arial" w:hAnsi="Arial" w:cs="Arial"/>
          <w:sz w:val="24"/>
          <w:szCs w:val="24"/>
          <w:lang w:val="ro-RO"/>
        </w:rPr>
        <w:t xml:space="preserve"> </w:t>
      </w:r>
      <w:r w:rsidR="00A06FCA" w:rsidRPr="00863440">
        <w:rPr>
          <w:rFonts w:ascii="Arial" w:hAnsi="Arial" w:cs="Arial"/>
          <w:sz w:val="24"/>
          <w:szCs w:val="24"/>
          <w:lang w:val="ro-RO"/>
        </w:rPr>
        <w:t xml:space="preserve">din </w:t>
      </w:r>
      <w:r w:rsidR="00A06FCA">
        <w:rPr>
          <w:rFonts w:ascii="Arial" w:hAnsi="Arial" w:cs="Arial"/>
          <w:sz w:val="24"/>
          <w:szCs w:val="24"/>
          <w:lang w:val="ro-RO"/>
        </w:rPr>
        <w:t>1</w:t>
      </w:r>
      <w:r w:rsidR="003971C5">
        <w:rPr>
          <w:rFonts w:ascii="Arial" w:hAnsi="Arial" w:cs="Arial"/>
          <w:sz w:val="24"/>
          <w:szCs w:val="24"/>
          <w:lang w:val="ro-RO"/>
        </w:rPr>
        <w:t>2</w:t>
      </w:r>
      <w:r w:rsidR="00A06FCA" w:rsidRPr="00863440">
        <w:rPr>
          <w:rFonts w:ascii="Arial" w:hAnsi="Arial" w:cs="Arial"/>
          <w:sz w:val="24"/>
          <w:szCs w:val="24"/>
          <w:lang w:val="ro-RO"/>
        </w:rPr>
        <w:t>.</w:t>
      </w:r>
      <w:r w:rsidR="003971C5">
        <w:rPr>
          <w:rFonts w:ascii="Arial" w:hAnsi="Arial" w:cs="Arial"/>
          <w:sz w:val="24"/>
          <w:szCs w:val="24"/>
          <w:lang w:val="ro-RO"/>
        </w:rPr>
        <w:t>11</w:t>
      </w:r>
      <w:r w:rsidR="00A06FCA">
        <w:rPr>
          <w:rFonts w:ascii="Arial" w:hAnsi="Arial" w:cs="Arial"/>
          <w:sz w:val="24"/>
          <w:szCs w:val="24"/>
          <w:lang w:val="ro-RO"/>
        </w:rPr>
        <w:t>.2019,</w:t>
      </w:r>
      <w:r w:rsidR="00A06FCA" w:rsidRPr="00863440">
        <w:rPr>
          <w:rFonts w:ascii="Arial" w:hAnsi="Arial" w:cs="Arial"/>
          <w:sz w:val="24"/>
          <w:szCs w:val="24"/>
          <w:lang w:val="ro-RO"/>
        </w:rPr>
        <w:t xml:space="preserve"> emis de </w:t>
      </w:r>
      <w:r w:rsidR="00A06FCA">
        <w:rPr>
          <w:rFonts w:ascii="Arial" w:hAnsi="Arial" w:cs="Arial"/>
          <w:sz w:val="24"/>
          <w:szCs w:val="24"/>
          <w:lang w:val="ro-RO"/>
        </w:rPr>
        <w:t>Comuna Marca</w:t>
      </w:r>
      <w:r w:rsidR="00A06FCA" w:rsidRPr="00863440">
        <w:rPr>
          <w:rFonts w:ascii="Arial" w:hAnsi="Arial" w:cs="Arial"/>
          <w:sz w:val="24"/>
          <w:szCs w:val="24"/>
          <w:lang w:val="ro-RO"/>
        </w:rPr>
        <w:t xml:space="preserve">, </w:t>
      </w:r>
      <w:r w:rsidR="00A06FCA">
        <w:rPr>
          <w:rFonts w:ascii="Arial" w:hAnsi="Arial" w:cs="Arial"/>
          <w:sz w:val="24"/>
          <w:szCs w:val="24"/>
          <w:lang w:val="ro-RO"/>
        </w:rPr>
        <w:t>terenul fiind amplasat în intravilanul localității  Leșmir</w:t>
      </w:r>
      <w:r w:rsidR="00A06FCA">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CB5A87" w:rsidRPr="00596CA0" w:rsidRDefault="009C56CF" w:rsidP="00F421F9">
      <w:pPr>
        <w:pStyle w:val="ListParagraph"/>
        <w:numPr>
          <w:ilvl w:val="0"/>
          <w:numId w:val="15"/>
        </w:numPr>
        <w:tabs>
          <w:tab w:val="left" w:pos="1134"/>
        </w:tabs>
        <w:ind w:left="0" w:firstLine="709"/>
        <w:jc w:val="both"/>
        <w:rPr>
          <w:rFonts w:ascii="Arial" w:hAnsi="Arial" w:cs="Arial"/>
          <w:noProof/>
          <w:sz w:val="24"/>
          <w:szCs w:val="24"/>
          <w:lang w:val="ro-RO"/>
        </w:rPr>
      </w:pPr>
      <w:r w:rsidRPr="00596CA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3971C5" w:rsidRDefault="003971C5" w:rsidP="003971C5">
      <w:pPr>
        <w:pStyle w:val="ListParagraph"/>
        <w:tabs>
          <w:tab w:val="left" w:pos="1134"/>
        </w:tabs>
        <w:ind w:left="709"/>
        <w:jc w:val="both"/>
        <w:rPr>
          <w:rFonts w:ascii="Arial" w:hAnsi="Arial" w:cs="Arial"/>
          <w:noProof/>
          <w:sz w:val="24"/>
          <w:szCs w:val="24"/>
          <w:lang w:val="ro-RO"/>
        </w:rPr>
      </w:pPr>
    </w:p>
    <w:p w:rsidR="003971C5" w:rsidRDefault="003971C5" w:rsidP="003971C5">
      <w:pPr>
        <w:pStyle w:val="ListParagraph"/>
        <w:tabs>
          <w:tab w:val="left" w:pos="1134"/>
        </w:tabs>
        <w:ind w:left="709"/>
        <w:jc w:val="both"/>
        <w:rPr>
          <w:rFonts w:ascii="Arial" w:hAnsi="Arial" w:cs="Arial"/>
          <w:noProof/>
          <w:sz w:val="24"/>
          <w:szCs w:val="24"/>
          <w:lang w:val="ro-RO"/>
        </w:rPr>
      </w:pPr>
    </w:p>
    <w:p w:rsidR="003971C5" w:rsidRDefault="003971C5" w:rsidP="003971C5">
      <w:pPr>
        <w:tabs>
          <w:tab w:val="left" w:pos="1134"/>
        </w:tabs>
        <w:jc w:val="both"/>
        <w:rPr>
          <w:rFonts w:ascii="Arial" w:hAnsi="Arial" w:cs="Arial"/>
          <w:noProof/>
          <w:sz w:val="24"/>
          <w:szCs w:val="24"/>
          <w:lang w:val="ro-RO"/>
        </w:rPr>
      </w:pPr>
    </w:p>
    <w:p w:rsidR="009C56CF" w:rsidRPr="003971C5"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3971C5" w:rsidRPr="00AD4CDF" w:rsidRDefault="003971C5" w:rsidP="003971C5">
      <w:pPr>
        <w:pStyle w:val="ListParagraph"/>
        <w:tabs>
          <w:tab w:val="left" w:pos="1134"/>
        </w:tabs>
        <w:ind w:left="709"/>
        <w:jc w:val="both"/>
        <w:rPr>
          <w:rFonts w:ascii="Arial" w:hAnsi="Arial" w:cs="Arial"/>
          <w:noProof/>
          <w:sz w:val="24"/>
          <w:szCs w:val="24"/>
          <w:lang w:val="ro-RO"/>
        </w:rPr>
      </w:pP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8227EA" w:rsidRDefault="008227EA" w:rsidP="009C56CF">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C169D8" w:rsidRPr="00EF0EDC"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C169D8" w:rsidRPr="002A4331" w:rsidRDefault="00C169D8" w:rsidP="00C169D8">
      <w:pPr>
        <w:spacing w:after="0" w:line="240" w:lineRule="auto"/>
        <w:ind w:firstLine="284"/>
        <w:jc w:val="both"/>
        <w:rPr>
          <w:rFonts w:ascii="Arial" w:hAnsi="Arial" w:cs="Arial"/>
          <w:noProof/>
          <w:sz w:val="24"/>
          <w:szCs w:val="24"/>
          <w:lang w:val="ro-RO"/>
        </w:rPr>
      </w:pPr>
    </w:p>
    <w:p w:rsidR="00C169D8" w:rsidRPr="00EF0EDC" w:rsidRDefault="00C169D8" w:rsidP="00C169D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C169D8">
        <w:rPr>
          <w:rFonts w:ascii="Arial" w:hAnsi="Arial" w:cs="Arial"/>
          <w:b/>
          <w:sz w:val="24"/>
          <w:szCs w:val="24"/>
          <w:u w:val="single"/>
          <w:lang w:val="ro-RO"/>
        </w:rPr>
        <w:t>nu intră</w:t>
      </w:r>
      <w:r w:rsidRPr="00EF0EDC">
        <w:rPr>
          <w:rFonts w:ascii="Arial" w:hAnsi="Arial" w:cs="Arial"/>
          <w:sz w:val="24"/>
          <w:szCs w:val="24"/>
          <w:lang w:val="ro-RO"/>
        </w:rPr>
        <w:t xml:space="preserve"> sub incidenţa prevederilor art. 48 şi 54 din Legea apelor nr. 107/1996, cu modificările şi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P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3971C5" w:rsidRDefault="003971C5" w:rsidP="003971C5">
      <w:pPr>
        <w:autoSpaceDE w:val="0"/>
        <w:autoSpaceDN w:val="0"/>
        <w:adjustRightInd w:val="0"/>
        <w:jc w:val="both"/>
        <w:rPr>
          <w:rFonts w:ascii="Arial" w:hAnsi="Arial" w:cs="Arial"/>
          <w:noProof/>
          <w:sz w:val="24"/>
          <w:szCs w:val="24"/>
          <w:lang w:val="ro-RO"/>
        </w:rPr>
      </w:pPr>
    </w:p>
    <w:p w:rsidR="003971C5" w:rsidRDefault="003971C5" w:rsidP="003971C5">
      <w:pPr>
        <w:autoSpaceDE w:val="0"/>
        <w:autoSpaceDN w:val="0"/>
        <w:adjustRightInd w:val="0"/>
        <w:jc w:val="both"/>
        <w:rPr>
          <w:rFonts w:ascii="Arial" w:hAnsi="Arial" w:cs="Arial"/>
          <w:noProof/>
          <w:sz w:val="24"/>
          <w:szCs w:val="24"/>
          <w:lang w:val="ro-RO"/>
        </w:rPr>
      </w:pPr>
    </w:p>
    <w:p w:rsidR="003971C5" w:rsidRPr="003971C5" w:rsidRDefault="003971C5" w:rsidP="003971C5">
      <w:pPr>
        <w:autoSpaceDE w:val="0"/>
        <w:autoSpaceDN w:val="0"/>
        <w:adjustRightInd w:val="0"/>
        <w:jc w:val="both"/>
        <w:rPr>
          <w:rFonts w:ascii="Arial" w:hAnsi="Arial" w:cs="Arial"/>
          <w:noProof/>
          <w:sz w:val="24"/>
          <w:szCs w:val="24"/>
          <w:lang w:val="ro-RO"/>
        </w:rPr>
      </w:pP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lastRenderedPageBreak/>
        <w:t>Gropile rezultate în urma îndepărtării fundațiilor, și fără contaminare, vor fi completate cu material de umplutură compactat, rezultat din nivelarea terenului, până la cota terenului natural.</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7964D7"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7964D7"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hyperlink r:id="rId11" w:tgtFrame="_blank" w:history="1">
        <w:r w:rsidR="00317491" w:rsidRPr="00317491">
          <w:rPr>
            <w:rStyle w:val="Hyperlink"/>
            <w:rFonts w:ascii="Arial" w:hAnsi="Arial" w:cs="Arial"/>
            <w:bCs/>
            <w:iCs/>
            <w:color w:val="auto"/>
            <w:sz w:val="24"/>
            <w:szCs w:val="24"/>
            <w:u w:val="none"/>
          </w:rPr>
          <w:t>Legii nr. 74/2019</w:t>
        </w:r>
      </w:hyperlink>
      <w:r w:rsidR="00317491" w:rsidRPr="00317491">
        <w:rPr>
          <w:rFonts w:ascii="Arial" w:hAnsi="Arial" w:cs="Arial"/>
          <w:bCs/>
          <w:iCs/>
          <w:sz w:val="24"/>
          <w:szCs w:val="24"/>
        </w:rPr>
        <w:t> privind gestionarea siturilor potențial contaminate și a celor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B80AFD"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3971C5" w:rsidRDefault="003971C5" w:rsidP="003971C5">
      <w:pPr>
        <w:autoSpaceDE w:val="0"/>
        <w:autoSpaceDN w:val="0"/>
        <w:adjustRightInd w:val="0"/>
        <w:jc w:val="both"/>
        <w:rPr>
          <w:rFonts w:ascii="Arial" w:hAnsi="Arial" w:cs="Arial"/>
          <w:noProof/>
          <w:sz w:val="24"/>
          <w:szCs w:val="24"/>
          <w:lang w:val="ro-RO"/>
        </w:rPr>
      </w:pPr>
    </w:p>
    <w:p w:rsidR="003971C5" w:rsidRPr="003971C5" w:rsidRDefault="003971C5" w:rsidP="003971C5">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lastRenderedPageBreak/>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86344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Default="003971C5" w:rsidP="00A62400">
      <w:pPr>
        <w:spacing w:before="120" w:after="0" w:line="240" w:lineRule="auto"/>
        <w:jc w:val="both"/>
        <w:rPr>
          <w:rFonts w:ascii="Arial" w:eastAsia="Times New Roman" w:hAnsi="Arial" w:cs="Arial"/>
          <w:noProof/>
          <w:sz w:val="24"/>
          <w:szCs w:val="24"/>
          <w:lang w:val="ro-RO" w:eastAsia="en-GB"/>
        </w:rPr>
      </w:pPr>
    </w:p>
    <w:p w:rsidR="003971C5" w:rsidRDefault="003971C5" w:rsidP="00A62400">
      <w:pPr>
        <w:spacing w:before="120" w:after="0" w:line="240" w:lineRule="auto"/>
        <w:jc w:val="both"/>
        <w:rPr>
          <w:rFonts w:ascii="Arial" w:eastAsia="Times New Roman" w:hAnsi="Arial" w:cs="Arial"/>
          <w:noProof/>
          <w:sz w:val="24"/>
          <w:szCs w:val="24"/>
          <w:lang w:val="ro-RO" w:eastAsia="en-GB"/>
        </w:rPr>
      </w:pPr>
    </w:p>
    <w:p w:rsidR="003971C5" w:rsidRDefault="003971C5" w:rsidP="00A62400">
      <w:pPr>
        <w:spacing w:before="120" w:after="0" w:line="240" w:lineRule="auto"/>
        <w:jc w:val="both"/>
        <w:rPr>
          <w:rFonts w:ascii="Arial" w:eastAsia="Times New Roman" w:hAnsi="Arial" w:cs="Arial"/>
          <w:noProof/>
          <w:sz w:val="24"/>
          <w:szCs w:val="24"/>
          <w:lang w:val="ro-RO" w:eastAsia="en-GB"/>
        </w:rPr>
      </w:pPr>
    </w:p>
    <w:p w:rsidR="003971C5" w:rsidRDefault="003971C5" w:rsidP="00A62400">
      <w:pPr>
        <w:spacing w:before="120" w:after="0" w:line="240" w:lineRule="auto"/>
        <w:jc w:val="both"/>
        <w:rPr>
          <w:rFonts w:ascii="Arial" w:eastAsia="Times New Roman" w:hAnsi="Arial" w:cs="Arial"/>
          <w:noProof/>
          <w:sz w:val="24"/>
          <w:szCs w:val="24"/>
          <w:lang w:val="ro-RO" w:eastAsia="en-GB"/>
        </w:rPr>
      </w:pPr>
    </w:p>
    <w:p w:rsidR="003971C5" w:rsidRDefault="003971C5" w:rsidP="00A62400">
      <w:pPr>
        <w:spacing w:before="120" w:after="0" w:line="240" w:lineRule="auto"/>
        <w:jc w:val="both"/>
        <w:rPr>
          <w:rFonts w:ascii="Arial" w:eastAsia="Times New Roman" w:hAnsi="Arial" w:cs="Arial"/>
          <w:noProof/>
          <w:sz w:val="24"/>
          <w:szCs w:val="24"/>
          <w:lang w:val="ro-RO" w:eastAsia="en-GB"/>
        </w:rPr>
      </w:pPr>
    </w:p>
    <w:p w:rsidR="003971C5" w:rsidRDefault="003971C5" w:rsidP="00A62400">
      <w:pPr>
        <w:spacing w:before="120" w:after="0" w:line="240" w:lineRule="auto"/>
        <w:jc w:val="both"/>
        <w:rPr>
          <w:rFonts w:ascii="Arial" w:eastAsia="Times New Roman" w:hAnsi="Arial" w:cs="Arial"/>
          <w:noProof/>
          <w:sz w:val="24"/>
          <w:szCs w:val="24"/>
          <w:lang w:val="ro-RO" w:eastAsia="en-GB"/>
        </w:rPr>
      </w:pPr>
      <w:bookmarkStart w:id="27" w:name="_GoBack"/>
      <w:bookmarkEnd w:id="27"/>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lastRenderedPageBreak/>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CB5A87" w:rsidRDefault="00CB5A87" w:rsidP="008C46C0">
      <w:pPr>
        <w:spacing w:after="0" w:line="240" w:lineRule="auto"/>
        <w:ind w:firstLine="880"/>
        <w:jc w:val="both"/>
        <w:rPr>
          <w:rFonts w:ascii="Arial" w:hAnsi="Arial" w:cs="Arial"/>
          <w:sz w:val="24"/>
          <w:szCs w:val="24"/>
          <w:lang w:val="ro-RO"/>
        </w:rPr>
      </w:pPr>
    </w:p>
    <w:p w:rsidR="00AD4CDF" w:rsidRPr="007964D7" w:rsidRDefault="00AD4CDF"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CB5A87"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0E24A3" w:rsidRPr="007964D7" w:rsidRDefault="000E24A3" w:rsidP="000E24A3">
      <w:pPr>
        <w:spacing w:after="0" w:line="240" w:lineRule="auto"/>
        <w:jc w:val="both"/>
        <w:rPr>
          <w:rFonts w:ascii="Arial" w:hAnsi="Arial" w:cs="Arial"/>
          <w:sz w:val="24"/>
          <w:szCs w:val="24"/>
        </w:rPr>
      </w:pPr>
      <w:r w:rsidRPr="007964D7">
        <w:rPr>
          <w:rFonts w:ascii="Arial" w:hAnsi="Arial" w:cs="Arial"/>
          <w:sz w:val="24"/>
          <w:szCs w:val="24"/>
        </w:rPr>
        <w:t>Serviciu  Avize, Acorduri, Autorizaţii,</w:t>
      </w:r>
    </w:p>
    <w:p w:rsidR="000E24A3" w:rsidRPr="007964D7" w:rsidRDefault="000E24A3" w:rsidP="000E24A3">
      <w:pPr>
        <w:spacing w:after="0" w:line="240" w:lineRule="auto"/>
        <w:rPr>
          <w:rFonts w:ascii="Arial" w:hAnsi="Arial" w:cs="Arial"/>
          <w:sz w:val="24"/>
          <w:szCs w:val="24"/>
        </w:rPr>
      </w:pPr>
      <w:r w:rsidRPr="007964D7">
        <w:rPr>
          <w:rFonts w:ascii="Arial" w:hAnsi="Arial" w:cs="Arial"/>
          <w:sz w:val="24"/>
          <w:szCs w:val="24"/>
        </w:rPr>
        <w:t xml:space="preserve">ing. Gizella Balint                                                                                               </w:t>
      </w:r>
    </w:p>
    <w:p w:rsidR="00CB5A87" w:rsidRDefault="00706C7F" w:rsidP="00CB5A8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A87" w:rsidRDefault="00CB5A87" w:rsidP="00CB5A87">
      <w:pPr>
        <w:spacing w:after="0" w:line="240" w:lineRule="auto"/>
        <w:rPr>
          <w:rFonts w:ascii="Arial" w:hAnsi="Arial" w:cs="Arial"/>
          <w:sz w:val="24"/>
          <w:szCs w:val="24"/>
        </w:rPr>
      </w:pPr>
    </w:p>
    <w:p w:rsidR="00B80AFD" w:rsidRDefault="00B80AFD" w:rsidP="00CB5A87">
      <w:pPr>
        <w:spacing w:after="0" w:line="240" w:lineRule="auto"/>
        <w:rPr>
          <w:rFonts w:ascii="Arial" w:hAnsi="Arial" w:cs="Arial"/>
          <w:sz w:val="24"/>
          <w:szCs w:val="24"/>
        </w:rPr>
      </w:pPr>
    </w:p>
    <w:p w:rsidR="002C54EE" w:rsidRDefault="002C54EE" w:rsidP="00CB5A87">
      <w:pPr>
        <w:spacing w:after="0" w:line="240" w:lineRule="auto"/>
        <w:rPr>
          <w:rFonts w:ascii="Arial" w:hAnsi="Arial" w:cs="Arial"/>
          <w:sz w:val="24"/>
          <w:szCs w:val="24"/>
        </w:rPr>
      </w:pPr>
    </w:p>
    <w:p w:rsidR="002C54EE" w:rsidRDefault="002C54EE" w:rsidP="00CB5A87">
      <w:pPr>
        <w:spacing w:after="0" w:line="240" w:lineRule="auto"/>
        <w:rPr>
          <w:rFonts w:ascii="Arial" w:hAnsi="Arial" w:cs="Arial"/>
          <w:sz w:val="24"/>
          <w:szCs w:val="24"/>
        </w:rPr>
      </w:pPr>
    </w:p>
    <w:p w:rsidR="00AD4CDF" w:rsidRDefault="00AD4CDF" w:rsidP="00CB5A87">
      <w:pPr>
        <w:spacing w:after="0" w:line="240" w:lineRule="auto"/>
        <w:rPr>
          <w:rFonts w:ascii="Arial" w:hAnsi="Arial" w:cs="Arial"/>
          <w:sz w:val="24"/>
          <w:szCs w:val="24"/>
        </w:rPr>
      </w:pPr>
    </w:p>
    <w:p w:rsidR="00CB5A87" w:rsidRDefault="00CB5A87" w:rsidP="00CB5A87">
      <w:pPr>
        <w:spacing w:after="0" w:line="240" w:lineRule="auto"/>
        <w:rPr>
          <w:rFonts w:ascii="Arial" w:hAnsi="Arial" w:cs="Arial"/>
          <w:sz w:val="24"/>
          <w:szCs w:val="24"/>
        </w:rPr>
      </w:pPr>
    </w:p>
    <w:p w:rsid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Întocmit,</w:t>
      </w:r>
      <w:r w:rsidRPr="007964D7">
        <w:rPr>
          <w:rFonts w:ascii="Arial" w:hAnsi="Arial" w:cs="Arial"/>
          <w:sz w:val="24"/>
          <w:szCs w:val="24"/>
        </w:rPr>
        <w:tab/>
      </w:r>
    </w:p>
    <w:p w:rsidR="00505E6D" w:rsidRPr="00706C7F" w:rsidRDefault="000E24A3" w:rsidP="00CB5A87">
      <w:pPr>
        <w:spacing w:after="0" w:line="240" w:lineRule="auto"/>
        <w:rPr>
          <w:rFonts w:ascii="Arial" w:hAnsi="Arial" w:cs="Arial"/>
          <w:sz w:val="24"/>
          <w:szCs w:val="24"/>
        </w:rPr>
      </w:pPr>
      <w:r w:rsidRPr="007964D7">
        <w:rPr>
          <w:rFonts w:ascii="Arial" w:hAnsi="Arial" w:cs="Arial"/>
          <w:sz w:val="24"/>
          <w:szCs w:val="24"/>
        </w:rPr>
        <w:t xml:space="preserve"> ing. Anca Horotan</w:t>
      </w:r>
    </w:p>
    <w:sectPr w:rsidR="00505E6D" w:rsidRPr="00706C7F" w:rsidSect="00F421F9">
      <w:footerReference w:type="default" r:id="rId12"/>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79" w:rsidRDefault="005F5D79" w:rsidP="0010560A">
      <w:pPr>
        <w:spacing w:after="0" w:line="240" w:lineRule="auto"/>
      </w:pPr>
      <w:r>
        <w:separator/>
      </w:r>
    </w:p>
  </w:endnote>
  <w:endnote w:type="continuationSeparator" w:id="0">
    <w:p w:rsidR="005F5D79" w:rsidRDefault="005F5D7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5F5D79"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6192">
          <v:imagedata r:id="rId1" o:title=""/>
        </v:shape>
        <o:OLEObject Type="Embed" ProgID="CorelDRAW.Graphic.13" ShapeID="_x0000_s2059" DrawAspect="Content" ObjectID="_1647067167"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61312"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79" w:rsidRDefault="005F5D79" w:rsidP="0010560A">
      <w:pPr>
        <w:spacing w:after="0" w:line="240" w:lineRule="auto"/>
      </w:pPr>
      <w:r>
        <w:separator/>
      </w:r>
    </w:p>
  </w:footnote>
  <w:footnote w:type="continuationSeparator" w:id="0">
    <w:p w:rsidR="005F5D79" w:rsidRDefault="005F5D7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8"/>
  </w:num>
  <w:num w:numId="6">
    <w:abstractNumId w:val="4"/>
  </w:num>
  <w:num w:numId="7">
    <w:abstractNumId w:val="13"/>
  </w:num>
  <w:num w:numId="8">
    <w:abstractNumId w:val="10"/>
  </w:num>
  <w:num w:numId="9">
    <w:abstractNumId w:val="5"/>
  </w:num>
  <w:num w:numId="10">
    <w:abstractNumId w:val="9"/>
  </w:num>
  <w:num w:numId="11">
    <w:abstractNumId w:val="11"/>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54EE"/>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971C5"/>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E6F07"/>
    <w:rsid w:val="005F2D52"/>
    <w:rsid w:val="005F45A6"/>
    <w:rsid w:val="005F5036"/>
    <w:rsid w:val="005F5D79"/>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CDF"/>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E5733"/>
    <w:rsid w:val="00DF0AE2"/>
    <w:rsid w:val="00DF1C71"/>
    <w:rsid w:val="00DF5A8B"/>
    <w:rsid w:val="00DF5CD7"/>
    <w:rsid w:val="00E01D99"/>
    <w:rsid w:val="00E1004F"/>
    <w:rsid w:val="00E1349F"/>
    <w:rsid w:val="00E20CF7"/>
    <w:rsid w:val="00E244FB"/>
    <w:rsid w:val="00E26192"/>
    <w:rsid w:val="00E321C3"/>
    <w:rsid w:val="00E3286F"/>
    <w:rsid w:val="00E34D80"/>
    <w:rsid w:val="00E35233"/>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3C8"/>
    <w:rsid w:val="00ED0040"/>
    <w:rsid w:val="00ED29C4"/>
    <w:rsid w:val="00ED4800"/>
    <w:rsid w:val="00EE036F"/>
    <w:rsid w:val="00EE6E48"/>
    <w:rsid w:val="00EF3E70"/>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67D39200"/>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zdsnbzge4q/legea-nr-74-2019-privind-gestionarea-siturilor-potential-contaminate-si-a-celor-contaminat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9BFE-CA2A-4BA5-BFA1-F56EA613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28494</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2019-12-09T14:00:00Z</cp:lastPrinted>
  <dcterms:created xsi:type="dcterms:W3CDTF">2020-03-30T06:53:00Z</dcterms:created>
  <dcterms:modified xsi:type="dcterms:W3CDTF">2020-03-30T06:53:00Z</dcterms:modified>
</cp:coreProperties>
</file>