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E1" w:rsidRPr="00A53DD2" w:rsidRDefault="003B28E1" w:rsidP="003B28E1">
      <w:pPr>
        <w:widowControl w:val="0"/>
        <w:spacing w:after="0" w:line="240" w:lineRule="auto"/>
        <w:rPr>
          <w:rFonts w:ascii="Arial" w:hAnsi="Arial" w:cs="Arial"/>
          <w:b/>
          <w:color w:val="984806" w:themeColor="accent6" w:themeShade="80"/>
          <w:sz w:val="24"/>
          <w:szCs w:val="24"/>
        </w:rPr>
      </w:pPr>
    </w:p>
    <w:p w:rsidR="003B28E1" w:rsidRPr="00A53DD2" w:rsidRDefault="003B28E1" w:rsidP="003B28E1">
      <w:pPr>
        <w:widowControl w:val="0"/>
        <w:spacing w:after="0" w:line="240" w:lineRule="auto"/>
        <w:rPr>
          <w:rFonts w:ascii="Arial" w:hAnsi="Arial" w:cs="Arial"/>
          <w:b/>
          <w:color w:val="984806" w:themeColor="accent6" w:themeShade="80"/>
          <w:sz w:val="24"/>
          <w:szCs w:val="24"/>
        </w:rPr>
      </w:pPr>
    </w:p>
    <w:p w:rsidR="003B28E1" w:rsidRPr="00C671AF" w:rsidRDefault="003B28E1" w:rsidP="003B28E1">
      <w:pPr>
        <w:widowControl w:val="0"/>
        <w:spacing w:after="0" w:line="240" w:lineRule="auto"/>
        <w:jc w:val="center"/>
        <w:rPr>
          <w:rFonts w:ascii="Arial" w:hAnsi="Arial" w:cs="Arial"/>
          <w:b/>
          <w:sz w:val="24"/>
          <w:szCs w:val="24"/>
        </w:rPr>
      </w:pPr>
      <w:r w:rsidRPr="00C671AF">
        <w:rPr>
          <w:rFonts w:ascii="Arial" w:hAnsi="Arial" w:cs="Arial"/>
          <w:b/>
          <w:sz w:val="24"/>
          <w:szCs w:val="24"/>
        </w:rPr>
        <w:t>IV. UTILIZAREA TERENURILOR</w:t>
      </w:r>
    </w:p>
    <w:p w:rsidR="003B28E1" w:rsidRPr="00C671AF" w:rsidRDefault="003B28E1" w:rsidP="003B28E1">
      <w:pPr>
        <w:widowControl w:val="0"/>
        <w:spacing w:after="0" w:line="240" w:lineRule="auto"/>
        <w:jc w:val="center"/>
        <w:rPr>
          <w:rFonts w:ascii="Arial" w:hAnsi="Arial" w:cs="Arial"/>
          <w:b/>
          <w:sz w:val="24"/>
          <w:szCs w:val="24"/>
        </w:rPr>
      </w:pPr>
    </w:p>
    <w:p w:rsidR="003B28E1" w:rsidRPr="00C671AF" w:rsidRDefault="003B28E1" w:rsidP="003B28E1">
      <w:pPr>
        <w:widowControl w:val="0"/>
        <w:spacing w:after="0" w:line="240" w:lineRule="auto"/>
        <w:jc w:val="center"/>
        <w:rPr>
          <w:rFonts w:ascii="Arial" w:hAnsi="Arial" w:cs="Arial"/>
          <w:b/>
          <w:sz w:val="24"/>
          <w:szCs w:val="24"/>
        </w:rPr>
      </w:pPr>
    </w:p>
    <w:p w:rsidR="003B28E1" w:rsidRPr="00C671AF" w:rsidRDefault="003B28E1" w:rsidP="003B28E1">
      <w:pPr>
        <w:widowControl w:val="0"/>
        <w:spacing w:after="0" w:line="240" w:lineRule="auto"/>
        <w:jc w:val="both"/>
        <w:rPr>
          <w:rFonts w:ascii="Arial" w:hAnsi="Arial" w:cs="Arial"/>
          <w:b/>
          <w:sz w:val="24"/>
          <w:szCs w:val="24"/>
        </w:rPr>
      </w:pPr>
      <w:r w:rsidRPr="00C671AF">
        <w:rPr>
          <w:rFonts w:ascii="Arial" w:hAnsi="Arial" w:cs="Arial"/>
          <w:b/>
          <w:sz w:val="24"/>
          <w:szCs w:val="24"/>
        </w:rPr>
        <w:t>IV.1. Stare şi tendinţe</w:t>
      </w:r>
    </w:p>
    <w:p w:rsidR="003B28E1" w:rsidRPr="00C671AF" w:rsidRDefault="003B28E1" w:rsidP="003B28E1">
      <w:pPr>
        <w:widowControl w:val="0"/>
        <w:spacing w:after="0" w:line="240" w:lineRule="auto"/>
        <w:jc w:val="both"/>
        <w:rPr>
          <w:rFonts w:ascii="Arial" w:hAnsi="Arial" w:cs="Arial"/>
          <w:b/>
          <w:sz w:val="24"/>
          <w:szCs w:val="24"/>
        </w:rPr>
      </w:pPr>
    </w:p>
    <w:p w:rsidR="003B28E1" w:rsidRPr="00C671AF" w:rsidRDefault="003B28E1" w:rsidP="003B28E1">
      <w:pPr>
        <w:widowControl w:val="0"/>
        <w:spacing w:after="0" w:line="240" w:lineRule="auto"/>
        <w:jc w:val="both"/>
        <w:rPr>
          <w:rFonts w:ascii="Arial" w:hAnsi="Arial" w:cs="Arial"/>
          <w:b/>
          <w:i/>
          <w:sz w:val="24"/>
          <w:szCs w:val="24"/>
        </w:rPr>
      </w:pPr>
      <w:r w:rsidRPr="00C671AF">
        <w:rPr>
          <w:rFonts w:ascii="Arial" w:hAnsi="Arial" w:cs="Arial"/>
          <w:b/>
          <w:i/>
          <w:sz w:val="24"/>
          <w:szCs w:val="24"/>
        </w:rPr>
        <w:t>IV.1.1. Repartiţia terenurilor pe categorii de acoperire/ utilizare</w:t>
      </w:r>
    </w:p>
    <w:p w:rsidR="003B28E1" w:rsidRPr="00A53DD2" w:rsidRDefault="003B28E1" w:rsidP="003B28E1">
      <w:pPr>
        <w:widowControl w:val="0"/>
        <w:spacing w:after="0" w:line="240" w:lineRule="auto"/>
        <w:jc w:val="both"/>
        <w:rPr>
          <w:rFonts w:ascii="Arial" w:hAnsi="Arial" w:cs="Arial"/>
          <w:color w:val="984806" w:themeColor="accent6" w:themeShade="80"/>
          <w:sz w:val="24"/>
          <w:szCs w:val="24"/>
        </w:rPr>
      </w:pPr>
    </w:p>
    <w:p w:rsidR="003B28E1" w:rsidRPr="00FF0177" w:rsidRDefault="003B28E1" w:rsidP="003B28E1">
      <w:pPr>
        <w:widowControl w:val="0"/>
        <w:spacing w:after="0" w:line="240" w:lineRule="auto"/>
        <w:ind w:firstLine="720"/>
        <w:jc w:val="both"/>
        <w:rPr>
          <w:rFonts w:ascii="Arial" w:hAnsi="Arial" w:cs="Arial"/>
          <w:sz w:val="24"/>
          <w:szCs w:val="24"/>
        </w:rPr>
      </w:pPr>
      <w:r w:rsidRPr="00FF0177">
        <w:rPr>
          <w:rFonts w:ascii="Arial" w:hAnsi="Arial" w:cs="Arial"/>
          <w:sz w:val="24"/>
          <w:szCs w:val="24"/>
        </w:rPr>
        <w:t xml:space="preserve">Ocuparea şi utilizarea terenurilor este în strânsă interdependenţă cu unităţile de relief din judeţul Suceava. Relieful judeţului Suceava se caracterizează printr-o mare varietate şi bogăţie a formelor: munţi, depresiuni intramontane, dealuri, podişuri, văi terasate şi lunci, cu o diferenţă de nivel între cotele extreme de </w:t>
      </w:r>
      <w:smartTag w:uri="urn:schemas-microsoft-com:office:smarttags" w:element="metricconverter">
        <w:smartTagPr>
          <w:attr w:name="ProductID" w:val="1875 m"/>
        </w:smartTagPr>
        <w:r w:rsidRPr="00FF0177">
          <w:rPr>
            <w:rFonts w:ascii="Arial" w:hAnsi="Arial" w:cs="Arial"/>
            <w:sz w:val="24"/>
            <w:szCs w:val="24"/>
          </w:rPr>
          <w:t>1875 m</w:t>
        </w:r>
      </w:smartTag>
      <w:r w:rsidRPr="00FF0177">
        <w:rPr>
          <w:rFonts w:ascii="Arial" w:hAnsi="Arial" w:cs="Arial"/>
          <w:sz w:val="24"/>
          <w:szCs w:val="24"/>
        </w:rPr>
        <w:t xml:space="preserve"> (de la </w:t>
      </w:r>
      <w:smartTag w:uri="urn:schemas-microsoft-com:office:smarttags" w:element="metricconverter">
        <w:smartTagPr>
          <w:attr w:name="ProductID" w:val="225 m"/>
        </w:smartTagPr>
        <w:r w:rsidRPr="00FF0177">
          <w:rPr>
            <w:rFonts w:ascii="Arial" w:hAnsi="Arial" w:cs="Arial"/>
            <w:sz w:val="24"/>
            <w:szCs w:val="24"/>
          </w:rPr>
          <w:t>225 m</w:t>
        </w:r>
      </w:smartTag>
      <w:r w:rsidRPr="00FF0177">
        <w:rPr>
          <w:rFonts w:ascii="Arial" w:hAnsi="Arial" w:cs="Arial"/>
          <w:sz w:val="24"/>
          <w:szCs w:val="24"/>
        </w:rPr>
        <w:t xml:space="preserve"> la Dolhasca, în albia râului Siret, la </w:t>
      </w:r>
      <w:smartTag w:uri="urn:schemas-microsoft-com:office:smarttags" w:element="metricconverter">
        <w:smartTagPr>
          <w:attr w:name="ProductID" w:val="2100 m"/>
        </w:smartTagPr>
        <w:r w:rsidRPr="00FF0177">
          <w:rPr>
            <w:rFonts w:ascii="Arial" w:hAnsi="Arial" w:cs="Arial"/>
            <w:sz w:val="24"/>
            <w:szCs w:val="24"/>
          </w:rPr>
          <w:t>2100 m</w:t>
        </w:r>
      </w:smartTag>
      <w:r w:rsidRPr="00FF0177">
        <w:rPr>
          <w:rFonts w:ascii="Arial" w:hAnsi="Arial" w:cs="Arial"/>
          <w:sz w:val="24"/>
          <w:szCs w:val="24"/>
        </w:rPr>
        <w:t xml:space="preserve"> în Munţii Călimani – Vf. Pietrosu). </w:t>
      </w:r>
    </w:p>
    <w:p w:rsidR="003B28E1" w:rsidRPr="00FF0177" w:rsidRDefault="003B28E1" w:rsidP="003B28E1">
      <w:pPr>
        <w:widowControl w:val="0"/>
        <w:spacing w:after="0" w:line="240" w:lineRule="auto"/>
        <w:ind w:firstLine="720"/>
        <w:jc w:val="both"/>
        <w:rPr>
          <w:rFonts w:ascii="Arial" w:hAnsi="Arial" w:cs="Arial"/>
          <w:sz w:val="24"/>
          <w:szCs w:val="24"/>
        </w:rPr>
      </w:pPr>
      <w:r w:rsidRPr="00FF0177">
        <w:rPr>
          <w:rFonts w:ascii="Arial" w:hAnsi="Arial" w:cs="Arial"/>
          <w:sz w:val="24"/>
          <w:szCs w:val="24"/>
        </w:rPr>
        <w:t xml:space="preserve">Suprafaţa judeţului se împarte pe formele de relief astfel:               </w:t>
      </w:r>
    </w:p>
    <w:p w:rsidR="003B28E1" w:rsidRPr="00FF0177" w:rsidRDefault="003B28E1" w:rsidP="003B28E1">
      <w:pPr>
        <w:widowControl w:val="0"/>
        <w:spacing w:after="0" w:line="240" w:lineRule="auto"/>
        <w:jc w:val="both"/>
        <w:rPr>
          <w:rFonts w:ascii="Arial" w:hAnsi="Arial" w:cs="Arial"/>
          <w:sz w:val="24"/>
          <w:szCs w:val="24"/>
        </w:rPr>
      </w:pPr>
      <w:r w:rsidRPr="00FF0177">
        <w:rPr>
          <w:rFonts w:ascii="Arial" w:hAnsi="Arial" w:cs="Arial"/>
          <w:sz w:val="24"/>
          <w:szCs w:val="24"/>
        </w:rPr>
        <w:t xml:space="preserve">        </w:t>
      </w:r>
      <w:r w:rsidRPr="00FF0177">
        <w:rPr>
          <w:rFonts w:ascii="Arial" w:hAnsi="Arial" w:cs="Arial"/>
          <w:sz w:val="24"/>
          <w:szCs w:val="24"/>
        </w:rPr>
        <w:tab/>
        <w:t xml:space="preserve">  - zona de munte 53%;</w:t>
      </w:r>
    </w:p>
    <w:p w:rsidR="003B28E1" w:rsidRPr="00FF0177" w:rsidRDefault="003B28E1" w:rsidP="003B28E1">
      <w:pPr>
        <w:widowControl w:val="0"/>
        <w:spacing w:after="0" w:line="240" w:lineRule="auto"/>
        <w:jc w:val="both"/>
        <w:rPr>
          <w:rFonts w:ascii="Arial" w:hAnsi="Arial" w:cs="Arial"/>
          <w:sz w:val="24"/>
          <w:szCs w:val="24"/>
        </w:rPr>
      </w:pPr>
      <w:r w:rsidRPr="00FF0177">
        <w:rPr>
          <w:rFonts w:ascii="Arial" w:hAnsi="Arial" w:cs="Arial"/>
          <w:sz w:val="24"/>
          <w:szCs w:val="24"/>
        </w:rPr>
        <w:t xml:space="preserve">             - zona de podiş 30%;</w:t>
      </w:r>
    </w:p>
    <w:p w:rsidR="003B28E1" w:rsidRPr="00FF0177" w:rsidRDefault="003B28E1" w:rsidP="003B28E1">
      <w:pPr>
        <w:widowControl w:val="0"/>
        <w:spacing w:after="0" w:line="240" w:lineRule="auto"/>
        <w:jc w:val="both"/>
        <w:rPr>
          <w:rFonts w:ascii="Arial" w:hAnsi="Arial" w:cs="Arial"/>
          <w:sz w:val="24"/>
          <w:szCs w:val="24"/>
        </w:rPr>
      </w:pPr>
      <w:r w:rsidRPr="00FF0177">
        <w:rPr>
          <w:rFonts w:ascii="Arial" w:hAnsi="Arial" w:cs="Arial"/>
          <w:sz w:val="24"/>
          <w:szCs w:val="24"/>
        </w:rPr>
        <w:t xml:space="preserve">       </w:t>
      </w:r>
      <w:r w:rsidRPr="00FF0177">
        <w:rPr>
          <w:rFonts w:ascii="Arial" w:hAnsi="Arial" w:cs="Arial"/>
          <w:sz w:val="24"/>
          <w:szCs w:val="24"/>
        </w:rPr>
        <w:tab/>
        <w:t xml:space="preserve">  - zona de luncă 17%.</w:t>
      </w:r>
    </w:p>
    <w:p w:rsidR="003B28E1" w:rsidRPr="00FF0177" w:rsidRDefault="003B28E1" w:rsidP="003B28E1">
      <w:pPr>
        <w:widowControl w:val="0"/>
        <w:spacing w:after="0" w:line="240" w:lineRule="auto"/>
        <w:jc w:val="both"/>
        <w:rPr>
          <w:rFonts w:ascii="Arial" w:hAnsi="Arial" w:cs="Arial"/>
          <w:sz w:val="16"/>
          <w:szCs w:val="16"/>
        </w:rPr>
      </w:pPr>
    </w:p>
    <w:p w:rsidR="003B28E1" w:rsidRPr="00D2419B" w:rsidRDefault="003B28E1" w:rsidP="003B28E1">
      <w:pPr>
        <w:widowControl w:val="0"/>
        <w:spacing w:after="0" w:line="240" w:lineRule="auto"/>
        <w:jc w:val="center"/>
        <w:rPr>
          <w:rFonts w:ascii="Arial" w:hAnsi="Arial" w:cs="Arial"/>
        </w:rPr>
      </w:pPr>
      <w:r w:rsidRPr="00FF0177">
        <w:rPr>
          <w:rFonts w:ascii="Arial" w:hAnsi="Arial" w:cs="Arial"/>
        </w:rPr>
        <w:t>Tabel IV.1.1.1.</w:t>
      </w:r>
      <w:r w:rsidRPr="00FF0177">
        <w:rPr>
          <w:rFonts w:ascii="Arial" w:hAnsi="Arial" w:cs="Arial"/>
          <w:b/>
          <w:i/>
        </w:rPr>
        <w:t xml:space="preserve"> </w:t>
      </w:r>
      <w:r w:rsidRPr="00FF0177">
        <w:rPr>
          <w:rFonts w:ascii="Arial" w:hAnsi="Arial" w:cs="Arial"/>
        </w:rPr>
        <w:t xml:space="preserve">Repartiţia terenurilor pe categorii de acoperire/utilizare </w:t>
      </w:r>
      <w:r w:rsidRPr="00D2419B">
        <w:rPr>
          <w:rFonts w:ascii="Arial" w:hAnsi="Arial" w:cs="Arial"/>
        </w:rPr>
        <w:t>în anul 201</w:t>
      </w:r>
      <w:r w:rsidR="00D2419B" w:rsidRPr="00D2419B">
        <w:rPr>
          <w:rFonts w:ascii="Arial" w:hAnsi="Arial" w:cs="Arial"/>
        </w:rPr>
        <w:t>6</w:t>
      </w:r>
    </w:p>
    <w:p w:rsidR="003B28E1" w:rsidRPr="00FF0177" w:rsidRDefault="003B28E1" w:rsidP="003B28E1">
      <w:pPr>
        <w:widowControl w:val="0"/>
        <w:spacing w:after="0" w:line="240" w:lineRule="auto"/>
        <w:jc w:val="center"/>
        <w:rPr>
          <w:rFonts w:ascii="Arial" w:hAnsi="Arial" w:cs="Arial"/>
        </w:rPr>
      </w:pPr>
      <w:r w:rsidRPr="00D2419B">
        <w:rPr>
          <w:rFonts w:ascii="Arial" w:hAnsi="Arial" w:cs="Arial"/>
        </w:rPr>
        <w:t xml:space="preserve"> în judeţul Suceava (</w:t>
      </w:r>
      <w:r w:rsidRPr="00D2419B">
        <w:rPr>
          <w:rFonts w:ascii="Arial" w:hAnsi="Arial" w:cs="Arial"/>
          <w:i/>
        </w:rPr>
        <w:t>sursa</w:t>
      </w:r>
      <w:r w:rsidR="00D2419B" w:rsidRPr="00D2419B">
        <w:rPr>
          <w:rFonts w:ascii="Arial" w:hAnsi="Arial" w:cs="Arial"/>
          <w:i/>
        </w:rPr>
        <w:t xml:space="preserve">: Direcţia </w:t>
      </w:r>
      <w:r w:rsidRPr="00D2419B">
        <w:rPr>
          <w:rFonts w:ascii="Arial" w:hAnsi="Arial" w:cs="Arial"/>
          <w:i/>
        </w:rPr>
        <w:t xml:space="preserve">Judeţeană </w:t>
      </w:r>
      <w:r w:rsidR="00D2419B" w:rsidRPr="00D2419B">
        <w:rPr>
          <w:rFonts w:ascii="Arial" w:hAnsi="Arial" w:cs="Arial"/>
          <w:i/>
        </w:rPr>
        <w:t xml:space="preserve">de Statistică </w:t>
      </w:r>
      <w:r w:rsidRPr="00D2419B">
        <w:rPr>
          <w:rFonts w:ascii="Arial" w:hAnsi="Arial" w:cs="Arial"/>
          <w:i/>
        </w:rPr>
        <w:t>Suceava</w:t>
      </w:r>
      <w:r w:rsidR="00D2419B" w:rsidRPr="00D2419B">
        <w:rPr>
          <w:rFonts w:ascii="Arial" w:hAnsi="Arial" w:cs="Arial"/>
          <w:i/>
        </w:rPr>
        <w:t>, 2017</w:t>
      </w:r>
      <w:r w:rsidRPr="00D2419B">
        <w:rPr>
          <w:rFonts w:ascii="Arial" w:hAnsi="Arial" w:cs="Arial"/>
        </w:rPr>
        <w:t>)</w:t>
      </w:r>
    </w:p>
    <w:p w:rsidR="003B28E1" w:rsidRPr="00FF0177" w:rsidRDefault="003B28E1" w:rsidP="003B28E1">
      <w:pPr>
        <w:widowControl w:val="0"/>
        <w:spacing w:after="0" w:line="240" w:lineRule="auto"/>
        <w:jc w:val="center"/>
        <w:rPr>
          <w:rFonts w:ascii="Arial" w:hAnsi="Arial" w:cs="Arial"/>
          <w:sz w:val="6"/>
          <w:szCs w:val="6"/>
        </w:rPr>
      </w:pPr>
    </w:p>
    <w:tbl>
      <w:tblPr>
        <w:tblStyle w:val="TableGrid"/>
        <w:tblW w:w="0" w:type="auto"/>
        <w:jc w:val="center"/>
        <w:tblLook w:val="04A0"/>
      </w:tblPr>
      <w:tblGrid>
        <w:gridCol w:w="4291"/>
        <w:gridCol w:w="2552"/>
        <w:gridCol w:w="2445"/>
      </w:tblGrid>
      <w:tr w:rsidR="003B28E1" w:rsidRPr="00FF0177" w:rsidTr="00E90D66">
        <w:trPr>
          <w:jc w:val="center"/>
        </w:trPr>
        <w:tc>
          <w:tcPr>
            <w:tcW w:w="4291" w:type="dxa"/>
            <w:vMerge w:val="restart"/>
            <w:shd w:val="clear" w:color="auto" w:fill="FFFF99"/>
            <w:vAlign w:val="center"/>
          </w:tcPr>
          <w:p w:rsidR="003B28E1" w:rsidRPr="00FF0177" w:rsidRDefault="003B28E1" w:rsidP="00E90D66">
            <w:pPr>
              <w:widowControl w:val="0"/>
              <w:jc w:val="center"/>
              <w:rPr>
                <w:rFonts w:ascii="Arial" w:hAnsi="Arial" w:cs="Arial"/>
                <w:b/>
              </w:rPr>
            </w:pPr>
            <w:r w:rsidRPr="00FF0177">
              <w:rPr>
                <w:rFonts w:ascii="Arial" w:hAnsi="Arial" w:cs="Arial"/>
                <w:b/>
              </w:rPr>
              <w:t>Categoria de acoperire/ utilizare</w:t>
            </w:r>
          </w:p>
        </w:tc>
        <w:tc>
          <w:tcPr>
            <w:tcW w:w="4997" w:type="dxa"/>
            <w:gridSpan w:val="2"/>
            <w:shd w:val="clear" w:color="auto" w:fill="FFFF99"/>
            <w:vAlign w:val="center"/>
          </w:tcPr>
          <w:p w:rsidR="003B28E1" w:rsidRPr="00FF0177" w:rsidRDefault="003B28E1" w:rsidP="00E90D66">
            <w:pPr>
              <w:widowControl w:val="0"/>
              <w:jc w:val="center"/>
              <w:rPr>
                <w:rFonts w:ascii="Arial" w:hAnsi="Arial" w:cs="Arial"/>
                <w:b/>
              </w:rPr>
            </w:pPr>
            <w:r w:rsidRPr="00FF0177">
              <w:rPr>
                <w:rFonts w:ascii="Arial" w:hAnsi="Arial" w:cs="Arial"/>
                <w:b/>
              </w:rPr>
              <w:t xml:space="preserve">Suprafaţa </w:t>
            </w:r>
          </w:p>
        </w:tc>
      </w:tr>
      <w:tr w:rsidR="003B28E1" w:rsidRPr="00FF0177" w:rsidTr="00E90D66">
        <w:trPr>
          <w:jc w:val="center"/>
        </w:trPr>
        <w:tc>
          <w:tcPr>
            <w:tcW w:w="4291" w:type="dxa"/>
            <w:vMerge/>
            <w:shd w:val="clear" w:color="auto" w:fill="FFFF99"/>
            <w:vAlign w:val="center"/>
          </w:tcPr>
          <w:p w:rsidR="003B28E1" w:rsidRPr="00FF0177" w:rsidRDefault="003B28E1" w:rsidP="00E90D66">
            <w:pPr>
              <w:widowControl w:val="0"/>
              <w:jc w:val="both"/>
              <w:rPr>
                <w:rFonts w:ascii="Arial" w:hAnsi="Arial" w:cs="Arial"/>
                <w:b/>
              </w:rPr>
            </w:pPr>
          </w:p>
        </w:tc>
        <w:tc>
          <w:tcPr>
            <w:tcW w:w="2552" w:type="dxa"/>
            <w:shd w:val="clear" w:color="auto" w:fill="FFFF99"/>
            <w:vAlign w:val="center"/>
          </w:tcPr>
          <w:p w:rsidR="003B28E1" w:rsidRPr="00FF0177" w:rsidRDefault="003B28E1" w:rsidP="00E90D66">
            <w:pPr>
              <w:widowControl w:val="0"/>
              <w:jc w:val="center"/>
              <w:rPr>
                <w:rFonts w:ascii="Arial" w:hAnsi="Arial" w:cs="Arial"/>
                <w:b/>
              </w:rPr>
            </w:pPr>
            <w:r w:rsidRPr="00FF0177">
              <w:rPr>
                <w:rFonts w:ascii="Arial" w:hAnsi="Arial" w:cs="Arial"/>
                <w:b/>
              </w:rPr>
              <w:t>ha</w:t>
            </w:r>
          </w:p>
        </w:tc>
        <w:tc>
          <w:tcPr>
            <w:tcW w:w="2445" w:type="dxa"/>
            <w:shd w:val="clear" w:color="auto" w:fill="FFFF99"/>
            <w:vAlign w:val="center"/>
          </w:tcPr>
          <w:p w:rsidR="003B28E1" w:rsidRPr="00FF0177" w:rsidRDefault="003B28E1" w:rsidP="00E90D66">
            <w:pPr>
              <w:widowControl w:val="0"/>
              <w:jc w:val="center"/>
              <w:rPr>
                <w:rFonts w:ascii="Arial" w:hAnsi="Arial" w:cs="Arial"/>
                <w:b/>
              </w:rPr>
            </w:pPr>
            <w:r w:rsidRPr="00FF0177">
              <w:rPr>
                <w:rFonts w:ascii="Arial" w:hAnsi="Arial" w:cs="Arial"/>
                <w:b/>
              </w:rPr>
              <w:t>%</w:t>
            </w:r>
          </w:p>
        </w:tc>
      </w:tr>
      <w:tr w:rsidR="003B28E1" w:rsidRPr="00873561" w:rsidTr="00E90D66">
        <w:trPr>
          <w:jc w:val="center"/>
        </w:trPr>
        <w:tc>
          <w:tcPr>
            <w:tcW w:w="4291" w:type="dxa"/>
            <w:vAlign w:val="center"/>
          </w:tcPr>
          <w:p w:rsidR="003B28E1" w:rsidRPr="00FF0177" w:rsidRDefault="003B28E1" w:rsidP="00E90D66">
            <w:pPr>
              <w:widowControl w:val="0"/>
              <w:jc w:val="both"/>
              <w:rPr>
                <w:rFonts w:ascii="Arial" w:hAnsi="Arial" w:cs="Arial"/>
              </w:rPr>
            </w:pPr>
            <w:r w:rsidRPr="00FF0177">
              <w:rPr>
                <w:rFonts w:ascii="Arial" w:hAnsi="Arial" w:cs="Arial"/>
              </w:rPr>
              <w:t>Terenuri agricole,din care:</w:t>
            </w:r>
          </w:p>
        </w:tc>
        <w:tc>
          <w:tcPr>
            <w:tcW w:w="2552" w:type="dxa"/>
            <w:vAlign w:val="center"/>
          </w:tcPr>
          <w:p w:rsidR="003B28E1" w:rsidRPr="00FF0177" w:rsidRDefault="003B28E1" w:rsidP="00E90D66">
            <w:pPr>
              <w:widowControl w:val="0"/>
              <w:jc w:val="right"/>
              <w:rPr>
                <w:rFonts w:ascii="Arial" w:hAnsi="Arial" w:cs="Arial"/>
              </w:rPr>
            </w:pPr>
            <w:r w:rsidRPr="00FF0177">
              <w:rPr>
                <w:rFonts w:ascii="Arial" w:hAnsi="Arial" w:cs="Arial"/>
              </w:rPr>
              <w:t>354</w:t>
            </w:r>
            <w:r w:rsidR="00BB3E52">
              <w:rPr>
                <w:rFonts w:ascii="Arial" w:hAnsi="Arial" w:cs="Arial"/>
              </w:rPr>
              <w:t>.</w:t>
            </w:r>
            <w:r w:rsidRPr="00FF0177">
              <w:rPr>
                <w:rFonts w:ascii="Arial" w:hAnsi="Arial" w:cs="Arial"/>
              </w:rPr>
              <w:t>820</w:t>
            </w:r>
          </w:p>
        </w:tc>
        <w:tc>
          <w:tcPr>
            <w:tcW w:w="2445" w:type="dxa"/>
            <w:vAlign w:val="center"/>
          </w:tcPr>
          <w:p w:rsidR="003B28E1" w:rsidRPr="00873561" w:rsidRDefault="003B28E1" w:rsidP="00E90D66">
            <w:pPr>
              <w:widowControl w:val="0"/>
              <w:jc w:val="center"/>
              <w:rPr>
                <w:rFonts w:ascii="Arial" w:hAnsi="Arial" w:cs="Arial"/>
              </w:rPr>
            </w:pPr>
            <w:r w:rsidRPr="00873561">
              <w:rPr>
                <w:rFonts w:ascii="Arial" w:hAnsi="Arial" w:cs="Arial"/>
              </w:rPr>
              <w:t xml:space="preserve">41,50 </w:t>
            </w:r>
            <w:r w:rsidRPr="00873561">
              <w:rPr>
                <w:rFonts w:ascii="Arial" w:hAnsi="Arial" w:cs="Arial"/>
                <w:i/>
              </w:rPr>
              <w:t>din care</w:t>
            </w:r>
            <w:r w:rsidRPr="00873561">
              <w:rPr>
                <w:rFonts w:ascii="Arial" w:hAnsi="Arial" w:cs="Arial"/>
              </w:rPr>
              <w:t>:</w:t>
            </w:r>
          </w:p>
        </w:tc>
      </w:tr>
      <w:tr w:rsidR="003B28E1" w:rsidRPr="00873561" w:rsidTr="00E90D66">
        <w:trPr>
          <w:jc w:val="center"/>
        </w:trPr>
        <w:tc>
          <w:tcPr>
            <w:tcW w:w="4291" w:type="dxa"/>
            <w:vAlign w:val="center"/>
          </w:tcPr>
          <w:p w:rsidR="003B28E1" w:rsidRPr="00FF0177" w:rsidRDefault="006C3C46" w:rsidP="00E90D66">
            <w:pPr>
              <w:widowControl w:val="0"/>
              <w:jc w:val="both"/>
              <w:rPr>
                <w:rFonts w:ascii="Arial" w:hAnsi="Arial" w:cs="Arial"/>
              </w:rPr>
            </w:pPr>
            <w:r>
              <w:rPr>
                <w:rFonts w:ascii="Arial" w:hAnsi="Arial" w:cs="Arial"/>
              </w:rPr>
              <w:t xml:space="preserve">- </w:t>
            </w:r>
            <w:r w:rsidR="003B28E1" w:rsidRPr="00FF0177">
              <w:rPr>
                <w:rFonts w:ascii="Arial" w:hAnsi="Arial" w:cs="Arial"/>
              </w:rPr>
              <w:t>Teren arabil</w:t>
            </w:r>
          </w:p>
        </w:tc>
        <w:tc>
          <w:tcPr>
            <w:tcW w:w="2552" w:type="dxa"/>
            <w:vAlign w:val="center"/>
          </w:tcPr>
          <w:p w:rsidR="003B28E1" w:rsidRPr="00FF0177" w:rsidRDefault="003B28E1" w:rsidP="00E90D66">
            <w:pPr>
              <w:widowControl w:val="0"/>
              <w:jc w:val="right"/>
              <w:rPr>
                <w:rFonts w:ascii="Arial" w:hAnsi="Arial" w:cs="Arial"/>
              </w:rPr>
            </w:pPr>
            <w:r w:rsidRPr="00FF0177">
              <w:rPr>
                <w:rFonts w:ascii="Arial" w:hAnsi="Arial" w:cs="Arial"/>
              </w:rPr>
              <w:t>180.451</w:t>
            </w:r>
          </w:p>
        </w:tc>
        <w:tc>
          <w:tcPr>
            <w:tcW w:w="2445" w:type="dxa"/>
            <w:vAlign w:val="center"/>
          </w:tcPr>
          <w:p w:rsidR="003B28E1" w:rsidRPr="00873561" w:rsidRDefault="003B28E1" w:rsidP="00E90D66">
            <w:pPr>
              <w:widowControl w:val="0"/>
              <w:jc w:val="right"/>
              <w:rPr>
                <w:rFonts w:ascii="Arial" w:hAnsi="Arial" w:cs="Arial"/>
                <w:i/>
              </w:rPr>
            </w:pPr>
            <w:r w:rsidRPr="00873561">
              <w:rPr>
                <w:rFonts w:ascii="Arial" w:hAnsi="Arial" w:cs="Arial"/>
                <w:i/>
              </w:rPr>
              <w:t>21,1</w:t>
            </w:r>
          </w:p>
        </w:tc>
      </w:tr>
      <w:tr w:rsidR="003B28E1" w:rsidRPr="00873561" w:rsidTr="00E90D66">
        <w:trPr>
          <w:jc w:val="center"/>
        </w:trPr>
        <w:tc>
          <w:tcPr>
            <w:tcW w:w="4291" w:type="dxa"/>
            <w:vAlign w:val="center"/>
          </w:tcPr>
          <w:p w:rsidR="003B28E1" w:rsidRPr="00FF0177" w:rsidRDefault="006C3C46" w:rsidP="00E90D66">
            <w:pPr>
              <w:widowControl w:val="0"/>
              <w:jc w:val="both"/>
              <w:rPr>
                <w:rFonts w:ascii="Arial" w:hAnsi="Arial" w:cs="Arial"/>
              </w:rPr>
            </w:pPr>
            <w:r>
              <w:rPr>
                <w:rFonts w:ascii="Arial" w:hAnsi="Arial" w:cs="Arial"/>
              </w:rPr>
              <w:t xml:space="preserve">- </w:t>
            </w:r>
            <w:r w:rsidR="003B28E1" w:rsidRPr="00FF0177">
              <w:rPr>
                <w:rFonts w:ascii="Arial" w:hAnsi="Arial" w:cs="Arial"/>
              </w:rPr>
              <w:t>Păşuni</w:t>
            </w:r>
          </w:p>
        </w:tc>
        <w:tc>
          <w:tcPr>
            <w:tcW w:w="2552" w:type="dxa"/>
            <w:vAlign w:val="center"/>
          </w:tcPr>
          <w:p w:rsidR="003B28E1" w:rsidRPr="00FF0177" w:rsidRDefault="003B28E1" w:rsidP="00E90D66">
            <w:pPr>
              <w:widowControl w:val="0"/>
              <w:jc w:val="right"/>
              <w:rPr>
                <w:rFonts w:ascii="Arial" w:hAnsi="Arial" w:cs="Arial"/>
              </w:rPr>
            </w:pPr>
            <w:r w:rsidRPr="00FF0177">
              <w:rPr>
                <w:rFonts w:ascii="Arial" w:hAnsi="Arial" w:cs="Arial"/>
              </w:rPr>
              <w:t>93</w:t>
            </w:r>
            <w:r w:rsidR="00BB3E52">
              <w:rPr>
                <w:rFonts w:ascii="Arial" w:hAnsi="Arial" w:cs="Arial"/>
              </w:rPr>
              <w:t>.</w:t>
            </w:r>
            <w:r w:rsidRPr="00FF0177">
              <w:rPr>
                <w:rFonts w:ascii="Arial" w:hAnsi="Arial" w:cs="Arial"/>
              </w:rPr>
              <w:t>052</w:t>
            </w:r>
          </w:p>
        </w:tc>
        <w:tc>
          <w:tcPr>
            <w:tcW w:w="2445" w:type="dxa"/>
            <w:vAlign w:val="center"/>
          </w:tcPr>
          <w:p w:rsidR="003B28E1" w:rsidRPr="00873561" w:rsidRDefault="003B28E1" w:rsidP="00E90D66">
            <w:pPr>
              <w:widowControl w:val="0"/>
              <w:jc w:val="right"/>
              <w:rPr>
                <w:rFonts w:ascii="Arial" w:hAnsi="Arial" w:cs="Arial"/>
                <w:i/>
              </w:rPr>
            </w:pPr>
            <w:r w:rsidRPr="00873561">
              <w:rPr>
                <w:rFonts w:ascii="Arial" w:hAnsi="Arial" w:cs="Arial"/>
                <w:i/>
              </w:rPr>
              <w:t>10,9</w:t>
            </w:r>
          </w:p>
        </w:tc>
      </w:tr>
      <w:tr w:rsidR="003B28E1" w:rsidRPr="00873561" w:rsidTr="00E90D66">
        <w:trPr>
          <w:jc w:val="center"/>
        </w:trPr>
        <w:tc>
          <w:tcPr>
            <w:tcW w:w="4291" w:type="dxa"/>
            <w:vAlign w:val="center"/>
          </w:tcPr>
          <w:p w:rsidR="003B28E1" w:rsidRPr="00FF0177" w:rsidRDefault="006C3C46" w:rsidP="00E90D66">
            <w:pPr>
              <w:widowControl w:val="0"/>
              <w:jc w:val="both"/>
              <w:rPr>
                <w:rFonts w:ascii="Arial" w:hAnsi="Arial" w:cs="Arial"/>
              </w:rPr>
            </w:pPr>
            <w:r>
              <w:rPr>
                <w:rFonts w:ascii="Arial" w:hAnsi="Arial" w:cs="Arial"/>
              </w:rPr>
              <w:t xml:space="preserve">- </w:t>
            </w:r>
            <w:r w:rsidR="003B28E1" w:rsidRPr="00FF0177">
              <w:rPr>
                <w:rFonts w:ascii="Arial" w:hAnsi="Arial" w:cs="Arial"/>
              </w:rPr>
              <w:t>Fâneţe</w:t>
            </w:r>
          </w:p>
        </w:tc>
        <w:tc>
          <w:tcPr>
            <w:tcW w:w="2552" w:type="dxa"/>
            <w:vAlign w:val="center"/>
          </w:tcPr>
          <w:p w:rsidR="003B28E1" w:rsidRPr="00FF0177" w:rsidRDefault="003B28E1" w:rsidP="00E90D66">
            <w:pPr>
              <w:widowControl w:val="0"/>
              <w:jc w:val="right"/>
              <w:rPr>
                <w:rFonts w:ascii="Arial" w:hAnsi="Arial" w:cs="Arial"/>
              </w:rPr>
            </w:pPr>
            <w:r w:rsidRPr="00FF0177">
              <w:rPr>
                <w:rFonts w:ascii="Arial" w:hAnsi="Arial" w:cs="Arial"/>
              </w:rPr>
              <w:t>78</w:t>
            </w:r>
            <w:r w:rsidR="00BB3E52">
              <w:rPr>
                <w:rFonts w:ascii="Arial" w:hAnsi="Arial" w:cs="Arial"/>
              </w:rPr>
              <w:t>.</w:t>
            </w:r>
            <w:r w:rsidRPr="00FF0177">
              <w:rPr>
                <w:rFonts w:ascii="Arial" w:hAnsi="Arial" w:cs="Arial"/>
              </w:rPr>
              <w:t>404</w:t>
            </w:r>
          </w:p>
        </w:tc>
        <w:tc>
          <w:tcPr>
            <w:tcW w:w="2445" w:type="dxa"/>
            <w:vAlign w:val="center"/>
          </w:tcPr>
          <w:p w:rsidR="003B28E1" w:rsidRPr="00873561" w:rsidRDefault="003B28E1" w:rsidP="00E90D66">
            <w:pPr>
              <w:widowControl w:val="0"/>
              <w:jc w:val="right"/>
              <w:rPr>
                <w:rFonts w:ascii="Arial" w:hAnsi="Arial" w:cs="Arial"/>
                <w:i/>
              </w:rPr>
            </w:pPr>
            <w:r w:rsidRPr="00873561">
              <w:rPr>
                <w:rFonts w:ascii="Arial" w:hAnsi="Arial" w:cs="Arial"/>
                <w:i/>
              </w:rPr>
              <w:t>9,2</w:t>
            </w:r>
          </w:p>
        </w:tc>
      </w:tr>
      <w:tr w:rsidR="003B28E1" w:rsidRPr="00873561" w:rsidTr="00E90D66">
        <w:trPr>
          <w:jc w:val="center"/>
        </w:trPr>
        <w:tc>
          <w:tcPr>
            <w:tcW w:w="4291" w:type="dxa"/>
            <w:vAlign w:val="center"/>
          </w:tcPr>
          <w:p w:rsidR="003B28E1" w:rsidRPr="00FF0177" w:rsidRDefault="006C3C46" w:rsidP="00E90D66">
            <w:pPr>
              <w:widowControl w:val="0"/>
              <w:jc w:val="both"/>
              <w:rPr>
                <w:rFonts w:ascii="Arial" w:hAnsi="Arial" w:cs="Arial"/>
              </w:rPr>
            </w:pPr>
            <w:r>
              <w:rPr>
                <w:rFonts w:ascii="Arial" w:hAnsi="Arial" w:cs="Arial"/>
              </w:rPr>
              <w:t xml:space="preserve">- </w:t>
            </w:r>
            <w:r w:rsidR="003B28E1" w:rsidRPr="00FF0177">
              <w:rPr>
                <w:rFonts w:ascii="Arial" w:hAnsi="Arial" w:cs="Arial"/>
              </w:rPr>
              <w:t>Vii şi pepiniere viticole</w:t>
            </w:r>
          </w:p>
        </w:tc>
        <w:tc>
          <w:tcPr>
            <w:tcW w:w="2552" w:type="dxa"/>
            <w:vAlign w:val="center"/>
          </w:tcPr>
          <w:p w:rsidR="003B28E1" w:rsidRPr="00FF0177" w:rsidRDefault="003B28E1" w:rsidP="00E90D66">
            <w:pPr>
              <w:widowControl w:val="0"/>
              <w:jc w:val="right"/>
              <w:rPr>
                <w:rFonts w:ascii="Arial" w:hAnsi="Arial" w:cs="Arial"/>
              </w:rPr>
            </w:pPr>
            <w:r w:rsidRPr="00FF0177">
              <w:rPr>
                <w:rFonts w:ascii="Arial" w:hAnsi="Arial" w:cs="Arial"/>
              </w:rPr>
              <w:t>0</w:t>
            </w:r>
          </w:p>
        </w:tc>
        <w:tc>
          <w:tcPr>
            <w:tcW w:w="2445" w:type="dxa"/>
            <w:vAlign w:val="center"/>
          </w:tcPr>
          <w:p w:rsidR="003B28E1" w:rsidRPr="00873561" w:rsidRDefault="003B28E1" w:rsidP="00E90D66">
            <w:pPr>
              <w:widowControl w:val="0"/>
              <w:jc w:val="right"/>
              <w:rPr>
                <w:rFonts w:ascii="Arial" w:hAnsi="Arial" w:cs="Arial"/>
                <w:i/>
              </w:rPr>
            </w:pPr>
            <w:r w:rsidRPr="00873561">
              <w:rPr>
                <w:rFonts w:ascii="Arial" w:hAnsi="Arial" w:cs="Arial"/>
                <w:i/>
              </w:rPr>
              <w:t>-</w:t>
            </w:r>
          </w:p>
        </w:tc>
      </w:tr>
      <w:tr w:rsidR="003B28E1" w:rsidRPr="00873561" w:rsidTr="00E90D66">
        <w:trPr>
          <w:trHeight w:val="296"/>
          <w:jc w:val="center"/>
        </w:trPr>
        <w:tc>
          <w:tcPr>
            <w:tcW w:w="4291" w:type="dxa"/>
            <w:vAlign w:val="center"/>
          </w:tcPr>
          <w:p w:rsidR="003B28E1" w:rsidRPr="00FF0177" w:rsidRDefault="006C3C46" w:rsidP="00E90D66">
            <w:pPr>
              <w:widowControl w:val="0"/>
              <w:jc w:val="both"/>
              <w:rPr>
                <w:rFonts w:ascii="Arial" w:hAnsi="Arial" w:cs="Arial"/>
              </w:rPr>
            </w:pPr>
            <w:r>
              <w:rPr>
                <w:rFonts w:ascii="Arial" w:hAnsi="Arial" w:cs="Arial"/>
              </w:rPr>
              <w:t xml:space="preserve">- </w:t>
            </w:r>
            <w:r w:rsidR="003B28E1" w:rsidRPr="00FF0177">
              <w:rPr>
                <w:rFonts w:ascii="Arial" w:hAnsi="Arial" w:cs="Arial"/>
              </w:rPr>
              <w:t>Livezi şi pepiniere pomicole</w:t>
            </w:r>
          </w:p>
        </w:tc>
        <w:tc>
          <w:tcPr>
            <w:tcW w:w="2552" w:type="dxa"/>
            <w:vAlign w:val="center"/>
          </w:tcPr>
          <w:p w:rsidR="003B28E1" w:rsidRPr="00FF0177" w:rsidRDefault="003B28E1" w:rsidP="00E90D66">
            <w:pPr>
              <w:widowControl w:val="0"/>
              <w:jc w:val="right"/>
              <w:rPr>
                <w:rFonts w:ascii="Arial" w:hAnsi="Arial" w:cs="Arial"/>
              </w:rPr>
            </w:pPr>
            <w:r w:rsidRPr="00FF0177">
              <w:rPr>
                <w:rFonts w:ascii="Arial" w:hAnsi="Arial" w:cs="Arial"/>
              </w:rPr>
              <w:t>2</w:t>
            </w:r>
            <w:r w:rsidR="00BB3E52">
              <w:rPr>
                <w:rFonts w:ascii="Arial" w:hAnsi="Arial" w:cs="Arial"/>
              </w:rPr>
              <w:t>.</w:t>
            </w:r>
            <w:r w:rsidRPr="00FF0177">
              <w:rPr>
                <w:rFonts w:ascii="Arial" w:hAnsi="Arial" w:cs="Arial"/>
              </w:rPr>
              <w:t>913</w:t>
            </w:r>
          </w:p>
        </w:tc>
        <w:tc>
          <w:tcPr>
            <w:tcW w:w="2445" w:type="dxa"/>
            <w:vAlign w:val="center"/>
          </w:tcPr>
          <w:p w:rsidR="003B28E1" w:rsidRPr="00873561" w:rsidRDefault="003B28E1" w:rsidP="00E90D66">
            <w:pPr>
              <w:widowControl w:val="0"/>
              <w:jc w:val="right"/>
              <w:rPr>
                <w:rFonts w:ascii="Arial" w:hAnsi="Arial" w:cs="Arial"/>
                <w:i/>
              </w:rPr>
            </w:pPr>
            <w:r w:rsidRPr="00873561">
              <w:rPr>
                <w:rFonts w:ascii="Arial" w:hAnsi="Arial" w:cs="Arial"/>
                <w:i/>
              </w:rPr>
              <w:t>0,3</w:t>
            </w:r>
          </w:p>
        </w:tc>
      </w:tr>
      <w:tr w:rsidR="003B28E1" w:rsidRPr="00873561" w:rsidTr="00E90D66">
        <w:trPr>
          <w:jc w:val="center"/>
        </w:trPr>
        <w:tc>
          <w:tcPr>
            <w:tcW w:w="4291" w:type="dxa"/>
            <w:vAlign w:val="center"/>
          </w:tcPr>
          <w:p w:rsidR="003B28E1" w:rsidRPr="00FF0177" w:rsidRDefault="003B28E1" w:rsidP="00E90D66">
            <w:pPr>
              <w:widowControl w:val="0"/>
              <w:jc w:val="both"/>
              <w:rPr>
                <w:rFonts w:ascii="Arial" w:hAnsi="Arial" w:cs="Arial"/>
              </w:rPr>
            </w:pPr>
            <w:r w:rsidRPr="00FF0177">
              <w:rPr>
                <w:rFonts w:ascii="Arial" w:hAnsi="Arial" w:cs="Arial"/>
                <w:sz w:val="21"/>
                <w:szCs w:val="21"/>
              </w:rPr>
              <w:t xml:space="preserve">Păduri şi altă vegetaţie forestieră </w:t>
            </w:r>
          </w:p>
        </w:tc>
        <w:tc>
          <w:tcPr>
            <w:tcW w:w="2552" w:type="dxa"/>
            <w:vAlign w:val="center"/>
          </w:tcPr>
          <w:p w:rsidR="003B28E1" w:rsidRPr="00FF0177" w:rsidRDefault="003B28E1" w:rsidP="00E90D66">
            <w:pPr>
              <w:widowControl w:val="0"/>
              <w:jc w:val="right"/>
              <w:rPr>
                <w:rFonts w:ascii="Arial" w:hAnsi="Arial" w:cs="Arial"/>
              </w:rPr>
            </w:pPr>
            <w:r w:rsidRPr="00FF0177">
              <w:rPr>
                <w:rFonts w:ascii="Arial" w:hAnsi="Arial" w:cs="Arial"/>
              </w:rPr>
              <w:t>441</w:t>
            </w:r>
            <w:r w:rsidR="00BB3E52">
              <w:rPr>
                <w:rFonts w:ascii="Arial" w:hAnsi="Arial" w:cs="Arial"/>
              </w:rPr>
              <w:t>.</w:t>
            </w:r>
            <w:r w:rsidRPr="00FF0177">
              <w:rPr>
                <w:rFonts w:ascii="Arial" w:hAnsi="Arial" w:cs="Arial"/>
              </w:rPr>
              <w:t>965</w:t>
            </w:r>
          </w:p>
        </w:tc>
        <w:tc>
          <w:tcPr>
            <w:tcW w:w="2445" w:type="dxa"/>
            <w:vAlign w:val="center"/>
          </w:tcPr>
          <w:p w:rsidR="003B28E1" w:rsidRPr="00873561" w:rsidRDefault="003B28E1" w:rsidP="00E90D66">
            <w:pPr>
              <w:widowControl w:val="0"/>
              <w:jc w:val="center"/>
              <w:rPr>
                <w:rFonts w:ascii="Arial" w:hAnsi="Arial" w:cs="Arial"/>
              </w:rPr>
            </w:pPr>
            <w:r w:rsidRPr="00873561">
              <w:rPr>
                <w:rFonts w:ascii="Arial" w:hAnsi="Arial" w:cs="Arial"/>
              </w:rPr>
              <w:t>51,7</w:t>
            </w:r>
          </w:p>
        </w:tc>
      </w:tr>
      <w:tr w:rsidR="003B28E1" w:rsidRPr="00873561" w:rsidTr="00E90D66">
        <w:trPr>
          <w:jc w:val="center"/>
        </w:trPr>
        <w:tc>
          <w:tcPr>
            <w:tcW w:w="4291" w:type="dxa"/>
            <w:vAlign w:val="center"/>
          </w:tcPr>
          <w:p w:rsidR="003B28E1" w:rsidRPr="00FF0177" w:rsidRDefault="003B28E1" w:rsidP="00E90D66">
            <w:pPr>
              <w:widowControl w:val="0"/>
              <w:jc w:val="both"/>
              <w:rPr>
                <w:rFonts w:ascii="Arial" w:hAnsi="Arial" w:cs="Arial"/>
              </w:rPr>
            </w:pPr>
            <w:r w:rsidRPr="00FF0177">
              <w:rPr>
                <w:rFonts w:ascii="Arial" w:hAnsi="Arial" w:cs="Arial"/>
              </w:rPr>
              <w:t>Ape şi bălţi</w:t>
            </w:r>
          </w:p>
        </w:tc>
        <w:tc>
          <w:tcPr>
            <w:tcW w:w="2552" w:type="dxa"/>
            <w:vAlign w:val="center"/>
          </w:tcPr>
          <w:p w:rsidR="003B28E1" w:rsidRPr="00FF0177" w:rsidRDefault="003B28E1" w:rsidP="00E90D66">
            <w:pPr>
              <w:widowControl w:val="0"/>
              <w:jc w:val="right"/>
              <w:rPr>
                <w:rFonts w:ascii="Arial" w:hAnsi="Arial" w:cs="Arial"/>
              </w:rPr>
            </w:pPr>
            <w:r w:rsidRPr="00FF0177">
              <w:rPr>
                <w:rFonts w:ascii="Arial" w:hAnsi="Arial" w:cs="Arial"/>
              </w:rPr>
              <w:t>12</w:t>
            </w:r>
            <w:r w:rsidR="00BB3E52">
              <w:rPr>
                <w:rFonts w:ascii="Arial" w:hAnsi="Arial" w:cs="Arial"/>
              </w:rPr>
              <w:t>.</w:t>
            </w:r>
            <w:r w:rsidRPr="00FF0177">
              <w:rPr>
                <w:rFonts w:ascii="Arial" w:hAnsi="Arial" w:cs="Arial"/>
              </w:rPr>
              <w:t>273</w:t>
            </w:r>
          </w:p>
        </w:tc>
        <w:tc>
          <w:tcPr>
            <w:tcW w:w="2445" w:type="dxa"/>
            <w:vAlign w:val="center"/>
          </w:tcPr>
          <w:p w:rsidR="003B28E1" w:rsidRPr="00873561" w:rsidRDefault="003B28E1" w:rsidP="00E90D66">
            <w:pPr>
              <w:widowControl w:val="0"/>
              <w:jc w:val="center"/>
              <w:rPr>
                <w:rFonts w:ascii="Arial" w:hAnsi="Arial" w:cs="Arial"/>
              </w:rPr>
            </w:pPr>
            <w:r w:rsidRPr="00873561">
              <w:rPr>
                <w:rFonts w:ascii="Arial" w:hAnsi="Arial" w:cs="Arial"/>
              </w:rPr>
              <w:t>1,4</w:t>
            </w:r>
          </w:p>
        </w:tc>
      </w:tr>
      <w:tr w:rsidR="003B28E1" w:rsidRPr="00873561" w:rsidTr="00E90D66">
        <w:trPr>
          <w:jc w:val="center"/>
        </w:trPr>
        <w:tc>
          <w:tcPr>
            <w:tcW w:w="4291" w:type="dxa"/>
            <w:vAlign w:val="center"/>
          </w:tcPr>
          <w:p w:rsidR="003B28E1" w:rsidRPr="00FF0177" w:rsidRDefault="003B28E1" w:rsidP="00E90D66">
            <w:pPr>
              <w:widowControl w:val="0"/>
              <w:jc w:val="both"/>
              <w:rPr>
                <w:rFonts w:ascii="Arial" w:hAnsi="Arial" w:cs="Arial"/>
              </w:rPr>
            </w:pPr>
            <w:r w:rsidRPr="00FF0177">
              <w:rPr>
                <w:rFonts w:ascii="Arial" w:hAnsi="Arial" w:cs="Arial"/>
              </w:rPr>
              <w:t>Construcţii</w:t>
            </w:r>
          </w:p>
        </w:tc>
        <w:tc>
          <w:tcPr>
            <w:tcW w:w="2552" w:type="dxa"/>
            <w:vAlign w:val="center"/>
          </w:tcPr>
          <w:p w:rsidR="003B28E1" w:rsidRPr="00FF0177" w:rsidRDefault="003B28E1" w:rsidP="00E90D66">
            <w:pPr>
              <w:widowControl w:val="0"/>
              <w:jc w:val="right"/>
              <w:rPr>
                <w:rFonts w:ascii="Arial" w:hAnsi="Arial" w:cs="Arial"/>
              </w:rPr>
            </w:pPr>
            <w:r w:rsidRPr="00FF0177">
              <w:rPr>
                <w:rFonts w:ascii="Arial" w:hAnsi="Arial" w:cs="Arial"/>
              </w:rPr>
              <w:t>20</w:t>
            </w:r>
            <w:r w:rsidR="00BB3E52">
              <w:rPr>
                <w:rFonts w:ascii="Arial" w:hAnsi="Arial" w:cs="Arial"/>
              </w:rPr>
              <w:t>.</w:t>
            </w:r>
            <w:r w:rsidRPr="00FF0177">
              <w:rPr>
                <w:rFonts w:ascii="Arial" w:hAnsi="Arial" w:cs="Arial"/>
              </w:rPr>
              <w:t>939</w:t>
            </w:r>
          </w:p>
        </w:tc>
        <w:tc>
          <w:tcPr>
            <w:tcW w:w="2445" w:type="dxa"/>
            <w:vAlign w:val="center"/>
          </w:tcPr>
          <w:p w:rsidR="003B28E1" w:rsidRPr="00873561" w:rsidRDefault="003B28E1" w:rsidP="00E90D66">
            <w:pPr>
              <w:widowControl w:val="0"/>
              <w:jc w:val="center"/>
              <w:rPr>
                <w:rFonts w:ascii="Arial" w:hAnsi="Arial" w:cs="Arial"/>
              </w:rPr>
            </w:pPr>
            <w:r w:rsidRPr="00873561">
              <w:rPr>
                <w:rFonts w:ascii="Arial" w:hAnsi="Arial" w:cs="Arial"/>
              </w:rPr>
              <w:t>2,4</w:t>
            </w:r>
          </w:p>
        </w:tc>
      </w:tr>
      <w:tr w:rsidR="003B28E1" w:rsidRPr="00873561" w:rsidTr="00E90D66">
        <w:trPr>
          <w:jc w:val="center"/>
        </w:trPr>
        <w:tc>
          <w:tcPr>
            <w:tcW w:w="4291" w:type="dxa"/>
            <w:vAlign w:val="center"/>
          </w:tcPr>
          <w:p w:rsidR="003B28E1" w:rsidRPr="00FF0177" w:rsidRDefault="003B28E1" w:rsidP="00E90D66">
            <w:pPr>
              <w:widowControl w:val="0"/>
              <w:jc w:val="both"/>
              <w:rPr>
                <w:rFonts w:ascii="Arial" w:hAnsi="Arial" w:cs="Arial"/>
              </w:rPr>
            </w:pPr>
            <w:r w:rsidRPr="00FF0177">
              <w:rPr>
                <w:rFonts w:ascii="Arial" w:hAnsi="Arial" w:cs="Arial"/>
              </w:rPr>
              <w:t>Căi de comunicaţie şi căi ferate</w:t>
            </w:r>
          </w:p>
        </w:tc>
        <w:tc>
          <w:tcPr>
            <w:tcW w:w="2552" w:type="dxa"/>
            <w:vAlign w:val="center"/>
          </w:tcPr>
          <w:p w:rsidR="003B28E1" w:rsidRPr="00FF0177" w:rsidRDefault="003B28E1" w:rsidP="00E90D66">
            <w:pPr>
              <w:widowControl w:val="0"/>
              <w:jc w:val="right"/>
              <w:rPr>
                <w:rFonts w:ascii="Arial" w:hAnsi="Arial" w:cs="Arial"/>
              </w:rPr>
            </w:pPr>
            <w:r w:rsidRPr="00FF0177">
              <w:rPr>
                <w:rFonts w:ascii="Arial" w:hAnsi="Arial" w:cs="Arial"/>
              </w:rPr>
              <w:t>8</w:t>
            </w:r>
            <w:r w:rsidR="00BB3E52">
              <w:rPr>
                <w:rFonts w:ascii="Arial" w:hAnsi="Arial" w:cs="Arial"/>
              </w:rPr>
              <w:t>.</w:t>
            </w:r>
            <w:r w:rsidRPr="00FF0177">
              <w:rPr>
                <w:rFonts w:ascii="Arial" w:hAnsi="Arial" w:cs="Arial"/>
              </w:rPr>
              <w:t>267</w:t>
            </w:r>
          </w:p>
        </w:tc>
        <w:tc>
          <w:tcPr>
            <w:tcW w:w="2445" w:type="dxa"/>
            <w:vAlign w:val="center"/>
          </w:tcPr>
          <w:p w:rsidR="003B28E1" w:rsidRPr="00873561" w:rsidRDefault="003B28E1" w:rsidP="00E90D66">
            <w:pPr>
              <w:widowControl w:val="0"/>
              <w:jc w:val="center"/>
              <w:rPr>
                <w:rFonts w:ascii="Arial" w:hAnsi="Arial" w:cs="Arial"/>
              </w:rPr>
            </w:pPr>
            <w:r w:rsidRPr="00873561">
              <w:rPr>
                <w:rFonts w:ascii="Arial" w:hAnsi="Arial" w:cs="Arial"/>
              </w:rPr>
              <w:t>1,0</w:t>
            </w:r>
          </w:p>
        </w:tc>
      </w:tr>
      <w:tr w:rsidR="003B28E1" w:rsidRPr="00873561" w:rsidTr="00E90D66">
        <w:trPr>
          <w:jc w:val="center"/>
        </w:trPr>
        <w:tc>
          <w:tcPr>
            <w:tcW w:w="4291" w:type="dxa"/>
            <w:vAlign w:val="center"/>
          </w:tcPr>
          <w:p w:rsidR="003B28E1" w:rsidRPr="00FF0177" w:rsidRDefault="003B28E1" w:rsidP="00E90D66">
            <w:pPr>
              <w:widowControl w:val="0"/>
              <w:jc w:val="both"/>
              <w:rPr>
                <w:rFonts w:ascii="Arial" w:hAnsi="Arial" w:cs="Arial"/>
              </w:rPr>
            </w:pPr>
            <w:r w:rsidRPr="00FF0177">
              <w:rPr>
                <w:rFonts w:ascii="Arial" w:hAnsi="Arial" w:cs="Arial"/>
              </w:rPr>
              <w:t>Terenuri degradate şi neproductive</w:t>
            </w:r>
          </w:p>
        </w:tc>
        <w:tc>
          <w:tcPr>
            <w:tcW w:w="2552" w:type="dxa"/>
            <w:vAlign w:val="center"/>
          </w:tcPr>
          <w:p w:rsidR="003B28E1" w:rsidRPr="00FF0177" w:rsidRDefault="003B28E1" w:rsidP="00E90D66">
            <w:pPr>
              <w:widowControl w:val="0"/>
              <w:jc w:val="right"/>
              <w:rPr>
                <w:rFonts w:ascii="Arial" w:hAnsi="Arial" w:cs="Arial"/>
              </w:rPr>
            </w:pPr>
            <w:r w:rsidRPr="00FF0177">
              <w:rPr>
                <w:rFonts w:ascii="Arial" w:hAnsi="Arial" w:cs="Arial"/>
              </w:rPr>
              <w:t>17</w:t>
            </w:r>
            <w:r w:rsidR="00BB3E52">
              <w:rPr>
                <w:rFonts w:ascii="Arial" w:hAnsi="Arial" w:cs="Arial"/>
              </w:rPr>
              <w:t>.</w:t>
            </w:r>
            <w:r w:rsidRPr="00FF0177">
              <w:rPr>
                <w:rFonts w:ascii="Arial" w:hAnsi="Arial" w:cs="Arial"/>
              </w:rPr>
              <w:t>037</w:t>
            </w:r>
          </w:p>
        </w:tc>
        <w:tc>
          <w:tcPr>
            <w:tcW w:w="2445" w:type="dxa"/>
            <w:vAlign w:val="center"/>
          </w:tcPr>
          <w:p w:rsidR="003B28E1" w:rsidRPr="00873561" w:rsidRDefault="003B28E1" w:rsidP="00E90D66">
            <w:pPr>
              <w:widowControl w:val="0"/>
              <w:jc w:val="center"/>
              <w:rPr>
                <w:rFonts w:ascii="Arial" w:hAnsi="Arial" w:cs="Arial"/>
              </w:rPr>
            </w:pPr>
            <w:r w:rsidRPr="00873561">
              <w:rPr>
                <w:rFonts w:ascii="Arial" w:hAnsi="Arial" w:cs="Arial"/>
              </w:rPr>
              <w:t>2,0</w:t>
            </w:r>
          </w:p>
        </w:tc>
      </w:tr>
      <w:tr w:rsidR="003B28E1" w:rsidRPr="00873561" w:rsidTr="00E90D66">
        <w:trPr>
          <w:jc w:val="center"/>
        </w:trPr>
        <w:tc>
          <w:tcPr>
            <w:tcW w:w="4291" w:type="dxa"/>
            <w:vAlign w:val="center"/>
          </w:tcPr>
          <w:p w:rsidR="003B28E1" w:rsidRPr="00725839" w:rsidRDefault="003B28E1" w:rsidP="00E90D66">
            <w:pPr>
              <w:widowControl w:val="0"/>
              <w:jc w:val="both"/>
              <w:rPr>
                <w:rFonts w:ascii="Arial" w:hAnsi="Arial" w:cs="Arial"/>
                <w:b/>
              </w:rPr>
            </w:pPr>
            <w:r w:rsidRPr="00725839">
              <w:rPr>
                <w:rFonts w:ascii="Arial" w:hAnsi="Arial" w:cs="Arial"/>
                <w:b/>
              </w:rPr>
              <w:t>TOTAL</w:t>
            </w:r>
          </w:p>
        </w:tc>
        <w:tc>
          <w:tcPr>
            <w:tcW w:w="2552" w:type="dxa"/>
            <w:vAlign w:val="center"/>
          </w:tcPr>
          <w:p w:rsidR="003B28E1" w:rsidRPr="00725839" w:rsidRDefault="003B28E1" w:rsidP="00E90D66">
            <w:pPr>
              <w:widowControl w:val="0"/>
              <w:jc w:val="right"/>
              <w:rPr>
                <w:rFonts w:ascii="Arial" w:hAnsi="Arial" w:cs="Arial"/>
                <w:b/>
              </w:rPr>
            </w:pPr>
            <w:r w:rsidRPr="00725839">
              <w:rPr>
                <w:rFonts w:ascii="Arial" w:hAnsi="Arial" w:cs="Arial"/>
                <w:b/>
              </w:rPr>
              <w:t>855.301</w:t>
            </w:r>
          </w:p>
        </w:tc>
        <w:tc>
          <w:tcPr>
            <w:tcW w:w="2445" w:type="dxa"/>
            <w:vAlign w:val="center"/>
          </w:tcPr>
          <w:p w:rsidR="003B28E1" w:rsidRPr="00873561" w:rsidRDefault="003B28E1" w:rsidP="00E90D66">
            <w:pPr>
              <w:widowControl w:val="0"/>
              <w:jc w:val="center"/>
              <w:rPr>
                <w:rFonts w:ascii="Arial" w:hAnsi="Arial" w:cs="Arial"/>
                <w:b/>
              </w:rPr>
            </w:pPr>
            <w:r w:rsidRPr="00873561">
              <w:rPr>
                <w:rFonts w:ascii="Arial" w:hAnsi="Arial" w:cs="Arial"/>
                <w:b/>
              </w:rPr>
              <w:t>100</w:t>
            </w:r>
          </w:p>
        </w:tc>
      </w:tr>
    </w:tbl>
    <w:p w:rsidR="003B28E1" w:rsidRPr="00725839" w:rsidRDefault="003B28E1" w:rsidP="003B28E1">
      <w:pPr>
        <w:widowControl w:val="0"/>
        <w:spacing w:after="0"/>
        <w:jc w:val="cente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067"/>
      </w:tblGrid>
      <w:tr w:rsidR="003B28E1" w:rsidRPr="00725839" w:rsidTr="00E90D66">
        <w:tc>
          <w:tcPr>
            <w:tcW w:w="4928" w:type="dxa"/>
          </w:tcPr>
          <w:p w:rsidR="003B28E1" w:rsidRPr="006C3C46" w:rsidRDefault="003B28E1" w:rsidP="003C24B4">
            <w:pPr>
              <w:widowControl w:val="0"/>
              <w:jc w:val="center"/>
              <w:rPr>
                <w:rFonts w:ascii="Arial" w:hAnsi="Arial" w:cs="Arial"/>
                <w:sz w:val="6"/>
                <w:szCs w:val="6"/>
              </w:rPr>
            </w:pPr>
            <w:r w:rsidRPr="00725839">
              <w:rPr>
                <w:rFonts w:ascii="Arial" w:hAnsi="Arial" w:cs="Arial"/>
              </w:rPr>
              <w:t>Fig. IV.1.1.1</w:t>
            </w:r>
            <w:r w:rsidR="003C24B4">
              <w:rPr>
                <w:rFonts w:ascii="Cambria" w:hAnsi="Cambria" w:cs="Cambria"/>
                <w:sz w:val="18"/>
                <w:szCs w:val="18"/>
              </w:rPr>
              <w:t xml:space="preserve"> </w:t>
            </w:r>
            <w:r w:rsidR="003C24B4" w:rsidRPr="003C24B4">
              <w:rPr>
                <w:rFonts w:ascii="Arial" w:hAnsi="Arial" w:cs="Arial"/>
              </w:rPr>
              <w:t xml:space="preserve">Repartiţia fondului funciar pe categorii de folosinţe în anul 2016 </w:t>
            </w:r>
            <w:r w:rsidR="003C24B4" w:rsidRPr="00D2419B">
              <w:rPr>
                <w:rFonts w:ascii="Arial" w:hAnsi="Arial" w:cs="Arial"/>
              </w:rPr>
              <w:t xml:space="preserve"> </w:t>
            </w:r>
            <w:r w:rsidRPr="00D2419B">
              <w:rPr>
                <w:rFonts w:ascii="Arial" w:hAnsi="Arial" w:cs="Arial"/>
              </w:rPr>
              <w:t>în jud. Suceava (</w:t>
            </w:r>
            <w:r w:rsidR="006C3C46">
              <w:rPr>
                <w:rFonts w:ascii="Arial" w:hAnsi="Arial" w:cs="Arial"/>
              </w:rPr>
              <w:t xml:space="preserve">% </w:t>
            </w:r>
            <w:r w:rsidRPr="00D2419B">
              <w:rPr>
                <w:rFonts w:ascii="Arial" w:hAnsi="Arial" w:cs="Arial"/>
              </w:rPr>
              <w:t>din suprafaţa totală)</w:t>
            </w:r>
            <w:r w:rsidR="006C3C46">
              <w:rPr>
                <w:rFonts w:ascii="Arial" w:hAnsi="Arial" w:cs="Arial"/>
              </w:rPr>
              <w:t xml:space="preserve"> </w:t>
            </w:r>
          </w:p>
        </w:tc>
        <w:tc>
          <w:tcPr>
            <w:tcW w:w="5067" w:type="dxa"/>
          </w:tcPr>
          <w:p w:rsidR="003B28E1" w:rsidRPr="00725839" w:rsidRDefault="003B28E1" w:rsidP="004155B4">
            <w:pPr>
              <w:widowControl w:val="0"/>
              <w:jc w:val="center"/>
              <w:rPr>
                <w:rFonts w:ascii="Arial" w:hAnsi="Arial" w:cs="Arial"/>
              </w:rPr>
            </w:pPr>
            <w:r w:rsidRPr="00725839">
              <w:rPr>
                <w:rFonts w:ascii="Arial" w:hAnsi="Arial" w:cs="Arial"/>
              </w:rPr>
              <w:t>Fig. IV.1.1</w:t>
            </w:r>
            <w:r w:rsidRPr="001F7A97">
              <w:rPr>
                <w:rFonts w:ascii="Arial" w:hAnsi="Arial" w:cs="Arial"/>
              </w:rPr>
              <w:t>.2</w:t>
            </w:r>
            <w:r w:rsidR="003C24B4" w:rsidRPr="003C24B4">
              <w:rPr>
                <w:rFonts w:ascii="Arial" w:hAnsi="Arial" w:cs="Arial"/>
              </w:rPr>
              <w:t xml:space="preserve"> Repartiţia terenurilor agricole pe tipuri de folosinţe în anul</w:t>
            </w:r>
            <w:r w:rsidRPr="001F7A97">
              <w:rPr>
                <w:rFonts w:ascii="Arial" w:hAnsi="Arial" w:cs="Arial"/>
              </w:rPr>
              <w:t>, în</w:t>
            </w:r>
            <w:r w:rsidRPr="00725839">
              <w:rPr>
                <w:rFonts w:ascii="Arial" w:hAnsi="Arial" w:cs="Arial"/>
              </w:rPr>
              <w:t xml:space="preserve"> jud. Suceava</w:t>
            </w:r>
          </w:p>
          <w:p w:rsidR="00725839" w:rsidRDefault="003B28E1" w:rsidP="006C3C46">
            <w:pPr>
              <w:widowControl w:val="0"/>
              <w:jc w:val="center"/>
              <w:rPr>
                <w:rFonts w:ascii="Arial" w:hAnsi="Arial" w:cs="Arial"/>
              </w:rPr>
            </w:pPr>
            <w:r w:rsidRPr="00725839">
              <w:rPr>
                <w:rFonts w:ascii="Arial" w:hAnsi="Arial" w:cs="Arial"/>
              </w:rPr>
              <w:t>(</w:t>
            </w:r>
            <w:r w:rsidR="006C3C46">
              <w:rPr>
                <w:rFonts w:ascii="Arial" w:hAnsi="Arial" w:cs="Arial"/>
              </w:rPr>
              <w:t xml:space="preserve">% </w:t>
            </w:r>
            <w:r w:rsidRPr="00725839">
              <w:rPr>
                <w:rFonts w:ascii="Arial" w:hAnsi="Arial" w:cs="Arial"/>
              </w:rPr>
              <w:t>din suprafaţa agricolă</w:t>
            </w:r>
            <w:r w:rsidR="003C24B4" w:rsidRPr="00725839">
              <w:rPr>
                <w:rFonts w:ascii="Arial" w:hAnsi="Arial" w:cs="Arial"/>
              </w:rPr>
              <w:t xml:space="preserve"> totală</w:t>
            </w:r>
            <w:r w:rsidRPr="00725839">
              <w:rPr>
                <w:rFonts w:ascii="Arial" w:hAnsi="Arial" w:cs="Arial"/>
              </w:rPr>
              <w:t>)</w:t>
            </w:r>
          </w:p>
          <w:p w:rsidR="006C3C46" w:rsidRPr="006C3C46" w:rsidRDefault="006C3C46" w:rsidP="006C3C46">
            <w:pPr>
              <w:widowControl w:val="0"/>
              <w:jc w:val="center"/>
              <w:rPr>
                <w:rFonts w:ascii="Arial" w:hAnsi="Arial" w:cs="Arial"/>
                <w:sz w:val="10"/>
                <w:szCs w:val="10"/>
              </w:rPr>
            </w:pPr>
          </w:p>
        </w:tc>
      </w:tr>
      <w:tr w:rsidR="006C3C46" w:rsidRPr="00725839" w:rsidTr="003C10AF">
        <w:tc>
          <w:tcPr>
            <w:tcW w:w="9995" w:type="dxa"/>
            <w:gridSpan w:val="2"/>
          </w:tcPr>
          <w:p w:rsidR="006C3C46" w:rsidRDefault="006C3C46" w:rsidP="004155B4">
            <w:pPr>
              <w:widowControl w:val="0"/>
              <w:jc w:val="center"/>
              <w:rPr>
                <w:rFonts w:ascii="Arial" w:hAnsi="Arial" w:cs="Arial"/>
              </w:rPr>
            </w:pPr>
            <w:r w:rsidRPr="00D2419B">
              <w:rPr>
                <w:rFonts w:ascii="Arial" w:hAnsi="Arial" w:cs="Arial"/>
              </w:rPr>
              <w:t>(</w:t>
            </w:r>
            <w:r w:rsidRPr="00D2419B">
              <w:rPr>
                <w:rFonts w:ascii="Arial" w:hAnsi="Arial" w:cs="Arial"/>
                <w:i/>
              </w:rPr>
              <w:t>sursa: Direcţia Judeţeană de Statistică Suceava, 2017</w:t>
            </w:r>
            <w:r w:rsidRPr="00D2419B">
              <w:rPr>
                <w:rFonts w:ascii="Arial" w:hAnsi="Arial" w:cs="Arial"/>
              </w:rPr>
              <w:t>)</w:t>
            </w:r>
          </w:p>
          <w:p w:rsidR="006C3C46" w:rsidRPr="00725839" w:rsidRDefault="006C3C46" w:rsidP="004155B4">
            <w:pPr>
              <w:widowControl w:val="0"/>
              <w:jc w:val="center"/>
              <w:rPr>
                <w:rFonts w:ascii="Arial" w:hAnsi="Arial" w:cs="Arial"/>
              </w:rPr>
            </w:pPr>
          </w:p>
        </w:tc>
      </w:tr>
      <w:tr w:rsidR="003B28E1" w:rsidRPr="00725839" w:rsidTr="00E90D66">
        <w:tc>
          <w:tcPr>
            <w:tcW w:w="4928" w:type="dxa"/>
          </w:tcPr>
          <w:p w:rsidR="003B28E1" w:rsidRPr="00725839" w:rsidRDefault="003B28E1" w:rsidP="006C3C46">
            <w:pPr>
              <w:widowControl w:val="0"/>
              <w:spacing w:after="40"/>
              <w:jc w:val="center"/>
              <w:rPr>
                <w:rFonts w:ascii="Arial" w:hAnsi="Arial" w:cs="Arial"/>
              </w:rPr>
            </w:pPr>
            <w:r w:rsidRPr="00725839">
              <w:rPr>
                <w:rFonts w:ascii="Arial" w:hAnsi="Arial" w:cs="Arial"/>
                <w:noProof/>
                <w:sz w:val="24"/>
                <w:szCs w:val="24"/>
                <w:lang w:eastAsia="ro-RO"/>
              </w:rPr>
              <w:drawing>
                <wp:inline distT="0" distB="0" distL="0" distR="0">
                  <wp:extent cx="3019425" cy="1828800"/>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5067" w:type="dxa"/>
          </w:tcPr>
          <w:p w:rsidR="003B28E1" w:rsidRPr="00725839" w:rsidRDefault="003B28E1" w:rsidP="006C3C46">
            <w:pPr>
              <w:widowControl w:val="0"/>
              <w:spacing w:after="40"/>
              <w:jc w:val="center"/>
              <w:rPr>
                <w:rFonts w:ascii="Arial" w:hAnsi="Arial" w:cs="Arial"/>
              </w:rPr>
            </w:pPr>
            <w:r w:rsidRPr="00725839">
              <w:rPr>
                <w:rFonts w:ascii="Arial" w:hAnsi="Arial" w:cs="Arial"/>
                <w:noProof/>
                <w:sz w:val="24"/>
                <w:szCs w:val="24"/>
                <w:lang w:eastAsia="ro-RO"/>
              </w:rPr>
              <w:drawing>
                <wp:inline distT="0" distB="0" distL="0" distR="0">
                  <wp:extent cx="2933700" cy="1828800"/>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3B28E1" w:rsidRPr="00725839" w:rsidTr="00E90D66">
        <w:tc>
          <w:tcPr>
            <w:tcW w:w="9995" w:type="dxa"/>
            <w:gridSpan w:val="2"/>
          </w:tcPr>
          <w:p w:rsidR="003B28E1" w:rsidRPr="00725839" w:rsidRDefault="003B28E1" w:rsidP="00E90D66">
            <w:pPr>
              <w:widowControl w:val="0"/>
              <w:jc w:val="center"/>
              <w:rPr>
                <w:rFonts w:ascii="Arial" w:hAnsi="Arial" w:cs="Arial"/>
                <w:noProof/>
                <w:sz w:val="24"/>
                <w:szCs w:val="24"/>
                <w:lang w:eastAsia="ro-RO"/>
              </w:rPr>
            </w:pPr>
          </w:p>
        </w:tc>
      </w:tr>
    </w:tbl>
    <w:p w:rsidR="003B28E1" w:rsidRPr="00A53DD2" w:rsidRDefault="003B28E1" w:rsidP="003B28E1">
      <w:pPr>
        <w:widowControl w:val="0"/>
        <w:spacing w:after="0" w:line="240" w:lineRule="auto"/>
        <w:jc w:val="both"/>
        <w:rPr>
          <w:rFonts w:ascii="Arial" w:hAnsi="Arial" w:cs="Arial"/>
          <w:b/>
          <w:i/>
          <w:color w:val="984806" w:themeColor="accent6" w:themeShade="80"/>
          <w:sz w:val="16"/>
          <w:szCs w:val="16"/>
        </w:rPr>
      </w:pPr>
    </w:p>
    <w:p w:rsidR="003B28E1" w:rsidRPr="00C671AF" w:rsidRDefault="003B28E1" w:rsidP="003B28E1">
      <w:pPr>
        <w:widowControl w:val="0"/>
        <w:spacing w:after="0" w:line="240" w:lineRule="auto"/>
        <w:jc w:val="both"/>
        <w:rPr>
          <w:rFonts w:ascii="Arial" w:hAnsi="Arial" w:cs="Arial"/>
          <w:b/>
          <w:i/>
          <w:sz w:val="24"/>
          <w:szCs w:val="24"/>
        </w:rPr>
      </w:pPr>
      <w:r w:rsidRPr="00C671AF">
        <w:rPr>
          <w:rFonts w:ascii="Arial" w:hAnsi="Arial" w:cs="Arial"/>
          <w:b/>
          <w:i/>
          <w:sz w:val="24"/>
          <w:szCs w:val="24"/>
        </w:rPr>
        <w:lastRenderedPageBreak/>
        <w:t>IV.1.2. Tendinţe privind schimbarea destinaţiei utilizării terenurilor</w:t>
      </w:r>
    </w:p>
    <w:p w:rsidR="003B28E1" w:rsidRPr="00A53DD2" w:rsidRDefault="003B28E1" w:rsidP="003B28E1">
      <w:pPr>
        <w:widowControl w:val="0"/>
        <w:spacing w:after="0" w:line="240" w:lineRule="auto"/>
        <w:jc w:val="both"/>
        <w:rPr>
          <w:rFonts w:ascii="Arial" w:hAnsi="Arial" w:cs="Arial"/>
          <w:color w:val="984806" w:themeColor="accent6" w:themeShade="80"/>
          <w:sz w:val="20"/>
          <w:szCs w:val="20"/>
        </w:rPr>
      </w:pPr>
      <w:r w:rsidRPr="00A53DD2">
        <w:rPr>
          <w:rFonts w:ascii="Arial" w:hAnsi="Arial" w:cs="Arial"/>
          <w:i/>
          <w:color w:val="984806" w:themeColor="accent6" w:themeShade="80"/>
          <w:sz w:val="24"/>
          <w:szCs w:val="24"/>
        </w:rPr>
        <w:tab/>
      </w:r>
      <w:r w:rsidRPr="00A53DD2">
        <w:rPr>
          <w:rFonts w:ascii="Arial" w:hAnsi="Arial" w:cs="Arial"/>
          <w:color w:val="984806" w:themeColor="accent6" w:themeShade="80"/>
          <w:sz w:val="24"/>
          <w:szCs w:val="24"/>
        </w:rPr>
        <w:tab/>
      </w:r>
      <w:r w:rsidRPr="00A53DD2">
        <w:rPr>
          <w:rFonts w:ascii="Arial" w:hAnsi="Arial" w:cs="Arial"/>
          <w:color w:val="984806" w:themeColor="accent6" w:themeShade="80"/>
          <w:sz w:val="24"/>
          <w:szCs w:val="24"/>
        </w:rPr>
        <w:tab/>
      </w:r>
    </w:p>
    <w:p w:rsidR="003B28E1" w:rsidRPr="00725839" w:rsidRDefault="003B28E1" w:rsidP="003B28E1">
      <w:pPr>
        <w:widowControl w:val="0"/>
        <w:spacing w:after="0" w:line="240" w:lineRule="auto"/>
        <w:jc w:val="both"/>
        <w:rPr>
          <w:rFonts w:ascii="Arial" w:hAnsi="Arial" w:cs="Arial"/>
          <w:sz w:val="24"/>
          <w:szCs w:val="24"/>
        </w:rPr>
      </w:pPr>
      <w:r w:rsidRPr="00A53DD2">
        <w:rPr>
          <w:rFonts w:ascii="Arial" w:hAnsi="Arial" w:cs="Arial"/>
          <w:i/>
          <w:color w:val="984806" w:themeColor="accent6" w:themeShade="80"/>
          <w:sz w:val="24"/>
          <w:szCs w:val="24"/>
        </w:rPr>
        <w:tab/>
      </w:r>
      <w:r w:rsidRPr="00725839">
        <w:rPr>
          <w:rFonts w:ascii="Arial" w:hAnsi="Arial" w:cs="Arial"/>
          <w:sz w:val="24"/>
          <w:szCs w:val="24"/>
        </w:rPr>
        <w:t xml:space="preserve">Tendinţele înregistrate în </w:t>
      </w:r>
      <w:r w:rsidR="006C3C46">
        <w:rPr>
          <w:rFonts w:ascii="Arial" w:hAnsi="Arial" w:cs="Arial"/>
          <w:sz w:val="24"/>
          <w:szCs w:val="24"/>
        </w:rPr>
        <w:t xml:space="preserve">perioada </w:t>
      </w:r>
      <w:r w:rsidRPr="00F74B90">
        <w:rPr>
          <w:rFonts w:ascii="Arial" w:hAnsi="Arial" w:cs="Arial"/>
          <w:sz w:val="24"/>
          <w:szCs w:val="24"/>
        </w:rPr>
        <w:t>201</w:t>
      </w:r>
      <w:r w:rsidR="00F74B90" w:rsidRPr="00F74B90">
        <w:rPr>
          <w:rFonts w:ascii="Arial" w:hAnsi="Arial" w:cs="Arial"/>
          <w:sz w:val="24"/>
          <w:szCs w:val="24"/>
        </w:rPr>
        <w:t>2</w:t>
      </w:r>
      <w:r w:rsidRPr="00F74B90">
        <w:rPr>
          <w:rFonts w:ascii="Arial" w:hAnsi="Arial" w:cs="Arial"/>
          <w:sz w:val="24"/>
          <w:szCs w:val="24"/>
        </w:rPr>
        <w:t>-201</w:t>
      </w:r>
      <w:r w:rsidR="00F74B90" w:rsidRPr="00F74B90">
        <w:rPr>
          <w:rFonts w:ascii="Arial" w:hAnsi="Arial" w:cs="Arial"/>
          <w:sz w:val="24"/>
          <w:szCs w:val="24"/>
        </w:rPr>
        <w:t>6</w:t>
      </w:r>
      <w:r w:rsidRPr="00725839">
        <w:rPr>
          <w:rFonts w:ascii="Arial" w:hAnsi="Arial" w:cs="Arial"/>
          <w:sz w:val="24"/>
          <w:szCs w:val="24"/>
        </w:rPr>
        <w:t xml:space="preserve"> privind schimbarea destinaţiei utilizării terenurilor în judeţul Suceava (vezi), sunt</w:t>
      </w:r>
      <w:r w:rsidR="001B3FBD">
        <w:rPr>
          <w:rFonts w:ascii="Arial" w:hAnsi="Arial" w:cs="Arial"/>
          <w:sz w:val="24"/>
          <w:szCs w:val="24"/>
        </w:rPr>
        <w:t xml:space="preserve"> prezentate în </w:t>
      </w:r>
      <w:r w:rsidR="001B3FBD" w:rsidRPr="00725839">
        <w:rPr>
          <w:rFonts w:ascii="Arial" w:hAnsi="Arial" w:cs="Arial"/>
          <w:sz w:val="24"/>
          <w:szCs w:val="24"/>
        </w:rPr>
        <w:t>tabelul IV.1.2.1 şi fig. IV.1.2.1</w:t>
      </w:r>
      <w:r w:rsidR="000848F0">
        <w:rPr>
          <w:rFonts w:ascii="Arial" w:hAnsi="Arial" w:cs="Arial"/>
          <w:sz w:val="24"/>
          <w:szCs w:val="24"/>
        </w:rPr>
        <w:t xml:space="preserve"> și IV.1.2.2</w:t>
      </w:r>
      <w:r w:rsidR="001B3FBD">
        <w:rPr>
          <w:rFonts w:ascii="Arial" w:hAnsi="Arial" w:cs="Arial"/>
          <w:sz w:val="24"/>
          <w:szCs w:val="24"/>
        </w:rPr>
        <w:t>.</w:t>
      </w:r>
    </w:p>
    <w:p w:rsidR="003B28E1" w:rsidRPr="00725839" w:rsidRDefault="003B28E1" w:rsidP="003B28E1">
      <w:pPr>
        <w:widowControl w:val="0"/>
        <w:spacing w:after="0" w:line="240" w:lineRule="auto"/>
        <w:jc w:val="both"/>
        <w:rPr>
          <w:rFonts w:ascii="Arial" w:hAnsi="Arial" w:cs="Arial"/>
          <w:i/>
          <w:sz w:val="16"/>
          <w:szCs w:val="16"/>
        </w:rPr>
      </w:pPr>
    </w:p>
    <w:p w:rsidR="003B28E1" w:rsidRPr="00725839" w:rsidRDefault="003B28E1" w:rsidP="003B28E1">
      <w:pPr>
        <w:widowControl w:val="0"/>
        <w:spacing w:after="0" w:line="240" w:lineRule="auto"/>
        <w:jc w:val="center"/>
        <w:rPr>
          <w:rFonts w:ascii="Arial" w:hAnsi="Arial" w:cs="Arial"/>
        </w:rPr>
      </w:pPr>
      <w:r w:rsidRPr="00725839">
        <w:rPr>
          <w:rFonts w:ascii="Arial" w:hAnsi="Arial" w:cs="Arial"/>
        </w:rPr>
        <w:t xml:space="preserve">Tabel IV.1.2.1 Fondul funciar după modul de folosinţă în jud. Suceava, </w:t>
      </w:r>
    </w:p>
    <w:p w:rsidR="00B67B25" w:rsidRPr="00FF0177" w:rsidRDefault="003B28E1" w:rsidP="00B67B25">
      <w:pPr>
        <w:widowControl w:val="0"/>
        <w:spacing w:after="0" w:line="240" w:lineRule="auto"/>
        <w:jc w:val="center"/>
        <w:rPr>
          <w:rFonts w:ascii="Arial" w:hAnsi="Arial" w:cs="Arial"/>
        </w:rPr>
      </w:pPr>
      <w:r w:rsidRPr="00725839">
        <w:rPr>
          <w:rFonts w:ascii="Arial" w:hAnsi="Arial" w:cs="Arial"/>
        </w:rPr>
        <w:t xml:space="preserve">în perioada 2012- 2016 </w:t>
      </w:r>
      <w:r w:rsidR="00B67B25" w:rsidRPr="00D2419B">
        <w:rPr>
          <w:rFonts w:ascii="Arial" w:hAnsi="Arial" w:cs="Arial"/>
        </w:rPr>
        <w:t>(</w:t>
      </w:r>
      <w:r w:rsidR="00B67B25" w:rsidRPr="00D2419B">
        <w:rPr>
          <w:rFonts w:ascii="Arial" w:hAnsi="Arial" w:cs="Arial"/>
          <w:i/>
        </w:rPr>
        <w:t>sursa: Direcţia Judeţeană de Statistică Suceava, 2017</w:t>
      </w:r>
      <w:r w:rsidR="00B67B25" w:rsidRPr="00D2419B">
        <w:rPr>
          <w:rFonts w:ascii="Arial" w:hAnsi="Arial" w:cs="Arial"/>
        </w:rPr>
        <w:t>)</w:t>
      </w:r>
    </w:p>
    <w:p w:rsidR="003B28E1" w:rsidRPr="00725839" w:rsidRDefault="003B28E1" w:rsidP="003B28E1">
      <w:pPr>
        <w:widowControl w:val="0"/>
        <w:spacing w:after="0"/>
        <w:jc w:val="both"/>
        <w:rPr>
          <w:rFonts w:ascii="Arial" w:hAnsi="Arial" w:cs="Arial"/>
          <w:b/>
          <w:sz w:val="10"/>
          <w:szCs w:val="10"/>
        </w:rPr>
      </w:pPr>
    </w:p>
    <w:tbl>
      <w:tblPr>
        <w:tblStyle w:val="TableGrid"/>
        <w:tblW w:w="0" w:type="auto"/>
        <w:jc w:val="center"/>
        <w:tblLook w:val="04A0"/>
      </w:tblPr>
      <w:tblGrid>
        <w:gridCol w:w="2043"/>
        <w:gridCol w:w="947"/>
        <w:gridCol w:w="947"/>
        <w:gridCol w:w="947"/>
        <w:gridCol w:w="947"/>
        <w:gridCol w:w="997"/>
        <w:gridCol w:w="1285"/>
        <w:gridCol w:w="1776"/>
      </w:tblGrid>
      <w:tr w:rsidR="003B28E1" w:rsidRPr="00725839" w:rsidTr="001B3FBD">
        <w:trPr>
          <w:jc w:val="center"/>
        </w:trPr>
        <w:tc>
          <w:tcPr>
            <w:tcW w:w="2043" w:type="dxa"/>
            <w:vMerge w:val="restart"/>
            <w:shd w:val="clear" w:color="auto" w:fill="FFFF99"/>
            <w:tcMar>
              <w:left w:w="57" w:type="dxa"/>
              <w:right w:w="57" w:type="dxa"/>
            </w:tcMar>
            <w:vAlign w:val="center"/>
          </w:tcPr>
          <w:p w:rsidR="003B28E1" w:rsidRPr="00725839" w:rsidRDefault="003B28E1" w:rsidP="00E90D66">
            <w:pPr>
              <w:widowControl w:val="0"/>
              <w:jc w:val="center"/>
              <w:rPr>
                <w:rFonts w:ascii="Arial" w:hAnsi="Arial" w:cs="Arial"/>
                <w:b/>
                <w:sz w:val="21"/>
                <w:szCs w:val="21"/>
              </w:rPr>
            </w:pPr>
            <w:r w:rsidRPr="00725839">
              <w:rPr>
                <w:rFonts w:ascii="Arial" w:hAnsi="Arial" w:cs="Arial"/>
                <w:b/>
                <w:sz w:val="21"/>
                <w:szCs w:val="21"/>
              </w:rPr>
              <w:t>Categoria de acoperire</w:t>
            </w:r>
          </w:p>
        </w:tc>
        <w:tc>
          <w:tcPr>
            <w:tcW w:w="4785" w:type="dxa"/>
            <w:gridSpan w:val="5"/>
            <w:tcBorders>
              <w:bottom w:val="single" w:sz="4" w:space="0" w:color="auto"/>
            </w:tcBorders>
            <w:shd w:val="clear" w:color="auto" w:fill="FFFF99"/>
            <w:tcMar>
              <w:left w:w="57" w:type="dxa"/>
              <w:right w:w="57" w:type="dxa"/>
            </w:tcMar>
            <w:vAlign w:val="center"/>
          </w:tcPr>
          <w:p w:rsidR="003B28E1" w:rsidRPr="00725839" w:rsidRDefault="003B28E1" w:rsidP="00E90D66">
            <w:pPr>
              <w:widowControl w:val="0"/>
              <w:jc w:val="center"/>
              <w:rPr>
                <w:rFonts w:ascii="Arial" w:hAnsi="Arial" w:cs="Arial"/>
                <w:b/>
                <w:sz w:val="21"/>
                <w:szCs w:val="21"/>
              </w:rPr>
            </w:pPr>
          </w:p>
          <w:p w:rsidR="003B28E1" w:rsidRPr="00725839" w:rsidRDefault="003B28E1" w:rsidP="00E90D66">
            <w:pPr>
              <w:widowControl w:val="0"/>
              <w:jc w:val="center"/>
              <w:rPr>
                <w:rFonts w:ascii="Arial" w:hAnsi="Arial" w:cs="Arial"/>
                <w:b/>
                <w:sz w:val="21"/>
                <w:szCs w:val="21"/>
              </w:rPr>
            </w:pPr>
            <w:r w:rsidRPr="00725839">
              <w:rPr>
                <w:rFonts w:ascii="Arial" w:hAnsi="Arial" w:cs="Arial"/>
                <w:b/>
                <w:sz w:val="21"/>
                <w:szCs w:val="21"/>
              </w:rPr>
              <w:t>Suprafaţa (ha)</w:t>
            </w:r>
          </w:p>
          <w:p w:rsidR="003B28E1" w:rsidRPr="00725839" w:rsidRDefault="003B28E1" w:rsidP="00E90D66">
            <w:pPr>
              <w:widowControl w:val="0"/>
              <w:jc w:val="center"/>
              <w:rPr>
                <w:rFonts w:ascii="Arial" w:hAnsi="Arial" w:cs="Arial"/>
                <w:b/>
                <w:sz w:val="21"/>
                <w:szCs w:val="21"/>
              </w:rPr>
            </w:pPr>
          </w:p>
        </w:tc>
        <w:tc>
          <w:tcPr>
            <w:tcW w:w="3061" w:type="dxa"/>
            <w:gridSpan w:val="2"/>
            <w:shd w:val="clear" w:color="auto" w:fill="FFFF99"/>
            <w:tcMar>
              <w:left w:w="57" w:type="dxa"/>
              <w:right w:w="57" w:type="dxa"/>
            </w:tcMar>
            <w:vAlign w:val="center"/>
          </w:tcPr>
          <w:p w:rsidR="003B28E1" w:rsidRPr="00725839" w:rsidRDefault="003B28E1" w:rsidP="00E90D66">
            <w:pPr>
              <w:widowControl w:val="0"/>
              <w:jc w:val="center"/>
              <w:rPr>
                <w:rFonts w:ascii="Arial" w:hAnsi="Arial" w:cs="Arial"/>
                <w:b/>
                <w:sz w:val="21"/>
                <w:szCs w:val="21"/>
              </w:rPr>
            </w:pPr>
            <w:r w:rsidRPr="00725839">
              <w:rPr>
                <w:rFonts w:ascii="Arial" w:hAnsi="Arial" w:cs="Arial"/>
                <w:b/>
                <w:sz w:val="21"/>
                <w:szCs w:val="21"/>
              </w:rPr>
              <w:t>Schimbări în acoperirea/ utiliz. terenurilor în perioada</w:t>
            </w:r>
          </w:p>
          <w:p w:rsidR="003B28E1" w:rsidRPr="00725839" w:rsidRDefault="003B28E1" w:rsidP="00725839">
            <w:pPr>
              <w:widowControl w:val="0"/>
              <w:jc w:val="center"/>
              <w:rPr>
                <w:rFonts w:ascii="Arial" w:hAnsi="Arial" w:cs="Arial"/>
                <w:b/>
                <w:sz w:val="21"/>
                <w:szCs w:val="21"/>
              </w:rPr>
            </w:pPr>
            <w:r w:rsidRPr="00DC078C">
              <w:rPr>
                <w:rFonts w:ascii="Arial" w:hAnsi="Arial" w:cs="Arial"/>
                <w:b/>
                <w:sz w:val="21"/>
                <w:szCs w:val="21"/>
              </w:rPr>
              <w:t>201</w:t>
            </w:r>
            <w:r w:rsidR="00DC078C" w:rsidRPr="00DC078C">
              <w:rPr>
                <w:rFonts w:ascii="Arial" w:hAnsi="Arial" w:cs="Arial"/>
                <w:b/>
                <w:sz w:val="21"/>
                <w:szCs w:val="21"/>
              </w:rPr>
              <w:t>2</w:t>
            </w:r>
            <w:r w:rsidRPr="00DC078C">
              <w:rPr>
                <w:rFonts w:ascii="Arial" w:hAnsi="Arial" w:cs="Arial"/>
                <w:b/>
                <w:sz w:val="21"/>
                <w:szCs w:val="21"/>
              </w:rPr>
              <w:t>-201</w:t>
            </w:r>
            <w:r w:rsidR="00DC078C" w:rsidRPr="00DC078C">
              <w:rPr>
                <w:rFonts w:ascii="Arial" w:hAnsi="Arial" w:cs="Arial"/>
                <w:b/>
                <w:sz w:val="21"/>
                <w:szCs w:val="21"/>
              </w:rPr>
              <w:t>6</w:t>
            </w:r>
          </w:p>
        </w:tc>
      </w:tr>
      <w:tr w:rsidR="00725839" w:rsidRPr="00725839" w:rsidTr="001B3FBD">
        <w:trPr>
          <w:trHeight w:val="178"/>
          <w:jc w:val="center"/>
        </w:trPr>
        <w:tc>
          <w:tcPr>
            <w:tcW w:w="2043" w:type="dxa"/>
            <w:vMerge/>
            <w:shd w:val="clear" w:color="auto" w:fill="FFFF99"/>
            <w:tcMar>
              <w:left w:w="57" w:type="dxa"/>
              <w:right w:w="57" w:type="dxa"/>
            </w:tcMar>
            <w:vAlign w:val="center"/>
          </w:tcPr>
          <w:p w:rsidR="00725839" w:rsidRPr="00725839" w:rsidRDefault="00725839" w:rsidP="00E90D66">
            <w:pPr>
              <w:widowControl w:val="0"/>
              <w:jc w:val="center"/>
              <w:rPr>
                <w:rFonts w:ascii="Arial" w:hAnsi="Arial" w:cs="Arial"/>
                <w:sz w:val="21"/>
                <w:szCs w:val="21"/>
              </w:rPr>
            </w:pPr>
          </w:p>
        </w:tc>
        <w:tc>
          <w:tcPr>
            <w:tcW w:w="947" w:type="dxa"/>
            <w:shd w:val="clear" w:color="auto" w:fill="FFFF99"/>
            <w:tcMar>
              <w:left w:w="57" w:type="dxa"/>
              <w:right w:w="57" w:type="dxa"/>
            </w:tcMar>
            <w:vAlign w:val="center"/>
          </w:tcPr>
          <w:p w:rsidR="00725839" w:rsidRPr="00D25BF4" w:rsidRDefault="00725839" w:rsidP="00CD5F2F">
            <w:pPr>
              <w:widowControl w:val="0"/>
              <w:spacing w:before="40" w:after="40"/>
              <w:jc w:val="center"/>
              <w:rPr>
                <w:rFonts w:ascii="Arial" w:hAnsi="Arial" w:cs="Arial"/>
                <w:b/>
                <w:sz w:val="21"/>
                <w:szCs w:val="21"/>
              </w:rPr>
            </w:pPr>
            <w:r w:rsidRPr="00D25BF4">
              <w:rPr>
                <w:rFonts w:ascii="Arial" w:hAnsi="Arial" w:cs="Arial"/>
                <w:b/>
                <w:sz w:val="21"/>
                <w:szCs w:val="21"/>
              </w:rPr>
              <w:t>2012</w:t>
            </w:r>
          </w:p>
        </w:tc>
        <w:tc>
          <w:tcPr>
            <w:tcW w:w="947" w:type="dxa"/>
            <w:shd w:val="clear" w:color="auto" w:fill="FFFF99"/>
            <w:tcMar>
              <w:left w:w="57" w:type="dxa"/>
              <w:right w:w="57" w:type="dxa"/>
            </w:tcMar>
            <w:vAlign w:val="center"/>
          </w:tcPr>
          <w:p w:rsidR="00725839" w:rsidRPr="00D25BF4" w:rsidRDefault="00725839" w:rsidP="00CD5F2F">
            <w:pPr>
              <w:widowControl w:val="0"/>
              <w:spacing w:before="40" w:after="40"/>
              <w:jc w:val="center"/>
              <w:rPr>
                <w:rFonts w:ascii="Arial" w:hAnsi="Arial" w:cs="Arial"/>
                <w:b/>
                <w:sz w:val="21"/>
                <w:szCs w:val="21"/>
              </w:rPr>
            </w:pPr>
            <w:r w:rsidRPr="00D25BF4">
              <w:rPr>
                <w:rFonts w:ascii="Arial" w:hAnsi="Arial" w:cs="Arial"/>
                <w:b/>
                <w:sz w:val="21"/>
                <w:szCs w:val="21"/>
              </w:rPr>
              <w:t>2013</w:t>
            </w:r>
          </w:p>
        </w:tc>
        <w:tc>
          <w:tcPr>
            <w:tcW w:w="947" w:type="dxa"/>
            <w:shd w:val="clear" w:color="auto" w:fill="FFFF99"/>
            <w:tcMar>
              <w:left w:w="57" w:type="dxa"/>
              <w:right w:w="57" w:type="dxa"/>
            </w:tcMar>
            <w:vAlign w:val="center"/>
          </w:tcPr>
          <w:p w:rsidR="00725839" w:rsidRPr="00D25BF4" w:rsidRDefault="00725839" w:rsidP="00CD5F2F">
            <w:pPr>
              <w:widowControl w:val="0"/>
              <w:spacing w:before="40" w:after="40"/>
              <w:jc w:val="center"/>
              <w:rPr>
                <w:rFonts w:ascii="Arial" w:hAnsi="Arial" w:cs="Arial"/>
                <w:b/>
                <w:sz w:val="21"/>
                <w:szCs w:val="21"/>
              </w:rPr>
            </w:pPr>
            <w:r w:rsidRPr="00D25BF4">
              <w:rPr>
                <w:rFonts w:ascii="Arial" w:hAnsi="Arial" w:cs="Arial"/>
                <w:b/>
                <w:sz w:val="21"/>
                <w:szCs w:val="21"/>
              </w:rPr>
              <w:t>2014</w:t>
            </w:r>
          </w:p>
        </w:tc>
        <w:tc>
          <w:tcPr>
            <w:tcW w:w="947" w:type="dxa"/>
            <w:shd w:val="clear" w:color="auto" w:fill="FFFF99"/>
            <w:tcMar>
              <w:left w:w="57" w:type="dxa"/>
              <w:right w:w="57" w:type="dxa"/>
            </w:tcMar>
            <w:vAlign w:val="center"/>
          </w:tcPr>
          <w:p w:rsidR="00725839" w:rsidRPr="00D25BF4" w:rsidRDefault="00725839" w:rsidP="00CD5F2F">
            <w:pPr>
              <w:widowControl w:val="0"/>
              <w:spacing w:before="40" w:after="40"/>
              <w:jc w:val="center"/>
              <w:rPr>
                <w:rFonts w:ascii="Arial" w:hAnsi="Arial" w:cs="Arial"/>
                <w:b/>
                <w:sz w:val="21"/>
                <w:szCs w:val="21"/>
              </w:rPr>
            </w:pPr>
            <w:r w:rsidRPr="00D25BF4">
              <w:rPr>
                <w:rFonts w:ascii="Arial" w:hAnsi="Arial" w:cs="Arial"/>
                <w:b/>
                <w:sz w:val="21"/>
                <w:szCs w:val="21"/>
              </w:rPr>
              <w:t>2015</w:t>
            </w:r>
          </w:p>
        </w:tc>
        <w:tc>
          <w:tcPr>
            <w:tcW w:w="997" w:type="dxa"/>
            <w:shd w:val="clear" w:color="auto" w:fill="FFFF99"/>
            <w:tcMar>
              <w:left w:w="57" w:type="dxa"/>
              <w:right w:w="57" w:type="dxa"/>
            </w:tcMar>
            <w:vAlign w:val="center"/>
          </w:tcPr>
          <w:p w:rsidR="00725839" w:rsidRPr="00D25BF4" w:rsidRDefault="00725839" w:rsidP="00E90D66">
            <w:pPr>
              <w:widowControl w:val="0"/>
              <w:spacing w:before="40" w:after="40"/>
              <w:jc w:val="center"/>
              <w:rPr>
                <w:rFonts w:ascii="Arial" w:hAnsi="Arial" w:cs="Arial"/>
                <w:b/>
                <w:sz w:val="21"/>
                <w:szCs w:val="21"/>
              </w:rPr>
            </w:pPr>
            <w:r w:rsidRPr="00D25BF4">
              <w:rPr>
                <w:rFonts w:ascii="Arial" w:hAnsi="Arial" w:cs="Arial"/>
                <w:b/>
                <w:sz w:val="21"/>
                <w:szCs w:val="21"/>
              </w:rPr>
              <w:t>201</w:t>
            </w:r>
            <w:r w:rsidR="0093693A" w:rsidRPr="00D25BF4">
              <w:rPr>
                <w:rFonts w:ascii="Arial" w:hAnsi="Arial" w:cs="Arial"/>
                <w:b/>
                <w:sz w:val="21"/>
                <w:szCs w:val="21"/>
              </w:rPr>
              <w:t>6</w:t>
            </w:r>
          </w:p>
        </w:tc>
        <w:tc>
          <w:tcPr>
            <w:tcW w:w="1285" w:type="dxa"/>
            <w:shd w:val="clear" w:color="auto" w:fill="FFFF99"/>
            <w:tcMar>
              <w:left w:w="57" w:type="dxa"/>
              <w:right w:w="57" w:type="dxa"/>
            </w:tcMar>
            <w:vAlign w:val="center"/>
          </w:tcPr>
          <w:p w:rsidR="00725839" w:rsidRPr="00725839" w:rsidRDefault="00725839" w:rsidP="00E90D66">
            <w:pPr>
              <w:widowControl w:val="0"/>
              <w:spacing w:before="40" w:after="40"/>
              <w:jc w:val="center"/>
              <w:rPr>
                <w:rFonts w:ascii="Arial" w:hAnsi="Arial" w:cs="Arial"/>
                <w:sz w:val="21"/>
                <w:szCs w:val="21"/>
              </w:rPr>
            </w:pPr>
            <w:r w:rsidRPr="00725839">
              <w:rPr>
                <w:rFonts w:ascii="Arial" w:hAnsi="Arial" w:cs="Arial"/>
                <w:b/>
                <w:sz w:val="21"/>
                <w:szCs w:val="21"/>
              </w:rPr>
              <w:t>ha</w:t>
            </w:r>
          </w:p>
        </w:tc>
        <w:tc>
          <w:tcPr>
            <w:tcW w:w="1776" w:type="dxa"/>
            <w:shd w:val="clear" w:color="auto" w:fill="FFFF99"/>
            <w:tcMar>
              <w:left w:w="57" w:type="dxa"/>
              <w:right w:w="57" w:type="dxa"/>
            </w:tcMar>
            <w:vAlign w:val="center"/>
          </w:tcPr>
          <w:p w:rsidR="00725839" w:rsidRPr="00725839" w:rsidRDefault="00725839" w:rsidP="006C3C46">
            <w:pPr>
              <w:widowControl w:val="0"/>
              <w:spacing w:before="40" w:after="40"/>
              <w:jc w:val="center"/>
              <w:rPr>
                <w:rFonts w:ascii="Arial" w:hAnsi="Arial" w:cs="Arial"/>
                <w:sz w:val="21"/>
                <w:szCs w:val="21"/>
              </w:rPr>
            </w:pPr>
            <w:r w:rsidRPr="00725839">
              <w:rPr>
                <w:rFonts w:ascii="Arial" w:hAnsi="Arial" w:cs="Arial"/>
                <w:b/>
                <w:sz w:val="21"/>
                <w:szCs w:val="21"/>
              </w:rPr>
              <w:t>% din anul 201</w:t>
            </w:r>
            <w:r w:rsidR="006C3C46">
              <w:rPr>
                <w:rFonts w:ascii="Arial" w:hAnsi="Arial" w:cs="Arial"/>
                <w:b/>
                <w:sz w:val="21"/>
                <w:szCs w:val="21"/>
              </w:rPr>
              <w:t>2</w:t>
            </w:r>
          </w:p>
        </w:tc>
      </w:tr>
      <w:tr w:rsidR="001B3FBD" w:rsidRPr="00725839" w:rsidTr="001B3FBD">
        <w:trPr>
          <w:trHeight w:val="552"/>
          <w:jc w:val="center"/>
        </w:trPr>
        <w:tc>
          <w:tcPr>
            <w:tcW w:w="2043" w:type="dxa"/>
            <w:tcMar>
              <w:left w:w="57" w:type="dxa"/>
              <w:right w:w="57" w:type="dxa"/>
            </w:tcMar>
            <w:vAlign w:val="center"/>
          </w:tcPr>
          <w:p w:rsidR="001B3FBD" w:rsidRPr="00725839" w:rsidRDefault="001B3FBD" w:rsidP="00C42452">
            <w:pPr>
              <w:widowControl w:val="0"/>
              <w:spacing w:before="20" w:afterLines="20"/>
              <w:jc w:val="center"/>
              <w:rPr>
                <w:rFonts w:ascii="Arial" w:hAnsi="Arial" w:cs="Arial"/>
                <w:b/>
                <w:sz w:val="21"/>
                <w:szCs w:val="21"/>
              </w:rPr>
            </w:pPr>
            <w:r w:rsidRPr="00725839">
              <w:rPr>
                <w:rFonts w:ascii="Arial" w:hAnsi="Arial" w:cs="Arial"/>
                <w:b/>
                <w:sz w:val="21"/>
                <w:szCs w:val="21"/>
              </w:rPr>
              <w:t>TOTAL</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b/>
                <w:sz w:val="21"/>
                <w:szCs w:val="21"/>
              </w:rPr>
            </w:pPr>
            <w:r w:rsidRPr="00725839">
              <w:rPr>
                <w:rFonts w:ascii="Arial" w:hAnsi="Arial" w:cs="Arial"/>
                <w:b/>
                <w:sz w:val="21"/>
                <w:szCs w:val="21"/>
              </w:rPr>
              <w:t>855350</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b/>
                <w:sz w:val="21"/>
                <w:szCs w:val="21"/>
              </w:rPr>
            </w:pPr>
            <w:r w:rsidRPr="00725839">
              <w:rPr>
                <w:rFonts w:ascii="Arial" w:hAnsi="Arial" w:cs="Arial"/>
                <w:b/>
                <w:sz w:val="21"/>
                <w:szCs w:val="21"/>
              </w:rPr>
              <w:t>855350</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b/>
                <w:sz w:val="21"/>
                <w:szCs w:val="21"/>
              </w:rPr>
            </w:pPr>
            <w:r w:rsidRPr="00725839">
              <w:rPr>
                <w:rFonts w:ascii="Arial" w:hAnsi="Arial" w:cs="Arial"/>
                <w:b/>
                <w:sz w:val="21"/>
                <w:szCs w:val="21"/>
              </w:rPr>
              <w:t>855350</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b/>
                <w:sz w:val="21"/>
                <w:szCs w:val="21"/>
              </w:rPr>
            </w:pPr>
            <w:r w:rsidRPr="00725839">
              <w:rPr>
                <w:rFonts w:ascii="Arial" w:hAnsi="Arial" w:cs="Arial"/>
                <w:b/>
                <w:sz w:val="21"/>
                <w:szCs w:val="21"/>
              </w:rPr>
              <w:t>855301</w:t>
            </w:r>
          </w:p>
        </w:tc>
        <w:tc>
          <w:tcPr>
            <w:tcW w:w="99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b/>
                <w:sz w:val="21"/>
                <w:szCs w:val="21"/>
              </w:rPr>
            </w:pPr>
            <w:r w:rsidRPr="00725839">
              <w:rPr>
                <w:rFonts w:ascii="Arial" w:hAnsi="Arial" w:cs="Arial"/>
                <w:b/>
                <w:sz w:val="21"/>
                <w:szCs w:val="21"/>
              </w:rPr>
              <w:t>855301</w:t>
            </w:r>
          </w:p>
        </w:tc>
        <w:tc>
          <w:tcPr>
            <w:tcW w:w="1285" w:type="dxa"/>
            <w:tcMar>
              <w:left w:w="57" w:type="dxa"/>
              <w:right w:w="57" w:type="dxa"/>
            </w:tcMar>
            <w:vAlign w:val="center"/>
          </w:tcPr>
          <w:p w:rsidR="001B3FBD" w:rsidRPr="006C3C46" w:rsidRDefault="001B3FBD" w:rsidP="001B3FBD">
            <w:pPr>
              <w:jc w:val="right"/>
              <w:rPr>
                <w:rFonts w:ascii="Arial" w:eastAsia="Times New Roman" w:hAnsi="Arial" w:cs="Arial"/>
                <w:b/>
                <w:bCs/>
                <w:color w:val="000000"/>
                <w:sz w:val="21"/>
                <w:szCs w:val="21"/>
                <w:lang w:eastAsia="ro-RO"/>
              </w:rPr>
            </w:pPr>
            <w:r w:rsidRPr="006C3C46">
              <w:rPr>
                <w:rFonts w:ascii="Arial" w:eastAsia="Times New Roman" w:hAnsi="Arial" w:cs="Arial"/>
                <w:b/>
                <w:bCs/>
                <w:color w:val="000000"/>
                <w:sz w:val="21"/>
                <w:szCs w:val="21"/>
                <w:lang w:eastAsia="ro-RO"/>
              </w:rPr>
              <w:t>-49</w:t>
            </w:r>
          </w:p>
        </w:tc>
        <w:tc>
          <w:tcPr>
            <w:tcW w:w="1776" w:type="dxa"/>
            <w:tcMar>
              <w:left w:w="57" w:type="dxa"/>
              <w:right w:w="57" w:type="dxa"/>
            </w:tcMar>
            <w:vAlign w:val="center"/>
          </w:tcPr>
          <w:p w:rsidR="001B3FBD" w:rsidRPr="006C3C46" w:rsidRDefault="001B3FBD" w:rsidP="002A10A0">
            <w:pPr>
              <w:jc w:val="center"/>
              <w:rPr>
                <w:rFonts w:ascii="Arial" w:eastAsia="Times New Roman" w:hAnsi="Arial" w:cs="Arial"/>
                <w:b/>
                <w:bCs/>
                <w:color w:val="000000"/>
                <w:sz w:val="21"/>
                <w:szCs w:val="21"/>
                <w:lang w:eastAsia="ro-RO"/>
              </w:rPr>
            </w:pPr>
            <w:r w:rsidRPr="006C3C46">
              <w:rPr>
                <w:rFonts w:ascii="Arial" w:eastAsia="Times New Roman" w:hAnsi="Arial" w:cs="Arial"/>
                <w:b/>
                <w:bCs/>
                <w:color w:val="000000"/>
                <w:sz w:val="21"/>
                <w:szCs w:val="21"/>
                <w:lang w:eastAsia="ro-RO"/>
              </w:rPr>
              <w:t>-0,006</w:t>
            </w:r>
          </w:p>
        </w:tc>
      </w:tr>
      <w:tr w:rsidR="001B3FBD" w:rsidRPr="00725839" w:rsidTr="001B3FBD">
        <w:trPr>
          <w:jc w:val="center"/>
        </w:trPr>
        <w:tc>
          <w:tcPr>
            <w:tcW w:w="2043" w:type="dxa"/>
            <w:tcMar>
              <w:left w:w="57" w:type="dxa"/>
              <w:right w:w="57" w:type="dxa"/>
            </w:tcMar>
            <w:vAlign w:val="center"/>
          </w:tcPr>
          <w:p w:rsidR="001B3FBD" w:rsidRPr="00725839" w:rsidRDefault="001B3FBD" w:rsidP="00C42452">
            <w:pPr>
              <w:widowControl w:val="0"/>
              <w:spacing w:before="20" w:afterLines="20"/>
              <w:jc w:val="center"/>
              <w:rPr>
                <w:rFonts w:ascii="Arial" w:hAnsi="Arial" w:cs="Arial"/>
                <w:b/>
                <w:sz w:val="21"/>
                <w:szCs w:val="21"/>
              </w:rPr>
            </w:pPr>
            <w:r w:rsidRPr="00725839">
              <w:rPr>
                <w:rFonts w:ascii="Arial" w:hAnsi="Arial" w:cs="Arial"/>
                <w:b/>
                <w:sz w:val="21"/>
                <w:szCs w:val="21"/>
              </w:rPr>
              <w:t xml:space="preserve">Terenuri agricole total, </w:t>
            </w:r>
            <w:r w:rsidRPr="00725839">
              <w:rPr>
                <w:rFonts w:ascii="Arial" w:hAnsi="Arial" w:cs="Arial"/>
                <w:sz w:val="21"/>
                <w:szCs w:val="21"/>
              </w:rPr>
              <w:t>din care:</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347805</w:t>
            </w:r>
          </w:p>
        </w:tc>
        <w:tc>
          <w:tcPr>
            <w:tcW w:w="947" w:type="dxa"/>
            <w:tcMar>
              <w:left w:w="57" w:type="dxa"/>
              <w:right w:w="57" w:type="dxa"/>
            </w:tcMar>
            <w:vAlign w:val="center"/>
          </w:tcPr>
          <w:p w:rsidR="001B3FBD" w:rsidRPr="002109A9" w:rsidRDefault="001B3FBD" w:rsidP="00C42452">
            <w:pPr>
              <w:widowControl w:val="0"/>
              <w:spacing w:before="20" w:afterLines="20"/>
              <w:jc w:val="right"/>
              <w:rPr>
                <w:rFonts w:ascii="Arial" w:hAnsi="Arial" w:cs="Arial"/>
                <w:sz w:val="21"/>
                <w:szCs w:val="21"/>
                <w:highlight w:val="yellow"/>
              </w:rPr>
            </w:pPr>
            <w:r w:rsidRPr="002109A9">
              <w:rPr>
                <w:rFonts w:ascii="Arial" w:hAnsi="Arial" w:cs="Arial"/>
                <w:sz w:val="21"/>
                <w:szCs w:val="21"/>
              </w:rPr>
              <w:t>346762</w:t>
            </w:r>
          </w:p>
        </w:tc>
        <w:tc>
          <w:tcPr>
            <w:tcW w:w="947" w:type="dxa"/>
            <w:tcMar>
              <w:left w:w="57" w:type="dxa"/>
              <w:right w:w="57" w:type="dxa"/>
            </w:tcMar>
            <w:vAlign w:val="center"/>
          </w:tcPr>
          <w:p w:rsidR="001B3FBD" w:rsidRPr="0020591A" w:rsidRDefault="001B3FBD" w:rsidP="00C42452">
            <w:pPr>
              <w:widowControl w:val="0"/>
              <w:spacing w:before="20" w:afterLines="20"/>
              <w:jc w:val="right"/>
              <w:rPr>
                <w:rFonts w:ascii="Arial" w:hAnsi="Arial" w:cs="Arial"/>
                <w:sz w:val="21"/>
                <w:szCs w:val="21"/>
              </w:rPr>
            </w:pPr>
            <w:r w:rsidRPr="0020591A">
              <w:rPr>
                <w:rFonts w:ascii="Arial" w:hAnsi="Arial" w:cs="Arial"/>
                <w:sz w:val="21"/>
                <w:szCs w:val="21"/>
              </w:rPr>
              <w:t>347632</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354821</w:t>
            </w:r>
          </w:p>
        </w:tc>
        <w:tc>
          <w:tcPr>
            <w:tcW w:w="99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354820</w:t>
            </w:r>
          </w:p>
        </w:tc>
        <w:tc>
          <w:tcPr>
            <w:tcW w:w="1285" w:type="dxa"/>
            <w:tcMar>
              <w:left w:w="57" w:type="dxa"/>
              <w:right w:w="57" w:type="dxa"/>
            </w:tcMar>
            <w:vAlign w:val="center"/>
          </w:tcPr>
          <w:p w:rsidR="001B3FBD" w:rsidRPr="006C3C46" w:rsidRDefault="001B3FBD" w:rsidP="001B3FBD">
            <w:pPr>
              <w:jc w:val="right"/>
              <w:rPr>
                <w:rFonts w:ascii="Arial" w:eastAsia="Times New Roman" w:hAnsi="Arial" w:cs="Arial"/>
                <w:b/>
                <w:color w:val="000000"/>
                <w:sz w:val="21"/>
                <w:szCs w:val="21"/>
                <w:lang w:eastAsia="ro-RO"/>
              </w:rPr>
            </w:pPr>
            <w:r w:rsidRPr="006C3C46">
              <w:rPr>
                <w:rFonts w:ascii="Arial" w:eastAsia="Times New Roman" w:hAnsi="Arial" w:cs="Arial"/>
                <w:b/>
                <w:color w:val="000000"/>
                <w:sz w:val="21"/>
                <w:szCs w:val="21"/>
                <w:lang w:eastAsia="ro-RO"/>
              </w:rPr>
              <w:t>7015</w:t>
            </w:r>
          </w:p>
        </w:tc>
        <w:tc>
          <w:tcPr>
            <w:tcW w:w="1776" w:type="dxa"/>
            <w:tcMar>
              <w:left w:w="57" w:type="dxa"/>
              <w:right w:w="57" w:type="dxa"/>
            </w:tcMar>
            <w:vAlign w:val="center"/>
          </w:tcPr>
          <w:p w:rsidR="001B3FBD" w:rsidRPr="006C3C46" w:rsidRDefault="001B3FBD" w:rsidP="002A10A0">
            <w:pPr>
              <w:jc w:val="center"/>
              <w:rPr>
                <w:rFonts w:ascii="Arial" w:eastAsia="Times New Roman" w:hAnsi="Arial" w:cs="Arial"/>
                <w:b/>
                <w:color w:val="000000"/>
                <w:sz w:val="21"/>
                <w:szCs w:val="21"/>
                <w:lang w:eastAsia="ro-RO"/>
              </w:rPr>
            </w:pPr>
            <w:r w:rsidRPr="006C3C46">
              <w:rPr>
                <w:rFonts w:ascii="Arial" w:eastAsia="Times New Roman" w:hAnsi="Arial" w:cs="Arial"/>
                <w:b/>
                <w:color w:val="000000"/>
                <w:sz w:val="21"/>
                <w:szCs w:val="21"/>
                <w:lang w:eastAsia="ro-RO"/>
              </w:rPr>
              <w:t>2,02</w:t>
            </w:r>
          </w:p>
        </w:tc>
      </w:tr>
      <w:tr w:rsidR="001B3FBD" w:rsidRPr="00725839" w:rsidTr="001B3FBD">
        <w:trPr>
          <w:jc w:val="center"/>
        </w:trPr>
        <w:tc>
          <w:tcPr>
            <w:tcW w:w="2043"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i/>
                <w:sz w:val="21"/>
                <w:szCs w:val="21"/>
              </w:rPr>
            </w:pPr>
            <w:r w:rsidRPr="00725839">
              <w:rPr>
                <w:rFonts w:ascii="Arial" w:hAnsi="Arial" w:cs="Arial"/>
                <w:i/>
                <w:sz w:val="21"/>
                <w:szCs w:val="21"/>
              </w:rPr>
              <w:t>Teren arabil</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180372</w:t>
            </w:r>
          </w:p>
        </w:tc>
        <w:tc>
          <w:tcPr>
            <w:tcW w:w="947" w:type="dxa"/>
            <w:tcMar>
              <w:left w:w="57" w:type="dxa"/>
              <w:right w:w="57" w:type="dxa"/>
            </w:tcMar>
            <w:vAlign w:val="center"/>
          </w:tcPr>
          <w:p w:rsidR="001B3FBD" w:rsidRPr="002A4B13" w:rsidRDefault="001B3FBD" w:rsidP="00C42452">
            <w:pPr>
              <w:widowControl w:val="0"/>
              <w:spacing w:before="20" w:afterLines="20"/>
              <w:jc w:val="right"/>
              <w:rPr>
                <w:rFonts w:ascii="Arial" w:hAnsi="Arial" w:cs="Arial"/>
                <w:sz w:val="21"/>
                <w:szCs w:val="21"/>
              </w:rPr>
            </w:pPr>
            <w:r w:rsidRPr="002A4B13">
              <w:rPr>
                <w:rFonts w:ascii="Arial" w:hAnsi="Arial" w:cs="Arial"/>
                <w:sz w:val="21"/>
                <w:szCs w:val="21"/>
              </w:rPr>
              <w:t>179495</w:t>
            </w:r>
          </w:p>
        </w:tc>
        <w:tc>
          <w:tcPr>
            <w:tcW w:w="947" w:type="dxa"/>
            <w:tcMar>
              <w:left w:w="57" w:type="dxa"/>
              <w:right w:w="57" w:type="dxa"/>
            </w:tcMar>
            <w:vAlign w:val="center"/>
          </w:tcPr>
          <w:p w:rsidR="001B3FBD" w:rsidRPr="002A4B13" w:rsidRDefault="001B3FBD" w:rsidP="00C42452">
            <w:pPr>
              <w:widowControl w:val="0"/>
              <w:spacing w:before="20" w:afterLines="20"/>
              <w:jc w:val="right"/>
              <w:rPr>
                <w:rFonts w:ascii="Arial" w:hAnsi="Arial" w:cs="Arial"/>
                <w:sz w:val="21"/>
                <w:szCs w:val="21"/>
              </w:rPr>
            </w:pPr>
            <w:r w:rsidRPr="002A4B13">
              <w:rPr>
                <w:rFonts w:ascii="Arial" w:hAnsi="Arial" w:cs="Arial"/>
                <w:sz w:val="21"/>
                <w:szCs w:val="21"/>
              </w:rPr>
              <w:t>179954</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180455</w:t>
            </w:r>
          </w:p>
        </w:tc>
        <w:tc>
          <w:tcPr>
            <w:tcW w:w="99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180451</w:t>
            </w:r>
          </w:p>
        </w:tc>
        <w:tc>
          <w:tcPr>
            <w:tcW w:w="1285" w:type="dxa"/>
            <w:tcMar>
              <w:left w:w="57" w:type="dxa"/>
              <w:right w:w="57" w:type="dxa"/>
            </w:tcMar>
            <w:vAlign w:val="center"/>
          </w:tcPr>
          <w:p w:rsidR="001B3FBD" w:rsidRPr="006C3C46" w:rsidRDefault="001B3FBD" w:rsidP="001B3FBD">
            <w:pPr>
              <w:jc w:val="right"/>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79</w:t>
            </w:r>
          </w:p>
        </w:tc>
        <w:tc>
          <w:tcPr>
            <w:tcW w:w="1776" w:type="dxa"/>
            <w:tcMar>
              <w:left w:w="57" w:type="dxa"/>
              <w:right w:w="57" w:type="dxa"/>
            </w:tcMar>
            <w:vAlign w:val="center"/>
          </w:tcPr>
          <w:p w:rsidR="001B3FBD" w:rsidRPr="006C3C46" w:rsidRDefault="001B3FBD" w:rsidP="002A10A0">
            <w:pPr>
              <w:jc w:val="center"/>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0,04</w:t>
            </w:r>
          </w:p>
        </w:tc>
      </w:tr>
      <w:tr w:rsidR="001B3FBD" w:rsidRPr="00725839" w:rsidTr="001B3FBD">
        <w:trPr>
          <w:jc w:val="center"/>
        </w:trPr>
        <w:tc>
          <w:tcPr>
            <w:tcW w:w="2043"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i/>
                <w:sz w:val="21"/>
                <w:szCs w:val="21"/>
              </w:rPr>
            </w:pPr>
            <w:r w:rsidRPr="00725839">
              <w:rPr>
                <w:rFonts w:ascii="Arial" w:hAnsi="Arial" w:cs="Arial"/>
                <w:i/>
                <w:sz w:val="21"/>
                <w:szCs w:val="21"/>
              </w:rPr>
              <w:t>Păşuni</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90570</w:t>
            </w:r>
          </w:p>
        </w:tc>
        <w:tc>
          <w:tcPr>
            <w:tcW w:w="947" w:type="dxa"/>
            <w:tcMar>
              <w:left w:w="57" w:type="dxa"/>
              <w:right w:w="57" w:type="dxa"/>
            </w:tcMar>
            <w:vAlign w:val="center"/>
          </w:tcPr>
          <w:p w:rsidR="001B3FBD" w:rsidRPr="002A4B13" w:rsidRDefault="001B3FBD" w:rsidP="00C42452">
            <w:pPr>
              <w:widowControl w:val="0"/>
              <w:spacing w:before="20" w:afterLines="20"/>
              <w:jc w:val="right"/>
              <w:rPr>
                <w:rFonts w:ascii="Arial" w:hAnsi="Arial" w:cs="Arial"/>
                <w:sz w:val="21"/>
                <w:szCs w:val="21"/>
              </w:rPr>
            </w:pPr>
            <w:r w:rsidRPr="002A4B13">
              <w:rPr>
                <w:rFonts w:ascii="Arial" w:hAnsi="Arial" w:cs="Arial"/>
                <w:sz w:val="21"/>
                <w:szCs w:val="21"/>
              </w:rPr>
              <w:t>90367</w:t>
            </w:r>
          </w:p>
        </w:tc>
        <w:tc>
          <w:tcPr>
            <w:tcW w:w="947" w:type="dxa"/>
            <w:tcMar>
              <w:left w:w="57" w:type="dxa"/>
              <w:right w:w="57" w:type="dxa"/>
            </w:tcMar>
            <w:vAlign w:val="center"/>
          </w:tcPr>
          <w:p w:rsidR="001B3FBD" w:rsidRPr="002A4B13" w:rsidRDefault="001B3FBD" w:rsidP="00C42452">
            <w:pPr>
              <w:widowControl w:val="0"/>
              <w:spacing w:before="20" w:afterLines="20"/>
              <w:jc w:val="right"/>
              <w:rPr>
                <w:rFonts w:ascii="Arial" w:hAnsi="Arial" w:cs="Arial"/>
                <w:sz w:val="21"/>
                <w:szCs w:val="21"/>
              </w:rPr>
            </w:pPr>
            <w:r w:rsidRPr="002A4B13">
              <w:rPr>
                <w:rFonts w:ascii="Arial" w:hAnsi="Arial" w:cs="Arial"/>
                <w:sz w:val="21"/>
                <w:szCs w:val="21"/>
              </w:rPr>
              <w:t>90512</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93107</w:t>
            </w:r>
          </w:p>
        </w:tc>
        <w:tc>
          <w:tcPr>
            <w:tcW w:w="997" w:type="dxa"/>
            <w:tcMar>
              <w:left w:w="57" w:type="dxa"/>
              <w:right w:w="57" w:type="dxa"/>
            </w:tcMar>
            <w:vAlign w:val="center"/>
          </w:tcPr>
          <w:p w:rsidR="001B3FBD" w:rsidRPr="00DC6F09" w:rsidRDefault="001B3FBD" w:rsidP="00C42452">
            <w:pPr>
              <w:widowControl w:val="0"/>
              <w:spacing w:before="20" w:afterLines="20"/>
              <w:jc w:val="right"/>
              <w:rPr>
                <w:rFonts w:ascii="Arial" w:hAnsi="Arial" w:cs="Arial"/>
                <w:sz w:val="21"/>
                <w:szCs w:val="21"/>
              </w:rPr>
            </w:pPr>
            <w:r w:rsidRPr="00DC6F09">
              <w:rPr>
                <w:rFonts w:ascii="Arial" w:hAnsi="Arial" w:cs="Arial"/>
                <w:sz w:val="21"/>
                <w:szCs w:val="21"/>
              </w:rPr>
              <w:t>93052</w:t>
            </w:r>
          </w:p>
        </w:tc>
        <w:tc>
          <w:tcPr>
            <w:tcW w:w="1285" w:type="dxa"/>
            <w:tcMar>
              <w:left w:w="57" w:type="dxa"/>
              <w:right w:w="57" w:type="dxa"/>
            </w:tcMar>
            <w:vAlign w:val="center"/>
          </w:tcPr>
          <w:p w:rsidR="001B3FBD" w:rsidRPr="006C3C46" w:rsidRDefault="001B3FBD" w:rsidP="001B3FBD">
            <w:pPr>
              <w:jc w:val="right"/>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2482</w:t>
            </w:r>
          </w:p>
        </w:tc>
        <w:tc>
          <w:tcPr>
            <w:tcW w:w="1776" w:type="dxa"/>
            <w:tcMar>
              <w:left w:w="57" w:type="dxa"/>
              <w:right w:w="57" w:type="dxa"/>
            </w:tcMar>
            <w:vAlign w:val="center"/>
          </w:tcPr>
          <w:p w:rsidR="001B3FBD" w:rsidRPr="006C3C46" w:rsidRDefault="001B3FBD" w:rsidP="002A10A0">
            <w:pPr>
              <w:jc w:val="center"/>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2,74</w:t>
            </w:r>
          </w:p>
        </w:tc>
      </w:tr>
      <w:tr w:rsidR="001B3FBD" w:rsidRPr="00725839" w:rsidTr="001B3FBD">
        <w:trPr>
          <w:jc w:val="center"/>
        </w:trPr>
        <w:tc>
          <w:tcPr>
            <w:tcW w:w="2043"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i/>
                <w:sz w:val="21"/>
                <w:szCs w:val="21"/>
              </w:rPr>
            </w:pPr>
            <w:r w:rsidRPr="00725839">
              <w:rPr>
                <w:rFonts w:ascii="Arial" w:hAnsi="Arial" w:cs="Arial"/>
                <w:i/>
                <w:sz w:val="21"/>
                <w:szCs w:val="21"/>
              </w:rPr>
              <w:t>Fâneţe</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74053</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73897</w:t>
            </w:r>
          </w:p>
        </w:tc>
        <w:tc>
          <w:tcPr>
            <w:tcW w:w="947" w:type="dxa"/>
            <w:tcMar>
              <w:left w:w="57" w:type="dxa"/>
              <w:right w:w="57" w:type="dxa"/>
            </w:tcMar>
            <w:vAlign w:val="center"/>
          </w:tcPr>
          <w:p w:rsidR="001B3FBD" w:rsidRPr="00100EB0" w:rsidRDefault="001B3FBD" w:rsidP="00C42452">
            <w:pPr>
              <w:widowControl w:val="0"/>
              <w:spacing w:before="20" w:afterLines="20"/>
              <w:jc w:val="right"/>
              <w:rPr>
                <w:rFonts w:ascii="Arial" w:hAnsi="Arial" w:cs="Arial"/>
                <w:sz w:val="21"/>
                <w:szCs w:val="21"/>
              </w:rPr>
            </w:pPr>
            <w:r w:rsidRPr="00100EB0">
              <w:rPr>
                <w:rFonts w:ascii="Arial" w:hAnsi="Arial" w:cs="Arial"/>
                <w:sz w:val="21"/>
                <w:szCs w:val="21"/>
              </w:rPr>
              <w:t>74179</w:t>
            </w:r>
          </w:p>
        </w:tc>
        <w:tc>
          <w:tcPr>
            <w:tcW w:w="947" w:type="dxa"/>
            <w:tcMar>
              <w:left w:w="57" w:type="dxa"/>
              <w:right w:w="57" w:type="dxa"/>
            </w:tcMar>
            <w:vAlign w:val="center"/>
          </w:tcPr>
          <w:p w:rsidR="001B3FBD" w:rsidRPr="00100EB0" w:rsidRDefault="001B3FBD" w:rsidP="00C42452">
            <w:pPr>
              <w:widowControl w:val="0"/>
              <w:spacing w:before="20" w:afterLines="20"/>
              <w:jc w:val="right"/>
              <w:rPr>
                <w:rFonts w:ascii="Arial" w:hAnsi="Arial" w:cs="Arial"/>
                <w:sz w:val="21"/>
                <w:szCs w:val="21"/>
              </w:rPr>
            </w:pPr>
            <w:r w:rsidRPr="00100EB0">
              <w:rPr>
                <w:rFonts w:ascii="Arial" w:hAnsi="Arial" w:cs="Arial"/>
                <w:sz w:val="21"/>
                <w:szCs w:val="21"/>
              </w:rPr>
              <w:t>78407</w:t>
            </w:r>
          </w:p>
        </w:tc>
        <w:tc>
          <w:tcPr>
            <w:tcW w:w="99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78404</w:t>
            </w:r>
          </w:p>
        </w:tc>
        <w:tc>
          <w:tcPr>
            <w:tcW w:w="1285" w:type="dxa"/>
            <w:tcMar>
              <w:left w:w="57" w:type="dxa"/>
              <w:right w:w="57" w:type="dxa"/>
            </w:tcMar>
            <w:vAlign w:val="center"/>
          </w:tcPr>
          <w:p w:rsidR="001B3FBD" w:rsidRPr="006C3C46" w:rsidRDefault="001B3FBD" w:rsidP="001B3FBD">
            <w:pPr>
              <w:jc w:val="right"/>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4351</w:t>
            </w:r>
          </w:p>
        </w:tc>
        <w:tc>
          <w:tcPr>
            <w:tcW w:w="1776" w:type="dxa"/>
            <w:tcMar>
              <w:left w:w="57" w:type="dxa"/>
              <w:right w:w="57" w:type="dxa"/>
            </w:tcMar>
            <w:vAlign w:val="center"/>
          </w:tcPr>
          <w:p w:rsidR="001B3FBD" w:rsidRPr="006C3C46" w:rsidRDefault="001B3FBD" w:rsidP="002A10A0">
            <w:pPr>
              <w:jc w:val="center"/>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5,88</w:t>
            </w:r>
          </w:p>
        </w:tc>
      </w:tr>
      <w:tr w:rsidR="001B3FBD" w:rsidRPr="00725839" w:rsidTr="001B3FBD">
        <w:trPr>
          <w:jc w:val="center"/>
        </w:trPr>
        <w:tc>
          <w:tcPr>
            <w:tcW w:w="2043"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i/>
                <w:sz w:val="21"/>
                <w:szCs w:val="21"/>
              </w:rPr>
            </w:pPr>
            <w:r w:rsidRPr="00725839">
              <w:rPr>
                <w:rFonts w:ascii="Arial" w:hAnsi="Arial" w:cs="Arial"/>
                <w:i/>
                <w:sz w:val="21"/>
                <w:szCs w:val="21"/>
              </w:rPr>
              <w:t>Vii şi pepiniere viticole</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0</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0</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0</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0</w:t>
            </w:r>
          </w:p>
        </w:tc>
        <w:tc>
          <w:tcPr>
            <w:tcW w:w="99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0</w:t>
            </w:r>
          </w:p>
        </w:tc>
        <w:tc>
          <w:tcPr>
            <w:tcW w:w="1285" w:type="dxa"/>
            <w:tcMar>
              <w:left w:w="57" w:type="dxa"/>
              <w:right w:w="57" w:type="dxa"/>
            </w:tcMar>
            <w:vAlign w:val="center"/>
          </w:tcPr>
          <w:p w:rsidR="001B3FBD" w:rsidRPr="006C3C46" w:rsidRDefault="001B3FBD" w:rsidP="001B3FBD">
            <w:pPr>
              <w:jc w:val="right"/>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0</w:t>
            </w:r>
          </w:p>
        </w:tc>
        <w:tc>
          <w:tcPr>
            <w:tcW w:w="1776" w:type="dxa"/>
            <w:tcMar>
              <w:left w:w="57" w:type="dxa"/>
              <w:right w:w="57" w:type="dxa"/>
            </w:tcMar>
            <w:vAlign w:val="center"/>
          </w:tcPr>
          <w:p w:rsidR="001B3FBD" w:rsidRPr="006C3C46" w:rsidRDefault="001B3FBD" w:rsidP="002A10A0">
            <w:pPr>
              <w:jc w:val="center"/>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 </w:t>
            </w:r>
            <w:r w:rsidR="00433731">
              <w:rPr>
                <w:rFonts w:ascii="Arial" w:eastAsia="Times New Roman" w:hAnsi="Arial" w:cs="Arial"/>
                <w:color w:val="000000"/>
                <w:sz w:val="21"/>
                <w:szCs w:val="21"/>
                <w:lang w:eastAsia="ro-RO"/>
              </w:rPr>
              <w:t>0</w:t>
            </w:r>
          </w:p>
        </w:tc>
      </w:tr>
      <w:tr w:rsidR="001B3FBD" w:rsidRPr="00725839" w:rsidTr="001B3FBD">
        <w:trPr>
          <w:jc w:val="center"/>
        </w:trPr>
        <w:tc>
          <w:tcPr>
            <w:tcW w:w="2043"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i/>
                <w:sz w:val="21"/>
                <w:szCs w:val="21"/>
              </w:rPr>
            </w:pPr>
            <w:r w:rsidRPr="00725839">
              <w:rPr>
                <w:rFonts w:ascii="Arial" w:hAnsi="Arial" w:cs="Arial"/>
                <w:i/>
                <w:sz w:val="21"/>
                <w:szCs w:val="21"/>
              </w:rPr>
              <w:t>Livezi şi pepiniere pomicole</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2810</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3003</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Pr>
                <w:rFonts w:ascii="Arial" w:hAnsi="Arial" w:cs="Arial"/>
                <w:sz w:val="21"/>
                <w:szCs w:val="21"/>
              </w:rPr>
              <w:t>2987</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2852</w:t>
            </w:r>
          </w:p>
        </w:tc>
        <w:tc>
          <w:tcPr>
            <w:tcW w:w="99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2913</w:t>
            </w:r>
          </w:p>
        </w:tc>
        <w:tc>
          <w:tcPr>
            <w:tcW w:w="1285" w:type="dxa"/>
            <w:tcMar>
              <w:left w:w="57" w:type="dxa"/>
              <w:right w:w="57" w:type="dxa"/>
            </w:tcMar>
            <w:vAlign w:val="center"/>
          </w:tcPr>
          <w:p w:rsidR="001B3FBD" w:rsidRPr="006C3C46" w:rsidRDefault="001B3FBD" w:rsidP="001B3FBD">
            <w:pPr>
              <w:jc w:val="right"/>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103</w:t>
            </w:r>
          </w:p>
        </w:tc>
        <w:tc>
          <w:tcPr>
            <w:tcW w:w="1776" w:type="dxa"/>
            <w:tcMar>
              <w:left w:w="57" w:type="dxa"/>
              <w:right w:w="57" w:type="dxa"/>
            </w:tcMar>
            <w:vAlign w:val="center"/>
          </w:tcPr>
          <w:p w:rsidR="001B3FBD" w:rsidRPr="006C3C46" w:rsidRDefault="001B3FBD" w:rsidP="002A10A0">
            <w:pPr>
              <w:jc w:val="center"/>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3,67</w:t>
            </w:r>
          </w:p>
        </w:tc>
      </w:tr>
      <w:tr w:rsidR="001B3FBD" w:rsidRPr="00725839" w:rsidTr="001B3FBD">
        <w:trPr>
          <w:jc w:val="center"/>
        </w:trPr>
        <w:tc>
          <w:tcPr>
            <w:tcW w:w="2043" w:type="dxa"/>
            <w:tcMar>
              <w:left w:w="57" w:type="dxa"/>
              <w:right w:w="57" w:type="dxa"/>
            </w:tcMar>
            <w:vAlign w:val="center"/>
          </w:tcPr>
          <w:p w:rsidR="001B3FBD" w:rsidRPr="00725839" w:rsidRDefault="001B3FBD" w:rsidP="00C42452">
            <w:pPr>
              <w:widowControl w:val="0"/>
              <w:spacing w:before="20" w:afterLines="20"/>
              <w:jc w:val="center"/>
              <w:rPr>
                <w:rFonts w:ascii="Arial" w:hAnsi="Arial" w:cs="Arial"/>
                <w:b/>
                <w:sz w:val="21"/>
                <w:szCs w:val="21"/>
              </w:rPr>
            </w:pPr>
            <w:r w:rsidRPr="00725839">
              <w:rPr>
                <w:rFonts w:ascii="Arial" w:hAnsi="Arial" w:cs="Arial"/>
                <w:b/>
                <w:sz w:val="21"/>
                <w:szCs w:val="21"/>
              </w:rPr>
              <w:t>Terenuri neagricole total</w:t>
            </w:r>
            <w:r w:rsidRPr="00725839">
              <w:rPr>
                <w:rFonts w:ascii="Arial" w:hAnsi="Arial" w:cs="Arial"/>
                <w:sz w:val="21"/>
                <w:szCs w:val="21"/>
              </w:rPr>
              <w:t>, din care:</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507545</w:t>
            </w:r>
          </w:p>
        </w:tc>
        <w:tc>
          <w:tcPr>
            <w:tcW w:w="947" w:type="dxa"/>
            <w:tcMar>
              <w:left w:w="57" w:type="dxa"/>
              <w:right w:w="57" w:type="dxa"/>
            </w:tcMar>
            <w:vAlign w:val="center"/>
          </w:tcPr>
          <w:p w:rsidR="001B3FBD" w:rsidRPr="008C2FE3" w:rsidRDefault="001B3FBD" w:rsidP="00C42452">
            <w:pPr>
              <w:widowControl w:val="0"/>
              <w:spacing w:before="20" w:afterLines="20"/>
              <w:jc w:val="right"/>
              <w:rPr>
                <w:rFonts w:ascii="Arial" w:hAnsi="Arial" w:cs="Arial"/>
                <w:sz w:val="21"/>
                <w:szCs w:val="21"/>
              </w:rPr>
            </w:pPr>
            <w:r w:rsidRPr="008C2FE3">
              <w:rPr>
                <w:rFonts w:ascii="Arial" w:hAnsi="Arial" w:cs="Arial"/>
                <w:sz w:val="21"/>
                <w:szCs w:val="21"/>
              </w:rPr>
              <w:t>508588</w:t>
            </w:r>
          </w:p>
        </w:tc>
        <w:tc>
          <w:tcPr>
            <w:tcW w:w="947" w:type="dxa"/>
            <w:tcMar>
              <w:left w:w="57" w:type="dxa"/>
              <w:right w:w="57" w:type="dxa"/>
            </w:tcMar>
            <w:vAlign w:val="center"/>
          </w:tcPr>
          <w:p w:rsidR="001B3FBD" w:rsidRPr="008C2FE3" w:rsidRDefault="001B3FBD" w:rsidP="00C42452">
            <w:pPr>
              <w:widowControl w:val="0"/>
              <w:spacing w:before="20" w:afterLines="20"/>
              <w:jc w:val="right"/>
              <w:rPr>
                <w:rFonts w:ascii="Arial" w:hAnsi="Arial" w:cs="Arial"/>
                <w:sz w:val="21"/>
                <w:szCs w:val="21"/>
              </w:rPr>
            </w:pPr>
            <w:r w:rsidRPr="008C2FE3">
              <w:rPr>
                <w:rFonts w:ascii="Arial" w:hAnsi="Arial" w:cs="Arial"/>
                <w:sz w:val="21"/>
                <w:szCs w:val="21"/>
              </w:rPr>
              <w:t>507718</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500480</w:t>
            </w:r>
          </w:p>
        </w:tc>
        <w:tc>
          <w:tcPr>
            <w:tcW w:w="99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500481</w:t>
            </w:r>
          </w:p>
        </w:tc>
        <w:tc>
          <w:tcPr>
            <w:tcW w:w="1285" w:type="dxa"/>
            <w:tcMar>
              <w:left w:w="57" w:type="dxa"/>
              <w:right w:w="57" w:type="dxa"/>
            </w:tcMar>
            <w:vAlign w:val="center"/>
          </w:tcPr>
          <w:p w:rsidR="001B3FBD" w:rsidRPr="006C3C46" w:rsidRDefault="001B3FBD" w:rsidP="001B3FBD">
            <w:pPr>
              <w:jc w:val="right"/>
              <w:rPr>
                <w:rFonts w:ascii="Arial" w:eastAsia="Times New Roman" w:hAnsi="Arial" w:cs="Arial"/>
                <w:b/>
                <w:color w:val="000000"/>
                <w:sz w:val="21"/>
                <w:szCs w:val="21"/>
                <w:lang w:eastAsia="ro-RO"/>
              </w:rPr>
            </w:pPr>
            <w:r w:rsidRPr="006C3C46">
              <w:rPr>
                <w:rFonts w:ascii="Arial" w:eastAsia="Times New Roman" w:hAnsi="Arial" w:cs="Arial"/>
                <w:b/>
                <w:color w:val="000000"/>
                <w:sz w:val="21"/>
                <w:szCs w:val="21"/>
                <w:lang w:eastAsia="ro-RO"/>
              </w:rPr>
              <w:t>-7064</w:t>
            </w:r>
          </w:p>
        </w:tc>
        <w:tc>
          <w:tcPr>
            <w:tcW w:w="1776" w:type="dxa"/>
            <w:tcMar>
              <w:left w:w="57" w:type="dxa"/>
              <w:right w:w="57" w:type="dxa"/>
            </w:tcMar>
            <w:vAlign w:val="center"/>
          </w:tcPr>
          <w:p w:rsidR="001B3FBD" w:rsidRPr="006C3C46" w:rsidRDefault="001B3FBD" w:rsidP="002A10A0">
            <w:pPr>
              <w:jc w:val="center"/>
              <w:rPr>
                <w:rFonts w:ascii="Arial" w:eastAsia="Times New Roman" w:hAnsi="Arial" w:cs="Arial"/>
                <w:b/>
                <w:color w:val="000000"/>
                <w:sz w:val="21"/>
                <w:szCs w:val="21"/>
                <w:lang w:eastAsia="ro-RO"/>
              </w:rPr>
            </w:pPr>
            <w:r w:rsidRPr="006C3C46">
              <w:rPr>
                <w:rFonts w:ascii="Arial" w:eastAsia="Times New Roman" w:hAnsi="Arial" w:cs="Arial"/>
                <w:b/>
                <w:color w:val="000000"/>
                <w:sz w:val="21"/>
                <w:szCs w:val="21"/>
                <w:lang w:eastAsia="ro-RO"/>
              </w:rPr>
              <w:t>-1,39</w:t>
            </w:r>
          </w:p>
        </w:tc>
      </w:tr>
      <w:tr w:rsidR="001B3FBD" w:rsidRPr="00725839" w:rsidTr="001B3FBD">
        <w:trPr>
          <w:trHeight w:val="472"/>
          <w:jc w:val="center"/>
        </w:trPr>
        <w:tc>
          <w:tcPr>
            <w:tcW w:w="2043"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i/>
                <w:sz w:val="21"/>
                <w:szCs w:val="21"/>
              </w:rPr>
            </w:pPr>
            <w:r w:rsidRPr="00725839">
              <w:rPr>
                <w:rFonts w:ascii="Arial" w:hAnsi="Arial" w:cs="Arial"/>
                <w:i/>
                <w:sz w:val="21"/>
                <w:szCs w:val="21"/>
              </w:rPr>
              <w:t xml:space="preserve">Păduri şi altă vegetaţie forestieră </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453791</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454531</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453661</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446773</w:t>
            </w:r>
          </w:p>
        </w:tc>
        <w:tc>
          <w:tcPr>
            <w:tcW w:w="99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441965</w:t>
            </w:r>
          </w:p>
        </w:tc>
        <w:tc>
          <w:tcPr>
            <w:tcW w:w="1285" w:type="dxa"/>
            <w:tcMar>
              <w:left w:w="57" w:type="dxa"/>
              <w:right w:w="57" w:type="dxa"/>
            </w:tcMar>
            <w:vAlign w:val="center"/>
          </w:tcPr>
          <w:p w:rsidR="001B3FBD" w:rsidRPr="006C3C46" w:rsidRDefault="001B3FBD" w:rsidP="001B3FBD">
            <w:pPr>
              <w:jc w:val="right"/>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-11826</w:t>
            </w:r>
          </w:p>
        </w:tc>
        <w:tc>
          <w:tcPr>
            <w:tcW w:w="1776" w:type="dxa"/>
            <w:tcMar>
              <w:left w:w="57" w:type="dxa"/>
              <w:right w:w="57" w:type="dxa"/>
            </w:tcMar>
            <w:vAlign w:val="center"/>
          </w:tcPr>
          <w:p w:rsidR="001B3FBD" w:rsidRPr="006C3C46" w:rsidRDefault="001B3FBD" w:rsidP="002A10A0">
            <w:pPr>
              <w:jc w:val="center"/>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-2,61</w:t>
            </w:r>
          </w:p>
        </w:tc>
      </w:tr>
      <w:tr w:rsidR="001B3FBD" w:rsidRPr="00725839" w:rsidTr="001B3FBD">
        <w:trPr>
          <w:jc w:val="center"/>
        </w:trPr>
        <w:tc>
          <w:tcPr>
            <w:tcW w:w="2043"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i/>
                <w:sz w:val="21"/>
                <w:szCs w:val="21"/>
              </w:rPr>
            </w:pPr>
            <w:r w:rsidRPr="00725839">
              <w:rPr>
                <w:rFonts w:ascii="Arial" w:hAnsi="Arial" w:cs="Arial"/>
                <w:i/>
                <w:sz w:val="21"/>
                <w:szCs w:val="21"/>
              </w:rPr>
              <w:t>Ape şi bălţi</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12232</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12232</w:t>
            </w:r>
          </w:p>
        </w:tc>
        <w:tc>
          <w:tcPr>
            <w:tcW w:w="947" w:type="dxa"/>
            <w:tcMar>
              <w:left w:w="57" w:type="dxa"/>
              <w:right w:w="57" w:type="dxa"/>
            </w:tcMar>
            <w:vAlign w:val="center"/>
          </w:tcPr>
          <w:p w:rsidR="001B3FBD" w:rsidRPr="0075212F" w:rsidRDefault="001B3FBD" w:rsidP="00C42452">
            <w:pPr>
              <w:widowControl w:val="0"/>
              <w:spacing w:before="20" w:afterLines="20"/>
              <w:jc w:val="right"/>
              <w:rPr>
                <w:rFonts w:ascii="Arial" w:hAnsi="Arial" w:cs="Arial"/>
                <w:sz w:val="21"/>
                <w:szCs w:val="21"/>
              </w:rPr>
            </w:pPr>
            <w:r w:rsidRPr="0075212F">
              <w:rPr>
                <w:rFonts w:ascii="Arial" w:hAnsi="Arial" w:cs="Arial"/>
                <w:sz w:val="21"/>
                <w:szCs w:val="21"/>
              </w:rPr>
              <w:t>12232</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11390</w:t>
            </w:r>
          </w:p>
        </w:tc>
        <w:tc>
          <w:tcPr>
            <w:tcW w:w="997" w:type="dxa"/>
            <w:tcMar>
              <w:left w:w="57" w:type="dxa"/>
              <w:right w:w="57" w:type="dxa"/>
            </w:tcMar>
            <w:vAlign w:val="center"/>
          </w:tcPr>
          <w:p w:rsidR="001B3FBD" w:rsidRPr="00DC6F09" w:rsidRDefault="001B3FBD" w:rsidP="00C42452">
            <w:pPr>
              <w:widowControl w:val="0"/>
              <w:spacing w:before="20" w:afterLines="20"/>
              <w:jc w:val="right"/>
              <w:rPr>
                <w:rFonts w:ascii="Arial" w:hAnsi="Arial" w:cs="Arial"/>
                <w:sz w:val="21"/>
                <w:szCs w:val="21"/>
              </w:rPr>
            </w:pPr>
            <w:r w:rsidRPr="00DC6F09">
              <w:rPr>
                <w:rFonts w:ascii="Arial" w:hAnsi="Arial" w:cs="Arial"/>
                <w:sz w:val="21"/>
                <w:szCs w:val="21"/>
              </w:rPr>
              <w:t>12273</w:t>
            </w:r>
          </w:p>
        </w:tc>
        <w:tc>
          <w:tcPr>
            <w:tcW w:w="1285" w:type="dxa"/>
            <w:tcMar>
              <w:left w:w="57" w:type="dxa"/>
              <w:right w:w="57" w:type="dxa"/>
            </w:tcMar>
            <w:vAlign w:val="center"/>
          </w:tcPr>
          <w:p w:rsidR="001B3FBD" w:rsidRPr="006C3C46" w:rsidRDefault="001B3FBD" w:rsidP="001B3FBD">
            <w:pPr>
              <w:jc w:val="right"/>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41</w:t>
            </w:r>
          </w:p>
        </w:tc>
        <w:tc>
          <w:tcPr>
            <w:tcW w:w="1776" w:type="dxa"/>
            <w:tcMar>
              <w:left w:w="57" w:type="dxa"/>
              <w:right w:w="57" w:type="dxa"/>
            </w:tcMar>
            <w:vAlign w:val="center"/>
          </w:tcPr>
          <w:p w:rsidR="001B3FBD" w:rsidRPr="006C3C46" w:rsidRDefault="001B3FBD" w:rsidP="002A10A0">
            <w:pPr>
              <w:jc w:val="center"/>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0,34</w:t>
            </w:r>
          </w:p>
        </w:tc>
      </w:tr>
      <w:tr w:rsidR="001B3FBD" w:rsidRPr="00725839" w:rsidTr="001B3FBD">
        <w:trPr>
          <w:jc w:val="center"/>
        </w:trPr>
        <w:tc>
          <w:tcPr>
            <w:tcW w:w="2043"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i/>
                <w:sz w:val="21"/>
                <w:szCs w:val="21"/>
              </w:rPr>
            </w:pPr>
            <w:r w:rsidRPr="00725839">
              <w:rPr>
                <w:rFonts w:ascii="Arial" w:hAnsi="Arial" w:cs="Arial"/>
                <w:i/>
                <w:sz w:val="21"/>
                <w:szCs w:val="21"/>
              </w:rPr>
              <w:t>Construcţii</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19155</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19405</w:t>
            </w:r>
          </w:p>
        </w:tc>
        <w:tc>
          <w:tcPr>
            <w:tcW w:w="947" w:type="dxa"/>
            <w:tcMar>
              <w:left w:w="57" w:type="dxa"/>
              <w:right w:w="57" w:type="dxa"/>
            </w:tcMar>
            <w:vAlign w:val="center"/>
          </w:tcPr>
          <w:p w:rsidR="001B3FBD" w:rsidRPr="0075212F" w:rsidRDefault="001B3FBD" w:rsidP="00C42452">
            <w:pPr>
              <w:widowControl w:val="0"/>
              <w:spacing w:before="20" w:afterLines="20"/>
              <w:jc w:val="right"/>
              <w:rPr>
                <w:rFonts w:ascii="Arial" w:hAnsi="Arial" w:cs="Arial"/>
                <w:sz w:val="21"/>
                <w:szCs w:val="21"/>
              </w:rPr>
            </w:pPr>
            <w:r w:rsidRPr="0075212F">
              <w:rPr>
                <w:rFonts w:ascii="Arial" w:hAnsi="Arial" w:cs="Arial"/>
                <w:sz w:val="21"/>
                <w:szCs w:val="21"/>
              </w:rPr>
              <w:t>19405</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19858</w:t>
            </w:r>
          </w:p>
        </w:tc>
        <w:tc>
          <w:tcPr>
            <w:tcW w:w="997" w:type="dxa"/>
            <w:tcMar>
              <w:left w:w="57" w:type="dxa"/>
              <w:right w:w="57" w:type="dxa"/>
            </w:tcMar>
            <w:vAlign w:val="center"/>
          </w:tcPr>
          <w:p w:rsidR="001B3FBD" w:rsidRPr="00DC6F09" w:rsidRDefault="001B3FBD" w:rsidP="00C42452">
            <w:pPr>
              <w:widowControl w:val="0"/>
              <w:spacing w:before="20" w:afterLines="20"/>
              <w:jc w:val="right"/>
              <w:rPr>
                <w:rFonts w:ascii="Arial" w:hAnsi="Arial" w:cs="Arial"/>
                <w:sz w:val="21"/>
                <w:szCs w:val="21"/>
              </w:rPr>
            </w:pPr>
            <w:r w:rsidRPr="00DC6F09">
              <w:rPr>
                <w:rFonts w:ascii="Arial" w:hAnsi="Arial" w:cs="Arial"/>
                <w:sz w:val="21"/>
                <w:szCs w:val="21"/>
              </w:rPr>
              <w:t>20939</w:t>
            </w:r>
          </w:p>
        </w:tc>
        <w:tc>
          <w:tcPr>
            <w:tcW w:w="1285" w:type="dxa"/>
            <w:tcMar>
              <w:left w:w="57" w:type="dxa"/>
              <w:right w:w="57" w:type="dxa"/>
            </w:tcMar>
            <w:vAlign w:val="center"/>
          </w:tcPr>
          <w:p w:rsidR="001B3FBD" w:rsidRPr="006C3C46" w:rsidRDefault="001B3FBD" w:rsidP="001B3FBD">
            <w:pPr>
              <w:jc w:val="right"/>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1784</w:t>
            </w:r>
          </w:p>
        </w:tc>
        <w:tc>
          <w:tcPr>
            <w:tcW w:w="1776" w:type="dxa"/>
            <w:tcMar>
              <w:left w:w="57" w:type="dxa"/>
              <w:right w:w="57" w:type="dxa"/>
            </w:tcMar>
            <w:vAlign w:val="center"/>
          </w:tcPr>
          <w:p w:rsidR="001B3FBD" w:rsidRPr="006C3C46" w:rsidRDefault="001B3FBD" w:rsidP="002A10A0">
            <w:pPr>
              <w:jc w:val="center"/>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9,31</w:t>
            </w:r>
          </w:p>
        </w:tc>
      </w:tr>
      <w:tr w:rsidR="001B3FBD" w:rsidRPr="00725839" w:rsidTr="001B3FBD">
        <w:trPr>
          <w:jc w:val="center"/>
        </w:trPr>
        <w:tc>
          <w:tcPr>
            <w:tcW w:w="2043"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i/>
                <w:sz w:val="21"/>
                <w:szCs w:val="21"/>
              </w:rPr>
            </w:pPr>
            <w:r w:rsidRPr="00725839">
              <w:rPr>
                <w:rFonts w:ascii="Arial" w:hAnsi="Arial" w:cs="Arial"/>
                <w:i/>
                <w:sz w:val="21"/>
                <w:szCs w:val="21"/>
              </w:rPr>
              <w:t>Căi de comunicaţie şi căi ferate</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8313</w:t>
            </w:r>
          </w:p>
        </w:tc>
        <w:tc>
          <w:tcPr>
            <w:tcW w:w="947" w:type="dxa"/>
            <w:tcMar>
              <w:left w:w="57" w:type="dxa"/>
              <w:right w:w="57" w:type="dxa"/>
            </w:tcMar>
            <w:vAlign w:val="center"/>
          </w:tcPr>
          <w:p w:rsidR="001B3FBD" w:rsidRPr="0075212F" w:rsidRDefault="001B3FBD" w:rsidP="00C42452">
            <w:pPr>
              <w:widowControl w:val="0"/>
              <w:spacing w:before="20" w:afterLines="20"/>
              <w:jc w:val="right"/>
              <w:rPr>
                <w:rFonts w:ascii="Arial" w:hAnsi="Arial" w:cs="Arial"/>
                <w:sz w:val="21"/>
                <w:szCs w:val="21"/>
              </w:rPr>
            </w:pPr>
            <w:r w:rsidRPr="0075212F">
              <w:rPr>
                <w:rFonts w:ascii="Arial" w:hAnsi="Arial" w:cs="Arial"/>
                <w:sz w:val="21"/>
                <w:szCs w:val="21"/>
              </w:rPr>
              <w:t>8292</w:t>
            </w:r>
          </w:p>
        </w:tc>
        <w:tc>
          <w:tcPr>
            <w:tcW w:w="947" w:type="dxa"/>
            <w:tcMar>
              <w:left w:w="57" w:type="dxa"/>
              <w:right w:w="57" w:type="dxa"/>
            </w:tcMar>
            <w:vAlign w:val="center"/>
          </w:tcPr>
          <w:p w:rsidR="001B3FBD" w:rsidRPr="0075212F" w:rsidRDefault="001B3FBD" w:rsidP="00C42452">
            <w:pPr>
              <w:widowControl w:val="0"/>
              <w:spacing w:before="20" w:afterLines="20"/>
              <w:jc w:val="right"/>
              <w:rPr>
                <w:rFonts w:ascii="Arial" w:hAnsi="Arial" w:cs="Arial"/>
                <w:sz w:val="21"/>
                <w:szCs w:val="21"/>
              </w:rPr>
            </w:pPr>
            <w:r w:rsidRPr="0075212F">
              <w:rPr>
                <w:rFonts w:ascii="Arial" w:hAnsi="Arial" w:cs="Arial"/>
                <w:sz w:val="21"/>
                <w:szCs w:val="21"/>
              </w:rPr>
              <w:t>8293</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8956</w:t>
            </w:r>
          </w:p>
        </w:tc>
        <w:tc>
          <w:tcPr>
            <w:tcW w:w="997" w:type="dxa"/>
            <w:tcMar>
              <w:left w:w="57" w:type="dxa"/>
              <w:right w:w="57" w:type="dxa"/>
            </w:tcMar>
            <w:vAlign w:val="center"/>
          </w:tcPr>
          <w:p w:rsidR="001B3FBD" w:rsidRPr="00DC6F09" w:rsidRDefault="001B3FBD" w:rsidP="00C42452">
            <w:pPr>
              <w:widowControl w:val="0"/>
              <w:spacing w:before="20" w:afterLines="20"/>
              <w:jc w:val="right"/>
              <w:rPr>
                <w:rFonts w:ascii="Arial" w:hAnsi="Arial" w:cs="Arial"/>
                <w:sz w:val="21"/>
                <w:szCs w:val="21"/>
              </w:rPr>
            </w:pPr>
            <w:r w:rsidRPr="00DC6F09">
              <w:rPr>
                <w:rFonts w:ascii="Arial" w:hAnsi="Arial" w:cs="Arial"/>
                <w:sz w:val="21"/>
                <w:szCs w:val="21"/>
              </w:rPr>
              <w:t>8267</w:t>
            </w:r>
          </w:p>
        </w:tc>
        <w:tc>
          <w:tcPr>
            <w:tcW w:w="1285" w:type="dxa"/>
            <w:tcMar>
              <w:left w:w="57" w:type="dxa"/>
              <w:right w:w="57" w:type="dxa"/>
            </w:tcMar>
            <w:vAlign w:val="center"/>
          </w:tcPr>
          <w:p w:rsidR="001B3FBD" w:rsidRPr="006C3C46" w:rsidRDefault="001B3FBD" w:rsidP="001B3FBD">
            <w:pPr>
              <w:jc w:val="right"/>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-46</w:t>
            </w:r>
          </w:p>
        </w:tc>
        <w:tc>
          <w:tcPr>
            <w:tcW w:w="1776" w:type="dxa"/>
            <w:tcMar>
              <w:left w:w="57" w:type="dxa"/>
              <w:right w:w="57" w:type="dxa"/>
            </w:tcMar>
            <w:vAlign w:val="center"/>
          </w:tcPr>
          <w:p w:rsidR="001B3FBD" w:rsidRPr="006C3C46" w:rsidRDefault="001B3FBD" w:rsidP="002A10A0">
            <w:pPr>
              <w:jc w:val="center"/>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-0,55</w:t>
            </w:r>
          </w:p>
        </w:tc>
      </w:tr>
      <w:tr w:rsidR="001B3FBD" w:rsidRPr="00725839" w:rsidTr="001B3FBD">
        <w:trPr>
          <w:jc w:val="center"/>
        </w:trPr>
        <w:tc>
          <w:tcPr>
            <w:tcW w:w="2043"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i/>
                <w:sz w:val="21"/>
                <w:szCs w:val="21"/>
              </w:rPr>
            </w:pPr>
            <w:r w:rsidRPr="00725839">
              <w:rPr>
                <w:rFonts w:ascii="Arial" w:hAnsi="Arial" w:cs="Arial"/>
                <w:i/>
                <w:sz w:val="21"/>
                <w:szCs w:val="21"/>
              </w:rPr>
              <w:t>Terenuri degradate şi neproductive</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14054</w:t>
            </w:r>
          </w:p>
        </w:tc>
        <w:tc>
          <w:tcPr>
            <w:tcW w:w="947" w:type="dxa"/>
            <w:tcMar>
              <w:left w:w="57" w:type="dxa"/>
              <w:right w:w="57" w:type="dxa"/>
            </w:tcMar>
            <w:vAlign w:val="center"/>
          </w:tcPr>
          <w:p w:rsidR="001B3FBD" w:rsidRPr="0075212F" w:rsidRDefault="001B3FBD" w:rsidP="00C42452">
            <w:pPr>
              <w:widowControl w:val="0"/>
              <w:spacing w:before="20" w:afterLines="20"/>
              <w:jc w:val="right"/>
              <w:rPr>
                <w:rFonts w:ascii="Arial" w:hAnsi="Arial" w:cs="Arial"/>
                <w:sz w:val="21"/>
                <w:szCs w:val="21"/>
              </w:rPr>
            </w:pPr>
            <w:r w:rsidRPr="0075212F">
              <w:rPr>
                <w:rFonts w:ascii="Arial" w:hAnsi="Arial" w:cs="Arial"/>
                <w:sz w:val="21"/>
                <w:szCs w:val="21"/>
              </w:rPr>
              <w:t>14127</w:t>
            </w:r>
          </w:p>
        </w:tc>
        <w:tc>
          <w:tcPr>
            <w:tcW w:w="947" w:type="dxa"/>
            <w:tcMar>
              <w:left w:w="57" w:type="dxa"/>
              <w:right w:w="57" w:type="dxa"/>
            </w:tcMar>
            <w:vAlign w:val="center"/>
          </w:tcPr>
          <w:p w:rsidR="001B3FBD" w:rsidRPr="0075212F" w:rsidRDefault="001B3FBD" w:rsidP="00C42452">
            <w:pPr>
              <w:widowControl w:val="0"/>
              <w:spacing w:before="20" w:afterLines="20"/>
              <w:jc w:val="right"/>
              <w:rPr>
                <w:rFonts w:ascii="Arial" w:hAnsi="Arial" w:cs="Arial"/>
                <w:sz w:val="21"/>
                <w:szCs w:val="21"/>
              </w:rPr>
            </w:pPr>
            <w:r w:rsidRPr="0075212F">
              <w:rPr>
                <w:rFonts w:ascii="Arial" w:hAnsi="Arial" w:cs="Arial"/>
                <w:sz w:val="21"/>
                <w:szCs w:val="21"/>
              </w:rPr>
              <w:t>14127</w:t>
            </w:r>
          </w:p>
        </w:tc>
        <w:tc>
          <w:tcPr>
            <w:tcW w:w="94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13503</w:t>
            </w:r>
          </w:p>
        </w:tc>
        <w:tc>
          <w:tcPr>
            <w:tcW w:w="997" w:type="dxa"/>
            <w:tcMar>
              <w:left w:w="57" w:type="dxa"/>
              <w:right w:w="57" w:type="dxa"/>
            </w:tcMar>
            <w:vAlign w:val="center"/>
          </w:tcPr>
          <w:p w:rsidR="001B3FBD" w:rsidRPr="00725839" w:rsidRDefault="001B3FBD" w:rsidP="00C42452">
            <w:pPr>
              <w:widowControl w:val="0"/>
              <w:spacing w:before="20" w:afterLines="20"/>
              <w:jc w:val="right"/>
              <w:rPr>
                <w:rFonts w:ascii="Arial" w:hAnsi="Arial" w:cs="Arial"/>
                <w:sz w:val="21"/>
                <w:szCs w:val="21"/>
              </w:rPr>
            </w:pPr>
            <w:r w:rsidRPr="00725839">
              <w:rPr>
                <w:rFonts w:ascii="Arial" w:hAnsi="Arial" w:cs="Arial"/>
                <w:sz w:val="21"/>
                <w:szCs w:val="21"/>
              </w:rPr>
              <w:t>17037</w:t>
            </w:r>
          </w:p>
        </w:tc>
        <w:tc>
          <w:tcPr>
            <w:tcW w:w="1285" w:type="dxa"/>
            <w:tcMar>
              <w:left w:w="57" w:type="dxa"/>
              <w:right w:w="57" w:type="dxa"/>
            </w:tcMar>
            <w:vAlign w:val="center"/>
          </w:tcPr>
          <w:p w:rsidR="001B3FBD" w:rsidRPr="006C3C46" w:rsidRDefault="001B3FBD" w:rsidP="001B3FBD">
            <w:pPr>
              <w:jc w:val="right"/>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2983</w:t>
            </w:r>
          </w:p>
        </w:tc>
        <w:tc>
          <w:tcPr>
            <w:tcW w:w="1776" w:type="dxa"/>
            <w:tcMar>
              <w:left w:w="57" w:type="dxa"/>
              <w:right w:w="57" w:type="dxa"/>
            </w:tcMar>
            <w:vAlign w:val="center"/>
          </w:tcPr>
          <w:p w:rsidR="001B3FBD" w:rsidRPr="006C3C46" w:rsidRDefault="001B3FBD" w:rsidP="002A10A0">
            <w:pPr>
              <w:jc w:val="center"/>
              <w:rPr>
                <w:rFonts w:ascii="Arial" w:eastAsia="Times New Roman" w:hAnsi="Arial" w:cs="Arial"/>
                <w:color w:val="000000"/>
                <w:sz w:val="21"/>
                <w:szCs w:val="21"/>
                <w:lang w:eastAsia="ro-RO"/>
              </w:rPr>
            </w:pPr>
            <w:r w:rsidRPr="006C3C46">
              <w:rPr>
                <w:rFonts w:ascii="Arial" w:eastAsia="Times New Roman" w:hAnsi="Arial" w:cs="Arial"/>
                <w:color w:val="000000"/>
                <w:sz w:val="21"/>
                <w:szCs w:val="21"/>
                <w:lang w:eastAsia="ro-RO"/>
              </w:rPr>
              <w:t>21,23</w:t>
            </w:r>
          </w:p>
        </w:tc>
      </w:tr>
    </w:tbl>
    <w:p w:rsidR="003B28E1" w:rsidRDefault="003B28E1" w:rsidP="003B28E1">
      <w:pPr>
        <w:widowControl w:val="0"/>
        <w:spacing w:after="0" w:line="240" w:lineRule="auto"/>
        <w:ind w:firstLine="708"/>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5"/>
        <w:gridCol w:w="5020"/>
      </w:tblGrid>
      <w:tr w:rsidR="00433731" w:rsidTr="00433731">
        <w:tc>
          <w:tcPr>
            <w:tcW w:w="5031" w:type="dxa"/>
          </w:tcPr>
          <w:p w:rsidR="00433731" w:rsidRDefault="00433731" w:rsidP="00A63C62">
            <w:pPr>
              <w:widowControl w:val="0"/>
              <w:jc w:val="center"/>
              <w:rPr>
                <w:rFonts w:ascii="Arial" w:hAnsi="Arial" w:cs="Arial"/>
                <w:sz w:val="24"/>
                <w:szCs w:val="24"/>
              </w:rPr>
            </w:pPr>
            <w:r w:rsidRPr="00725839">
              <w:rPr>
                <w:rFonts w:ascii="Arial" w:hAnsi="Arial" w:cs="Arial"/>
                <w:bCs/>
              </w:rPr>
              <w:t>Fig. IV.1.2</w:t>
            </w:r>
            <w:r w:rsidRPr="00B2248B">
              <w:rPr>
                <w:rFonts w:ascii="Arial" w:hAnsi="Arial" w:cs="Arial"/>
                <w:bCs/>
              </w:rPr>
              <w:t>.</w:t>
            </w:r>
            <w:r>
              <w:rPr>
                <w:rFonts w:ascii="Arial" w:hAnsi="Arial" w:cs="Arial"/>
                <w:bCs/>
              </w:rPr>
              <w:t>1</w:t>
            </w:r>
            <w:r w:rsidRPr="00B2248B">
              <w:rPr>
                <w:rFonts w:ascii="Arial" w:hAnsi="Arial" w:cs="Arial"/>
                <w:bCs/>
              </w:rPr>
              <w:t>. Schimbări în acoperirea/utilizarea terenurilor, în perioada 2012-2016 (%)</w:t>
            </w:r>
          </w:p>
        </w:tc>
        <w:tc>
          <w:tcPr>
            <w:tcW w:w="4964" w:type="dxa"/>
          </w:tcPr>
          <w:p w:rsidR="00433731" w:rsidRDefault="00433731" w:rsidP="00433731">
            <w:pPr>
              <w:widowControl w:val="0"/>
              <w:jc w:val="center"/>
              <w:rPr>
                <w:rFonts w:ascii="Arial" w:hAnsi="Arial" w:cs="Arial"/>
                <w:bCs/>
              </w:rPr>
            </w:pPr>
            <w:r>
              <w:rPr>
                <w:rFonts w:ascii="Arial" w:hAnsi="Arial" w:cs="Arial"/>
                <w:bCs/>
              </w:rPr>
              <w:t>F</w:t>
            </w:r>
            <w:r w:rsidRPr="00297130">
              <w:rPr>
                <w:rFonts w:ascii="Arial" w:hAnsi="Arial" w:cs="Arial"/>
                <w:bCs/>
              </w:rPr>
              <w:t>ig. IV.1.2.</w:t>
            </w:r>
            <w:r w:rsidR="000848F0">
              <w:rPr>
                <w:rFonts w:ascii="Arial" w:hAnsi="Arial" w:cs="Arial"/>
                <w:bCs/>
              </w:rPr>
              <w:t>2</w:t>
            </w:r>
            <w:r w:rsidRPr="00297130">
              <w:rPr>
                <w:rFonts w:ascii="Arial" w:hAnsi="Arial" w:cs="Arial"/>
                <w:bCs/>
              </w:rPr>
              <w:t>. Schimbări în acoperirea/utilizarea terenurilor agricole, în perioada 201</w:t>
            </w:r>
            <w:r>
              <w:rPr>
                <w:rFonts w:ascii="Arial" w:hAnsi="Arial" w:cs="Arial"/>
                <w:bCs/>
              </w:rPr>
              <w:t>2</w:t>
            </w:r>
            <w:r w:rsidRPr="00297130">
              <w:rPr>
                <w:rFonts w:ascii="Arial" w:hAnsi="Arial" w:cs="Arial"/>
                <w:bCs/>
              </w:rPr>
              <w:t>-201</w:t>
            </w:r>
            <w:r>
              <w:rPr>
                <w:rFonts w:ascii="Arial" w:hAnsi="Arial" w:cs="Arial"/>
                <w:bCs/>
              </w:rPr>
              <w:t xml:space="preserve">6 </w:t>
            </w:r>
            <w:r w:rsidRPr="00B2248B">
              <w:rPr>
                <w:rFonts w:ascii="Arial" w:hAnsi="Arial" w:cs="Arial"/>
                <w:bCs/>
              </w:rPr>
              <w:t>(%)</w:t>
            </w:r>
          </w:p>
          <w:p w:rsidR="00433731" w:rsidRPr="00433731" w:rsidRDefault="00433731" w:rsidP="00433731">
            <w:pPr>
              <w:widowControl w:val="0"/>
              <w:jc w:val="center"/>
              <w:rPr>
                <w:rFonts w:ascii="Arial" w:hAnsi="Arial" w:cs="Arial"/>
                <w:bCs/>
                <w:sz w:val="10"/>
                <w:szCs w:val="10"/>
              </w:rPr>
            </w:pPr>
          </w:p>
        </w:tc>
      </w:tr>
      <w:tr w:rsidR="00433731" w:rsidTr="00433731">
        <w:tc>
          <w:tcPr>
            <w:tcW w:w="9995" w:type="dxa"/>
            <w:gridSpan w:val="2"/>
          </w:tcPr>
          <w:p w:rsidR="00433731" w:rsidRPr="00433731" w:rsidRDefault="00433731" w:rsidP="00433731">
            <w:pPr>
              <w:widowControl w:val="0"/>
              <w:jc w:val="center"/>
              <w:rPr>
                <w:rFonts w:ascii="Arial" w:hAnsi="Arial" w:cs="Arial"/>
                <w:i/>
              </w:rPr>
            </w:pPr>
            <w:r>
              <w:rPr>
                <w:rFonts w:ascii="Arial" w:hAnsi="Arial" w:cs="Arial"/>
                <w:i/>
              </w:rPr>
              <w:t>(</w:t>
            </w:r>
            <w:r w:rsidRPr="00D2419B">
              <w:rPr>
                <w:rFonts w:ascii="Arial" w:hAnsi="Arial" w:cs="Arial"/>
                <w:i/>
              </w:rPr>
              <w:t>sursa: Direcţia Judeţeană de Statistică Suceava, 2017</w:t>
            </w:r>
            <w:r>
              <w:rPr>
                <w:rFonts w:ascii="Arial" w:hAnsi="Arial" w:cs="Arial"/>
                <w:i/>
              </w:rPr>
              <w:t>)</w:t>
            </w:r>
          </w:p>
        </w:tc>
      </w:tr>
      <w:tr w:rsidR="00433731" w:rsidTr="00433731">
        <w:tc>
          <w:tcPr>
            <w:tcW w:w="5031" w:type="dxa"/>
          </w:tcPr>
          <w:p w:rsidR="00433731" w:rsidRDefault="00433731" w:rsidP="003B28E1">
            <w:pPr>
              <w:widowControl w:val="0"/>
              <w:jc w:val="both"/>
              <w:rPr>
                <w:rFonts w:ascii="Arial" w:hAnsi="Arial" w:cs="Arial"/>
                <w:sz w:val="24"/>
                <w:szCs w:val="24"/>
              </w:rPr>
            </w:pPr>
            <w:r w:rsidRPr="00A53DD2">
              <w:rPr>
                <w:rFonts w:ascii="Arial" w:hAnsi="Arial" w:cs="Arial"/>
                <w:noProof/>
                <w:color w:val="984806" w:themeColor="accent6" w:themeShade="80"/>
                <w:sz w:val="24"/>
                <w:szCs w:val="24"/>
                <w:lang w:eastAsia="ro-RO"/>
              </w:rPr>
              <w:drawing>
                <wp:inline distT="0" distB="0" distL="0" distR="0">
                  <wp:extent cx="3057525" cy="2085975"/>
                  <wp:effectExtent l="19050" t="0" r="0" b="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64" w:type="dxa"/>
          </w:tcPr>
          <w:p w:rsidR="00433731" w:rsidRDefault="00433731" w:rsidP="00433731">
            <w:pPr>
              <w:widowControl w:val="0"/>
              <w:spacing w:line="360" w:lineRule="auto"/>
              <w:jc w:val="both"/>
              <w:rPr>
                <w:rFonts w:ascii="Arial" w:hAnsi="Arial" w:cs="Arial"/>
                <w:sz w:val="24"/>
                <w:szCs w:val="24"/>
              </w:rPr>
            </w:pPr>
            <w:r w:rsidRPr="00297130">
              <w:rPr>
                <w:rFonts w:ascii="Arial" w:hAnsi="Arial" w:cs="Arial"/>
                <w:noProof/>
                <w:sz w:val="24"/>
                <w:szCs w:val="24"/>
                <w:lang w:eastAsia="ro-RO"/>
              </w:rPr>
              <w:drawing>
                <wp:inline distT="0" distB="0" distL="0" distR="0">
                  <wp:extent cx="3105150" cy="2085975"/>
                  <wp:effectExtent l="0" t="0" r="0"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433731" w:rsidRDefault="00433731" w:rsidP="003B28E1">
      <w:pPr>
        <w:widowControl w:val="0"/>
        <w:spacing w:after="0" w:line="240" w:lineRule="auto"/>
        <w:ind w:firstLine="708"/>
        <w:jc w:val="both"/>
        <w:rPr>
          <w:rFonts w:ascii="Arial" w:hAnsi="Arial" w:cs="Arial"/>
          <w:sz w:val="24"/>
          <w:szCs w:val="24"/>
        </w:rPr>
      </w:pPr>
    </w:p>
    <w:p w:rsidR="003B28E1" w:rsidRPr="00C671AF" w:rsidRDefault="003B28E1" w:rsidP="003B28E1">
      <w:pPr>
        <w:widowControl w:val="0"/>
        <w:spacing w:after="0" w:line="240" w:lineRule="auto"/>
        <w:jc w:val="both"/>
        <w:rPr>
          <w:rFonts w:ascii="Arial" w:hAnsi="Arial" w:cs="Arial"/>
          <w:b/>
          <w:sz w:val="24"/>
          <w:szCs w:val="24"/>
        </w:rPr>
      </w:pPr>
      <w:r w:rsidRPr="00C671AF">
        <w:rPr>
          <w:rFonts w:ascii="Arial" w:hAnsi="Arial" w:cs="Arial"/>
          <w:b/>
          <w:sz w:val="24"/>
          <w:szCs w:val="24"/>
        </w:rPr>
        <w:lastRenderedPageBreak/>
        <w:t>IV.2. Impactul schimbării utilizării terenurilor asupra mediului</w:t>
      </w:r>
    </w:p>
    <w:p w:rsidR="003B28E1" w:rsidRPr="00C671AF" w:rsidRDefault="003B28E1" w:rsidP="003B28E1">
      <w:pPr>
        <w:widowControl w:val="0"/>
        <w:spacing w:after="0" w:line="240" w:lineRule="auto"/>
        <w:jc w:val="both"/>
        <w:rPr>
          <w:rFonts w:ascii="Arial" w:hAnsi="Arial" w:cs="Arial"/>
          <w:i/>
          <w:sz w:val="24"/>
          <w:szCs w:val="24"/>
        </w:rPr>
      </w:pPr>
    </w:p>
    <w:p w:rsidR="003B28E1" w:rsidRPr="00C671AF" w:rsidRDefault="003B28E1" w:rsidP="003B28E1">
      <w:pPr>
        <w:widowControl w:val="0"/>
        <w:spacing w:after="0" w:line="240" w:lineRule="auto"/>
        <w:jc w:val="both"/>
        <w:rPr>
          <w:rFonts w:ascii="Arial" w:hAnsi="Arial" w:cs="Arial"/>
          <w:b/>
          <w:i/>
          <w:sz w:val="24"/>
          <w:szCs w:val="24"/>
        </w:rPr>
      </w:pPr>
      <w:r w:rsidRPr="00C671AF">
        <w:rPr>
          <w:rFonts w:ascii="Arial" w:hAnsi="Arial" w:cs="Arial"/>
          <w:b/>
          <w:i/>
          <w:sz w:val="24"/>
          <w:szCs w:val="24"/>
        </w:rPr>
        <w:t>IV.2.1. Impactul schimbării utilizării terenurilor asupra terenurilor agricole</w:t>
      </w:r>
    </w:p>
    <w:p w:rsidR="003B28E1" w:rsidRPr="00A53DD2" w:rsidRDefault="003B28E1" w:rsidP="003B28E1">
      <w:pPr>
        <w:widowControl w:val="0"/>
        <w:spacing w:after="0" w:line="240" w:lineRule="auto"/>
        <w:jc w:val="both"/>
        <w:rPr>
          <w:rFonts w:ascii="Arial" w:hAnsi="Arial" w:cs="Arial"/>
          <w:color w:val="984806" w:themeColor="accent6" w:themeShade="80"/>
          <w:sz w:val="20"/>
          <w:szCs w:val="20"/>
        </w:rPr>
      </w:pPr>
    </w:p>
    <w:p w:rsidR="003B28E1" w:rsidRPr="00FB5AFE" w:rsidRDefault="003B28E1" w:rsidP="003B28E1">
      <w:pPr>
        <w:widowControl w:val="0"/>
        <w:spacing w:after="0" w:line="240" w:lineRule="auto"/>
        <w:jc w:val="both"/>
        <w:rPr>
          <w:rFonts w:ascii="Arial" w:hAnsi="Arial" w:cs="Arial"/>
          <w:sz w:val="24"/>
          <w:szCs w:val="24"/>
        </w:rPr>
      </w:pPr>
      <w:r w:rsidRPr="00FB5AFE">
        <w:rPr>
          <w:rFonts w:ascii="Arial" w:hAnsi="Arial" w:cs="Arial"/>
          <w:sz w:val="24"/>
          <w:szCs w:val="24"/>
        </w:rPr>
        <w:tab/>
        <w:t>Aşa cum se constată din tabelul IV.1.2.1. şi fig. IV.1.2.</w:t>
      </w:r>
      <w:r w:rsidR="000848F0">
        <w:rPr>
          <w:rFonts w:ascii="Arial" w:hAnsi="Arial" w:cs="Arial"/>
          <w:sz w:val="24"/>
          <w:szCs w:val="24"/>
        </w:rPr>
        <w:t>1</w:t>
      </w:r>
      <w:r w:rsidR="00433731">
        <w:rPr>
          <w:rFonts w:ascii="Arial" w:hAnsi="Arial" w:cs="Arial"/>
          <w:sz w:val="24"/>
          <w:szCs w:val="24"/>
        </w:rPr>
        <w:t>,</w:t>
      </w:r>
      <w:r w:rsidR="00433731" w:rsidRPr="00433731">
        <w:rPr>
          <w:rFonts w:ascii="Arial" w:hAnsi="Arial" w:cs="Arial"/>
          <w:sz w:val="24"/>
          <w:szCs w:val="24"/>
        </w:rPr>
        <w:t xml:space="preserve"> </w:t>
      </w:r>
      <w:r w:rsidR="00433731">
        <w:rPr>
          <w:rFonts w:ascii="Arial" w:hAnsi="Arial" w:cs="Arial"/>
          <w:sz w:val="24"/>
          <w:szCs w:val="24"/>
        </w:rPr>
        <w:t>î</w:t>
      </w:r>
      <w:r w:rsidR="00433731" w:rsidRPr="00FB5AFE">
        <w:rPr>
          <w:rFonts w:ascii="Arial" w:hAnsi="Arial" w:cs="Arial"/>
          <w:sz w:val="24"/>
          <w:szCs w:val="24"/>
        </w:rPr>
        <w:t xml:space="preserve">n </w:t>
      </w:r>
      <w:r w:rsidR="00433731" w:rsidRPr="003C24B4">
        <w:rPr>
          <w:rFonts w:ascii="Arial" w:hAnsi="Arial" w:cs="Arial"/>
          <w:sz w:val="24"/>
          <w:szCs w:val="24"/>
        </w:rPr>
        <w:t>perioada 2012-2016</w:t>
      </w:r>
      <w:r w:rsidRPr="003C24B4">
        <w:rPr>
          <w:rFonts w:ascii="Arial" w:hAnsi="Arial" w:cs="Arial"/>
          <w:sz w:val="24"/>
          <w:szCs w:val="24"/>
        </w:rPr>
        <w:t>,</w:t>
      </w:r>
      <w:r w:rsidRPr="00FB5AFE">
        <w:rPr>
          <w:rFonts w:ascii="Arial" w:hAnsi="Arial" w:cs="Arial"/>
          <w:sz w:val="24"/>
          <w:szCs w:val="24"/>
        </w:rPr>
        <w:t xml:space="preserve"> </w:t>
      </w:r>
      <w:r w:rsidR="003C24B4">
        <w:rPr>
          <w:rFonts w:ascii="Arial" w:hAnsi="Arial" w:cs="Arial"/>
          <w:sz w:val="24"/>
          <w:szCs w:val="24"/>
        </w:rPr>
        <w:t>a crescut cu cca. 2% suprafața ocupată de terenuri</w:t>
      </w:r>
      <w:r w:rsidRPr="00FB5AFE">
        <w:rPr>
          <w:rFonts w:ascii="Arial" w:hAnsi="Arial" w:cs="Arial"/>
          <w:sz w:val="24"/>
          <w:szCs w:val="24"/>
        </w:rPr>
        <w:t xml:space="preserve"> agricole</w:t>
      </w:r>
      <w:r w:rsidR="003C24B4">
        <w:rPr>
          <w:rFonts w:ascii="Arial" w:hAnsi="Arial" w:cs="Arial"/>
          <w:sz w:val="24"/>
          <w:szCs w:val="24"/>
        </w:rPr>
        <w:t>.</w:t>
      </w:r>
    </w:p>
    <w:p w:rsidR="003B28E1" w:rsidRPr="00C671AF" w:rsidRDefault="003B28E1" w:rsidP="003B28E1">
      <w:pPr>
        <w:widowControl w:val="0"/>
        <w:spacing w:after="0" w:line="240" w:lineRule="auto"/>
        <w:jc w:val="both"/>
        <w:rPr>
          <w:rFonts w:ascii="Arial" w:hAnsi="Arial" w:cs="Arial"/>
          <w:sz w:val="24"/>
          <w:szCs w:val="24"/>
        </w:rPr>
      </w:pPr>
    </w:p>
    <w:p w:rsidR="003B28E1" w:rsidRPr="00C671AF" w:rsidRDefault="003B28E1" w:rsidP="003B28E1">
      <w:pPr>
        <w:widowControl w:val="0"/>
        <w:spacing w:after="0" w:line="240" w:lineRule="auto"/>
        <w:jc w:val="both"/>
        <w:rPr>
          <w:rFonts w:ascii="Arial" w:hAnsi="Arial" w:cs="Arial"/>
          <w:b/>
          <w:i/>
          <w:sz w:val="24"/>
          <w:szCs w:val="24"/>
        </w:rPr>
      </w:pPr>
      <w:r w:rsidRPr="00C671AF">
        <w:rPr>
          <w:rFonts w:ascii="Arial" w:hAnsi="Arial" w:cs="Arial"/>
          <w:b/>
          <w:i/>
          <w:sz w:val="24"/>
          <w:szCs w:val="24"/>
        </w:rPr>
        <w:t>IV.2.2. Impactul schimbării utilizării terenurilor asupra habitatelor</w:t>
      </w:r>
    </w:p>
    <w:p w:rsidR="003B28E1" w:rsidRPr="00A53DD2" w:rsidRDefault="003B28E1" w:rsidP="003B28E1">
      <w:pPr>
        <w:widowControl w:val="0"/>
        <w:spacing w:after="0" w:line="240" w:lineRule="auto"/>
        <w:jc w:val="both"/>
        <w:rPr>
          <w:rFonts w:ascii="Arial" w:hAnsi="Arial" w:cs="Arial"/>
          <w:i/>
          <w:color w:val="984806" w:themeColor="accent6" w:themeShade="80"/>
          <w:sz w:val="20"/>
          <w:szCs w:val="20"/>
        </w:rPr>
      </w:pPr>
    </w:p>
    <w:tbl>
      <w:tblPr>
        <w:tblStyle w:val="TableGrid"/>
        <w:tblW w:w="0" w:type="auto"/>
        <w:shd w:val="clear" w:color="auto" w:fill="B6DDE8" w:themeFill="accent5" w:themeFillTint="66"/>
        <w:tblLook w:val="04A0"/>
      </w:tblPr>
      <w:tblGrid>
        <w:gridCol w:w="9995"/>
      </w:tblGrid>
      <w:tr w:rsidR="00A63C62" w:rsidRPr="00A63C62" w:rsidTr="00A63C62">
        <w:tc>
          <w:tcPr>
            <w:tcW w:w="9995" w:type="dxa"/>
            <w:shd w:val="clear" w:color="auto" w:fill="B6DDE8" w:themeFill="accent5" w:themeFillTint="66"/>
          </w:tcPr>
          <w:p w:rsidR="00A63C62" w:rsidRPr="00A63C62" w:rsidRDefault="00A63C62" w:rsidP="00A63C62">
            <w:pPr>
              <w:autoSpaceDE w:val="0"/>
              <w:autoSpaceDN w:val="0"/>
              <w:adjustRightInd w:val="0"/>
              <w:rPr>
                <w:rFonts w:ascii="Arial" w:hAnsi="Arial" w:cs="Arial"/>
              </w:rPr>
            </w:pPr>
            <w:r w:rsidRPr="00A63C62">
              <w:rPr>
                <w:rFonts w:ascii="Arial" w:hAnsi="Arial" w:cs="Arial"/>
                <w:b/>
                <w:bCs/>
              </w:rPr>
              <w:t>Cod indicator România</w:t>
            </w:r>
            <w:r w:rsidRPr="00A63C62">
              <w:rPr>
                <w:rFonts w:ascii="Arial" w:hAnsi="Arial" w:cs="Arial"/>
              </w:rPr>
              <w:t>: RO 44</w:t>
            </w:r>
          </w:p>
          <w:p w:rsidR="00A63C62" w:rsidRPr="00A63C62" w:rsidRDefault="00A63C62" w:rsidP="00A63C62">
            <w:pPr>
              <w:autoSpaceDE w:val="0"/>
              <w:autoSpaceDN w:val="0"/>
              <w:adjustRightInd w:val="0"/>
              <w:rPr>
                <w:rFonts w:ascii="Arial" w:hAnsi="Arial" w:cs="Arial"/>
              </w:rPr>
            </w:pPr>
            <w:r w:rsidRPr="00A63C62">
              <w:rPr>
                <w:rFonts w:ascii="Arial" w:hAnsi="Arial" w:cs="Arial"/>
                <w:b/>
                <w:bCs/>
              </w:rPr>
              <w:t xml:space="preserve">Cod indicator AEM: </w:t>
            </w:r>
            <w:r w:rsidRPr="00A63C62">
              <w:rPr>
                <w:rFonts w:ascii="Arial" w:hAnsi="Arial" w:cs="Arial"/>
              </w:rPr>
              <w:t>SEBI 13</w:t>
            </w:r>
          </w:p>
          <w:p w:rsidR="00A63C62" w:rsidRPr="00A63C62" w:rsidRDefault="00A63C62" w:rsidP="00A63C62">
            <w:pPr>
              <w:autoSpaceDE w:val="0"/>
              <w:autoSpaceDN w:val="0"/>
              <w:adjustRightInd w:val="0"/>
              <w:rPr>
                <w:rFonts w:ascii="Arial" w:hAnsi="Arial" w:cs="Arial"/>
              </w:rPr>
            </w:pPr>
            <w:r w:rsidRPr="00A63C62">
              <w:rPr>
                <w:rFonts w:ascii="Arial" w:hAnsi="Arial" w:cs="Arial"/>
                <w:b/>
                <w:bCs/>
              </w:rPr>
              <w:t xml:space="preserve">DENUMIRE: </w:t>
            </w:r>
            <w:r w:rsidRPr="00A63C62">
              <w:rPr>
                <w:rFonts w:ascii="Arial" w:hAnsi="Arial" w:cs="Arial"/>
              </w:rPr>
              <w:t>FRAGMENTAREA AREALELOR NATURALE ŞI SEMI-NATURALE</w:t>
            </w:r>
          </w:p>
          <w:p w:rsidR="00A63C62" w:rsidRPr="00A63C62" w:rsidRDefault="00A63C62" w:rsidP="00A63C62">
            <w:pPr>
              <w:autoSpaceDE w:val="0"/>
              <w:autoSpaceDN w:val="0"/>
              <w:adjustRightInd w:val="0"/>
              <w:jc w:val="both"/>
              <w:rPr>
                <w:rFonts w:ascii="Arial" w:hAnsi="Arial" w:cs="Arial"/>
              </w:rPr>
            </w:pPr>
            <w:r w:rsidRPr="00A63C62">
              <w:rPr>
                <w:rFonts w:ascii="Arial" w:hAnsi="Arial" w:cs="Arial"/>
                <w:b/>
                <w:bCs/>
              </w:rPr>
              <w:t xml:space="preserve">DEFINIȚIE: </w:t>
            </w:r>
            <w:r w:rsidRPr="00A63C62">
              <w:rPr>
                <w:rFonts w:ascii="Arial" w:hAnsi="Arial" w:cs="Arial"/>
              </w:rPr>
              <w:t>Indicatorul arată diferențe în media suprafețelor naturale și semi-naturale, bazându-se pe</w:t>
            </w:r>
            <w:r>
              <w:rPr>
                <w:rFonts w:ascii="Arial" w:hAnsi="Arial" w:cs="Arial"/>
              </w:rPr>
              <w:t xml:space="preserve"> </w:t>
            </w:r>
            <w:r w:rsidRPr="00A63C62">
              <w:rPr>
                <w:rFonts w:ascii="Arial" w:hAnsi="Arial" w:cs="Arial"/>
              </w:rPr>
              <w:t>hărți de acoperire a terenului realizate prin interpretarea imaginilor satelitare.</w:t>
            </w:r>
            <w:r>
              <w:rPr>
                <w:rFonts w:ascii="Arial" w:hAnsi="Arial" w:cs="Arial"/>
              </w:rPr>
              <w:t xml:space="preserve"> </w:t>
            </w:r>
            <w:r w:rsidRPr="00A63C62">
              <w:rPr>
                <w:rFonts w:ascii="Arial" w:hAnsi="Arial" w:cs="Arial"/>
              </w:rPr>
              <w:t>Indicatorul este destinat să abordeze problema integrității ecosistemelor prin furnizarea unei “măsuri”</w:t>
            </w:r>
            <w:r>
              <w:rPr>
                <w:rFonts w:ascii="Arial" w:hAnsi="Arial" w:cs="Arial"/>
              </w:rPr>
              <w:t xml:space="preserve"> </w:t>
            </w:r>
            <w:r w:rsidRPr="00A63C62">
              <w:rPr>
                <w:rFonts w:ascii="Arial" w:hAnsi="Arial" w:cs="Arial"/>
              </w:rPr>
              <w:t xml:space="preserve">de </w:t>
            </w:r>
            <w:r>
              <w:rPr>
                <w:rFonts w:ascii="Arial" w:hAnsi="Arial" w:cs="Arial"/>
              </w:rPr>
              <w:t>d</w:t>
            </w:r>
            <w:r w:rsidRPr="00A63C62">
              <w:rPr>
                <w:rFonts w:ascii="Arial" w:hAnsi="Arial" w:cs="Arial"/>
              </w:rPr>
              <w:t>ezintegrare a terenurilor de pe întreaga suprafață a României.</w:t>
            </w:r>
          </w:p>
        </w:tc>
      </w:tr>
    </w:tbl>
    <w:p w:rsidR="00A63C62" w:rsidRPr="00A63C62" w:rsidRDefault="00A63C62" w:rsidP="003B28E1">
      <w:pPr>
        <w:pStyle w:val="Default"/>
        <w:widowControl w:val="0"/>
        <w:ind w:firstLine="708"/>
        <w:jc w:val="both"/>
        <w:rPr>
          <w:color w:val="auto"/>
          <w:sz w:val="10"/>
          <w:szCs w:val="10"/>
        </w:rPr>
      </w:pPr>
    </w:p>
    <w:p w:rsidR="003B28E1" w:rsidRPr="00B644A7" w:rsidRDefault="003B28E1" w:rsidP="003B28E1">
      <w:pPr>
        <w:pStyle w:val="Default"/>
        <w:widowControl w:val="0"/>
        <w:ind w:firstLine="708"/>
        <w:jc w:val="both"/>
        <w:rPr>
          <w:color w:val="auto"/>
        </w:rPr>
      </w:pPr>
      <w:r w:rsidRPr="00B644A7">
        <w:rPr>
          <w:color w:val="auto"/>
        </w:rPr>
        <w:t xml:space="preserve">Modul de utilizare a terenurilor s-a schimbat substanțial în ultimul secol. Schimbările au afectat suprafețele arealelor naturale și semi-naturale, crescând în acest mod gradul de fragmentare a arealelor naturale și semi-naturale. </w:t>
      </w:r>
    </w:p>
    <w:p w:rsidR="003B28E1" w:rsidRPr="00B644A7" w:rsidRDefault="003B28E1" w:rsidP="003B28E1">
      <w:pPr>
        <w:pStyle w:val="Default"/>
        <w:widowControl w:val="0"/>
        <w:ind w:firstLine="708"/>
        <w:jc w:val="both"/>
        <w:rPr>
          <w:color w:val="auto"/>
        </w:rPr>
      </w:pPr>
      <w:r w:rsidRPr="00B644A7">
        <w:rPr>
          <w:color w:val="auto"/>
        </w:rPr>
        <w:t>Fragmentarea arealelor naturale şi semi-naturale este un indicator de mediu care oferă informații cu privire la evoluția suprafețelor arealelor naturale și semi-naturale la nivel paneuropean, calculând valorile derivate din hărțile de acoperire a terenurilor. Acestea provin din imagini satelitare cu proprietăți spectrale. Este folosită baza de date Corine Land Cover, care se bazează pe 44 de clase de acoperire a terenului, din care 26 sunt considerate ca naturale și semi-naturale pentru scopul acestui indicator. Acestea sunt grupate în păduri, pășuni, mozaicuri agricole, suprafețe semi-naturale, ape interioare și zone umede.</w:t>
      </w:r>
    </w:p>
    <w:p w:rsidR="003B28E1" w:rsidRPr="00B644A7" w:rsidRDefault="003B28E1" w:rsidP="003B28E1">
      <w:pPr>
        <w:pStyle w:val="Default"/>
        <w:widowControl w:val="0"/>
        <w:ind w:firstLine="708"/>
        <w:jc w:val="both"/>
        <w:rPr>
          <w:color w:val="auto"/>
        </w:rPr>
      </w:pPr>
      <w:r w:rsidRPr="00B644A7">
        <w:rPr>
          <w:color w:val="auto"/>
        </w:rPr>
        <w:t xml:space="preserve">Sub aspectul biodiversității, indicatorul este relevant deoarece indică schimbările în suprafațele arealelor naturale și semi-naturale pentru orice tip de ecosistem. Dacă suprafața arealului scade într-un mod semnificativ, aceasta va avea o influență negativă asupra tipurilor de habitate și a speciilor dependente de aceste tipuri de habitate. </w:t>
      </w:r>
    </w:p>
    <w:p w:rsidR="003B28E1" w:rsidRPr="00B644A7" w:rsidRDefault="003B28E1" w:rsidP="003B28E1">
      <w:pPr>
        <w:pStyle w:val="Default"/>
        <w:widowControl w:val="0"/>
        <w:ind w:firstLine="708"/>
        <w:jc w:val="both"/>
        <w:rPr>
          <w:color w:val="auto"/>
        </w:rPr>
      </w:pPr>
      <w:r w:rsidRPr="00B644A7">
        <w:rPr>
          <w:color w:val="auto"/>
        </w:rPr>
        <w:t xml:space="preserve">Pe lângă fenomenul de distrugere integrală a habitatelor, apare şi cel de pulverizare prin drumuri, terenuri agricole, medii urbane ori construcţii. Fragmentarea habitatelor este procesul prin care o suprafaţă mare şi continuă a unui habitat este divizată în două sau mai multe fragmente. </w:t>
      </w:r>
    </w:p>
    <w:p w:rsidR="003B28E1" w:rsidRPr="00B644A7" w:rsidRDefault="003B28E1" w:rsidP="003B28E1">
      <w:pPr>
        <w:pStyle w:val="Default"/>
        <w:widowControl w:val="0"/>
        <w:ind w:firstLine="708"/>
        <w:jc w:val="both"/>
        <w:rPr>
          <w:color w:val="auto"/>
        </w:rPr>
      </w:pPr>
      <w:r w:rsidRPr="00B644A7">
        <w:rPr>
          <w:color w:val="auto"/>
        </w:rPr>
        <w:t xml:space="preserve">Cauza principală a fragmentării arealelor naturale și seminaturale este reprezentată de </w:t>
      </w:r>
      <w:r w:rsidRPr="00B644A7">
        <w:rPr>
          <w:bCs/>
          <w:color w:val="auto"/>
        </w:rPr>
        <w:t xml:space="preserve">conversia terenurilor </w:t>
      </w:r>
      <w:r w:rsidRPr="00B644A7">
        <w:rPr>
          <w:color w:val="auto"/>
        </w:rPr>
        <w:t xml:space="preserve">în scopul dezvoltării infrastructurii urbane, industriale, agricole, turistice sau transport, aceasta reprezentând cauza principală a pierderii de biodiversitate, ducând la degradarea, distrugerea şi </w:t>
      </w:r>
      <w:r w:rsidRPr="00B644A7">
        <w:rPr>
          <w:bCs/>
          <w:color w:val="auto"/>
        </w:rPr>
        <w:t xml:space="preserve">fragmentarea </w:t>
      </w:r>
      <w:r w:rsidRPr="00B644A7">
        <w:rPr>
          <w:color w:val="auto"/>
        </w:rPr>
        <w:t xml:space="preserve">habitatelor şi implicit la declinul populaţiilor naturale. O altă cauză a fragmentării este generată de către procesul de </w:t>
      </w:r>
      <w:r w:rsidRPr="00B644A7">
        <w:rPr>
          <w:bCs/>
          <w:color w:val="auto"/>
        </w:rPr>
        <w:t xml:space="preserve">extindere şi dezvoltare a aşezărilor umane. Fragmentarea </w:t>
      </w:r>
      <w:r w:rsidRPr="00B644A7">
        <w:rPr>
          <w:color w:val="auto"/>
        </w:rPr>
        <w:t xml:space="preserve">habitatelor apare şi atunci când există aglomerări mari de locuinţe, dar şi în cazul celor izolate, datorită construcţiei suplimentare de căi de acces şi utilităţi. Construirea haotică, fără respectarea unei stategii de urbanism coerentă şi consecventă conduce la utilizarea nejudicioasă a zonelor destinate pentru construcţii si extinderea acestora în detrimentul celor naturale. </w:t>
      </w:r>
    </w:p>
    <w:p w:rsidR="003B28E1" w:rsidRPr="005601B3" w:rsidRDefault="003B28E1" w:rsidP="003B28E1">
      <w:pPr>
        <w:pStyle w:val="Default"/>
        <w:widowControl w:val="0"/>
        <w:ind w:firstLine="708"/>
        <w:jc w:val="both"/>
        <w:rPr>
          <w:color w:val="auto"/>
        </w:rPr>
      </w:pPr>
      <w:r w:rsidRPr="00372EC3">
        <w:rPr>
          <w:color w:val="auto"/>
        </w:rPr>
        <w:t>Dezvoltarea urbană necontrolată, periurbanizarea şi transferul de populaţie din mediul rural, însoţite de distrugerea ecosistemelor din zonele urbane (diminuarea spaţiilor verzi, construcţii pe spaţiile verzi, tăierea arborilor, distrugerea cuiburilor etc.) şi de măsuri insuficiente pentru colectarea şi tratarea corespunzătoare a deşeurilor şi a apelor uzate au efecte negative considerabile, atât asupra biodiversităţii, cât şi asupra calităţii vieţii</w:t>
      </w:r>
      <w:r w:rsidRPr="00372EC3">
        <w:rPr>
          <w:rStyle w:val="FootnoteReference"/>
          <w:color w:val="auto"/>
        </w:rPr>
        <w:footnoteReference w:id="1"/>
      </w:r>
      <w:r w:rsidRPr="00372EC3">
        <w:rPr>
          <w:color w:val="auto"/>
        </w:rPr>
        <w:t>.</w:t>
      </w:r>
    </w:p>
    <w:p w:rsidR="003B28E1" w:rsidRPr="005601B3" w:rsidRDefault="003B28E1" w:rsidP="003B28E1">
      <w:pPr>
        <w:widowControl w:val="0"/>
        <w:spacing w:after="0" w:line="240" w:lineRule="auto"/>
        <w:jc w:val="center"/>
        <w:rPr>
          <w:rFonts w:ascii="Arial" w:hAnsi="Arial" w:cs="Arial"/>
          <w:b/>
          <w:bCs/>
          <w:sz w:val="10"/>
          <w:szCs w:val="10"/>
        </w:rPr>
      </w:pPr>
    </w:p>
    <w:p w:rsidR="00A63C62" w:rsidRDefault="003B28E1" w:rsidP="003B28E1">
      <w:pPr>
        <w:widowControl w:val="0"/>
        <w:spacing w:after="0" w:line="240" w:lineRule="auto"/>
        <w:jc w:val="center"/>
        <w:rPr>
          <w:rFonts w:ascii="Arial" w:hAnsi="Arial" w:cs="Arial"/>
          <w:bCs/>
        </w:rPr>
      </w:pPr>
      <w:r w:rsidRPr="00077C21">
        <w:rPr>
          <w:rFonts w:ascii="Arial" w:hAnsi="Arial" w:cs="Arial"/>
          <w:bCs/>
        </w:rPr>
        <w:t xml:space="preserve">Fig. </w:t>
      </w:r>
      <w:r w:rsidRPr="00077C21">
        <w:rPr>
          <w:rFonts w:ascii="Arial" w:hAnsi="Arial" w:cs="Arial"/>
        </w:rPr>
        <w:t>IV.2.2.1.</w:t>
      </w:r>
      <w:r w:rsidRPr="00077C21">
        <w:rPr>
          <w:rFonts w:ascii="Arial" w:hAnsi="Arial" w:cs="Arial"/>
          <w:bCs/>
        </w:rPr>
        <w:t xml:space="preserve">Conversia pădurilor </w:t>
      </w:r>
      <w:r w:rsidR="00A63C62">
        <w:rPr>
          <w:rFonts w:ascii="Arial" w:hAnsi="Arial" w:cs="Arial"/>
          <w:bCs/>
        </w:rPr>
        <w:t>- suprafețe</w:t>
      </w:r>
      <w:r w:rsidR="00A63C62" w:rsidRPr="00A63C62">
        <w:rPr>
          <w:rFonts w:ascii="Arial" w:hAnsi="Arial" w:cs="Arial"/>
          <w:bCs/>
        </w:rPr>
        <w:t xml:space="preserve"> de pădure convertit</w:t>
      </w:r>
      <w:r w:rsidR="00A63C62">
        <w:rPr>
          <w:rFonts w:ascii="Arial" w:hAnsi="Arial" w:cs="Arial"/>
          <w:bCs/>
        </w:rPr>
        <w:t>e</w:t>
      </w:r>
      <w:r w:rsidR="00A63C62" w:rsidRPr="00A63C62">
        <w:rPr>
          <w:rFonts w:ascii="Arial" w:hAnsi="Arial" w:cs="Arial"/>
          <w:bCs/>
        </w:rPr>
        <w:t xml:space="preserve"> în alte </w:t>
      </w:r>
      <w:r w:rsidR="00A63C62">
        <w:rPr>
          <w:rFonts w:ascii="Arial" w:hAnsi="Arial" w:cs="Arial"/>
          <w:bCs/>
        </w:rPr>
        <w:t>categorii de terenuri</w:t>
      </w:r>
    </w:p>
    <w:p w:rsidR="003B28E1" w:rsidRDefault="003B28E1" w:rsidP="003B28E1">
      <w:pPr>
        <w:widowControl w:val="0"/>
        <w:spacing w:after="0" w:line="240" w:lineRule="auto"/>
        <w:jc w:val="center"/>
        <w:rPr>
          <w:rFonts w:ascii="Arial" w:hAnsi="Arial" w:cs="Arial"/>
          <w:bCs/>
        </w:rPr>
      </w:pPr>
      <w:r w:rsidRPr="00077C21">
        <w:rPr>
          <w:rFonts w:ascii="Arial" w:hAnsi="Arial" w:cs="Arial"/>
          <w:bCs/>
        </w:rPr>
        <w:t>(</w:t>
      </w:r>
      <w:r w:rsidRPr="00077C21">
        <w:rPr>
          <w:rFonts w:ascii="Arial" w:hAnsi="Arial" w:cs="Arial"/>
          <w:bCs/>
          <w:i/>
        </w:rPr>
        <w:t>Sursa: Garda Forestieră Suceava</w:t>
      </w:r>
      <w:r w:rsidRPr="00077C21">
        <w:rPr>
          <w:rFonts w:ascii="Arial" w:hAnsi="Arial" w:cs="Arial"/>
          <w:bCs/>
        </w:rPr>
        <w:t>)</w:t>
      </w:r>
    </w:p>
    <w:p w:rsidR="00CE5FD0" w:rsidRPr="00CE5FD0" w:rsidRDefault="00CE5FD0" w:rsidP="003B28E1">
      <w:pPr>
        <w:widowControl w:val="0"/>
        <w:spacing w:after="0" w:line="240" w:lineRule="auto"/>
        <w:jc w:val="center"/>
        <w:rPr>
          <w:rFonts w:ascii="Arial" w:hAnsi="Arial" w:cs="Arial"/>
          <w:bCs/>
          <w:sz w:val="20"/>
          <w:szCs w:val="20"/>
        </w:rPr>
      </w:pPr>
    </w:p>
    <w:p w:rsidR="003B28E1" w:rsidRPr="005601B3" w:rsidRDefault="003B28E1" w:rsidP="003B28E1">
      <w:pPr>
        <w:widowControl w:val="0"/>
        <w:spacing w:after="120" w:line="240" w:lineRule="auto"/>
        <w:jc w:val="center"/>
        <w:rPr>
          <w:rFonts w:ascii="Arial" w:hAnsi="Arial" w:cs="Arial"/>
          <w:b/>
          <w:bCs/>
          <w:sz w:val="24"/>
          <w:szCs w:val="24"/>
        </w:rPr>
      </w:pPr>
      <w:r w:rsidRPr="005601B3">
        <w:rPr>
          <w:rFonts w:ascii="Arial" w:hAnsi="Arial" w:cs="Arial"/>
          <w:b/>
          <w:bCs/>
          <w:noProof/>
          <w:sz w:val="24"/>
          <w:szCs w:val="24"/>
          <w:lang w:eastAsia="ro-RO"/>
        </w:rPr>
        <w:drawing>
          <wp:inline distT="0" distB="0" distL="0" distR="0">
            <wp:extent cx="4210050" cy="18573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28E1" w:rsidRPr="00574468" w:rsidRDefault="003B28E1" w:rsidP="003B28E1">
      <w:pPr>
        <w:widowControl w:val="0"/>
        <w:spacing w:after="0" w:line="240" w:lineRule="auto"/>
        <w:jc w:val="both"/>
        <w:rPr>
          <w:rFonts w:ascii="Arial" w:hAnsi="Arial" w:cs="Arial"/>
          <w:i/>
          <w:color w:val="984806" w:themeColor="accent6" w:themeShade="80"/>
          <w:sz w:val="16"/>
          <w:szCs w:val="16"/>
        </w:rPr>
      </w:pPr>
    </w:p>
    <w:p w:rsidR="003B28E1" w:rsidRPr="001D7ACE" w:rsidRDefault="003B28E1" w:rsidP="003B28E1">
      <w:pPr>
        <w:widowControl w:val="0"/>
        <w:spacing w:after="0" w:line="240" w:lineRule="auto"/>
        <w:jc w:val="both"/>
        <w:rPr>
          <w:rFonts w:ascii="Arial" w:hAnsi="Arial" w:cs="Arial"/>
          <w:b/>
          <w:sz w:val="24"/>
          <w:szCs w:val="24"/>
        </w:rPr>
      </w:pPr>
      <w:r w:rsidRPr="001D7ACE">
        <w:rPr>
          <w:rFonts w:ascii="Arial" w:hAnsi="Arial" w:cs="Arial"/>
          <w:b/>
          <w:sz w:val="24"/>
          <w:szCs w:val="24"/>
        </w:rPr>
        <w:t>IV.3. Factorii determinanţi ai schimbării utilizării terenurilor</w:t>
      </w:r>
    </w:p>
    <w:p w:rsidR="003B28E1" w:rsidRPr="001D7ACE" w:rsidRDefault="003B28E1" w:rsidP="003B28E1">
      <w:pPr>
        <w:widowControl w:val="0"/>
        <w:spacing w:after="0" w:line="240" w:lineRule="auto"/>
        <w:jc w:val="both"/>
        <w:rPr>
          <w:rFonts w:ascii="Arial" w:hAnsi="Arial" w:cs="Arial"/>
          <w:b/>
          <w:sz w:val="20"/>
          <w:szCs w:val="20"/>
        </w:rPr>
      </w:pPr>
    </w:p>
    <w:p w:rsidR="003B28E1" w:rsidRPr="001D7ACE" w:rsidRDefault="003B28E1" w:rsidP="003B28E1">
      <w:pPr>
        <w:widowControl w:val="0"/>
        <w:spacing w:after="0" w:line="240" w:lineRule="auto"/>
        <w:jc w:val="both"/>
        <w:rPr>
          <w:rFonts w:ascii="Arial" w:hAnsi="Arial" w:cs="Arial"/>
          <w:b/>
          <w:i/>
          <w:sz w:val="24"/>
          <w:szCs w:val="24"/>
        </w:rPr>
      </w:pPr>
      <w:r w:rsidRPr="001D7ACE">
        <w:rPr>
          <w:rFonts w:ascii="Arial" w:hAnsi="Arial" w:cs="Arial"/>
          <w:b/>
          <w:i/>
          <w:sz w:val="24"/>
          <w:szCs w:val="24"/>
        </w:rPr>
        <w:t xml:space="preserve"> IV.3.1. Modificarea densităţii populaţiei</w:t>
      </w:r>
    </w:p>
    <w:p w:rsidR="003B28E1" w:rsidRPr="001D7ACE" w:rsidRDefault="003B28E1" w:rsidP="003B28E1">
      <w:pPr>
        <w:widowControl w:val="0"/>
        <w:spacing w:after="0" w:line="240" w:lineRule="auto"/>
        <w:jc w:val="both"/>
        <w:rPr>
          <w:rFonts w:ascii="Arial" w:hAnsi="Arial" w:cs="Arial"/>
          <w:sz w:val="16"/>
          <w:szCs w:val="16"/>
        </w:rPr>
      </w:pPr>
    </w:p>
    <w:p w:rsidR="003B28E1" w:rsidRPr="001D7ACE" w:rsidRDefault="003B28E1" w:rsidP="003B28E1">
      <w:pPr>
        <w:pStyle w:val="Default"/>
        <w:widowControl w:val="0"/>
        <w:ind w:firstLine="708"/>
        <w:jc w:val="both"/>
        <w:rPr>
          <w:color w:val="auto"/>
        </w:rPr>
      </w:pPr>
      <w:r w:rsidRPr="001D7ACE">
        <w:rPr>
          <w:color w:val="auto"/>
        </w:rPr>
        <w:t xml:space="preserve">Modificarea populaţiei urbane </w:t>
      </w:r>
      <w:r w:rsidRPr="00C27E31">
        <w:rPr>
          <w:color w:val="auto"/>
        </w:rPr>
        <w:t>în perioada 201</w:t>
      </w:r>
      <w:r w:rsidR="000848F0">
        <w:rPr>
          <w:color w:val="auto"/>
        </w:rPr>
        <w:t>2</w:t>
      </w:r>
      <w:r w:rsidRPr="00C27E31">
        <w:rPr>
          <w:color w:val="auto"/>
        </w:rPr>
        <w:t xml:space="preserve"> - 201</w:t>
      </w:r>
      <w:r w:rsidR="00E31B5B" w:rsidRPr="00C27E31">
        <w:rPr>
          <w:color w:val="auto"/>
        </w:rPr>
        <w:t>7</w:t>
      </w:r>
      <w:r w:rsidRPr="00C27E31">
        <w:rPr>
          <w:color w:val="auto"/>
        </w:rPr>
        <w:t>, conform datelor</w:t>
      </w:r>
      <w:r w:rsidRPr="001D7ACE">
        <w:rPr>
          <w:color w:val="auto"/>
        </w:rPr>
        <w:t xml:space="preserve"> statistice judeţene, precum şi evoluţia densităţii populaţiei din judeţul Suceava în aceeaşi perioadă, sunt prezentate în graficele de mai jos.</w:t>
      </w:r>
    </w:p>
    <w:p w:rsidR="003B28E1" w:rsidRPr="00621644" w:rsidRDefault="003B28E1" w:rsidP="003B28E1">
      <w:pPr>
        <w:widowControl w:val="0"/>
        <w:spacing w:after="0" w:line="240" w:lineRule="auto"/>
        <w:jc w:val="center"/>
        <w:rPr>
          <w:rFonts w:ascii="Arial" w:hAnsi="Arial" w:cs="Arial"/>
          <w:sz w:val="10"/>
          <w:szCs w:val="10"/>
        </w:rPr>
      </w:pPr>
    </w:p>
    <w:p w:rsidR="003B28E1" w:rsidRPr="00176D66" w:rsidRDefault="003B28E1" w:rsidP="003B28E1">
      <w:pPr>
        <w:widowControl w:val="0"/>
        <w:spacing w:after="0" w:line="240" w:lineRule="auto"/>
        <w:jc w:val="center"/>
        <w:rPr>
          <w:rFonts w:ascii="Arial" w:hAnsi="Arial" w:cs="Arial"/>
        </w:rPr>
      </w:pPr>
      <w:r w:rsidRPr="00621644">
        <w:rPr>
          <w:rFonts w:ascii="Arial" w:hAnsi="Arial" w:cs="Arial"/>
        </w:rPr>
        <w:t xml:space="preserve">Fig. IV.3.1.1 Modificarea populaţiei urbane din judeţul </w:t>
      </w:r>
      <w:r w:rsidRPr="00176D66">
        <w:rPr>
          <w:rFonts w:ascii="Arial" w:hAnsi="Arial" w:cs="Arial"/>
        </w:rPr>
        <w:t>Suceava,</w:t>
      </w:r>
    </w:p>
    <w:p w:rsidR="003B28E1" w:rsidRPr="001D7ACE" w:rsidRDefault="003B28E1" w:rsidP="003B28E1">
      <w:pPr>
        <w:widowControl w:val="0"/>
        <w:spacing w:after="0" w:line="240" w:lineRule="auto"/>
        <w:jc w:val="center"/>
        <w:rPr>
          <w:rFonts w:ascii="Arial" w:hAnsi="Arial" w:cs="Arial"/>
        </w:rPr>
      </w:pPr>
      <w:r w:rsidRPr="00C27E31">
        <w:rPr>
          <w:rFonts w:ascii="Arial" w:hAnsi="Arial" w:cs="Arial"/>
        </w:rPr>
        <w:t>în perioada 201</w:t>
      </w:r>
      <w:r w:rsidR="00E31B5B" w:rsidRPr="00C27E31">
        <w:rPr>
          <w:rFonts w:ascii="Arial" w:hAnsi="Arial" w:cs="Arial"/>
        </w:rPr>
        <w:t>3</w:t>
      </w:r>
      <w:r w:rsidRPr="00C27E31">
        <w:rPr>
          <w:rFonts w:ascii="Arial" w:hAnsi="Arial" w:cs="Arial"/>
        </w:rPr>
        <w:t>-201</w:t>
      </w:r>
      <w:r w:rsidR="00E31B5B" w:rsidRPr="00C27E31">
        <w:rPr>
          <w:rFonts w:ascii="Arial" w:hAnsi="Arial" w:cs="Arial"/>
        </w:rPr>
        <w:t>7</w:t>
      </w:r>
      <w:r w:rsidRPr="00C27E31">
        <w:rPr>
          <w:rFonts w:ascii="Arial" w:hAnsi="Arial" w:cs="Arial"/>
        </w:rPr>
        <w:t xml:space="preserve"> (</w:t>
      </w:r>
      <w:r w:rsidRPr="00C27E31">
        <w:rPr>
          <w:rFonts w:ascii="Arial" w:hAnsi="Arial" w:cs="Arial"/>
          <w:i/>
        </w:rPr>
        <w:t>sursa: Anuarul</w:t>
      </w:r>
      <w:r w:rsidR="00574468">
        <w:rPr>
          <w:rFonts w:ascii="Arial" w:hAnsi="Arial" w:cs="Arial"/>
          <w:i/>
        </w:rPr>
        <w:t xml:space="preserve"> Statistic al judeţului Suceava</w:t>
      </w:r>
      <w:r w:rsidRPr="00C27E31">
        <w:rPr>
          <w:rFonts w:ascii="Arial" w:hAnsi="Arial" w:cs="Arial"/>
          <w:i/>
        </w:rPr>
        <w:t xml:space="preserve"> </w:t>
      </w:r>
      <w:r w:rsidR="00574468">
        <w:rPr>
          <w:rFonts w:ascii="Arial" w:hAnsi="Arial" w:cs="Arial"/>
          <w:i/>
        </w:rPr>
        <w:t>-</w:t>
      </w:r>
      <w:r w:rsidR="000B0B78" w:rsidRPr="00C27E31">
        <w:rPr>
          <w:rFonts w:ascii="Arial" w:hAnsi="Arial" w:cs="Arial"/>
          <w:i/>
        </w:rPr>
        <w:t xml:space="preserve"> </w:t>
      </w:r>
      <w:r w:rsidRPr="00C27E31">
        <w:rPr>
          <w:rFonts w:ascii="Arial" w:hAnsi="Arial" w:cs="Arial"/>
          <w:i/>
        </w:rPr>
        <w:t>201</w:t>
      </w:r>
      <w:r w:rsidR="00E31B5B" w:rsidRPr="00C27E31">
        <w:rPr>
          <w:rFonts w:ascii="Arial" w:hAnsi="Arial" w:cs="Arial"/>
          <w:i/>
        </w:rPr>
        <w:t>7</w:t>
      </w:r>
      <w:r w:rsidRPr="00C27E31">
        <w:rPr>
          <w:rFonts w:ascii="Arial" w:hAnsi="Arial" w:cs="Arial"/>
        </w:rPr>
        <w:t>)</w:t>
      </w:r>
    </w:p>
    <w:p w:rsidR="003B28E1" w:rsidRPr="00A53DD2" w:rsidRDefault="003B28E1" w:rsidP="003B28E1">
      <w:pPr>
        <w:widowControl w:val="0"/>
        <w:spacing w:after="0" w:line="240" w:lineRule="auto"/>
        <w:jc w:val="center"/>
        <w:rPr>
          <w:rFonts w:ascii="Arial" w:hAnsi="Arial" w:cs="Arial"/>
          <w:color w:val="984806" w:themeColor="accent6" w:themeShade="80"/>
          <w:sz w:val="10"/>
          <w:szCs w:val="10"/>
        </w:rPr>
      </w:pPr>
    </w:p>
    <w:p w:rsidR="007B0A1E" w:rsidRDefault="007B0A1E" w:rsidP="003B28E1">
      <w:pPr>
        <w:widowControl w:val="0"/>
        <w:spacing w:after="0" w:line="240" w:lineRule="auto"/>
        <w:jc w:val="both"/>
        <w:rPr>
          <w:rFonts w:ascii="Arial" w:hAnsi="Arial" w:cs="Arial"/>
          <w:i/>
          <w:color w:val="984806" w:themeColor="accent6" w:themeShade="80"/>
          <w:sz w:val="20"/>
          <w:szCs w:val="20"/>
        </w:rPr>
      </w:pPr>
    </w:p>
    <w:p w:rsidR="007B0A1E" w:rsidRPr="00A53DD2" w:rsidRDefault="007B0A1E" w:rsidP="007B0A1E">
      <w:pPr>
        <w:widowControl w:val="0"/>
        <w:spacing w:after="0" w:line="240" w:lineRule="auto"/>
        <w:jc w:val="center"/>
        <w:rPr>
          <w:rFonts w:ascii="Arial" w:hAnsi="Arial" w:cs="Arial"/>
          <w:color w:val="984806" w:themeColor="accent6" w:themeShade="80"/>
          <w:sz w:val="24"/>
          <w:szCs w:val="24"/>
        </w:rPr>
      </w:pPr>
      <w:r w:rsidRPr="00A53DD2">
        <w:rPr>
          <w:rFonts w:ascii="Arial" w:hAnsi="Arial" w:cs="Arial"/>
          <w:noProof/>
          <w:color w:val="984806" w:themeColor="accent6" w:themeShade="80"/>
          <w:sz w:val="24"/>
          <w:szCs w:val="24"/>
          <w:lang w:eastAsia="ro-RO"/>
        </w:rPr>
        <w:drawing>
          <wp:inline distT="0" distB="0" distL="0" distR="0">
            <wp:extent cx="4752975" cy="13144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28E1" w:rsidRPr="00637119" w:rsidRDefault="003B28E1" w:rsidP="003B28E1">
      <w:pPr>
        <w:widowControl w:val="0"/>
        <w:spacing w:after="0" w:line="240" w:lineRule="auto"/>
        <w:jc w:val="both"/>
        <w:rPr>
          <w:rFonts w:ascii="Arial" w:hAnsi="Arial" w:cs="Arial"/>
          <w:i/>
          <w:sz w:val="20"/>
          <w:szCs w:val="20"/>
        </w:rPr>
      </w:pPr>
      <w:r w:rsidRPr="00637119">
        <w:rPr>
          <w:rFonts w:ascii="Arial" w:hAnsi="Arial" w:cs="Arial"/>
          <w:i/>
          <w:sz w:val="20"/>
          <w:szCs w:val="20"/>
        </w:rPr>
        <w:t xml:space="preserve">Notă: </w:t>
      </w:r>
      <w:r w:rsidR="00D1781C">
        <w:rPr>
          <w:rFonts w:ascii="Arial" w:hAnsi="Arial" w:cs="Arial"/>
          <w:i/>
          <w:sz w:val="20"/>
          <w:szCs w:val="20"/>
        </w:rPr>
        <w:t>Populaţia urbană a judeţului la</w:t>
      </w:r>
      <w:r w:rsidRPr="00637119">
        <w:rPr>
          <w:rFonts w:ascii="Arial" w:hAnsi="Arial" w:cs="Arial"/>
          <w:i/>
          <w:sz w:val="20"/>
          <w:szCs w:val="20"/>
        </w:rPr>
        <w:t xml:space="preserve"> 1 iulie </w:t>
      </w:r>
      <w:r w:rsidR="00574468">
        <w:rPr>
          <w:rFonts w:ascii="Arial" w:hAnsi="Arial" w:cs="Arial"/>
          <w:i/>
          <w:sz w:val="20"/>
          <w:szCs w:val="20"/>
        </w:rPr>
        <w:t>a fiecărui an. Pe anii 2016 și 2017 datele sunt provizorii.</w:t>
      </w:r>
    </w:p>
    <w:p w:rsidR="003B28E1" w:rsidRPr="00A53DD2" w:rsidRDefault="003B28E1" w:rsidP="003B28E1">
      <w:pPr>
        <w:widowControl w:val="0"/>
        <w:spacing w:after="0" w:line="240" w:lineRule="auto"/>
        <w:jc w:val="center"/>
        <w:rPr>
          <w:rFonts w:ascii="Arial" w:hAnsi="Arial" w:cs="Arial"/>
          <w:color w:val="984806" w:themeColor="accent6" w:themeShade="80"/>
          <w:sz w:val="10"/>
          <w:szCs w:val="10"/>
        </w:rPr>
      </w:pPr>
    </w:p>
    <w:p w:rsidR="003B28E1" w:rsidRPr="00991AD9" w:rsidRDefault="003B28E1" w:rsidP="003B28E1">
      <w:pPr>
        <w:pStyle w:val="Default"/>
        <w:widowControl w:val="0"/>
        <w:ind w:firstLine="708"/>
        <w:jc w:val="both"/>
        <w:rPr>
          <w:color w:val="auto"/>
        </w:rPr>
      </w:pPr>
      <w:r w:rsidRPr="00991AD9">
        <w:rPr>
          <w:color w:val="auto"/>
        </w:rPr>
        <w:t>Din fig. IV.3.1.1</w:t>
      </w:r>
      <w:r w:rsidRPr="008D55D1">
        <w:rPr>
          <w:color w:val="auto"/>
        </w:rPr>
        <w:t>. se constată că în perioada 201</w:t>
      </w:r>
      <w:r w:rsidR="002D4BAB" w:rsidRPr="008D55D1">
        <w:rPr>
          <w:color w:val="auto"/>
        </w:rPr>
        <w:t>4</w:t>
      </w:r>
      <w:r w:rsidRPr="008D55D1">
        <w:rPr>
          <w:color w:val="auto"/>
        </w:rPr>
        <w:t>-201</w:t>
      </w:r>
      <w:r w:rsidR="00991AD9" w:rsidRPr="008D55D1">
        <w:rPr>
          <w:color w:val="auto"/>
        </w:rPr>
        <w:t>7</w:t>
      </w:r>
      <w:r w:rsidRPr="008D55D1">
        <w:rPr>
          <w:color w:val="auto"/>
        </w:rPr>
        <w:t xml:space="preserve">, populaţia urbană a </w:t>
      </w:r>
      <w:r w:rsidR="002D4BAB" w:rsidRPr="008D55D1">
        <w:rPr>
          <w:color w:val="auto"/>
        </w:rPr>
        <w:t xml:space="preserve">judeţului a urmat un trend </w:t>
      </w:r>
      <w:r w:rsidR="00991AD9" w:rsidRPr="008D55D1">
        <w:rPr>
          <w:color w:val="auto"/>
        </w:rPr>
        <w:t>a</w:t>
      </w:r>
      <w:r w:rsidRPr="008D55D1">
        <w:rPr>
          <w:color w:val="auto"/>
        </w:rPr>
        <w:t>scendent.</w:t>
      </w:r>
    </w:p>
    <w:p w:rsidR="003B28E1" w:rsidRPr="00A53DD2" w:rsidRDefault="003B28E1" w:rsidP="003B28E1">
      <w:pPr>
        <w:widowControl w:val="0"/>
        <w:spacing w:after="0" w:line="240" w:lineRule="auto"/>
        <w:jc w:val="both"/>
        <w:rPr>
          <w:rFonts w:ascii="Arial" w:hAnsi="Arial" w:cs="Arial"/>
          <w:color w:val="984806" w:themeColor="accent6" w:themeShade="80"/>
          <w:sz w:val="20"/>
          <w:szCs w:val="20"/>
        </w:rPr>
      </w:pPr>
    </w:p>
    <w:p w:rsidR="003B28E1" w:rsidRPr="00845E8A" w:rsidRDefault="003B28E1" w:rsidP="003B28E1">
      <w:pPr>
        <w:widowControl w:val="0"/>
        <w:spacing w:after="0" w:line="240" w:lineRule="auto"/>
        <w:jc w:val="both"/>
        <w:rPr>
          <w:rFonts w:ascii="Arial" w:hAnsi="Arial" w:cs="Arial"/>
          <w:b/>
          <w:i/>
          <w:sz w:val="24"/>
          <w:szCs w:val="24"/>
        </w:rPr>
      </w:pPr>
      <w:r w:rsidRPr="00845E8A">
        <w:rPr>
          <w:rFonts w:ascii="Arial" w:hAnsi="Arial" w:cs="Arial"/>
          <w:b/>
          <w:i/>
          <w:sz w:val="24"/>
          <w:szCs w:val="24"/>
        </w:rPr>
        <w:t xml:space="preserve"> IV.3.2. Expansiunea urbană</w:t>
      </w:r>
    </w:p>
    <w:p w:rsidR="003B28E1" w:rsidRDefault="003B28E1" w:rsidP="003B28E1">
      <w:pPr>
        <w:widowControl w:val="0"/>
        <w:spacing w:after="0" w:line="240" w:lineRule="auto"/>
        <w:jc w:val="both"/>
        <w:rPr>
          <w:rFonts w:ascii="Arial" w:hAnsi="Arial" w:cs="Arial"/>
          <w:b/>
          <w:i/>
          <w:sz w:val="16"/>
          <w:szCs w:val="16"/>
        </w:rPr>
      </w:pPr>
    </w:p>
    <w:tbl>
      <w:tblPr>
        <w:tblStyle w:val="TableGrid"/>
        <w:tblW w:w="0" w:type="auto"/>
        <w:shd w:val="clear" w:color="auto" w:fill="B6DDE8" w:themeFill="accent5" w:themeFillTint="66"/>
        <w:tblLook w:val="04A0"/>
      </w:tblPr>
      <w:tblGrid>
        <w:gridCol w:w="9995"/>
      </w:tblGrid>
      <w:tr w:rsidR="00080DE9" w:rsidRPr="00080DE9" w:rsidTr="00080DE9">
        <w:tc>
          <w:tcPr>
            <w:tcW w:w="9995" w:type="dxa"/>
            <w:shd w:val="clear" w:color="auto" w:fill="B6DDE8" w:themeFill="accent5" w:themeFillTint="66"/>
          </w:tcPr>
          <w:p w:rsidR="00080DE9" w:rsidRPr="00080DE9" w:rsidRDefault="00080DE9" w:rsidP="00080DE9">
            <w:pPr>
              <w:autoSpaceDE w:val="0"/>
              <w:autoSpaceDN w:val="0"/>
              <w:adjustRightInd w:val="0"/>
              <w:rPr>
                <w:rFonts w:ascii="Arial" w:hAnsi="Arial" w:cs="Arial"/>
              </w:rPr>
            </w:pPr>
            <w:r w:rsidRPr="00080DE9">
              <w:rPr>
                <w:rFonts w:ascii="Arial" w:hAnsi="Arial" w:cs="Arial"/>
                <w:b/>
                <w:bCs/>
              </w:rPr>
              <w:t>Cod indicator România</w:t>
            </w:r>
            <w:r w:rsidRPr="00080DE9">
              <w:rPr>
                <w:rFonts w:ascii="Arial" w:hAnsi="Arial" w:cs="Arial"/>
              </w:rPr>
              <w:t>: RO 14</w:t>
            </w:r>
          </w:p>
          <w:p w:rsidR="00080DE9" w:rsidRPr="00080DE9" w:rsidRDefault="00080DE9" w:rsidP="00080DE9">
            <w:pPr>
              <w:autoSpaceDE w:val="0"/>
              <w:autoSpaceDN w:val="0"/>
              <w:adjustRightInd w:val="0"/>
              <w:rPr>
                <w:rFonts w:ascii="Arial" w:hAnsi="Arial" w:cs="Arial"/>
              </w:rPr>
            </w:pPr>
            <w:r w:rsidRPr="00080DE9">
              <w:rPr>
                <w:rFonts w:ascii="Arial" w:hAnsi="Arial" w:cs="Arial"/>
                <w:b/>
                <w:bCs/>
              </w:rPr>
              <w:t xml:space="preserve">Cod indicator AEM: </w:t>
            </w:r>
            <w:r w:rsidRPr="00080DE9">
              <w:rPr>
                <w:rFonts w:ascii="Arial" w:hAnsi="Arial" w:cs="Arial"/>
              </w:rPr>
              <w:t>CSI 14</w:t>
            </w:r>
          </w:p>
          <w:p w:rsidR="00080DE9" w:rsidRPr="00080DE9" w:rsidRDefault="00080DE9" w:rsidP="00080DE9">
            <w:pPr>
              <w:autoSpaceDE w:val="0"/>
              <w:autoSpaceDN w:val="0"/>
              <w:adjustRightInd w:val="0"/>
              <w:rPr>
                <w:rFonts w:ascii="Arial" w:hAnsi="Arial" w:cs="Arial"/>
              </w:rPr>
            </w:pPr>
            <w:r w:rsidRPr="00080DE9">
              <w:rPr>
                <w:rFonts w:ascii="Arial" w:hAnsi="Arial" w:cs="Arial"/>
                <w:b/>
                <w:bCs/>
              </w:rPr>
              <w:t xml:space="preserve">DENUMIRE: </w:t>
            </w:r>
            <w:r w:rsidRPr="00080DE9">
              <w:rPr>
                <w:rFonts w:ascii="Arial" w:hAnsi="Arial" w:cs="Arial"/>
              </w:rPr>
              <w:t>OCUPAREA TERENULUI</w:t>
            </w:r>
          </w:p>
          <w:p w:rsidR="00080DE9" w:rsidRPr="00080DE9" w:rsidRDefault="00080DE9" w:rsidP="00080DE9">
            <w:pPr>
              <w:autoSpaceDE w:val="0"/>
              <w:autoSpaceDN w:val="0"/>
              <w:adjustRightInd w:val="0"/>
              <w:jc w:val="both"/>
              <w:rPr>
                <w:rFonts w:ascii="Arial" w:hAnsi="Arial" w:cs="Arial"/>
                <w:b/>
                <w:i/>
                <w:sz w:val="16"/>
                <w:szCs w:val="16"/>
              </w:rPr>
            </w:pPr>
            <w:r w:rsidRPr="00080DE9">
              <w:rPr>
                <w:rFonts w:ascii="Arial" w:hAnsi="Arial" w:cs="Arial"/>
                <w:b/>
                <w:bCs/>
              </w:rPr>
              <w:t xml:space="preserve">DEFINIȚIE: </w:t>
            </w:r>
            <w:r w:rsidRPr="00080DE9">
              <w:rPr>
                <w:rFonts w:ascii="Arial" w:hAnsi="Arial" w:cs="Arial"/>
              </w:rPr>
              <w:t>Indicatorul prezintă schimbarea cantitativă a ocupării terenurilor agricole, împădurite,</w:t>
            </w:r>
            <w:r>
              <w:rPr>
                <w:rFonts w:ascii="Arial" w:hAnsi="Arial" w:cs="Arial"/>
              </w:rPr>
              <w:t xml:space="preserve"> </w:t>
            </w:r>
            <w:r w:rsidRPr="00080DE9">
              <w:rPr>
                <w:rFonts w:ascii="Arial" w:hAnsi="Arial" w:cs="Arial"/>
              </w:rPr>
              <w:t>semi-naturale şi naturale prin expansiunea terenurilor urbane şi artificiale. Include zonele</w:t>
            </w:r>
            <w:r>
              <w:rPr>
                <w:rFonts w:ascii="Arial" w:hAnsi="Arial" w:cs="Arial"/>
              </w:rPr>
              <w:t xml:space="preserve"> </w:t>
            </w:r>
            <w:r w:rsidRPr="00080DE9">
              <w:rPr>
                <w:rFonts w:ascii="Arial" w:hAnsi="Arial" w:cs="Arial"/>
              </w:rPr>
              <w:t>impermeabilizate de construcţii şi infrastructură urbană, precum şi spaţiile verzi urbane, complexele</w:t>
            </w:r>
            <w:r>
              <w:rPr>
                <w:rFonts w:ascii="Arial" w:hAnsi="Arial" w:cs="Arial"/>
              </w:rPr>
              <w:t xml:space="preserve"> </w:t>
            </w:r>
            <w:r w:rsidRPr="00080DE9">
              <w:rPr>
                <w:rFonts w:ascii="Arial" w:hAnsi="Arial" w:cs="Arial"/>
              </w:rPr>
              <w:t>sportive şi de recreere umane.</w:t>
            </w:r>
          </w:p>
        </w:tc>
      </w:tr>
    </w:tbl>
    <w:p w:rsidR="00080DE9" w:rsidRPr="00080DE9" w:rsidRDefault="00080DE9" w:rsidP="003B28E1">
      <w:pPr>
        <w:widowControl w:val="0"/>
        <w:spacing w:after="0" w:line="240" w:lineRule="auto"/>
        <w:jc w:val="both"/>
        <w:rPr>
          <w:rFonts w:ascii="Arial" w:hAnsi="Arial" w:cs="Arial"/>
          <w:b/>
          <w:i/>
          <w:sz w:val="10"/>
          <w:szCs w:val="10"/>
        </w:rPr>
      </w:pPr>
    </w:p>
    <w:p w:rsidR="00612877" w:rsidRPr="00080DE9" w:rsidRDefault="00612877" w:rsidP="00612877">
      <w:pPr>
        <w:pStyle w:val="Default"/>
        <w:widowControl w:val="0"/>
        <w:ind w:firstLine="708"/>
        <w:jc w:val="both"/>
        <w:rPr>
          <w:color w:val="auto"/>
        </w:rPr>
      </w:pPr>
      <w:r w:rsidRPr="00080DE9">
        <w:rPr>
          <w:color w:val="auto"/>
        </w:rPr>
        <w:t>La nivelul anului 2016, suprafaţa fondului funciar a</w:t>
      </w:r>
      <w:r>
        <w:rPr>
          <w:color w:val="auto"/>
        </w:rPr>
        <w:t>l județului a</w:t>
      </w:r>
      <w:r w:rsidRPr="00080DE9">
        <w:rPr>
          <w:color w:val="auto"/>
        </w:rPr>
        <w:t xml:space="preserve"> fost acoperită cu categoriile de folosinţă a terenurilor</w:t>
      </w:r>
      <w:r>
        <w:rPr>
          <w:color w:val="auto"/>
        </w:rPr>
        <w:t xml:space="preserve">, conform datelor din tabelul </w:t>
      </w:r>
      <w:r w:rsidRPr="00080DE9">
        <w:rPr>
          <w:color w:val="auto"/>
        </w:rPr>
        <w:t xml:space="preserve">IV.1.1.1 și </w:t>
      </w:r>
      <w:r>
        <w:rPr>
          <w:color w:val="auto"/>
        </w:rPr>
        <w:t>figura</w:t>
      </w:r>
      <w:r w:rsidRPr="00080DE9">
        <w:rPr>
          <w:color w:val="auto"/>
        </w:rPr>
        <w:t xml:space="preserve"> IV.1</w:t>
      </w:r>
      <w:r>
        <w:rPr>
          <w:color w:val="auto"/>
        </w:rPr>
        <w:t>.</w:t>
      </w:r>
      <w:r w:rsidRPr="00080DE9">
        <w:rPr>
          <w:color w:val="auto"/>
        </w:rPr>
        <w:t>1.</w:t>
      </w:r>
      <w:r>
        <w:rPr>
          <w:color w:val="auto"/>
        </w:rPr>
        <w:t>1.</w:t>
      </w:r>
    </w:p>
    <w:p w:rsidR="00612877" w:rsidRPr="00612877" w:rsidRDefault="00612877" w:rsidP="003B28E1">
      <w:pPr>
        <w:pStyle w:val="Default"/>
        <w:widowControl w:val="0"/>
        <w:ind w:firstLine="708"/>
        <w:jc w:val="both"/>
        <w:rPr>
          <w:color w:val="auto"/>
          <w:sz w:val="10"/>
          <w:szCs w:val="10"/>
        </w:rPr>
      </w:pPr>
    </w:p>
    <w:p w:rsidR="003B28E1" w:rsidRPr="00845E8A" w:rsidRDefault="003B28E1" w:rsidP="003B28E1">
      <w:pPr>
        <w:pStyle w:val="Default"/>
        <w:widowControl w:val="0"/>
        <w:ind w:firstLine="708"/>
        <w:jc w:val="both"/>
        <w:rPr>
          <w:color w:val="auto"/>
        </w:rPr>
      </w:pPr>
      <w:r w:rsidRPr="00845E8A">
        <w:rPr>
          <w:color w:val="auto"/>
        </w:rPr>
        <w:t xml:space="preserve">Terenurile sunt o resursă finită, iar modul în care sunt exploatate reprezintă unul dintre principalii factori determinanţi ai schimbărilor de mediu, cu impact semnificativ asupra </w:t>
      </w:r>
      <w:r w:rsidRPr="00845E8A">
        <w:rPr>
          <w:color w:val="auto"/>
        </w:rPr>
        <w:lastRenderedPageBreak/>
        <w:t xml:space="preserve">calităţii vieţii şi a ecosistemelor, precum şi asupra gestionării infrastructurii. </w:t>
      </w:r>
    </w:p>
    <w:p w:rsidR="003B28E1" w:rsidRPr="00845E8A" w:rsidRDefault="003B28E1" w:rsidP="003B28E1">
      <w:pPr>
        <w:pStyle w:val="Default"/>
        <w:widowControl w:val="0"/>
        <w:ind w:firstLine="709"/>
        <w:jc w:val="both"/>
        <w:rPr>
          <w:color w:val="auto"/>
        </w:rPr>
      </w:pPr>
      <w:r w:rsidRPr="00845E8A">
        <w:rPr>
          <w:color w:val="auto"/>
        </w:rPr>
        <w:t xml:space="preserve">Utilizarea terenurilor este determinată de o serie de factori importanţi: </w:t>
      </w:r>
    </w:p>
    <w:p w:rsidR="003B28E1" w:rsidRPr="00845E8A" w:rsidRDefault="003B28E1" w:rsidP="003B28E1">
      <w:pPr>
        <w:pStyle w:val="Default"/>
        <w:widowControl w:val="0"/>
        <w:numPr>
          <w:ilvl w:val="0"/>
          <w:numId w:val="1"/>
        </w:numPr>
        <w:jc w:val="both"/>
        <w:rPr>
          <w:color w:val="auto"/>
        </w:rPr>
      </w:pPr>
      <w:r w:rsidRPr="00845E8A">
        <w:rPr>
          <w:color w:val="auto"/>
        </w:rPr>
        <w:t xml:space="preserve">creşterea cererii pentru spaţii de locuit/persoană; </w:t>
      </w:r>
    </w:p>
    <w:p w:rsidR="003B28E1" w:rsidRPr="00845E8A" w:rsidRDefault="003B28E1" w:rsidP="003B28E1">
      <w:pPr>
        <w:pStyle w:val="Default"/>
        <w:widowControl w:val="0"/>
        <w:numPr>
          <w:ilvl w:val="0"/>
          <w:numId w:val="1"/>
        </w:numPr>
        <w:jc w:val="both"/>
        <w:rPr>
          <w:color w:val="auto"/>
        </w:rPr>
      </w:pPr>
      <w:r w:rsidRPr="00845E8A">
        <w:rPr>
          <w:color w:val="auto"/>
        </w:rPr>
        <w:t xml:space="preserve">legătura dintre activitatea economică, creşterea mobilităţii şi creşterea infrastructurii de transport care conduce la absorbţia de teren în zona urbană; </w:t>
      </w:r>
    </w:p>
    <w:p w:rsidR="003B28E1" w:rsidRPr="00845E8A" w:rsidRDefault="003B28E1" w:rsidP="003B28E1">
      <w:pPr>
        <w:pStyle w:val="Default"/>
        <w:widowControl w:val="0"/>
        <w:numPr>
          <w:ilvl w:val="0"/>
          <w:numId w:val="1"/>
        </w:numPr>
        <w:jc w:val="both"/>
        <w:rPr>
          <w:color w:val="auto"/>
        </w:rPr>
      </w:pPr>
      <w:r w:rsidRPr="00845E8A">
        <w:rPr>
          <w:color w:val="auto"/>
        </w:rPr>
        <w:t xml:space="preserve">creşterea cererii pentru spaţii de recreere şi petrecerea timpului liber. </w:t>
      </w:r>
    </w:p>
    <w:p w:rsidR="003B28E1" w:rsidRPr="00845E8A" w:rsidRDefault="003B28E1" w:rsidP="003B28E1">
      <w:pPr>
        <w:pStyle w:val="Default"/>
        <w:widowControl w:val="0"/>
        <w:ind w:firstLine="708"/>
        <w:jc w:val="both"/>
        <w:rPr>
          <w:color w:val="auto"/>
        </w:rPr>
      </w:pPr>
      <w:r w:rsidRPr="00845E8A">
        <w:rPr>
          <w:color w:val="auto"/>
        </w:rPr>
        <w:t xml:space="preserve">Impactul urbanizării depinde de suprafaţa de teren ocupată şi de intensitatea de utilizare a terenurilor, de exemplu, gradul de impermeabilizare al solului şi densitatea populatiei. Ocuparea terenului prin extinderea urbană şi a infrastructurii respective este, în general, ireversibilă şi conduce la impermeabilizarea solului ca urmare a acoperirii terenurilor cu locuinţe, drumuri şi alte lucrări de construcţii. Ocuparea terenurilor urbane consumă cea mai mare parte din suprafaţa terenurilor agricole, şi reduce spaţiul pentru habitate şi ecosisteme care furnizează servicii importante, cum ar fi reglarea echilibrului apei şi protecţia împotriva inundaţiilor. Terenurile ocupate de suprafeţele construite şi infrastructura densă conectează aşezările umane şi fragmentează peisajele. Acest lucru fiind, de asemenea, o sursă importantă de poluare a apei, solului şi a aerului. </w:t>
      </w:r>
    </w:p>
    <w:p w:rsidR="003B28E1" w:rsidRPr="00845E8A" w:rsidRDefault="003B28E1" w:rsidP="003B28E1">
      <w:pPr>
        <w:widowControl w:val="0"/>
        <w:spacing w:after="0" w:line="240" w:lineRule="auto"/>
        <w:ind w:firstLine="708"/>
        <w:jc w:val="both"/>
        <w:rPr>
          <w:rFonts w:ascii="Arial" w:hAnsi="Arial" w:cs="Arial"/>
          <w:sz w:val="24"/>
          <w:szCs w:val="24"/>
        </w:rPr>
      </w:pPr>
      <w:r w:rsidRPr="00845E8A">
        <w:rPr>
          <w:rFonts w:ascii="Arial" w:hAnsi="Arial" w:cs="Arial"/>
          <w:sz w:val="24"/>
          <w:szCs w:val="24"/>
        </w:rPr>
        <w:t>În plus, densitatea scăzută a populaţiei - un rezultat al extinderii urbane - necesită mai multă energie pentru transport şi încălzire sau răcire. Consecinţele stilului de viaţă urbană, cum ar fi poluarea aerului, zgomotul, emisiile de gaze cu efect de seră şi impactul asupra serviciilor ecosistemelor, se fac simţite în zonele urbane, precum şi în regiunile învecinate ale acestora.</w:t>
      </w:r>
    </w:p>
    <w:p w:rsidR="003B28E1" w:rsidRPr="006F49E5" w:rsidRDefault="003B28E1" w:rsidP="003B28E1">
      <w:pPr>
        <w:pStyle w:val="Default"/>
        <w:widowControl w:val="0"/>
        <w:ind w:firstLine="708"/>
        <w:jc w:val="both"/>
        <w:rPr>
          <w:color w:val="auto"/>
        </w:rPr>
      </w:pPr>
      <w:r w:rsidRPr="00845E8A">
        <w:rPr>
          <w:color w:val="auto"/>
        </w:rPr>
        <w:t xml:space="preserve">Schimbarea cantitativă a terenurilor agricole, împădurite, naturale şi seminaturale ocupate prin dezvoltarea urbană şi altor zone artificiale. Acestea includ zonele impermeabilizate de construţii şi infrastructură urbană, precum şi spaţiile verzi urbane, complexele sportive şi de </w:t>
      </w:r>
      <w:r w:rsidRPr="006F49E5">
        <w:rPr>
          <w:color w:val="auto"/>
        </w:rPr>
        <w:t xml:space="preserve">recreere. Principalii factori determinanţi în ocuparea terenurilor sunt grupaţi în procese ce rezultă din extinderea: </w:t>
      </w:r>
    </w:p>
    <w:p w:rsidR="003B28E1" w:rsidRPr="006F49E5" w:rsidRDefault="003B28E1" w:rsidP="003B28E1">
      <w:pPr>
        <w:pStyle w:val="Default"/>
        <w:widowControl w:val="0"/>
        <w:numPr>
          <w:ilvl w:val="0"/>
          <w:numId w:val="1"/>
        </w:numPr>
        <w:rPr>
          <w:color w:val="auto"/>
        </w:rPr>
      </w:pPr>
      <w:r w:rsidRPr="006F49E5">
        <w:rPr>
          <w:color w:val="auto"/>
        </w:rPr>
        <w:t xml:space="preserve"> locuinţelor, serviciilor şi spaţiilor de recreere; </w:t>
      </w:r>
    </w:p>
    <w:p w:rsidR="003B28E1" w:rsidRPr="006F49E5" w:rsidRDefault="003B28E1" w:rsidP="003B28E1">
      <w:pPr>
        <w:pStyle w:val="Default"/>
        <w:widowControl w:val="0"/>
        <w:numPr>
          <w:ilvl w:val="0"/>
          <w:numId w:val="1"/>
        </w:numPr>
        <w:rPr>
          <w:color w:val="auto"/>
        </w:rPr>
      </w:pPr>
      <w:r w:rsidRPr="006F49E5">
        <w:rPr>
          <w:color w:val="auto"/>
        </w:rPr>
        <w:t xml:space="preserve">zonelor industriale şi comerciale; </w:t>
      </w:r>
    </w:p>
    <w:p w:rsidR="003B28E1" w:rsidRPr="006F49E5" w:rsidRDefault="003B28E1" w:rsidP="003B28E1">
      <w:pPr>
        <w:pStyle w:val="Default"/>
        <w:widowControl w:val="0"/>
        <w:numPr>
          <w:ilvl w:val="0"/>
          <w:numId w:val="1"/>
        </w:numPr>
        <w:rPr>
          <w:color w:val="auto"/>
        </w:rPr>
      </w:pPr>
      <w:r w:rsidRPr="006F49E5">
        <w:rPr>
          <w:color w:val="auto"/>
        </w:rPr>
        <w:t xml:space="preserve"> reţelelor de transport şi infrastructurii; </w:t>
      </w:r>
    </w:p>
    <w:p w:rsidR="003B28E1" w:rsidRPr="006F49E5" w:rsidRDefault="003B28E1" w:rsidP="003B28E1">
      <w:pPr>
        <w:pStyle w:val="Default"/>
        <w:widowControl w:val="0"/>
        <w:numPr>
          <w:ilvl w:val="0"/>
          <w:numId w:val="1"/>
        </w:numPr>
        <w:rPr>
          <w:color w:val="auto"/>
        </w:rPr>
      </w:pPr>
      <w:r w:rsidRPr="006F49E5">
        <w:rPr>
          <w:color w:val="auto"/>
        </w:rPr>
        <w:t xml:space="preserve"> minelor, carierelor şi depozitelor de deşeuri neamenajate; </w:t>
      </w:r>
    </w:p>
    <w:p w:rsidR="003B28E1" w:rsidRPr="006F49E5" w:rsidRDefault="003B28E1" w:rsidP="003B28E1">
      <w:pPr>
        <w:pStyle w:val="Default"/>
        <w:widowControl w:val="0"/>
        <w:numPr>
          <w:ilvl w:val="0"/>
          <w:numId w:val="1"/>
        </w:numPr>
        <w:rPr>
          <w:color w:val="auto"/>
        </w:rPr>
      </w:pPr>
      <w:r w:rsidRPr="006F49E5">
        <w:rPr>
          <w:color w:val="auto"/>
        </w:rPr>
        <w:t xml:space="preserve">şantierelor de construcţii. </w:t>
      </w:r>
      <w:r w:rsidRPr="006F49E5">
        <w:rPr>
          <w:rStyle w:val="FootnoteReference"/>
          <w:color w:val="auto"/>
        </w:rPr>
        <w:footnoteReference w:id="2"/>
      </w:r>
    </w:p>
    <w:p w:rsidR="00080DE9" w:rsidRPr="00845E8A" w:rsidRDefault="00080DE9" w:rsidP="00080DE9">
      <w:pPr>
        <w:autoSpaceDE w:val="0"/>
        <w:autoSpaceDN w:val="0"/>
        <w:adjustRightInd w:val="0"/>
        <w:spacing w:after="0" w:line="240" w:lineRule="auto"/>
      </w:pPr>
    </w:p>
    <w:p w:rsidR="003B28E1" w:rsidRPr="00845E8A" w:rsidRDefault="003B28E1" w:rsidP="003B28E1">
      <w:pPr>
        <w:pStyle w:val="Default"/>
        <w:widowControl w:val="0"/>
        <w:rPr>
          <w:b/>
          <w:color w:val="auto"/>
        </w:rPr>
      </w:pPr>
      <w:r w:rsidRPr="00845E8A">
        <w:rPr>
          <w:color w:val="auto"/>
        </w:rPr>
        <w:tab/>
      </w:r>
      <w:r w:rsidRPr="00845E8A">
        <w:rPr>
          <w:b/>
          <w:color w:val="auto"/>
        </w:rPr>
        <w:t>IV.4. Prognoze şi acţiuni întreprinse privind utilizarea terenurilor</w:t>
      </w:r>
    </w:p>
    <w:p w:rsidR="003B28E1" w:rsidRPr="00845E8A" w:rsidRDefault="003B28E1" w:rsidP="003B28E1">
      <w:pPr>
        <w:widowControl w:val="0"/>
        <w:spacing w:after="0" w:line="240" w:lineRule="auto"/>
        <w:jc w:val="both"/>
        <w:rPr>
          <w:rFonts w:ascii="Arial" w:hAnsi="Arial" w:cs="Arial"/>
          <w:b/>
          <w:sz w:val="20"/>
          <w:szCs w:val="20"/>
        </w:rPr>
      </w:pPr>
    </w:p>
    <w:p w:rsidR="003B28E1" w:rsidRPr="00845E8A" w:rsidRDefault="003B28E1" w:rsidP="003B28E1">
      <w:pPr>
        <w:widowControl w:val="0"/>
        <w:autoSpaceDE w:val="0"/>
        <w:autoSpaceDN w:val="0"/>
        <w:adjustRightInd w:val="0"/>
        <w:spacing w:after="0" w:line="240" w:lineRule="auto"/>
        <w:jc w:val="both"/>
        <w:rPr>
          <w:rFonts w:ascii="Arial" w:hAnsi="Arial" w:cs="Arial"/>
          <w:sz w:val="24"/>
          <w:szCs w:val="24"/>
        </w:rPr>
      </w:pPr>
      <w:r w:rsidRPr="00845E8A">
        <w:rPr>
          <w:rFonts w:ascii="Arial" w:hAnsi="Arial" w:cs="Arial"/>
          <w:b/>
          <w:sz w:val="24"/>
          <w:szCs w:val="24"/>
        </w:rPr>
        <w:tab/>
      </w:r>
      <w:r w:rsidRPr="00845E8A">
        <w:rPr>
          <w:rFonts w:ascii="Arial" w:hAnsi="Arial" w:cs="Arial"/>
          <w:sz w:val="24"/>
          <w:szCs w:val="24"/>
        </w:rPr>
        <w:t>În perspectiva dezvoltării durabile, spaţiul geografic amenajat şi locuit – cuprinzând elemente fizice naturale şi antropice dar şi elemente instituţionale şi culturale – reprezintă un complex funcţional care susţine calitatea vieţii populaţiei şi reprezintă acea parte a avuţiei naţionale de care beneficiază toţi cetăţenii.</w:t>
      </w:r>
    </w:p>
    <w:p w:rsidR="003B28E1" w:rsidRPr="00845E8A" w:rsidRDefault="003B28E1" w:rsidP="003B28E1">
      <w:pPr>
        <w:widowControl w:val="0"/>
        <w:autoSpaceDE w:val="0"/>
        <w:autoSpaceDN w:val="0"/>
        <w:adjustRightInd w:val="0"/>
        <w:spacing w:after="0" w:line="240" w:lineRule="auto"/>
        <w:ind w:firstLine="708"/>
        <w:jc w:val="both"/>
        <w:rPr>
          <w:rFonts w:ascii="Arial" w:hAnsi="Arial" w:cs="Arial"/>
          <w:sz w:val="24"/>
          <w:szCs w:val="24"/>
        </w:rPr>
      </w:pPr>
      <w:r w:rsidRPr="00845E8A">
        <w:rPr>
          <w:rFonts w:ascii="Arial" w:hAnsi="Arial" w:cs="Arial"/>
          <w:sz w:val="24"/>
          <w:szCs w:val="24"/>
        </w:rPr>
        <w:t>Obiectivul de a realiza coeziunea teritorială a Uniunii Europene este prezent în Tratatul de Reformă de la Lisabona (13 decembrie 2007) şi a căpătat treptat contur în documentele adoptate la nivel ministerial încă 1983, cu o sistematizare mai precisă în Carta de la Leipzig (mai 2007). Coeziunea teritorială presupune adecvarea resurselor teritoriului (naturale şi antropice) la necesităţile dezvoltării socio-economice în vederea eliminării disparităţilor şi disfuncţionalităţilor între diferite unităţi spaţiale în condiţiile păstrării diversităţii naturale şi culturale a regiunilor.</w:t>
      </w:r>
    </w:p>
    <w:p w:rsidR="003B28E1" w:rsidRPr="00845E8A" w:rsidRDefault="003B28E1" w:rsidP="003B28E1">
      <w:pPr>
        <w:widowControl w:val="0"/>
        <w:autoSpaceDE w:val="0"/>
        <w:autoSpaceDN w:val="0"/>
        <w:adjustRightInd w:val="0"/>
        <w:spacing w:after="0" w:line="240" w:lineRule="auto"/>
        <w:ind w:firstLine="708"/>
        <w:jc w:val="both"/>
        <w:rPr>
          <w:rFonts w:ascii="Arial" w:hAnsi="Arial" w:cs="Arial"/>
          <w:sz w:val="24"/>
          <w:szCs w:val="24"/>
        </w:rPr>
      </w:pPr>
      <w:r w:rsidRPr="00845E8A">
        <w:rPr>
          <w:rFonts w:ascii="Arial" w:hAnsi="Arial" w:cs="Arial"/>
          <w:sz w:val="24"/>
          <w:szCs w:val="24"/>
        </w:rPr>
        <w:t xml:space="preserve">Aşezările umane, ca subsistem al teritoriului locuit, reprezintă spaţiul unde problemele economice, sociale şi de mediu trebuie coordonate la scări spaţiale diferite, instrumentele de implementare fiind amenajarea teritoriului şi urbanismul. Teritoriul, înţeles ca spaţiu geografic locuit, include elemente fizice naturale şi antropice, dar şi elemente instituţionale şi culturale, toate integrate într-un complex funcţional al cărui principal scop şi </w:t>
      </w:r>
      <w:r w:rsidRPr="00845E8A">
        <w:rPr>
          <w:rFonts w:ascii="Arial" w:hAnsi="Arial" w:cs="Arial"/>
          <w:sz w:val="24"/>
          <w:szCs w:val="24"/>
        </w:rPr>
        <w:lastRenderedPageBreak/>
        <w:t>resursă îl reprezintă populaţia umană. Aşezarea umană ca entitate funcţională, fizică, instituţională şi culturală reprezintă cadrul de asigurare a unui cât mai înalt nivel al calităţii vieţii. Aşezările umane trebuie privite în calitate de consumatoare de resurse dar şi de generatoare de bunăstare şi potenţială resursă de creativitate, în special în mediul urban.</w:t>
      </w:r>
    </w:p>
    <w:p w:rsidR="003B28E1" w:rsidRPr="00845E8A" w:rsidRDefault="003B28E1" w:rsidP="003B28E1">
      <w:pPr>
        <w:widowControl w:val="0"/>
        <w:autoSpaceDE w:val="0"/>
        <w:autoSpaceDN w:val="0"/>
        <w:adjustRightInd w:val="0"/>
        <w:spacing w:after="0" w:line="240" w:lineRule="auto"/>
        <w:ind w:firstLine="708"/>
        <w:jc w:val="both"/>
        <w:rPr>
          <w:rFonts w:ascii="Arial" w:hAnsi="Arial" w:cs="Arial"/>
          <w:sz w:val="24"/>
          <w:szCs w:val="24"/>
        </w:rPr>
      </w:pPr>
      <w:r w:rsidRPr="00845E8A">
        <w:rPr>
          <w:rFonts w:ascii="Arial" w:hAnsi="Arial" w:cs="Arial"/>
          <w:sz w:val="24"/>
          <w:szCs w:val="24"/>
        </w:rPr>
        <w:t>Amenajarea teritoriului are un caracter predominant strategic, stabilind direcţiile de dezvoltare în profil spaţial, care se determină pe baza analizelor multidisciplinare şi a sintezelor interdisciplinare. Documentele care rezultă din acest proces au un caracter atât tehnic, prin coordonările spaţiale pe principiul maximalizării sinergiilor potenţiale ale dezvoltării sectoriale în teritoriu cât şi legal, având în vedere că, după aprobarea documentaţiilor, acestea devin norme de dezvoltare spaţială pentru teritoriul respectiv.</w:t>
      </w:r>
    </w:p>
    <w:p w:rsidR="003B28E1" w:rsidRPr="00845E8A" w:rsidRDefault="003B28E1" w:rsidP="003B28E1">
      <w:pPr>
        <w:widowControl w:val="0"/>
        <w:autoSpaceDE w:val="0"/>
        <w:autoSpaceDN w:val="0"/>
        <w:adjustRightInd w:val="0"/>
        <w:spacing w:after="0" w:line="240" w:lineRule="auto"/>
        <w:ind w:firstLine="708"/>
        <w:jc w:val="both"/>
        <w:rPr>
          <w:rFonts w:ascii="Arial" w:hAnsi="Arial" w:cs="Arial"/>
          <w:sz w:val="24"/>
          <w:szCs w:val="24"/>
        </w:rPr>
      </w:pPr>
      <w:r w:rsidRPr="00845E8A">
        <w:rPr>
          <w:rFonts w:ascii="Arial" w:hAnsi="Arial" w:cs="Arial"/>
          <w:sz w:val="24"/>
          <w:szCs w:val="24"/>
        </w:rPr>
        <w:t xml:space="preserve">Aspectele tehnice, legale şi politice integrate în planurile aprobate de amenajare a teritoriului constituie elemente care fundamentează planurile regionale de dezvoltare şi constituie expresia coordonată spaţial şi temporal a politicilor de dezvoltare. </w:t>
      </w:r>
    </w:p>
    <w:p w:rsidR="00457D55" w:rsidRPr="00080DE9" w:rsidRDefault="003B28E1" w:rsidP="00080DE9">
      <w:pPr>
        <w:widowControl w:val="0"/>
        <w:autoSpaceDE w:val="0"/>
        <w:autoSpaceDN w:val="0"/>
        <w:adjustRightInd w:val="0"/>
        <w:spacing w:after="0" w:line="240" w:lineRule="auto"/>
        <w:ind w:firstLine="708"/>
        <w:jc w:val="both"/>
        <w:rPr>
          <w:rFonts w:ascii="Arial" w:hAnsi="Arial" w:cs="Arial"/>
          <w:sz w:val="24"/>
          <w:szCs w:val="24"/>
        </w:rPr>
      </w:pPr>
      <w:r w:rsidRPr="00845E8A">
        <w:rPr>
          <w:rFonts w:ascii="Arial" w:hAnsi="Arial" w:cs="Arial"/>
          <w:sz w:val="24"/>
          <w:szCs w:val="24"/>
        </w:rPr>
        <w:t>În condiţiile specifice ale României, clarificarea regimului juridic al proprietăţii asupra terenurilor – fie intravilane (construibile), fie extravilane (preponderent agricole, silvice sau perimetre naturale protejate) – printr-un sistem cadastral adecvat reprezintă obiectul principal al dezvoltării teritoriale sănătoase şi precede stabilirea regimului tehnic şi economic prin documentaţii de urbanism</w:t>
      </w:r>
      <w:r w:rsidRPr="00845E8A">
        <w:rPr>
          <w:rStyle w:val="FootnoteReference"/>
          <w:rFonts w:ascii="Arial" w:hAnsi="Arial" w:cs="Arial"/>
          <w:sz w:val="24"/>
          <w:szCs w:val="24"/>
        </w:rPr>
        <w:footnoteReference w:id="3"/>
      </w:r>
      <w:r w:rsidRPr="00845E8A">
        <w:rPr>
          <w:rFonts w:ascii="Arial" w:hAnsi="Arial" w:cs="Arial"/>
          <w:sz w:val="24"/>
          <w:szCs w:val="24"/>
        </w:rPr>
        <w:t>.</w:t>
      </w:r>
    </w:p>
    <w:sectPr w:rsidR="00457D55" w:rsidRPr="00080DE9" w:rsidSect="00C42452">
      <w:headerReference w:type="default" r:id="rId13"/>
      <w:footerReference w:type="default" r:id="rId14"/>
      <w:pgSz w:w="11906" w:h="16838"/>
      <w:pgMar w:top="624" w:right="709" w:bottom="1021" w:left="1418" w:header="709" w:footer="709" w:gutter="0"/>
      <w:pgNumType w:start="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154" w:rsidRDefault="007D7154" w:rsidP="003B28E1">
      <w:pPr>
        <w:spacing w:after="0" w:line="240" w:lineRule="auto"/>
      </w:pPr>
      <w:r>
        <w:separator/>
      </w:r>
    </w:p>
  </w:endnote>
  <w:endnote w:type="continuationSeparator" w:id="0">
    <w:p w:rsidR="007D7154" w:rsidRDefault="007D7154" w:rsidP="003B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603"/>
      <w:docPartObj>
        <w:docPartGallery w:val="Page Numbers (Bottom of Page)"/>
        <w:docPartUnique/>
      </w:docPartObj>
    </w:sdtPr>
    <w:sdtContent>
      <w:p w:rsidR="009D2D52" w:rsidRPr="0090428C" w:rsidRDefault="008570A6" w:rsidP="0090428C">
        <w:pPr>
          <w:pStyle w:val="Footer"/>
          <w:jc w:val="center"/>
        </w:pPr>
        <w:r w:rsidRPr="00580891">
          <w:rPr>
            <w:rFonts w:ascii="Arial" w:hAnsi="Arial" w:cs="Arial"/>
            <w:sz w:val="20"/>
            <w:szCs w:val="20"/>
          </w:rPr>
          <w:fldChar w:fldCharType="begin"/>
        </w:r>
        <w:r w:rsidR="004641E6" w:rsidRPr="00580891">
          <w:rPr>
            <w:rFonts w:ascii="Arial" w:hAnsi="Arial" w:cs="Arial"/>
            <w:sz w:val="20"/>
            <w:szCs w:val="20"/>
          </w:rPr>
          <w:instrText xml:space="preserve"> PAGE   \* MERGEFORMAT </w:instrText>
        </w:r>
        <w:r w:rsidRPr="00580891">
          <w:rPr>
            <w:rFonts w:ascii="Arial" w:hAnsi="Arial" w:cs="Arial"/>
            <w:sz w:val="20"/>
            <w:szCs w:val="20"/>
          </w:rPr>
          <w:fldChar w:fldCharType="separate"/>
        </w:r>
        <w:r w:rsidR="00C42452">
          <w:rPr>
            <w:rFonts w:ascii="Arial" w:hAnsi="Arial" w:cs="Arial"/>
            <w:noProof/>
            <w:sz w:val="20"/>
            <w:szCs w:val="20"/>
          </w:rPr>
          <w:t>53</w:t>
        </w:r>
        <w:r w:rsidRPr="00580891">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154" w:rsidRDefault="007D7154" w:rsidP="003B28E1">
      <w:pPr>
        <w:spacing w:after="0" w:line="240" w:lineRule="auto"/>
      </w:pPr>
      <w:r>
        <w:separator/>
      </w:r>
    </w:p>
  </w:footnote>
  <w:footnote w:type="continuationSeparator" w:id="0">
    <w:p w:rsidR="007D7154" w:rsidRDefault="007D7154" w:rsidP="003B28E1">
      <w:pPr>
        <w:spacing w:after="0" w:line="240" w:lineRule="auto"/>
      </w:pPr>
      <w:r>
        <w:continuationSeparator/>
      </w:r>
    </w:p>
  </w:footnote>
  <w:footnote w:id="1">
    <w:p w:rsidR="00297444" w:rsidRPr="00297444" w:rsidRDefault="003B28E1" w:rsidP="00297444">
      <w:pPr>
        <w:pStyle w:val="Default"/>
        <w:rPr>
          <w:i/>
        </w:rPr>
      </w:pPr>
      <w:r w:rsidRPr="00562AF4">
        <w:rPr>
          <w:rStyle w:val="FootnoteReference"/>
        </w:rPr>
        <w:footnoteRef/>
      </w:r>
      <w:r w:rsidRPr="00562AF4">
        <w:t xml:space="preserve"> </w:t>
      </w:r>
      <w:r w:rsidRPr="00206C9B">
        <w:rPr>
          <w:sz w:val="20"/>
          <w:szCs w:val="20"/>
        </w:rPr>
        <w:t>Ghid de elaborare a Raportului anual privind starea mediului conform cerinţelor SOER</w:t>
      </w:r>
      <w:r w:rsidR="00372EC3" w:rsidRPr="00206C9B">
        <w:rPr>
          <w:sz w:val="20"/>
          <w:szCs w:val="20"/>
        </w:rPr>
        <w:t xml:space="preserve">  </w:t>
      </w:r>
      <w:r w:rsidR="00372EC3" w:rsidRPr="00206C9B">
        <w:rPr>
          <w:i/>
          <w:sz w:val="20"/>
          <w:szCs w:val="20"/>
        </w:rPr>
        <w:t>- Indicator RO 44</w:t>
      </w:r>
      <w:r w:rsidR="00297444" w:rsidRPr="00206C9B">
        <w:rPr>
          <w:i/>
          <w:sz w:val="20"/>
          <w:szCs w:val="20"/>
        </w:rPr>
        <w:t xml:space="preserve"> ,,Fragmentarea arealelor naturale și semi-naturale</w:t>
      </w:r>
      <w:r w:rsidR="00297444" w:rsidRPr="00206C9B">
        <w:rPr>
          <w:i/>
          <w:sz w:val="20"/>
          <w:szCs w:val="20"/>
          <w:lang w:val="en-US"/>
        </w:rPr>
        <w:t>’’</w:t>
      </w:r>
    </w:p>
    <w:tbl>
      <w:tblPr>
        <w:tblW w:w="0" w:type="auto"/>
        <w:tblBorders>
          <w:top w:val="nil"/>
          <w:left w:val="nil"/>
          <w:bottom w:val="nil"/>
          <w:right w:val="nil"/>
        </w:tblBorders>
        <w:tblLayout w:type="fixed"/>
        <w:tblLook w:val="0000"/>
      </w:tblPr>
      <w:tblGrid>
        <w:gridCol w:w="6721"/>
      </w:tblGrid>
      <w:tr w:rsidR="00297444">
        <w:trPr>
          <w:trHeight w:val="103"/>
        </w:trPr>
        <w:tc>
          <w:tcPr>
            <w:tcW w:w="6721" w:type="dxa"/>
          </w:tcPr>
          <w:p w:rsidR="00297444" w:rsidRDefault="00297444">
            <w:pPr>
              <w:pStyle w:val="Default"/>
              <w:rPr>
                <w:sz w:val="22"/>
                <w:szCs w:val="22"/>
              </w:rPr>
            </w:pPr>
          </w:p>
        </w:tc>
      </w:tr>
    </w:tbl>
    <w:p w:rsidR="003B28E1" w:rsidRPr="00562AF4" w:rsidRDefault="003B28E1" w:rsidP="003B28E1">
      <w:pPr>
        <w:pStyle w:val="FootnoteText"/>
        <w:rPr>
          <w:rFonts w:ascii="Arial" w:hAnsi="Arial" w:cs="Arial"/>
        </w:rPr>
      </w:pPr>
    </w:p>
  </w:footnote>
  <w:footnote w:id="2">
    <w:p w:rsidR="003B28E1" w:rsidRPr="0076234F" w:rsidRDefault="003B28E1" w:rsidP="003B28E1">
      <w:pPr>
        <w:pStyle w:val="FootnoteText"/>
        <w:rPr>
          <w:rFonts w:ascii="Arial" w:hAnsi="Arial" w:cs="Arial"/>
          <w:i/>
        </w:rPr>
      </w:pPr>
      <w:r w:rsidRPr="00A62880">
        <w:rPr>
          <w:rStyle w:val="FootnoteReference"/>
          <w:rFonts w:ascii="Arial" w:hAnsi="Arial" w:cs="Arial"/>
        </w:rPr>
        <w:footnoteRef/>
      </w:r>
      <w:r w:rsidRPr="00A62880">
        <w:rPr>
          <w:rFonts w:ascii="Arial" w:hAnsi="Arial" w:cs="Arial"/>
        </w:rPr>
        <w:t xml:space="preserve"> Ghid de elaborare a Raportului anual privind starea mediului conform cerinţelor SOER</w:t>
      </w:r>
      <w:r w:rsidR="00F715FB" w:rsidRPr="00A62880">
        <w:rPr>
          <w:rFonts w:ascii="Arial" w:hAnsi="Arial" w:cs="Arial"/>
        </w:rPr>
        <w:t xml:space="preserve"> </w:t>
      </w:r>
      <w:r w:rsidR="00F715FB" w:rsidRPr="00A62880">
        <w:rPr>
          <w:rFonts w:ascii="Arial" w:hAnsi="Arial" w:cs="Arial"/>
          <w:i/>
        </w:rPr>
        <w:t>– Indicator RO 14</w:t>
      </w:r>
      <w:r w:rsidR="0076234F" w:rsidRPr="00A62880">
        <w:rPr>
          <w:rFonts w:ascii="Arial" w:hAnsi="Arial" w:cs="Arial"/>
          <w:i/>
        </w:rPr>
        <w:t xml:space="preserve"> ,,Ocuparea terenurilor</w:t>
      </w:r>
      <w:r w:rsidR="0076234F" w:rsidRPr="00A62880">
        <w:rPr>
          <w:rFonts w:ascii="Arial" w:hAnsi="Arial" w:cs="Arial"/>
          <w:i/>
          <w:lang w:val="en-US"/>
        </w:rPr>
        <w:t>’’</w:t>
      </w:r>
    </w:p>
  </w:footnote>
  <w:footnote w:id="3">
    <w:p w:rsidR="003B28E1" w:rsidRPr="00023287" w:rsidRDefault="003B28E1" w:rsidP="003B28E1">
      <w:pPr>
        <w:pStyle w:val="FootnoteText"/>
        <w:rPr>
          <w:rFonts w:ascii="Arial" w:hAnsi="Arial" w:cs="Arial"/>
        </w:rPr>
      </w:pPr>
      <w:r w:rsidRPr="00713266">
        <w:rPr>
          <w:rStyle w:val="FootnoteReference"/>
          <w:rFonts w:ascii="Arial" w:hAnsi="Arial" w:cs="Arial"/>
        </w:rPr>
        <w:footnoteRef/>
      </w:r>
      <w:r w:rsidRPr="00713266">
        <w:rPr>
          <w:rFonts w:ascii="Arial" w:hAnsi="Arial" w:cs="Arial"/>
        </w:rPr>
        <w:t xml:space="preserve"> Strategia Naţională pentru Dezvoltarea Durabilă a României Orizonturi 2013 – 2020 – 2030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52" w:rsidRPr="005E7D7A" w:rsidRDefault="004641E6" w:rsidP="006C0988">
    <w:pPr>
      <w:pStyle w:val="Header"/>
      <w:rPr>
        <w:rFonts w:ascii="Arial" w:hAnsi="Arial" w:cs="Arial"/>
        <w:b/>
        <w:i/>
        <w:sz w:val="20"/>
      </w:rPr>
    </w:pPr>
    <w:r w:rsidRPr="005E7D7A">
      <w:rPr>
        <w:rFonts w:ascii="Arial" w:hAnsi="Arial" w:cs="Arial"/>
        <w:b/>
        <w:i/>
        <w:sz w:val="20"/>
      </w:rPr>
      <w:t>Raport privind starea mediului în judeţul Suceava în anul 201</w:t>
    </w:r>
    <w:r w:rsidR="00916C12">
      <w:rPr>
        <w:rFonts w:ascii="Arial" w:hAnsi="Arial" w:cs="Arial"/>
        <w:b/>
        <w:i/>
        <w:sz w:val="20"/>
      </w:rPr>
      <w:t>7</w:t>
    </w:r>
  </w:p>
  <w:p w:rsidR="009D2D52" w:rsidRDefault="008570A6" w:rsidP="006C0988">
    <w:pPr>
      <w:pStyle w:val="Header"/>
      <w:tabs>
        <w:tab w:val="left" w:pos="2880"/>
      </w:tabs>
    </w:pPr>
    <w:r w:rsidRPr="008570A6">
      <w:rPr>
        <w:noProof/>
        <w:lang w:val="en-AU"/>
      </w:rPr>
      <w:pict>
        <v:line id="_x0000_s1025" style="position:absolute;flip:y;z-index:251660288" from=".9pt,3.45pt" to="495.3pt,3.45pt" o:allowincell="f">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7F56"/>
    <w:multiLevelType w:val="hybridMultilevel"/>
    <w:tmpl w:val="F67EF994"/>
    <w:lvl w:ilvl="0" w:tplc="9A9CB818">
      <w:start w:val="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o:shapelayout v:ext="edit">
      <o:idmap v:ext="edit" data="1"/>
    </o:shapelayout>
  </w:hdrShapeDefaults>
  <w:footnotePr>
    <w:footnote w:id="-1"/>
    <w:footnote w:id="0"/>
  </w:footnotePr>
  <w:endnotePr>
    <w:endnote w:id="-1"/>
    <w:endnote w:id="0"/>
  </w:endnotePr>
  <w:compat/>
  <w:rsids>
    <w:rsidRoot w:val="003B28E1"/>
    <w:rsid w:val="00001395"/>
    <w:rsid w:val="00004D70"/>
    <w:rsid w:val="00006C7B"/>
    <w:rsid w:val="000149B1"/>
    <w:rsid w:val="0002197A"/>
    <w:rsid w:val="000302BE"/>
    <w:rsid w:val="000344AD"/>
    <w:rsid w:val="000356C2"/>
    <w:rsid w:val="00054AB1"/>
    <w:rsid w:val="0007753C"/>
    <w:rsid w:val="00077C21"/>
    <w:rsid w:val="00080DE9"/>
    <w:rsid w:val="000848F0"/>
    <w:rsid w:val="00090527"/>
    <w:rsid w:val="00090C54"/>
    <w:rsid w:val="0009742C"/>
    <w:rsid w:val="000A33C4"/>
    <w:rsid w:val="000A406E"/>
    <w:rsid w:val="000A67B7"/>
    <w:rsid w:val="000B0B78"/>
    <w:rsid w:val="000C2C7D"/>
    <w:rsid w:val="000C3272"/>
    <w:rsid w:val="000C66A5"/>
    <w:rsid w:val="000D4A62"/>
    <w:rsid w:val="000E7C9A"/>
    <w:rsid w:val="001007E0"/>
    <w:rsid w:val="00100EB0"/>
    <w:rsid w:val="00101292"/>
    <w:rsid w:val="00107A41"/>
    <w:rsid w:val="0012680C"/>
    <w:rsid w:val="00130B31"/>
    <w:rsid w:val="001363F3"/>
    <w:rsid w:val="00136DD7"/>
    <w:rsid w:val="00137974"/>
    <w:rsid w:val="00143517"/>
    <w:rsid w:val="0014442B"/>
    <w:rsid w:val="001617F3"/>
    <w:rsid w:val="00173046"/>
    <w:rsid w:val="00176D66"/>
    <w:rsid w:val="00184634"/>
    <w:rsid w:val="00184B50"/>
    <w:rsid w:val="00196972"/>
    <w:rsid w:val="00197EC1"/>
    <w:rsid w:val="001A0AA6"/>
    <w:rsid w:val="001A0DA1"/>
    <w:rsid w:val="001A1ABE"/>
    <w:rsid w:val="001B3C32"/>
    <w:rsid w:val="001B3FBD"/>
    <w:rsid w:val="001B7A67"/>
    <w:rsid w:val="001C216E"/>
    <w:rsid w:val="001D7ACE"/>
    <w:rsid w:val="001E0673"/>
    <w:rsid w:val="001E1805"/>
    <w:rsid w:val="001E1E9E"/>
    <w:rsid w:val="001E3128"/>
    <w:rsid w:val="001E3618"/>
    <w:rsid w:val="001E5482"/>
    <w:rsid w:val="001E79B7"/>
    <w:rsid w:val="001F1179"/>
    <w:rsid w:val="001F7A97"/>
    <w:rsid w:val="00205197"/>
    <w:rsid w:val="0020591A"/>
    <w:rsid w:val="002069E2"/>
    <w:rsid w:val="00206C9B"/>
    <w:rsid w:val="00207F38"/>
    <w:rsid w:val="002109A9"/>
    <w:rsid w:val="0021309D"/>
    <w:rsid w:val="00214DF4"/>
    <w:rsid w:val="002179C1"/>
    <w:rsid w:val="00221D61"/>
    <w:rsid w:val="00222784"/>
    <w:rsid w:val="002259A3"/>
    <w:rsid w:val="00227FD9"/>
    <w:rsid w:val="00234BD7"/>
    <w:rsid w:val="0023556E"/>
    <w:rsid w:val="00254D77"/>
    <w:rsid w:val="002567B8"/>
    <w:rsid w:val="00262A54"/>
    <w:rsid w:val="00274259"/>
    <w:rsid w:val="002818E4"/>
    <w:rsid w:val="00283EA3"/>
    <w:rsid w:val="00295910"/>
    <w:rsid w:val="00296C1E"/>
    <w:rsid w:val="00297130"/>
    <w:rsid w:val="00297444"/>
    <w:rsid w:val="002A0FF7"/>
    <w:rsid w:val="002A4B13"/>
    <w:rsid w:val="002A6AC8"/>
    <w:rsid w:val="002B1215"/>
    <w:rsid w:val="002B18F7"/>
    <w:rsid w:val="002B4532"/>
    <w:rsid w:val="002B6BF4"/>
    <w:rsid w:val="002C4875"/>
    <w:rsid w:val="002C4B84"/>
    <w:rsid w:val="002C5A0B"/>
    <w:rsid w:val="002D034E"/>
    <w:rsid w:val="002D4BAB"/>
    <w:rsid w:val="002D4FE4"/>
    <w:rsid w:val="002E1FA1"/>
    <w:rsid w:val="002E3200"/>
    <w:rsid w:val="002E7D1A"/>
    <w:rsid w:val="00301830"/>
    <w:rsid w:val="0030217F"/>
    <w:rsid w:val="0030542B"/>
    <w:rsid w:val="00327079"/>
    <w:rsid w:val="00333B8B"/>
    <w:rsid w:val="00333FD9"/>
    <w:rsid w:val="00337C06"/>
    <w:rsid w:val="00340581"/>
    <w:rsid w:val="00341591"/>
    <w:rsid w:val="0035464C"/>
    <w:rsid w:val="00372EC3"/>
    <w:rsid w:val="00373DD2"/>
    <w:rsid w:val="003774C6"/>
    <w:rsid w:val="0038121B"/>
    <w:rsid w:val="003836D4"/>
    <w:rsid w:val="00384E6B"/>
    <w:rsid w:val="003A3A11"/>
    <w:rsid w:val="003A60B1"/>
    <w:rsid w:val="003B28E1"/>
    <w:rsid w:val="003B518F"/>
    <w:rsid w:val="003C24B4"/>
    <w:rsid w:val="003C7A6E"/>
    <w:rsid w:val="003D2ED0"/>
    <w:rsid w:val="003E139F"/>
    <w:rsid w:val="003E1A68"/>
    <w:rsid w:val="00400F2B"/>
    <w:rsid w:val="004155B4"/>
    <w:rsid w:val="0042353B"/>
    <w:rsid w:val="00433731"/>
    <w:rsid w:val="00433BCA"/>
    <w:rsid w:val="00442CB2"/>
    <w:rsid w:val="00451C74"/>
    <w:rsid w:val="00456E59"/>
    <w:rsid w:val="00457ACA"/>
    <w:rsid w:val="00457D55"/>
    <w:rsid w:val="0046026C"/>
    <w:rsid w:val="004641E6"/>
    <w:rsid w:val="004656F2"/>
    <w:rsid w:val="00476107"/>
    <w:rsid w:val="00484C1D"/>
    <w:rsid w:val="00484DE0"/>
    <w:rsid w:val="004B54E0"/>
    <w:rsid w:val="004C5C1B"/>
    <w:rsid w:val="004D31D3"/>
    <w:rsid w:val="004F3CDB"/>
    <w:rsid w:val="0050161A"/>
    <w:rsid w:val="00517D17"/>
    <w:rsid w:val="0052193D"/>
    <w:rsid w:val="005221C5"/>
    <w:rsid w:val="00536329"/>
    <w:rsid w:val="00540098"/>
    <w:rsid w:val="00551789"/>
    <w:rsid w:val="005523ED"/>
    <w:rsid w:val="00552624"/>
    <w:rsid w:val="005601B3"/>
    <w:rsid w:val="00574468"/>
    <w:rsid w:val="00581920"/>
    <w:rsid w:val="00586F84"/>
    <w:rsid w:val="00587F81"/>
    <w:rsid w:val="0059473E"/>
    <w:rsid w:val="005A1E82"/>
    <w:rsid w:val="005B2191"/>
    <w:rsid w:val="005B2B89"/>
    <w:rsid w:val="005D646F"/>
    <w:rsid w:val="005E3D85"/>
    <w:rsid w:val="005F4A9D"/>
    <w:rsid w:val="00602952"/>
    <w:rsid w:val="00603552"/>
    <w:rsid w:val="00603A07"/>
    <w:rsid w:val="0060522E"/>
    <w:rsid w:val="00606F48"/>
    <w:rsid w:val="00612877"/>
    <w:rsid w:val="006156D2"/>
    <w:rsid w:val="00621644"/>
    <w:rsid w:val="00631061"/>
    <w:rsid w:val="00636853"/>
    <w:rsid w:val="00637119"/>
    <w:rsid w:val="00641B32"/>
    <w:rsid w:val="00650553"/>
    <w:rsid w:val="006530F6"/>
    <w:rsid w:val="00660EC3"/>
    <w:rsid w:val="0066489B"/>
    <w:rsid w:val="00665E73"/>
    <w:rsid w:val="00670D9F"/>
    <w:rsid w:val="00671FB0"/>
    <w:rsid w:val="0069153C"/>
    <w:rsid w:val="00693750"/>
    <w:rsid w:val="00693CD5"/>
    <w:rsid w:val="006956C7"/>
    <w:rsid w:val="006A66D2"/>
    <w:rsid w:val="006C3C46"/>
    <w:rsid w:val="006D04B4"/>
    <w:rsid w:val="006D071B"/>
    <w:rsid w:val="006D13DF"/>
    <w:rsid w:val="006D2B71"/>
    <w:rsid w:val="006E1B39"/>
    <w:rsid w:val="006E208E"/>
    <w:rsid w:val="006E40FD"/>
    <w:rsid w:val="006F49E5"/>
    <w:rsid w:val="006F54E8"/>
    <w:rsid w:val="007005C3"/>
    <w:rsid w:val="0071102C"/>
    <w:rsid w:val="00713266"/>
    <w:rsid w:val="00715BD8"/>
    <w:rsid w:val="00721C73"/>
    <w:rsid w:val="00725839"/>
    <w:rsid w:val="0073006F"/>
    <w:rsid w:val="00733440"/>
    <w:rsid w:val="0073407A"/>
    <w:rsid w:val="00735D60"/>
    <w:rsid w:val="007425A9"/>
    <w:rsid w:val="0075029A"/>
    <w:rsid w:val="007509B3"/>
    <w:rsid w:val="0075212F"/>
    <w:rsid w:val="00757D6D"/>
    <w:rsid w:val="0076234F"/>
    <w:rsid w:val="00772405"/>
    <w:rsid w:val="007A0C40"/>
    <w:rsid w:val="007A59FE"/>
    <w:rsid w:val="007A7EFE"/>
    <w:rsid w:val="007B0A1E"/>
    <w:rsid w:val="007D7154"/>
    <w:rsid w:val="007E6D2D"/>
    <w:rsid w:val="007E7AB1"/>
    <w:rsid w:val="00800AF3"/>
    <w:rsid w:val="00801A5E"/>
    <w:rsid w:val="00805122"/>
    <w:rsid w:val="00813BC3"/>
    <w:rsid w:val="00814074"/>
    <w:rsid w:val="0084477B"/>
    <w:rsid w:val="00845E8A"/>
    <w:rsid w:val="00850D68"/>
    <w:rsid w:val="008512FF"/>
    <w:rsid w:val="00856040"/>
    <w:rsid w:val="008570A6"/>
    <w:rsid w:val="00873561"/>
    <w:rsid w:val="00876BA6"/>
    <w:rsid w:val="008775CA"/>
    <w:rsid w:val="00880645"/>
    <w:rsid w:val="00886C10"/>
    <w:rsid w:val="00892D80"/>
    <w:rsid w:val="008A028B"/>
    <w:rsid w:val="008A2E55"/>
    <w:rsid w:val="008A7E80"/>
    <w:rsid w:val="008B280A"/>
    <w:rsid w:val="008B3931"/>
    <w:rsid w:val="008C184B"/>
    <w:rsid w:val="008C2FE3"/>
    <w:rsid w:val="008C78EC"/>
    <w:rsid w:val="008D173C"/>
    <w:rsid w:val="008D47BA"/>
    <w:rsid w:val="008D55D1"/>
    <w:rsid w:val="00901B18"/>
    <w:rsid w:val="00903562"/>
    <w:rsid w:val="00916C12"/>
    <w:rsid w:val="00922ACD"/>
    <w:rsid w:val="00931747"/>
    <w:rsid w:val="009367A9"/>
    <w:rsid w:val="0093693A"/>
    <w:rsid w:val="00945060"/>
    <w:rsid w:val="009540F1"/>
    <w:rsid w:val="00956D5F"/>
    <w:rsid w:val="00957230"/>
    <w:rsid w:val="009620D8"/>
    <w:rsid w:val="00970B76"/>
    <w:rsid w:val="00991AD9"/>
    <w:rsid w:val="00992E95"/>
    <w:rsid w:val="009B3B55"/>
    <w:rsid w:val="009B676A"/>
    <w:rsid w:val="009C106D"/>
    <w:rsid w:val="009C10CC"/>
    <w:rsid w:val="009C244B"/>
    <w:rsid w:val="009C391A"/>
    <w:rsid w:val="009D0D91"/>
    <w:rsid w:val="009E0260"/>
    <w:rsid w:val="009E0A33"/>
    <w:rsid w:val="009E5AAD"/>
    <w:rsid w:val="009F651D"/>
    <w:rsid w:val="009F70C5"/>
    <w:rsid w:val="00A071F6"/>
    <w:rsid w:val="00A2092C"/>
    <w:rsid w:val="00A2441D"/>
    <w:rsid w:val="00A32048"/>
    <w:rsid w:val="00A33709"/>
    <w:rsid w:val="00A34A32"/>
    <w:rsid w:val="00A350B3"/>
    <w:rsid w:val="00A43D8D"/>
    <w:rsid w:val="00A53DD2"/>
    <w:rsid w:val="00A62880"/>
    <w:rsid w:val="00A63C62"/>
    <w:rsid w:val="00A82C64"/>
    <w:rsid w:val="00A8508D"/>
    <w:rsid w:val="00A86CBB"/>
    <w:rsid w:val="00A87A3D"/>
    <w:rsid w:val="00A9749D"/>
    <w:rsid w:val="00AA4448"/>
    <w:rsid w:val="00AA494C"/>
    <w:rsid w:val="00AA53F2"/>
    <w:rsid w:val="00AA5A64"/>
    <w:rsid w:val="00AA739F"/>
    <w:rsid w:val="00AB15B7"/>
    <w:rsid w:val="00AB1A8B"/>
    <w:rsid w:val="00AC2A02"/>
    <w:rsid w:val="00AC4BA0"/>
    <w:rsid w:val="00AD12D8"/>
    <w:rsid w:val="00AD26C6"/>
    <w:rsid w:val="00AD771B"/>
    <w:rsid w:val="00AE3355"/>
    <w:rsid w:val="00AF1F86"/>
    <w:rsid w:val="00B01411"/>
    <w:rsid w:val="00B016CC"/>
    <w:rsid w:val="00B01C75"/>
    <w:rsid w:val="00B052B1"/>
    <w:rsid w:val="00B11DD4"/>
    <w:rsid w:val="00B13F37"/>
    <w:rsid w:val="00B2248B"/>
    <w:rsid w:val="00B23145"/>
    <w:rsid w:val="00B24385"/>
    <w:rsid w:val="00B2777F"/>
    <w:rsid w:val="00B37C46"/>
    <w:rsid w:val="00B452C4"/>
    <w:rsid w:val="00B47BB5"/>
    <w:rsid w:val="00B51494"/>
    <w:rsid w:val="00B570ED"/>
    <w:rsid w:val="00B60CFE"/>
    <w:rsid w:val="00B617C8"/>
    <w:rsid w:val="00B644A7"/>
    <w:rsid w:val="00B67B25"/>
    <w:rsid w:val="00B67C70"/>
    <w:rsid w:val="00B73C89"/>
    <w:rsid w:val="00B74A57"/>
    <w:rsid w:val="00B74F02"/>
    <w:rsid w:val="00B801A1"/>
    <w:rsid w:val="00B8728F"/>
    <w:rsid w:val="00B900E7"/>
    <w:rsid w:val="00BA34A9"/>
    <w:rsid w:val="00BB25AA"/>
    <w:rsid w:val="00BB3E52"/>
    <w:rsid w:val="00BB4F0D"/>
    <w:rsid w:val="00BC25AB"/>
    <w:rsid w:val="00BD1DED"/>
    <w:rsid w:val="00BD5DA2"/>
    <w:rsid w:val="00BD6B28"/>
    <w:rsid w:val="00BE131C"/>
    <w:rsid w:val="00BE1E03"/>
    <w:rsid w:val="00BE3EB5"/>
    <w:rsid w:val="00C02FA3"/>
    <w:rsid w:val="00C04C4D"/>
    <w:rsid w:val="00C10C09"/>
    <w:rsid w:val="00C27E31"/>
    <w:rsid w:val="00C3525D"/>
    <w:rsid w:val="00C42452"/>
    <w:rsid w:val="00C44376"/>
    <w:rsid w:val="00C47A02"/>
    <w:rsid w:val="00C47F38"/>
    <w:rsid w:val="00C5607B"/>
    <w:rsid w:val="00C6507D"/>
    <w:rsid w:val="00C671AF"/>
    <w:rsid w:val="00C7158C"/>
    <w:rsid w:val="00C747AA"/>
    <w:rsid w:val="00C93EE2"/>
    <w:rsid w:val="00CA263E"/>
    <w:rsid w:val="00CA4DD0"/>
    <w:rsid w:val="00CB0300"/>
    <w:rsid w:val="00CC2B3C"/>
    <w:rsid w:val="00CC2F6B"/>
    <w:rsid w:val="00CD2449"/>
    <w:rsid w:val="00CD7C7F"/>
    <w:rsid w:val="00CD7DC4"/>
    <w:rsid w:val="00CE2290"/>
    <w:rsid w:val="00CE3CF5"/>
    <w:rsid w:val="00CE3F8D"/>
    <w:rsid w:val="00CE5FD0"/>
    <w:rsid w:val="00CE66E6"/>
    <w:rsid w:val="00D1781C"/>
    <w:rsid w:val="00D2419B"/>
    <w:rsid w:val="00D25BF4"/>
    <w:rsid w:val="00D33843"/>
    <w:rsid w:val="00D409D5"/>
    <w:rsid w:val="00D50B3C"/>
    <w:rsid w:val="00D55D5C"/>
    <w:rsid w:val="00D65552"/>
    <w:rsid w:val="00D6568E"/>
    <w:rsid w:val="00D671F1"/>
    <w:rsid w:val="00D72F8D"/>
    <w:rsid w:val="00D739A2"/>
    <w:rsid w:val="00D845EF"/>
    <w:rsid w:val="00D86060"/>
    <w:rsid w:val="00D9083C"/>
    <w:rsid w:val="00DA0045"/>
    <w:rsid w:val="00DC078C"/>
    <w:rsid w:val="00DC3BE0"/>
    <w:rsid w:val="00DC6F09"/>
    <w:rsid w:val="00DD0962"/>
    <w:rsid w:val="00DD695B"/>
    <w:rsid w:val="00DE1105"/>
    <w:rsid w:val="00DE4D50"/>
    <w:rsid w:val="00DF0707"/>
    <w:rsid w:val="00DF2305"/>
    <w:rsid w:val="00DF350C"/>
    <w:rsid w:val="00DF7B52"/>
    <w:rsid w:val="00E036CF"/>
    <w:rsid w:val="00E03BD6"/>
    <w:rsid w:val="00E16486"/>
    <w:rsid w:val="00E31B5B"/>
    <w:rsid w:val="00E331B8"/>
    <w:rsid w:val="00E35B37"/>
    <w:rsid w:val="00E537D4"/>
    <w:rsid w:val="00E63447"/>
    <w:rsid w:val="00E659D2"/>
    <w:rsid w:val="00E6773B"/>
    <w:rsid w:val="00E71AED"/>
    <w:rsid w:val="00E923F1"/>
    <w:rsid w:val="00EA268C"/>
    <w:rsid w:val="00EA2A8B"/>
    <w:rsid w:val="00EB145D"/>
    <w:rsid w:val="00EB3C8B"/>
    <w:rsid w:val="00EB510A"/>
    <w:rsid w:val="00EC35CC"/>
    <w:rsid w:val="00EC530F"/>
    <w:rsid w:val="00ED6C9F"/>
    <w:rsid w:val="00ED6F2A"/>
    <w:rsid w:val="00EE626F"/>
    <w:rsid w:val="00EE671C"/>
    <w:rsid w:val="00EF259A"/>
    <w:rsid w:val="00EF5FEC"/>
    <w:rsid w:val="00F0002C"/>
    <w:rsid w:val="00F10974"/>
    <w:rsid w:val="00F30C01"/>
    <w:rsid w:val="00F54604"/>
    <w:rsid w:val="00F55A1A"/>
    <w:rsid w:val="00F55B96"/>
    <w:rsid w:val="00F60E72"/>
    <w:rsid w:val="00F6408F"/>
    <w:rsid w:val="00F715FB"/>
    <w:rsid w:val="00F74B90"/>
    <w:rsid w:val="00F903D2"/>
    <w:rsid w:val="00F90F2C"/>
    <w:rsid w:val="00F95DAA"/>
    <w:rsid w:val="00FA712B"/>
    <w:rsid w:val="00FB5AFE"/>
    <w:rsid w:val="00FD51D7"/>
    <w:rsid w:val="00FE03D3"/>
    <w:rsid w:val="00FE3EB3"/>
    <w:rsid w:val="00FE416D"/>
    <w:rsid w:val="00FF01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F37"/>
    <w:pPr>
      <w:ind w:left="720"/>
      <w:contextualSpacing/>
    </w:pPr>
  </w:style>
  <w:style w:type="table" w:styleId="TableGrid">
    <w:name w:val="Table Grid"/>
    <w:basedOn w:val="TableNormal"/>
    <w:uiPriority w:val="59"/>
    <w:rsid w:val="003B2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28E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B2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8E1"/>
    <w:rPr>
      <w:sz w:val="20"/>
      <w:szCs w:val="20"/>
    </w:rPr>
  </w:style>
  <w:style w:type="character" w:styleId="FootnoteReference">
    <w:name w:val="footnote reference"/>
    <w:basedOn w:val="DefaultParagraphFont"/>
    <w:uiPriority w:val="99"/>
    <w:semiHidden/>
    <w:unhideWhenUsed/>
    <w:rsid w:val="003B28E1"/>
    <w:rPr>
      <w:vertAlign w:val="superscript"/>
    </w:rPr>
  </w:style>
  <w:style w:type="paragraph" w:styleId="Header">
    <w:name w:val="header"/>
    <w:basedOn w:val="Normal"/>
    <w:link w:val="HeaderChar"/>
    <w:unhideWhenUsed/>
    <w:rsid w:val="003B28E1"/>
    <w:pPr>
      <w:tabs>
        <w:tab w:val="center" w:pos="4536"/>
        <w:tab w:val="right" w:pos="9072"/>
      </w:tabs>
      <w:spacing w:after="0" w:line="240" w:lineRule="auto"/>
    </w:pPr>
  </w:style>
  <w:style w:type="character" w:customStyle="1" w:styleId="HeaderChar">
    <w:name w:val="Header Char"/>
    <w:basedOn w:val="DefaultParagraphFont"/>
    <w:link w:val="Header"/>
    <w:rsid w:val="003B28E1"/>
  </w:style>
  <w:style w:type="paragraph" w:styleId="Footer">
    <w:name w:val="footer"/>
    <w:basedOn w:val="Normal"/>
    <w:link w:val="FooterChar"/>
    <w:uiPriority w:val="99"/>
    <w:unhideWhenUsed/>
    <w:rsid w:val="003B28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8E1"/>
  </w:style>
  <w:style w:type="paragraph" w:styleId="BalloonText">
    <w:name w:val="Balloon Text"/>
    <w:basedOn w:val="Normal"/>
    <w:link w:val="BalloonTextChar"/>
    <w:uiPriority w:val="99"/>
    <w:semiHidden/>
    <w:unhideWhenUsed/>
    <w:rsid w:val="003B2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3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autoTitleDeleted val="1"/>
    <c:view3D>
      <c:rotX val="30"/>
      <c:rotY val="180"/>
      <c:perspective val="30"/>
    </c:view3D>
    <c:plotArea>
      <c:layout>
        <c:manualLayout>
          <c:layoutTarget val="inner"/>
          <c:xMode val="edge"/>
          <c:yMode val="edge"/>
          <c:x val="1.651638970996171E-3"/>
          <c:y val="0.22081364829396322"/>
          <c:w val="0.46683322211842165"/>
          <c:h val="0.66987280436100582"/>
        </c:manualLayout>
      </c:layout>
      <c:pie3DChart>
        <c:varyColors val="1"/>
        <c:ser>
          <c:idx val="0"/>
          <c:order val="0"/>
          <c:tx>
            <c:strRef>
              <c:f>Sheet1!$B$1</c:f>
              <c:strCache>
                <c:ptCount val="1"/>
                <c:pt idx="0">
                  <c:v>Column2</c:v>
                </c:pt>
              </c:strCache>
            </c:strRef>
          </c:tx>
          <c:cat>
            <c:strRef>
              <c:f>Sheet1!$A$2:$A$7</c:f>
              <c:strCache>
                <c:ptCount val="6"/>
                <c:pt idx="0">
                  <c:v>Terenuri agricole</c:v>
                </c:pt>
                <c:pt idx="1">
                  <c:v>Păduri şi altă veg. forestieră </c:v>
                </c:pt>
                <c:pt idx="2">
                  <c:v>Ape şi bălţi</c:v>
                </c:pt>
                <c:pt idx="3">
                  <c:v>Construcţii</c:v>
                </c:pt>
                <c:pt idx="4">
                  <c:v>Căi de comunicaţie şi căi ferate</c:v>
                </c:pt>
                <c:pt idx="5">
                  <c:v>Terenuri degradate şi neproductive</c:v>
                </c:pt>
              </c:strCache>
            </c:strRef>
          </c:cat>
          <c:val>
            <c:numRef>
              <c:f>Sheet1!$B$2:$B$7</c:f>
              <c:numCache>
                <c:formatCode>General</c:formatCode>
                <c:ptCount val="6"/>
                <c:pt idx="0">
                  <c:v>41.5</c:v>
                </c:pt>
                <c:pt idx="1">
                  <c:v>51.7</c:v>
                </c:pt>
                <c:pt idx="2">
                  <c:v>1.4</c:v>
                </c:pt>
                <c:pt idx="3">
                  <c:v>2.4</c:v>
                </c:pt>
                <c:pt idx="4">
                  <c:v>1</c:v>
                </c:pt>
                <c:pt idx="5">
                  <c:v>2</c:v>
                </c:pt>
              </c:numCache>
            </c:numRef>
          </c:val>
        </c:ser>
      </c:pie3DChart>
    </c:plotArea>
    <c:legend>
      <c:legendPos val="r"/>
      <c:layout>
        <c:manualLayout>
          <c:xMode val="edge"/>
          <c:yMode val="edge"/>
          <c:x val="0.54752808895732297"/>
          <c:y val="0"/>
          <c:w val="0.44685362279242169"/>
          <c:h val="1"/>
        </c:manualLayout>
      </c:layout>
      <c:txPr>
        <a:bodyPr/>
        <a:lstStyle/>
        <a:p>
          <a:pPr>
            <a:defRPr sz="900">
              <a:latin typeface="Arial" pitchFamily="34" charset="0"/>
              <a:cs typeface="Arial" pitchFamily="34" charset="0"/>
            </a:defRPr>
          </a:pPr>
          <a:endParaRPr lang="ro-RO"/>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autoTitleDeleted val="1"/>
    <c:view3D>
      <c:rotX val="30"/>
      <c:rotY val="170"/>
      <c:perspective val="30"/>
    </c:view3D>
    <c:plotArea>
      <c:layout>
        <c:manualLayout>
          <c:layoutTarget val="inner"/>
          <c:xMode val="edge"/>
          <c:yMode val="edge"/>
          <c:x val="3.6300576064355591E-2"/>
          <c:y val="0.2033672620190769"/>
          <c:w val="0.48088216245697157"/>
          <c:h val="0.69125856219192117"/>
        </c:manualLayout>
      </c:layout>
      <c:pie3DChart>
        <c:varyColors val="1"/>
        <c:ser>
          <c:idx val="0"/>
          <c:order val="0"/>
          <c:tx>
            <c:strRef>
              <c:f>Sheet1!$B$1</c:f>
              <c:strCache>
                <c:ptCount val="1"/>
                <c:pt idx="0">
                  <c:v>Column1</c:v>
                </c:pt>
              </c:strCache>
            </c:strRef>
          </c:tx>
          <c:cat>
            <c:strRef>
              <c:f>Sheet1!$A$2:$A$5</c:f>
              <c:strCache>
                <c:ptCount val="4"/>
                <c:pt idx="0">
                  <c:v>Teren arabil</c:v>
                </c:pt>
                <c:pt idx="1">
                  <c:v>Păşuni</c:v>
                </c:pt>
                <c:pt idx="2">
                  <c:v>Fâneţe</c:v>
                </c:pt>
                <c:pt idx="3">
                  <c:v>Livezi şi pepiniere pomicole</c:v>
                </c:pt>
              </c:strCache>
            </c:strRef>
          </c:cat>
          <c:val>
            <c:numRef>
              <c:f>Sheet1!$B$2:$B$5</c:f>
              <c:numCache>
                <c:formatCode>General</c:formatCode>
                <c:ptCount val="4"/>
                <c:pt idx="0">
                  <c:v>21.1</c:v>
                </c:pt>
                <c:pt idx="1">
                  <c:v>10.9</c:v>
                </c:pt>
                <c:pt idx="2">
                  <c:v>9.2000000000000011</c:v>
                </c:pt>
                <c:pt idx="3">
                  <c:v>0.30000000000000032</c:v>
                </c:pt>
              </c:numCache>
            </c:numRef>
          </c:val>
        </c:ser>
        <c:ser>
          <c:idx val="1"/>
          <c:order val="1"/>
          <c:tx>
            <c:strRef>
              <c:f>Sheet1!$C$1</c:f>
              <c:strCache>
                <c:ptCount val="1"/>
                <c:pt idx="0">
                  <c:v>Sales</c:v>
                </c:pt>
              </c:strCache>
            </c:strRef>
          </c:tx>
          <c:cat>
            <c:strRef>
              <c:f>Sheet1!$A$2:$A$5</c:f>
              <c:strCache>
                <c:ptCount val="4"/>
                <c:pt idx="0">
                  <c:v>Teren arabil</c:v>
                </c:pt>
                <c:pt idx="1">
                  <c:v>Păşuni</c:v>
                </c:pt>
                <c:pt idx="2">
                  <c:v>Fâneţe</c:v>
                </c:pt>
                <c:pt idx="3">
                  <c:v>Livezi şi pepiniere pomicole</c:v>
                </c:pt>
              </c:strCache>
            </c:strRef>
          </c:cat>
          <c:val>
            <c:numRef>
              <c:f>Sheet1!$C$2:$C$5</c:f>
              <c:numCache>
                <c:formatCode>General</c:formatCode>
                <c:ptCount val="4"/>
              </c:numCache>
            </c:numRef>
          </c:val>
        </c:ser>
      </c:pie3DChart>
    </c:plotArea>
    <c:legend>
      <c:legendPos val="r"/>
      <c:layout>
        <c:manualLayout>
          <c:xMode val="edge"/>
          <c:yMode val="edge"/>
          <c:x val="0.61173466952994515"/>
          <c:y val="8.8903887014123231E-2"/>
          <c:w val="0.27300882844189933"/>
          <c:h val="0.74684547244095734"/>
        </c:manualLayout>
      </c:layout>
      <c:txPr>
        <a:bodyPr/>
        <a:lstStyle/>
        <a:p>
          <a:pPr>
            <a:defRPr sz="900">
              <a:latin typeface="Arial" pitchFamily="34" charset="0"/>
              <a:cs typeface="Arial" pitchFamily="34" charset="0"/>
            </a:defRPr>
          </a:pPr>
          <a:endParaRPr lang="ro-RO"/>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7.9958463136033303E-2"/>
          <c:y val="9.7760519661069772E-2"/>
          <c:w val="0.54384117873116322"/>
          <c:h val="0.8543851196682607"/>
        </c:manualLayout>
      </c:layout>
      <c:barChart>
        <c:barDir val="col"/>
        <c:grouping val="clustered"/>
        <c:ser>
          <c:idx val="0"/>
          <c:order val="0"/>
          <c:tx>
            <c:strRef>
              <c:f>Sheet1!$B$1</c:f>
              <c:strCache>
                <c:ptCount val="1"/>
                <c:pt idx="0">
                  <c:v>Terenuri agricole</c:v>
                </c:pt>
              </c:strCache>
            </c:strRef>
          </c:tx>
          <c:dLbls>
            <c:delete val="1"/>
          </c:dLbls>
          <c:cat>
            <c:strRef>
              <c:f>Sheet1!$A$2</c:f>
              <c:strCache>
                <c:ptCount val="1"/>
                <c:pt idx="0">
                  <c:v>Schimbări în acoperirea/ utiliz. terenurilor</c:v>
                </c:pt>
              </c:strCache>
            </c:strRef>
          </c:cat>
          <c:val>
            <c:numRef>
              <c:f>Sheet1!$B$2</c:f>
              <c:numCache>
                <c:formatCode>0.00</c:formatCode>
                <c:ptCount val="1"/>
                <c:pt idx="0">
                  <c:v>2.02</c:v>
                </c:pt>
              </c:numCache>
            </c:numRef>
          </c:val>
        </c:ser>
        <c:ser>
          <c:idx val="1"/>
          <c:order val="1"/>
          <c:tx>
            <c:strRef>
              <c:f>Sheet1!$C$1</c:f>
              <c:strCache>
                <c:ptCount val="1"/>
                <c:pt idx="0">
                  <c:v>Păduri şi altă vegetaţie forestieră </c:v>
                </c:pt>
              </c:strCache>
            </c:strRef>
          </c:tx>
          <c:dLbls>
            <c:delete val="1"/>
          </c:dLbls>
          <c:cat>
            <c:strRef>
              <c:f>Sheet1!$A$2</c:f>
              <c:strCache>
                <c:ptCount val="1"/>
                <c:pt idx="0">
                  <c:v>Schimbări în acoperirea/ utiliz. terenurilor</c:v>
                </c:pt>
              </c:strCache>
            </c:strRef>
          </c:cat>
          <c:val>
            <c:numRef>
              <c:f>Sheet1!$C$2</c:f>
              <c:numCache>
                <c:formatCode>0.00</c:formatCode>
                <c:ptCount val="1"/>
                <c:pt idx="0">
                  <c:v>-2.61</c:v>
                </c:pt>
              </c:numCache>
            </c:numRef>
          </c:val>
        </c:ser>
        <c:ser>
          <c:idx val="2"/>
          <c:order val="2"/>
          <c:tx>
            <c:strRef>
              <c:f>Sheet1!$D$1</c:f>
              <c:strCache>
                <c:ptCount val="1"/>
                <c:pt idx="0">
                  <c:v>Ape şi bălţi</c:v>
                </c:pt>
              </c:strCache>
            </c:strRef>
          </c:tx>
          <c:dLbls>
            <c:delete val="1"/>
          </c:dLbls>
          <c:cat>
            <c:strRef>
              <c:f>Sheet1!$A$2</c:f>
              <c:strCache>
                <c:ptCount val="1"/>
                <c:pt idx="0">
                  <c:v>Schimbări în acoperirea/ utiliz. terenurilor</c:v>
                </c:pt>
              </c:strCache>
            </c:strRef>
          </c:cat>
          <c:val>
            <c:numRef>
              <c:f>Sheet1!$D$2</c:f>
              <c:numCache>
                <c:formatCode>0.00</c:formatCode>
                <c:ptCount val="1"/>
                <c:pt idx="0">
                  <c:v>0.34</c:v>
                </c:pt>
              </c:numCache>
            </c:numRef>
          </c:val>
        </c:ser>
        <c:ser>
          <c:idx val="3"/>
          <c:order val="3"/>
          <c:tx>
            <c:strRef>
              <c:f>Sheet1!$E$1</c:f>
              <c:strCache>
                <c:ptCount val="1"/>
                <c:pt idx="0">
                  <c:v>Construcţii</c:v>
                </c:pt>
              </c:strCache>
            </c:strRef>
          </c:tx>
          <c:dLbls>
            <c:delete val="1"/>
          </c:dLbls>
          <c:cat>
            <c:strRef>
              <c:f>Sheet1!$A$2</c:f>
              <c:strCache>
                <c:ptCount val="1"/>
                <c:pt idx="0">
                  <c:v>Schimbări în acoperirea/ utiliz. terenurilor</c:v>
                </c:pt>
              </c:strCache>
            </c:strRef>
          </c:cat>
          <c:val>
            <c:numRef>
              <c:f>Sheet1!$E$2</c:f>
              <c:numCache>
                <c:formatCode>0.00</c:formatCode>
                <c:ptCount val="1"/>
                <c:pt idx="0">
                  <c:v>9.31</c:v>
                </c:pt>
              </c:numCache>
            </c:numRef>
          </c:val>
        </c:ser>
        <c:ser>
          <c:idx val="4"/>
          <c:order val="4"/>
          <c:tx>
            <c:strRef>
              <c:f>Sheet1!$F$1</c:f>
              <c:strCache>
                <c:ptCount val="1"/>
                <c:pt idx="0">
                  <c:v>Căi de comunicaţie şi căi ferate</c:v>
                </c:pt>
              </c:strCache>
            </c:strRef>
          </c:tx>
          <c:dLbls>
            <c:delete val="1"/>
          </c:dLbls>
          <c:cat>
            <c:strRef>
              <c:f>Sheet1!$A$2</c:f>
              <c:strCache>
                <c:ptCount val="1"/>
                <c:pt idx="0">
                  <c:v>Schimbări în acoperirea/ utiliz. terenurilor</c:v>
                </c:pt>
              </c:strCache>
            </c:strRef>
          </c:cat>
          <c:val>
            <c:numRef>
              <c:f>Sheet1!$F$2</c:f>
              <c:numCache>
                <c:formatCode>0.00</c:formatCode>
                <c:ptCount val="1"/>
                <c:pt idx="0">
                  <c:v>-0.55000000000000004</c:v>
                </c:pt>
              </c:numCache>
            </c:numRef>
          </c:val>
        </c:ser>
        <c:ser>
          <c:idx val="5"/>
          <c:order val="5"/>
          <c:tx>
            <c:strRef>
              <c:f>Sheet1!$G$1</c:f>
              <c:strCache>
                <c:ptCount val="1"/>
                <c:pt idx="0">
                  <c:v>Terenuri degradate şi neproductive</c:v>
                </c:pt>
              </c:strCache>
            </c:strRef>
          </c:tx>
          <c:dLbls>
            <c:delete val="1"/>
          </c:dLbls>
          <c:cat>
            <c:strRef>
              <c:f>Sheet1!$A$2</c:f>
              <c:strCache>
                <c:ptCount val="1"/>
                <c:pt idx="0">
                  <c:v>Schimbări în acoperirea/ utiliz. terenurilor</c:v>
                </c:pt>
              </c:strCache>
            </c:strRef>
          </c:cat>
          <c:val>
            <c:numRef>
              <c:f>Sheet1!$G$2</c:f>
              <c:numCache>
                <c:formatCode>0.00</c:formatCode>
                <c:ptCount val="1"/>
                <c:pt idx="0">
                  <c:v>21.23</c:v>
                </c:pt>
              </c:numCache>
            </c:numRef>
          </c:val>
        </c:ser>
        <c:dLbls>
          <c:showVal val="1"/>
        </c:dLbls>
        <c:gapWidth val="500"/>
        <c:overlap val="-100"/>
        <c:axId val="123070336"/>
        <c:axId val="123071872"/>
      </c:barChart>
      <c:catAx>
        <c:axId val="123070336"/>
        <c:scaling>
          <c:orientation val="minMax"/>
        </c:scaling>
        <c:axPos val="b"/>
        <c:tickLblPos val="none"/>
        <c:crossAx val="123071872"/>
        <c:crossesAt val="0"/>
        <c:auto val="1"/>
        <c:lblAlgn val="ctr"/>
        <c:lblOffset val="100"/>
      </c:catAx>
      <c:valAx>
        <c:axId val="123071872"/>
        <c:scaling>
          <c:orientation val="minMax"/>
          <c:max val="25"/>
          <c:min val="-5"/>
        </c:scaling>
        <c:axPos val="l"/>
        <c:majorGridlines/>
        <c:title>
          <c:tx>
            <c:rich>
              <a:bodyPr rot="0" vert="horz"/>
              <a:lstStyle/>
              <a:p>
                <a:pPr>
                  <a:defRPr/>
                </a:pPr>
                <a:r>
                  <a:rPr lang="ro-RO"/>
                  <a:t>%</a:t>
                </a:r>
              </a:p>
            </c:rich>
          </c:tx>
          <c:layout>
            <c:manualLayout>
              <c:xMode val="edge"/>
              <c:yMode val="edge"/>
              <c:x val="5.2806405528422917E-2"/>
              <c:y val="1.4898640182539932E-3"/>
            </c:manualLayout>
          </c:layout>
        </c:title>
        <c:numFmt formatCode="#,##0" sourceLinked="0"/>
        <c:tickLblPos val="nextTo"/>
        <c:crossAx val="123070336"/>
        <c:crosses val="autoZero"/>
        <c:crossBetween val="between"/>
      </c:valAx>
      <c:spPr>
        <a:noFill/>
        <a:ln w="25400">
          <a:noFill/>
        </a:ln>
      </c:spPr>
    </c:plotArea>
    <c:legend>
      <c:legendPos val="r"/>
      <c:layout>
        <c:manualLayout>
          <c:xMode val="edge"/>
          <c:yMode val="edge"/>
          <c:x val="0.58431752992901087"/>
          <c:y val="6.1135515955242484E-2"/>
          <c:w val="0.41254615324983146"/>
          <c:h val="0.8662380901017509"/>
        </c:manualLayout>
      </c:layout>
    </c:legend>
    <c:plotVisOnly val="1"/>
  </c:chart>
  <c:spPr>
    <a:ln>
      <a:noFill/>
    </a:ln>
  </c:spPr>
  <c:txPr>
    <a:bodyPr/>
    <a:lstStyle/>
    <a:p>
      <a:pPr>
        <a:defRPr sz="900">
          <a:latin typeface="Arial" pitchFamily="34" charset="0"/>
          <a:cs typeface="Arial" pitchFamily="34"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6.0306587443440814E-2"/>
          <c:y val="0.10981099965244064"/>
          <c:w val="0.55042815967022529"/>
          <c:h val="0.8543851196682607"/>
        </c:manualLayout>
      </c:layout>
      <c:barChart>
        <c:barDir val="col"/>
        <c:grouping val="clustered"/>
        <c:ser>
          <c:idx val="0"/>
          <c:order val="0"/>
          <c:tx>
            <c:strRef>
              <c:f>Sheet1!$B$1</c:f>
              <c:strCache>
                <c:ptCount val="1"/>
                <c:pt idx="0">
                  <c:v>Teren arabil</c:v>
                </c:pt>
              </c:strCache>
            </c:strRef>
          </c:tx>
          <c:dLbls>
            <c:delete val="1"/>
          </c:dLbls>
          <c:cat>
            <c:numRef>
              <c:f>Sheet1!$A$2</c:f>
              <c:numCache>
                <c:formatCode>General</c:formatCode>
                <c:ptCount val="1"/>
              </c:numCache>
            </c:numRef>
          </c:cat>
          <c:val>
            <c:numRef>
              <c:f>Sheet1!$B$2</c:f>
              <c:numCache>
                <c:formatCode>0.00</c:formatCode>
                <c:ptCount val="1"/>
                <c:pt idx="0">
                  <c:v>4.0000000000000022E-2</c:v>
                </c:pt>
              </c:numCache>
            </c:numRef>
          </c:val>
        </c:ser>
        <c:ser>
          <c:idx val="1"/>
          <c:order val="1"/>
          <c:tx>
            <c:strRef>
              <c:f>Sheet1!$C$1</c:f>
              <c:strCache>
                <c:ptCount val="1"/>
                <c:pt idx="0">
                  <c:v>Păşuni</c:v>
                </c:pt>
              </c:strCache>
            </c:strRef>
          </c:tx>
          <c:dLbls>
            <c:delete val="1"/>
          </c:dLbls>
          <c:cat>
            <c:numRef>
              <c:f>Sheet1!$A$2</c:f>
              <c:numCache>
                <c:formatCode>General</c:formatCode>
                <c:ptCount val="1"/>
              </c:numCache>
            </c:numRef>
          </c:cat>
          <c:val>
            <c:numRef>
              <c:f>Sheet1!$C$2</c:f>
              <c:numCache>
                <c:formatCode>0.00</c:formatCode>
                <c:ptCount val="1"/>
                <c:pt idx="0">
                  <c:v>2.74</c:v>
                </c:pt>
              </c:numCache>
            </c:numRef>
          </c:val>
        </c:ser>
        <c:ser>
          <c:idx val="2"/>
          <c:order val="2"/>
          <c:tx>
            <c:strRef>
              <c:f>Sheet1!$D$1</c:f>
              <c:strCache>
                <c:ptCount val="1"/>
                <c:pt idx="0">
                  <c:v>Fâneţe</c:v>
                </c:pt>
              </c:strCache>
            </c:strRef>
          </c:tx>
          <c:dLbls>
            <c:delete val="1"/>
          </c:dLbls>
          <c:cat>
            <c:numRef>
              <c:f>Sheet1!$A$2</c:f>
              <c:numCache>
                <c:formatCode>General</c:formatCode>
                <c:ptCount val="1"/>
              </c:numCache>
            </c:numRef>
          </c:cat>
          <c:val>
            <c:numRef>
              <c:f>Sheet1!$D$2</c:f>
              <c:numCache>
                <c:formatCode>0.00</c:formatCode>
                <c:ptCount val="1"/>
                <c:pt idx="0">
                  <c:v>5.88</c:v>
                </c:pt>
              </c:numCache>
            </c:numRef>
          </c:val>
        </c:ser>
        <c:ser>
          <c:idx val="3"/>
          <c:order val="3"/>
          <c:tx>
            <c:strRef>
              <c:f>Sheet1!$E$1</c:f>
              <c:strCache>
                <c:ptCount val="1"/>
                <c:pt idx="0">
                  <c:v>Vii şi pepiniere viticole</c:v>
                </c:pt>
              </c:strCache>
            </c:strRef>
          </c:tx>
          <c:dLbls>
            <c:delete val="1"/>
          </c:dLbls>
          <c:cat>
            <c:numRef>
              <c:f>Sheet1!$A$2</c:f>
              <c:numCache>
                <c:formatCode>General</c:formatCode>
                <c:ptCount val="1"/>
              </c:numCache>
            </c:numRef>
          </c:cat>
          <c:val>
            <c:numRef>
              <c:f>Sheet1!$E$2</c:f>
              <c:numCache>
                <c:formatCode>0.00</c:formatCode>
                <c:ptCount val="1"/>
                <c:pt idx="0">
                  <c:v>0</c:v>
                </c:pt>
              </c:numCache>
            </c:numRef>
          </c:val>
        </c:ser>
        <c:ser>
          <c:idx val="4"/>
          <c:order val="4"/>
          <c:tx>
            <c:strRef>
              <c:f>Sheet1!$F$1</c:f>
              <c:strCache>
                <c:ptCount val="1"/>
                <c:pt idx="0">
                  <c:v>Livezi şi pepiniere pomicole</c:v>
                </c:pt>
              </c:strCache>
            </c:strRef>
          </c:tx>
          <c:dLbls>
            <c:delete val="1"/>
          </c:dLbls>
          <c:cat>
            <c:numRef>
              <c:f>Sheet1!$A$2</c:f>
              <c:numCache>
                <c:formatCode>General</c:formatCode>
                <c:ptCount val="1"/>
              </c:numCache>
            </c:numRef>
          </c:cat>
          <c:val>
            <c:numRef>
              <c:f>Sheet1!$F$2</c:f>
              <c:numCache>
                <c:formatCode>0.00</c:formatCode>
                <c:ptCount val="1"/>
                <c:pt idx="0">
                  <c:v>3.67</c:v>
                </c:pt>
              </c:numCache>
            </c:numRef>
          </c:val>
        </c:ser>
        <c:dLbls>
          <c:showVal val="1"/>
        </c:dLbls>
        <c:gapWidth val="500"/>
        <c:overlap val="-100"/>
        <c:axId val="128696320"/>
        <c:axId val="128697856"/>
      </c:barChart>
      <c:catAx>
        <c:axId val="128696320"/>
        <c:scaling>
          <c:orientation val="minMax"/>
        </c:scaling>
        <c:delete val="1"/>
        <c:axPos val="b"/>
        <c:numFmt formatCode="General" sourceLinked="1"/>
        <c:tickLblPos val="none"/>
        <c:crossAx val="128697856"/>
        <c:crossesAt val="4.0000000000000114E-3"/>
        <c:auto val="1"/>
        <c:lblAlgn val="ctr"/>
        <c:lblOffset val="100"/>
      </c:catAx>
      <c:valAx>
        <c:axId val="128697856"/>
        <c:scaling>
          <c:orientation val="minMax"/>
        </c:scaling>
        <c:axPos val="l"/>
        <c:majorGridlines/>
        <c:title>
          <c:tx>
            <c:rich>
              <a:bodyPr rot="0" vert="horz"/>
              <a:lstStyle/>
              <a:p>
                <a:pPr>
                  <a:defRPr/>
                </a:pPr>
                <a:r>
                  <a:rPr lang="ro-RO"/>
                  <a:t>% </a:t>
                </a:r>
              </a:p>
            </c:rich>
          </c:tx>
          <c:layout>
            <c:manualLayout>
              <c:xMode val="edge"/>
              <c:yMode val="edge"/>
              <c:x val="0.10633946830265845"/>
              <c:y val="2.8063346014332519E-3"/>
            </c:manualLayout>
          </c:layout>
        </c:title>
        <c:numFmt formatCode="#,##0" sourceLinked="0"/>
        <c:tickLblPos val="nextTo"/>
        <c:crossAx val="128696320"/>
        <c:crosses val="autoZero"/>
        <c:crossBetween val="between"/>
      </c:valAx>
      <c:spPr>
        <a:noFill/>
        <a:ln w="25400">
          <a:noFill/>
        </a:ln>
      </c:spPr>
    </c:plotArea>
    <c:legend>
      <c:legendPos val="r"/>
      <c:layout>
        <c:manualLayout>
          <c:xMode val="edge"/>
          <c:yMode val="edge"/>
          <c:x val="0.60885239038371763"/>
          <c:y val="8.9336641139035708E-2"/>
          <c:w val="0.38801120718805887"/>
          <c:h val="0.7903709296611896"/>
        </c:manualLayout>
      </c:layout>
    </c:legend>
    <c:plotVisOnly val="1"/>
  </c:chart>
  <c:spPr>
    <a:ln>
      <a:noFill/>
    </a:ln>
  </c:spPr>
  <c:txPr>
    <a:bodyPr/>
    <a:lstStyle/>
    <a:p>
      <a:pPr>
        <a:defRPr sz="900">
          <a:latin typeface="Arial" pitchFamily="34" charset="0"/>
          <a:cs typeface="Arial" pitchFamily="34"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style val="26"/>
  <c:chart>
    <c:plotArea>
      <c:layout>
        <c:manualLayout>
          <c:layoutTarget val="inner"/>
          <c:xMode val="edge"/>
          <c:yMode val="edge"/>
          <c:x val="0.3255430510210614"/>
          <c:y val="5.6001235139725193E-2"/>
          <c:w val="0.66534331988989215"/>
          <c:h val="0.34692127252209431"/>
        </c:manualLayout>
      </c:layout>
      <c:barChart>
        <c:barDir val="col"/>
        <c:grouping val="clustered"/>
        <c:ser>
          <c:idx val="0"/>
          <c:order val="0"/>
          <c:tx>
            <c:strRef>
              <c:f>Sheet1!$B$1</c:f>
              <c:strCache>
                <c:ptCount val="1"/>
                <c:pt idx="0">
                  <c:v>Păşune</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0</c:v>
                </c:pt>
                <c:pt idx="1">
                  <c:v>0</c:v>
                </c:pt>
                <c:pt idx="2">
                  <c:v>0</c:v>
                </c:pt>
                <c:pt idx="3">
                  <c:v>0</c:v>
                </c:pt>
                <c:pt idx="4">
                  <c:v>0</c:v>
                </c:pt>
              </c:numCache>
            </c:numRef>
          </c:val>
        </c:ser>
        <c:ser>
          <c:idx val="1"/>
          <c:order val="1"/>
          <c:tx>
            <c:strRef>
              <c:f>Sheet1!$C$1</c:f>
              <c:strCache>
                <c:ptCount val="1"/>
                <c:pt idx="0">
                  <c:v>Zone umede</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0</c:v>
                </c:pt>
                <c:pt idx="1">
                  <c:v>0</c:v>
                </c:pt>
                <c:pt idx="2">
                  <c:v>0</c:v>
                </c:pt>
                <c:pt idx="3">
                  <c:v>0</c:v>
                </c:pt>
                <c:pt idx="4">
                  <c:v>0</c:v>
                </c:pt>
              </c:numCache>
            </c:numRef>
          </c:val>
        </c:ser>
        <c:ser>
          <c:idx val="2"/>
          <c:order val="2"/>
          <c:tx>
            <c:strRef>
              <c:f>Sheet1!$D$1</c:f>
              <c:strCache>
                <c:ptCount val="1"/>
                <c:pt idx="0">
                  <c:v>Aşezări</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0.13</c:v>
                </c:pt>
                <c:pt idx="1">
                  <c:v>0.5</c:v>
                </c:pt>
                <c:pt idx="2">
                  <c:v>0</c:v>
                </c:pt>
                <c:pt idx="3">
                  <c:v>0</c:v>
                </c:pt>
                <c:pt idx="4">
                  <c:v>0</c:v>
                </c:pt>
              </c:numCache>
            </c:numRef>
          </c:val>
        </c:ser>
        <c:ser>
          <c:idx val="3"/>
          <c:order val="3"/>
          <c:tx>
            <c:strRef>
              <c:f>Sheet1!$E$1</c:f>
              <c:strCache>
                <c:ptCount val="1"/>
                <c:pt idx="0">
                  <c:v>Supr. alte terenuri</c:v>
                </c:pt>
              </c:strCache>
            </c:strRef>
          </c:tx>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3.7</c:v>
                </c:pt>
                <c:pt idx="1">
                  <c:v>2.3199999999999985</c:v>
                </c:pt>
                <c:pt idx="2">
                  <c:v>5.8199999999999985</c:v>
                </c:pt>
                <c:pt idx="3" formatCode="0.00">
                  <c:v>0.5</c:v>
                </c:pt>
                <c:pt idx="4" formatCode="0.00">
                  <c:v>4.7</c:v>
                </c:pt>
              </c:numCache>
            </c:numRef>
          </c:val>
        </c:ser>
        <c:axId val="128770048"/>
        <c:axId val="128773504"/>
      </c:barChart>
      <c:catAx>
        <c:axId val="128770048"/>
        <c:scaling>
          <c:orientation val="minMax"/>
        </c:scaling>
        <c:axPos val="b"/>
        <c:numFmt formatCode="General" sourceLinked="1"/>
        <c:tickLblPos val="nextTo"/>
        <c:crossAx val="128773504"/>
        <c:crosses val="autoZero"/>
        <c:auto val="1"/>
        <c:lblAlgn val="ctr"/>
        <c:lblOffset val="100"/>
      </c:catAx>
      <c:valAx>
        <c:axId val="128773504"/>
        <c:scaling>
          <c:orientation val="minMax"/>
        </c:scaling>
        <c:axPos val="l"/>
        <c:majorGridlines/>
        <c:title>
          <c:tx>
            <c:rich>
              <a:bodyPr rot="0" vert="horz"/>
              <a:lstStyle/>
              <a:p>
                <a:pPr>
                  <a:defRPr/>
                </a:pPr>
                <a:r>
                  <a:rPr lang="ro-RO"/>
                  <a:t>ha</a:t>
                </a:r>
              </a:p>
            </c:rich>
          </c:tx>
          <c:layout>
            <c:manualLayout>
              <c:xMode val="edge"/>
              <c:yMode val="edge"/>
              <c:x val="7.7263153309155855E-2"/>
              <c:y val="0.15123566247132944"/>
            </c:manualLayout>
          </c:layout>
        </c:title>
        <c:numFmt formatCode="General" sourceLinked="1"/>
        <c:tickLblPos val="nextTo"/>
        <c:crossAx val="128770048"/>
        <c:crosses val="autoZero"/>
        <c:crossBetween val="between"/>
        <c:majorUnit val="2"/>
      </c:valAx>
      <c:dTable>
        <c:showHorzBorder val="1"/>
        <c:showVertBorder val="1"/>
        <c:showOutline val="1"/>
        <c:showKeys val="1"/>
      </c:dTable>
    </c:plotArea>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7193755631292598"/>
          <c:y val="3.5549963471061721E-2"/>
          <c:w val="0.64056575092442103"/>
          <c:h val="0.78311613222260257"/>
        </c:manualLayout>
      </c:layout>
      <c:barChart>
        <c:barDir val="col"/>
        <c:grouping val="clustered"/>
        <c:ser>
          <c:idx val="0"/>
          <c:order val="0"/>
          <c:tx>
            <c:strRef>
              <c:f>Sheet1!$B$1</c:f>
              <c:strCache>
                <c:ptCount val="1"/>
                <c:pt idx="0">
                  <c:v>Populaţia urbană - jud. Suceava</c:v>
                </c:pt>
              </c:strCache>
            </c:strRef>
          </c:tx>
          <c:spPr>
            <a:scene3d>
              <a:camera prst="orthographicFront"/>
              <a:lightRig rig="threePt" dir="t"/>
            </a:scene3d>
            <a:sp3d>
              <a:bevelT/>
            </a:sp3d>
          </c:spPr>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324281</c:v>
                </c:pt>
                <c:pt idx="1">
                  <c:v>324064</c:v>
                </c:pt>
                <c:pt idx="2">
                  <c:v>323202</c:v>
                </c:pt>
                <c:pt idx="3">
                  <c:v>324128</c:v>
                </c:pt>
                <c:pt idx="4">
                  <c:v>325385</c:v>
                </c:pt>
                <c:pt idx="5">
                  <c:v>327575</c:v>
                </c:pt>
              </c:numCache>
            </c:numRef>
          </c:val>
        </c:ser>
        <c:gapWidth val="362"/>
        <c:axId val="149629184"/>
        <c:axId val="149808256"/>
      </c:barChart>
      <c:catAx>
        <c:axId val="149629184"/>
        <c:scaling>
          <c:orientation val="minMax"/>
        </c:scaling>
        <c:axPos val="b"/>
        <c:numFmt formatCode="General" sourceLinked="1"/>
        <c:tickLblPos val="nextTo"/>
        <c:txPr>
          <a:bodyPr/>
          <a:lstStyle/>
          <a:p>
            <a:pPr>
              <a:defRPr sz="900">
                <a:latin typeface="Arial" pitchFamily="34" charset="0"/>
                <a:cs typeface="Arial" pitchFamily="34" charset="0"/>
              </a:defRPr>
            </a:pPr>
            <a:endParaRPr lang="ro-RO"/>
          </a:p>
        </c:txPr>
        <c:crossAx val="149808256"/>
        <c:crosses val="autoZero"/>
        <c:auto val="1"/>
        <c:lblAlgn val="ctr"/>
        <c:lblOffset val="100"/>
      </c:catAx>
      <c:valAx>
        <c:axId val="149808256"/>
        <c:scaling>
          <c:orientation val="minMax"/>
        </c:scaling>
        <c:axPos val="l"/>
        <c:majorGridlines/>
        <c:title>
          <c:tx>
            <c:rich>
              <a:bodyPr rot="-5400000" vert="horz"/>
              <a:lstStyle/>
              <a:p>
                <a:pPr>
                  <a:defRPr sz="900" b="0">
                    <a:latin typeface="Arial" pitchFamily="34" charset="0"/>
                    <a:cs typeface="Arial" pitchFamily="34" charset="0"/>
                  </a:defRPr>
                </a:pPr>
                <a:r>
                  <a:rPr lang="ro-RO" sz="900" b="0">
                    <a:latin typeface="Arial" pitchFamily="34" charset="0"/>
                    <a:cs typeface="Arial" pitchFamily="34" charset="0"/>
                  </a:rPr>
                  <a:t>nr. locuitori</a:t>
                </a:r>
              </a:p>
            </c:rich>
          </c:tx>
          <c:layout>
            <c:manualLayout>
              <c:xMode val="edge"/>
              <c:yMode val="edge"/>
              <c:x val="2.0308463406710706E-2"/>
              <c:y val="0.2412510529207105"/>
            </c:manualLayout>
          </c:layout>
        </c:title>
        <c:numFmt formatCode="0" sourceLinked="0"/>
        <c:tickLblPos val="nextTo"/>
        <c:spPr>
          <a:ln>
            <a:solidFill>
              <a:sysClr val="window" lastClr="FFFFFF">
                <a:lumMod val="50000"/>
              </a:sysClr>
            </a:solidFill>
          </a:ln>
        </c:spPr>
        <c:txPr>
          <a:bodyPr/>
          <a:lstStyle/>
          <a:p>
            <a:pPr>
              <a:defRPr sz="900">
                <a:latin typeface="Arial" pitchFamily="34" charset="0"/>
                <a:cs typeface="Arial" pitchFamily="34" charset="0"/>
              </a:defRPr>
            </a:pPr>
            <a:endParaRPr lang="ro-RO"/>
          </a:p>
        </c:txPr>
        <c:crossAx val="149629184"/>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2053</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anca.ionce</dc:creator>
  <cp:keywords/>
  <dc:description/>
  <cp:lastModifiedBy>gina.ursul</cp:lastModifiedBy>
  <cp:revision>107</cp:revision>
  <dcterms:created xsi:type="dcterms:W3CDTF">2017-07-25T12:13:00Z</dcterms:created>
  <dcterms:modified xsi:type="dcterms:W3CDTF">2018-08-14T12:36:00Z</dcterms:modified>
</cp:coreProperties>
</file>