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54" w:rsidRPr="006D5CF6" w:rsidRDefault="00032554" w:rsidP="00CF31CA">
      <w:pPr>
        <w:pStyle w:val="Default"/>
        <w:widowControl w:val="0"/>
        <w:jc w:val="both"/>
        <w:rPr>
          <w:bCs/>
        </w:rPr>
      </w:pPr>
    </w:p>
    <w:p w:rsidR="00032554" w:rsidRPr="006D5CF6" w:rsidRDefault="00032554" w:rsidP="00CF31CA">
      <w:pPr>
        <w:pStyle w:val="Default"/>
        <w:widowControl w:val="0"/>
        <w:jc w:val="both"/>
        <w:rPr>
          <w:bCs/>
        </w:rPr>
      </w:pPr>
    </w:p>
    <w:p w:rsidR="00032554" w:rsidRPr="006D5CF6" w:rsidRDefault="00032554" w:rsidP="00CF31CA">
      <w:pPr>
        <w:pStyle w:val="Default"/>
        <w:widowControl w:val="0"/>
        <w:jc w:val="both"/>
        <w:rPr>
          <w:bCs/>
        </w:rPr>
      </w:pPr>
    </w:p>
    <w:p w:rsidR="00BE3947" w:rsidRPr="00E1149B" w:rsidRDefault="00783501" w:rsidP="00E1149B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149B">
        <w:rPr>
          <w:rFonts w:ascii="Arial" w:eastAsia="Calibri" w:hAnsi="Arial" w:cs="Arial"/>
          <w:b/>
          <w:sz w:val="24"/>
          <w:szCs w:val="24"/>
          <w:lang w:eastAsia="en-US"/>
        </w:rPr>
        <w:t>X</w:t>
      </w:r>
      <w:r w:rsidR="00BE3947" w:rsidRPr="00E1149B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513681" w:rsidRPr="00E1149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3947" w:rsidRPr="00E1149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1149B" w:rsidRPr="00E1149B">
        <w:rPr>
          <w:rFonts w:ascii="Arial" w:eastAsia="Calibri" w:hAnsi="Arial" w:cs="Arial"/>
          <w:b/>
          <w:sz w:val="24"/>
          <w:szCs w:val="24"/>
          <w:lang w:eastAsia="en-US"/>
        </w:rPr>
        <w:t>CONSUMUL ŞI MEDIUL ÎNCONJURĂTOR</w:t>
      </w:r>
    </w:p>
    <w:p w:rsidR="00032554" w:rsidRPr="00032554" w:rsidRDefault="00032554" w:rsidP="00CF31CA">
      <w:pPr>
        <w:pStyle w:val="Default"/>
        <w:widowControl w:val="0"/>
        <w:jc w:val="both"/>
        <w:rPr>
          <w:bCs/>
          <w:iCs/>
        </w:rPr>
      </w:pPr>
    </w:p>
    <w:p w:rsidR="00BE3947" w:rsidRDefault="00535D0B" w:rsidP="00CF31CA">
      <w:pPr>
        <w:pStyle w:val="Default"/>
        <w:widowControl w:val="0"/>
        <w:jc w:val="both"/>
        <w:rPr>
          <w:b/>
          <w:bCs/>
          <w:iCs/>
        </w:rPr>
      </w:pPr>
      <w:r>
        <w:rPr>
          <w:b/>
          <w:bCs/>
          <w:iCs/>
        </w:rPr>
        <w:t>X</w:t>
      </w:r>
      <w:r w:rsidR="00BE3947" w:rsidRPr="00032554">
        <w:rPr>
          <w:b/>
          <w:bCs/>
          <w:iCs/>
        </w:rPr>
        <w:t xml:space="preserve">.1. </w:t>
      </w:r>
      <w:r>
        <w:rPr>
          <w:b/>
          <w:bCs/>
          <w:iCs/>
        </w:rPr>
        <w:t>Tendinţe în consum</w:t>
      </w:r>
    </w:p>
    <w:p w:rsidR="00535D0B" w:rsidRPr="00535D0B" w:rsidRDefault="00535D0B" w:rsidP="00CF31CA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</w:p>
    <w:p w:rsidR="00535D0B" w:rsidRPr="00535D0B" w:rsidRDefault="00535D0B" w:rsidP="00CF31CA">
      <w:pPr>
        <w:pStyle w:val="Default"/>
        <w:widowControl w:val="0"/>
        <w:jc w:val="both"/>
        <w:rPr>
          <w:b/>
          <w:bCs/>
          <w:i/>
          <w:iCs/>
        </w:rPr>
      </w:pPr>
      <w:r w:rsidRPr="00535D0B">
        <w:rPr>
          <w:b/>
          <w:bCs/>
          <w:i/>
          <w:iCs/>
        </w:rPr>
        <w:t>X.1.1. Alimente şi băuturi</w:t>
      </w:r>
    </w:p>
    <w:p w:rsidR="00535D0B" w:rsidRPr="003A726B" w:rsidRDefault="00535D0B" w:rsidP="00CF31CA">
      <w:pPr>
        <w:pStyle w:val="Default"/>
        <w:widowControl w:val="0"/>
        <w:jc w:val="both"/>
        <w:rPr>
          <w:b/>
          <w:bCs/>
          <w:iCs/>
          <w:sz w:val="16"/>
          <w:szCs w:val="16"/>
        </w:rPr>
      </w:pPr>
    </w:p>
    <w:p w:rsidR="00535D0B" w:rsidRDefault="004F7CAF" w:rsidP="00CF31CA">
      <w:pPr>
        <w:pStyle w:val="Default"/>
        <w:widowControl w:val="0"/>
        <w:jc w:val="both"/>
        <w:rPr>
          <w:b/>
          <w:bCs/>
          <w:iCs/>
        </w:rPr>
      </w:pPr>
      <w:r>
        <w:rPr>
          <w:b/>
          <w:bCs/>
          <w:iCs/>
        </w:rPr>
        <w:tab/>
      </w:r>
      <w:r w:rsidRPr="004F7CAF">
        <w:rPr>
          <w:bCs/>
          <w:iCs/>
        </w:rPr>
        <w:t>Nu există l</w:t>
      </w:r>
      <w:r w:rsidR="00535D0B" w:rsidRPr="004F7CAF">
        <w:rPr>
          <w:bCs/>
          <w:iCs/>
        </w:rPr>
        <w:t xml:space="preserve">a nivelul judeţului Suceava </w:t>
      </w:r>
      <w:r w:rsidRPr="004F7CAF">
        <w:rPr>
          <w:bCs/>
          <w:iCs/>
        </w:rPr>
        <w:t>date statistice referitoare la consumul de alimente şi băuturi.</w:t>
      </w:r>
      <w:r w:rsidR="00930C55">
        <w:rPr>
          <w:bCs/>
          <w:iCs/>
        </w:rPr>
        <w:t xml:space="preserve"> În tabelul de mai jos, sunt prezentate date statistice la nivel naţional.</w:t>
      </w:r>
    </w:p>
    <w:p w:rsidR="004B21B8" w:rsidRPr="00911D3B" w:rsidRDefault="004B21B8" w:rsidP="00CF31CA">
      <w:pPr>
        <w:pStyle w:val="Default"/>
        <w:widowControl w:val="0"/>
        <w:jc w:val="both"/>
        <w:rPr>
          <w:b/>
          <w:bCs/>
          <w:iCs/>
          <w:sz w:val="10"/>
          <w:szCs w:val="10"/>
        </w:rPr>
      </w:pPr>
    </w:p>
    <w:p w:rsidR="009D7D98" w:rsidRDefault="00006687" w:rsidP="00930C55">
      <w:pPr>
        <w:pStyle w:val="Default"/>
        <w:widowControl w:val="0"/>
        <w:jc w:val="center"/>
        <w:rPr>
          <w:sz w:val="22"/>
          <w:szCs w:val="22"/>
        </w:rPr>
      </w:pPr>
      <w:r w:rsidRPr="004F7CAF">
        <w:rPr>
          <w:sz w:val="22"/>
          <w:szCs w:val="22"/>
        </w:rPr>
        <w:t>Tabelul X.1.</w:t>
      </w:r>
      <w:r w:rsidRPr="00930C55">
        <w:rPr>
          <w:sz w:val="22"/>
          <w:szCs w:val="22"/>
        </w:rPr>
        <w:t>1</w:t>
      </w:r>
      <w:r w:rsidRPr="004F7CAF">
        <w:rPr>
          <w:sz w:val="22"/>
          <w:szCs w:val="22"/>
        </w:rPr>
        <w:t>.1</w:t>
      </w:r>
      <w:r w:rsidR="009D7D98" w:rsidRPr="00930C55">
        <w:rPr>
          <w:sz w:val="22"/>
          <w:szCs w:val="22"/>
        </w:rPr>
        <w:t xml:space="preserve"> Consumul med</w:t>
      </w:r>
      <w:r w:rsidRPr="00930C55">
        <w:rPr>
          <w:sz w:val="22"/>
          <w:szCs w:val="22"/>
        </w:rPr>
        <w:t>iu anual pe locuitor, la nivel naţional</w:t>
      </w:r>
      <w:r w:rsidR="009D7D98" w:rsidRPr="00930C55">
        <w:rPr>
          <w:sz w:val="22"/>
          <w:szCs w:val="22"/>
        </w:rPr>
        <w:t xml:space="preserve">, la principalele produse alimentare și băuturi </w:t>
      </w:r>
      <w:r w:rsidR="00930C55" w:rsidRPr="00930C55">
        <w:rPr>
          <w:sz w:val="22"/>
          <w:szCs w:val="22"/>
        </w:rPr>
        <w:t>(</w:t>
      </w:r>
      <w:r w:rsidR="00930C55" w:rsidRPr="00F24704">
        <w:rPr>
          <w:sz w:val="22"/>
          <w:szCs w:val="22"/>
        </w:rPr>
        <w:t xml:space="preserve">sursa: </w:t>
      </w:r>
      <w:r w:rsidR="00911D3B" w:rsidRPr="00911D3B">
        <w:rPr>
          <w:i/>
          <w:sz w:val="22"/>
          <w:szCs w:val="22"/>
        </w:rPr>
        <w:t xml:space="preserve">site-ul </w:t>
      </w:r>
      <w:r w:rsidR="00930C55" w:rsidRPr="00F24704">
        <w:rPr>
          <w:i/>
          <w:sz w:val="22"/>
          <w:szCs w:val="22"/>
        </w:rPr>
        <w:t>Institutul</w:t>
      </w:r>
      <w:r w:rsidR="00911D3B">
        <w:rPr>
          <w:i/>
          <w:sz w:val="22"/>
          <w:szCs w:val="22"/>
        </w:rPr>
        <w:t>ui</w:t>
      </w:r>
      <w:r w:rsidR="00930C55" w:rsidRPr="00F24704">
        <w:rPr>
          <w:i/>
          <w:sz w:val="22"/>
          <w:szCs w:val="22"/>
        </w:rPr>
        <w:t xml:space="preserve"> Național de Statistică</w:t>
      </w:r>
      <w:r w:rsidR="00930C55" w:rsidRPr="00930C55">
        <w:rPr>
          <w:sz w:val="22"/>
          <w:szCs w:val="22"/>
        </w:rPr>
        <w:t>)</w:t>
      </w:r>
    </w:p>
    <w:p w:rsidR="008A33B3" w:rsidRPr="008A33B3" w:rsidRDefault="008A33B3" w:rsidP="00930C55">
      <w:pPr>
        <w:pStyle w:val="Default"/>
        <w:widowControl w:val="0"/>
        <w:jc w:val="center"/>
        <w:rPr>
          <w:sz w:val="10"/>
          <w:szCs w:val="10"/>
        </w:rPr>
      </w:pPr>
    </w:p>
    <w:p w:rsidR="009D7D98" w:rsidRPr="00DA4395" w:rsidRDefault="009D7D98" w:rsidP="009D7D98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Style w:val="TableGrid"/>
        <w:tblW w:w="9923" w:type="dxa"/>
        <w:jc w:val="center"/>
        <w:tblInd w:w="250" w:type="dxa"/>
        <w:tblLayout w:type="fixed"/>
        <w:tblLook w:val="04A0"/>
      </w:tblPr>
      <w:tblGrid>
        <w:gridCol w:w="4394"/>
        <w:gridCol w:w="1276"/>
        <w:gridCol w:w="945"/>
        <w:gridCol w:w="828"/>
        <w:gridCol w:w="828"/>
        <w:gridCol w:w="850"/>
        <w:gridCol w:w="802"/>
      </w:tblGrid>
      <w:tr w:rsidR="009D7D98" w:rsidRPr="00911D3B" w:rsidTr="00911D3B">
        <w:trPr>
          <w:jc w:val="center"/>
        </w:trPr>
        <w:tc>
          <w:tcPr>
            <w:tcW w:w="4394" w:type="dxa"/>
            <w:vMerge w:val="restart"/>
            <w:shd w:val="clear" w:color="auto" w:fill="FFFF99"/>
          </w:tcPr>
          <w:p w:rsidR="009D7D98" w:rsidRPr="00911D3B" w:rsidRDefault="009D7D98" w:rsidP="0093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Principalele produse alimentare și băuturi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9D7D98" w:rsidRPr="00911D3B" w:rsidRDefault="009D7D98" w:rsidP="0093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Unități de măsură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shd w:val="clear" w:color="auto" w:fill="FFFF99"/>
          </w:tcPr>
          <w:p w:rsidR="009D7D98" w:rsidRPr="00911D3B" w:rsidRDefault="009D7D98" w:rsidP="00930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Ani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  <w:vMerge/>
            <w:shd w:val="clear" w:color="auto" w:fill="FFFF99"/>
          </w:tcPr>
          <w:p w:rsidR="00266FBB" w:rsidRPr="00911D3B" w:rsidRDefault="00266FBB" w:rsidP="00930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266FBB" w:rsidRPr="00911D3B" w:rsidRDefault="00266FBB" w:rsidP="00930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99"/>
          </w:tcPr>
          <w:p w:rsidR="00266FBB" w:rsidRPr="00911D3B" w:rsidRDefault="00266FBB" w:rsidP="00525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828" w:type="dxa"/>
            <w:shd w:val="clear" w:color="auto" w:fill="FFFF99"/>
          </w:tcPr>
          <w:p w:rsidR="00266FBB" w:rsidRPr="00911D3B" w:rsidRDefault="00266FBB" w:rsidP="00525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28" w:type="dxa"/>
            <w:shd w:val="clear" w:color="auto" w:fill="FFFF99"/>
          </w:tcPr>
          <w:p w:rsidR="00266FBB" w:rsidRPr="00911D3B" w:rsidRDefault="00266FBB" w:rsidP="00525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FFFF99"/>
          </w:tcPr>
          <w:p w:rsidR="00266FBB" w:rsidRPr="00911D3B" w:rsidRDefault="00266FBB" w:rsidP="00525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FFF99"/>
          </w:tcPr>
          <w:p w:rsidR="00266FBB" w:rsidRPr="00911D3B" w:rsidRDefault="00266FBB" w:rsidP="00266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D3B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Cereale și produse din cereale în echivalent boabe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208,5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218,1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211,2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Cereale și produse din cereale în echivalent făină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156,5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159,8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157,6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Grâu, secară în echivalent făină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125,3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128,8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120,3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122,6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122,2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Cartofi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Leguminoase boabe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Legume și produse din legume în echivalent legume proaspete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151,4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152,0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158,5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155,9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Fructe și produse din fructe în echivalent fructe proaspete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Zahăr și produse din zahăr în echivalent zahăr (inclusiv miere)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Carne și produse din carne în echivalent carne proaspătă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Lapte și produse din lapte în echivalent lapte 3,5% grăsime (exclusiv unt)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241,1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244,5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251,5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250,7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253,7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Lapte și produse din lapte în echivalent lapte 3,5% grăsime (exclusiv unt)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Litri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234,1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237,4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244,2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246,3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Ouă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Bucăţi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Pește și produse din pește în echivalent pește proaspăt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Vin și produse din vin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Litri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Bere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Litri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Băuturi alcoolice distilate (alcool 100%)</w:t>
            </w:r>
          </w:p>
        </w:tc>
        <w:tc>
          <w:tcPr>
            <w:tcW w:w="1276" w:type="dxa"/>
          </w:tcPr>
          <w:p w:rsidR="00266FBB" w:rsidRPr="00911D3B" w:rsidRDefault="00266FBB" w:rsidP="0000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Litri alcool pur (100%)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66FBB" w:rsidRPr="00911D3B" w:rsidTr="00911D3B">
        <w:trPr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Băuturi nealcoolice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litri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150,8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179,3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188,6</w:t>
            </w:r>
          </w:p>
        </w:tc>
      </w:tr>
      <w:tr w:rsidR="00266FBB" w:rsidRPr="00911D3B" w:rsidTr="00911D3B">
        <w:trPr>
          <w:trHeight w:val="553"/>
          <w:jc w:val="center"/>
        </w:trPr>
        <w:tc>
          <w:tcPr>
            <w:tcW w:w="4394" w:type="dxa"/>
          </w:tcPr>
          <w:p w:rsidR="00266FBB" w:rsidRPr="00911D3B" w:rsidRDefault="00266FBB" w:rsidP="00930C55">
            <w:pPr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Consum total de alcool (alcool 100%)</w:t>
            </w:r>
          </w:p>
        </w:tc>
        <w:tc>
          <w:tcPr>
            <w:tcW w:w="1276" w:type="dxa"/>
          </w:tcPr>
          <w:p w:rsidR="00266FBB" w:rsidRPr="00911D3B" w:rsidRDefault="00266FBB" w:rsidP="009D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litri alcool pur (100%)</w:t>
            </w:r>
          </w:p>
        </w:tc>
        <w:tc>
          <w:tcPr>
            <w:tcW w:w="945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828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266FBB" w:rsidRPr="00911D3B" w:rsidRDefault="00266FBB" w:rsidP="00525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802" w:type="dxa"/>
            <w:vAlign w:val="center"/>
          </w:tcPr>
          <w:p w:rsidR="00266FBB" w:rsidRPr="00911D3B" w:rsidRDefault="00266FBB" w:rsidP="00930C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D3B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</w:tbl>
    <w:p w:rsidR="009D7D98" w:rsidRPr="00911D3B" w:rsidRDefault="00971AB0" w:rsidP="00AB45C7">
      <w:pPr>
        <w:spacing w:after="0" w:line="240" w:lineRule="auto"/>
        <w:jc w:val="center"/>
        <w:rPr>
          <w:rFonts w:ascii="Arial" w:hAnsi="Arial" w:cs="Arial"/>
          <w:i/>
        </w:rPr>
      </w:pPr>
      <w:r w:rsidRPr="00911D3B">
        <w:rPr>
          <w:rFonts w:ascii="Arial" w:hAnsi="Arial" w:cs="Arial"/>
          <w:i/>
        </w:rPr>
        <w:t>Notă: datele pentru anul 201</w:t>
      </w:r>
      <w:r w:rsidR="00266FBB" w:rsidRPr="00911D3B">
        <w:rPr>
          <w:rFonts w:ascii="Arial" w:hAnsi="Arial" w:cs="Arial"/>
          <w:i/>
        </w:rPr>
        <w:t>7</w:t>
      </w:r>
      <w:r w:rsidRPr="00911D3B">
        <w:rPr>
          <w:rFonts w:ascii="Arial" w:hAnsi="Arial" w:cs="Arial"/>
          <w:i/>
        </w:rPr>
        <w:t xml:space="preserve"> nu au fost disponibile la momentul întocmirii prezentului raport</w:t>
      </w:r>
      <w:r w:rsidR="00911D3B">
        <w:rPr>
          <w:rFonts w:ascii="Arial" w:hAnsi="Arial" w:cs="Arial"/>
          <w:i/>
        </w:rPr>
        <w:t>.</w:t>
      </w:r>
    </w:p>
    <w:p w:rsidR="00971AB0" w:rsidRPr="00DA4395" w:rsidRDefault="00971AB0" w:rsidP="009D7D9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E5865" w:rsidRPr="002E5865" w:rsidRDefault="00C84074" w:rsidP="002E5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0C55" w:rsidRPr="002E5865">
        <w:rPr>
          <w:rFonts w:ascii="Arial" w:hAnsi="Arial" w:cs="Arial"/>
          <w:sz w:val="24"/>
          <w:szCs w:val="24"/>
        </w:rPr>
        <w:t xml:space="preserve">Datele statistice din tabelul X.1.1.1. arată că, la nivel naţional, </w:t>
      </w:r>
      <w:r w:rsidR="00704A52" w:rsidRPr="002E5865">
        <w:rPr>
          <w:rFonts w:ascii="Arial" w:hAnsi="Arial" w:cs="Arial"/>
          <w:sz w:val="24"/>
          <w:szCs w:val="24"/>
        </w:rPr>
        <w:t>în perioada 201</w:t>
      </w:r>
      <w:r w:rsidR="00857750">
        <w:rPr>
          <w:rFonts w:ascii="Arial" w:hAnsi="Arial" w:cs="Arial"/>
          <w:sz w:val="24"/>
          <w:szCs w:val="24"/>
        </w:rPr>
        <w:t>2</w:t>
      </w:r>
      <w:r w:rsidR="00704A52" w:rsidRPr="002E5865">
        <w:rPr>
          <w:rFonts w:ascii="Arial" w:hAnsi="Arial" w:cs="Arial"/>
          <w:sz w:val="24"/>
          <w:szCs w:val="24"/>
        </w:rPr>
        <w:t>-201</w:t>
      </w:r>
      <w:r w:rsidR="00857750">
        <w:rPr>
          <w:rFonts w:ascii="Arial" w:hAnsi="Arial" w:cs="Arial"/>
          <w:sz w:val="24"/>
          <w:szCs w:val="24"/>
        </w:rPr>
        <w:t>6</w:t>
      </w:r>
      <w:r w:rsidR="00704A52" w:rsidRPr="002E5865">
        <w:rPr>
          <w:rFonts w:ascii="Arial" w:hAnsi="Arial" w:cs="Arial"/>
          <w:sz w:val="24"/>
          <w:szCs w:val="24"/>
        </w:rPr>
        <w:t xml:space="preserve"> </w:t>
      </w:r>
      <w:r w:rsidR="00930C55" w:rsidRPr="002E5865">
        <w:rPr>
          <w:rFonts w:ascii="Arial" w:hAnsi="Arial" w:cs="Arial"/>
          <w:sz w:val="24"/>
          <w:szCs w:val="24"/>
        </w:rPr>
        <w:t xml:space="preserve">au fost înregistrate creşteri graduale la consumul de cereale, cartofi, leguminoase boabe, </w:t>
      </w:r>
      <w:r w:rsidR="00704A52" w:rsidRPr="002E5865">
        <w:rPr>
          <w:rFonts w:ascii="Arial" w:hAnsi="Arial" w:cs="Arial"/>
          <w:sz w:val="24"/>
          <w:szCs w:val="24"/>
        </w:rPr>
        <w:t>ouă, bere</w:t>
      </w:r>
      <w:r w:rsidR="002E5865" w:rsidRPr="002E5865">
        <w:rPr>
          <w:rFonts w:ascii="Arial" w:hAnsi="Arial" w:cs="Arial"/>
          <w:sz w:val="24"/>
          <w:szCs w:val="24"/>
        </w:rPr>
        <w:t xml:space="preserve"> lapte, vin, legume şi fructe proaspete. </w:t>
      </w:r>
    </w:p>
    <w:p w:rsidR="00930C55" w:rsidRPr="00911D3B" w:rsidRDefault="00704A52" w:rsidP="00CF31CA">
      <w:pPr>
        <w:pStyle w:val="Default"/>
        <w:widowControl w:val="0"/>
        <w:jc w:val="both"/>
        <w:rPr>
          <w:b/>
          <w:bCs/>
          <w:iCs/>
          <w:color w:val="FF0000"/>
          <w:sz w:val="20"/>
          <w:szCs w:val="20"/>
        </w:rPr>
      </w:pPr>
      <w:r w:rsidRPr="00A60999">
        <w:rPr>
          <w:color w:val="FF0000"/>
        </w:rPr>
        <w:tab/>
      </w:r>
    </w:p>
    <w:p w:rsidR="00535D0B" w:rsidRPr="00535D0B" w:rsidRDefault="00535D0B" w:rsidP="00CF31CA">
      <w:pPr>
        <w:pStyle w:val="Default"/>
        <w:widowControl w:val="0"/>
        <w:jc w:val="both"/>
        <w:rPr>
          <w:b/>
          <w:bCs/>
          <w:i/>
          <w:iCs/>
        </w:rPr>
      </w:pPr>
      <w:r w:rsidRPr="00535D0B">
        <w:rPr>
          <w:b/>
          <w:bCs/>
          <w:i/>
          <w:iCs/>
        </w:rPr>
        <w:t>X.1.2. Locuinţe</w:t>
      </w:r>
    </w:p>
    <w:p w:rsidR="00535D0B" w:rsidRPr="003A726B" w:rsidRDefault="00535D0B" w:rsidP="00CF31CA">
      <w:pPr>
        <w:pStyle w:val="Default"/>
        <w:widowControl w:val="0"/>
        <w:jc w:val="both"/>
        <w:rPr>
          <w:b/>
          <w:bCs/>
          <w:iCs/>
          <w:sz w:val="16"/>
          <w:szCs w:val="16"/>
        </w:rPr>
      </w:pPr>
    </w:p>
    <w:p w:rsidR="00001433" w:rsidRPr="00001433" w:rsidRDefault="00001433" w:rsidP="00001433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001433">
        <w:rPr>
          <w:rFonts w:ascii="Arial" w:hAnsi="Arial" w:cs="Arial"/>
          <w:bCs/>
          <w:iCs/>
          <w:color w:val="000000"/>
          <w:sz w:val="24"/>
          <w:szCs w:val="24"/>
        </w:rPr>
        <w:t xml:space="preserve">Numărul mediu de persoane pe 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locuinţă </w:t>
      </w:r>
      <w:r w:rsidRPr="00001433">
        <w:rPr>
          <w:rFonts w:ascii="Arial" w:hAnsi="Arial" w:cs="Arial"/>
          <w:bCs/>
          <w:iCs/>
          <w:color w:val="000000"/>
          <w:sz w:val="24"/>
          <w:szCs w:val="24"/>
        </w:rPr>
        <w:t>reprezintă populaţia totală, din perioada de referinţă,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001433">
        <w:rPr>
          <w:rFonts w:ascii="Arial" w:hAnsi="Arial" w:cs="Arial"/>
          <w:bCs/>
          <w:iCs/>
          <w:color w:val="000000"/>
          <w:sz w:val="24"/>
          <w:szCs w:val="24"/>
        </w:rPr>
        <w:t xml:space="preserve">raportată la numărul total de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locuinţe</w:t>
      </w:r>
      <w:r w:rsidRPr="00001433">
        <w:rPr>
          <w:rFonts w:ascii="Arial" w:hAnsi="Arial" w:cs="Arial"/>
          <w:bCs/>
          <w:iCs/>
          <w:color w:val="000000"/>
          <w:sz w:val="24"/>
          <w:szCs w:val="24"/>
        </w:rPr>
        <w:t>, înregistrate pe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001433">
        <w:rPr>
          <w:rFonts w:ascii="Arial" w:hAnsi="Arial" w:cs="Arial"/>
          <w:bCs/>
          <w:iCs/>
          <w:color w:val="000000"/>
          <w:sz w:val="24"/>
          <w:szCs w:val="24"/>
        </w:rPr>
        <w:t xml:space="preserve">teritoriul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unui judeţ</w:t>
      </w:r>
      <w:r w:rsidRPr="00001433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001433" w:rsidRDefault="00001433" w:rsidP="004F7CAF">
      <w:pPr>
        <w:pStyle w:val="Default"/>
        <w:widowControl w:val="0"/>
        <w:jc w:val="center"/>
        <w:rPr>
          <w:sz w:val="22"/>
          <w:szCs w:val="22"/>
        </w:rPr>
      </w:pPr>
    </w:p>
    <w:p w:rsidR="006C24EE" w:rsidRDefault="006C24EE" w:rsidP="004F7CAF">
      <w:pPr>
        <w:pStyle w:val="Default"/>
        <w:widowControl w:val="0"/>
        <w:jc w:val="center"/>
        <w:rPr>
          <w:sz w:val="22"/>
          <w:szCs w:val="22"/>
        </w:rPr>
      </w:pPr>
    </w:p>
    <w:p w:rsidR="001D574E" w:rsidRDefault="00535D0B" w:rsidP="004F7CAF">
      <w:pPr>
        <w:pStyle w:val="Default"/>
        <w:widowControl w:val="0"/>
        <w:jc w:val="center"/>
        <w:rPr>
          <w:sz w:val="22"/>
          <w:szCs w:val="22"/>
        </w:rPr>
      </w:pPr>
      <w:r w:rsidRPr="004F7CAF">
        <w:rPr>
          <w:sz w:val="22"/>
          <w:szCs w:val="22"/>
        </w:rPr>
        <w:lastRenderedPageBreak/>
        <w:t>Tabelul X.1.2.1</w:t>
      </w:r>
      <w:r w:rsidR="00783501">
        <w:rPr>
          <w:sz w:val="22"/>
          <w:szCs w:val="22"/>
        </w:rPr>
        <w:t>.</w:t>
      </w:r>
      <w:r w:rsidRPr="004F7CAF">
        <w:rPr>
          <w:sz w:val="22"/>
          <w:szCs w:val="22"/>
          <w:lang w:val="en-US"/>
        </w:rPr>
        <w:t xml:space="preserve"> </w:t>
      </w:r>
      <w:r w:rsidR="004F7CAF" w:rsidRPr="004F7CAF">
        <w:rPr>
          <w:sz w:val="22"/>
          <w:szCs w:val="22"/>
        </w:rPr>
        <w:t xml:space="preserve">Număr </w:t>
      </w:r>
      <w:r w:rsidR="00E52A68">
        <w:rPr>
          <w:sz w:val="22"/>
          <w:szCs w:val="22"/>
        </w:rPr>
        <w:t>de locuinţe şi persoane în 201</w:t>
      </w:r>
      <w:r w:rsidR="00857750">
        <w:rPr>
          <w:sz w:val="22"/>
          <w:szCs w:val="22"/>
        </w:rPr>
        <w:t>3</w:t>
      </w:r>
      <w:r w:rsidR="00E52A68">
        <w:rPr>
          <w:sz w:val="22"/>
          <w:szCs w:val="22"/>
        </w:rPr>
        <w:t>-201</w:t>
      </w:r>
      <w:r w:rsidR="00857750">
        <w:rPr>
          <w:sz w:val="22"/>
          <w:szCs w:val="22"/>
        </w:rPr>
        <w:t>7</w:t>
      </w:r>
      <w:r w:rsidR="001D574E">
        <w:rPr>
          <w:sz w:val="22"/>
          <w:szCs w:val="22"/>
        </w:rPr>
        <w:t xml:space="preserve"> </w:t>
      </w:r>
    </w:p>
    <w:p w:rsidR="00535D0B" w:rsidRPr="001D574E" w:rsidRDefault="001D574E" w:rsidP="004F7CAF">
      <w:pPr>
        <w:pStyle w:val="Default"/>
        <w:widowControl w:val="0"/>
        <w:jc w:val="center"/>
        <w:rPr>
          <w:i/>
          <w:sz w:val="22"/>
          <w:szCs w:val="22"/>
        </w:rPr>
      </w:pPr>
      <w:r w:rsidRPr="001D574E">
        <w:rPr>
          <w:i/>
          <w:sz w:val="22"/>
          <w:szCs w:val="22"/>
        </w:rPr>
        <w:t>(sursa</w:t>
      </w:r>
      <w:r w:rsidRPr="00F24704">
        <w:rPr>
          <w:i/>
          <w:sz w:val="22"/>
          <w:szCs w:val="22"/>
        </w:rPr>
        <w:t xml:space="preserve">: </w:t>
      </w:r>
      <w:r w:rsidR="00911D3B" w:rsidRPr="00911D3B">
        <w:rPr>
          <w:i/>
          <w:sz w:val="22"/>
          <w:szCs w:val="22"/>
        </w:rPr>
        <w:t xml:space="preserve">site-ul </w:t>
      </w:r>
      <w:r w:rsidR="00F24704" w:rsidRPr="00F24704">
        <w:rPr>
          <w:i/>
          <w:sz w:val="22"/>
          <w:szCs w:val="22"/>
        </w:rPr>
        <w:t>Institutul</w:t>
      </w:r>
      <w:r w:rsidR="00911D3B">
        <w:rPr>
          <w:i/>
          <w:sz w:val="22"/>
          <w:szCs w:val="22"/>
        </w:rPr>
        <w:t>ui</w:t>
      </w:r>
      <w:r w:rsidR="00F24704" w:rsidRPr="00F24704">
        <w:rPr>
          <w:i/>
          <w:sz w:val="22"/>
          <w:szCs w:val="22"/>
        </w:rPr>
        <w:t xml:space="preserve"> Național de Statistică</w:t>
      </w:r>
      <w:r w:rsidRPr="001D574E">
        <w:rPr>
          <w:i/>
          <w:sz w:val="22"/>
          <w:szCs w:val="22"/>
        </w:rPr>
        <w:t>)</w:t>
      </w:r>
    </w:p>
    <w:p w:rsidR="004F7CAF" w:rsidRPr="004F7CAF" w:rsidRDefault="004F7CAF" w:rsidP="004F7CAF">
      <w:pPr>
        <w:pStyle w:val="Default"/>
        <w:widowControl w:val="0"/>
        <w:jc w:val="center"/>
        <w:rPr>
          <w:b/>
          <w:bCs/>
          <w:iCs/>
          <w:sz w:val="10"/>
          <w:szCs w:val="10"/>
        </w:rPr>
      </w:pPr>
    </w:p>
    <w:tbl>
      <w:tblPr>
        <w:tblStyle w:val="TableGrid"/>
        <w:tblW w:w="8559" w:type="dxa"/>
        <w:jc w:val="center"/>
        <w:tblLook w:val="04A0"/>
      </w:tblPr>
      <w:tblGrid>
        <w:gridCol w:w="2704"/>
        <w:gridCol w:w="1171"/>
        <w:gridCol w:w="1171"/>
        <w:gridCol w:w="1171"/>
        <w:gridCol w:w="1171"/>
        <w:gridCol w:w="1171"/>
      </w:tblGrid>
      <w:tr w:rsidR="00857750" w:rsidRPr="00535D0B" w:rsidTr="00A60999">
        <w:trPr>
          <w:trHeight w:val="246"/>
          <w:jc w:val="center"/>
        </w:trPr>
        <w:tc>
          <w:tcPr>
            <w:tcW w:w="2704" w:type="dxa"/>
            <w:shd w:val="clear" w:color="auto" w:fill="FFFF99"/>
          </w:tcPr>
          <w:p w:rsidR="00857750" w:rsidRPr="00535D0B" w:rsidRDefault="00857750" w:rsidP="007B38A9">
            <w:pPr>
              <w:spacing w:beforeLines="40" w:afterLines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99"/>
          </w:tcPr>
          <w:p w:rsidR="00857750" w:rsidRPr="00535D0B" w:rsidRDefault="00857750" w:rsidP="007B38A9">
            <w:pPr>
              <w:spacing w:beforeLines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D0B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171" w:type="dxa"/>
            <w:shd w:val="clear" w:color="auto" w:fill="FFFF99"/>
          </w:tcPr>
          <w:p w:rsidR="00857750" w:rsidRPr="00535D0B" w:rsidRDefault="00857750" w:rsidP="007B38A9">
            <w:pPr>
              <w:spacing w:beforeLines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171" w:type="dxa"/>
            <w:shd w:val="clear" w:color="auto" w:fill="FFFF99"/>
          </w:tcPr>
          <w:p w:rsidR="00857750" w:rsidRPr="00535D0B" w:rsidRDefault="00857750" w:rsidP="007B38A9">
            <w:pPr>
              <w:spacing w:beforeLines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171" w:type="dxa"/>
            <w:shd w:val="clear" w:color="auto" w:fill="FFFF99"/>
          </w:tcPr>
          <w:p w:rsidR="00857750" w:rsidRPr="00535D0B" w:rsidRDefault="00857750" w:rsidP="007B38A9">
            <w:pPr>
              <w:spacing w:beforeLines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171" w:type="dxa"/>
            <w:shd w:val="clear" w:color="auto" w:fill="FFFF99"/>
          </w:tcPr>
          <w:p w:rsidR="00857750" w:rsidRPr="00535D0B" w:rsidRDefault="00857750" w:rsidP="007B38A9">
            <w:pPr>
              <w:spacing w:beforeLines="40" w:afterLines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857750" w:rsidRPr="00535D0B" w:rsidTr="00A60999">
        <w:trPr>
          <w:trHeight w:val="246"/>
          <w:jc w:val="center"/>
        </w:trPr>
        <w:tc>
          <w:tcPr>
            <w:tcW w:w="2704" w:type="dxa"/>
          </w:tcPr>
          <w:p w:rsidR="00857750" w:rsidRPr="00783501" w:rsidRDefault="00857750" w:rsidP="007B38A9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501">
              <w:rPr>
                <w:rFonts w:ascii="Arial" w:hAnsi="Arial" w:cs="Arial"/>
                <w:sz w:val="20"/>
                <w:szCs w:val="20"/>
              </w:rPr>
              <w:t>Locuinte - jud. Suceava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74E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574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266.145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267.425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269.044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270.545</w:t>
            </w:r>
          </w:p>
        </w:tc>
      </w:tr>
      <w:tr w:rsidR="00857750" w:rsidRPr="00535D0B" w:rsidTr="00A60999">
        <w:trPr>
          <w:trHeight w:val="246"/>
          <w:jc w:val="center"/>
        </w:trPr>
        <w:tc>
          <w:tcPr>
            <w:tcW w:w="2704" w:type="dxa"/>
          </w:tcPr>
          <w:p w:rsidR="00857750" w:rsidRPr="00783501" w:rsidRDefault="00857750" w:rsidP="007B38A9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501">
              <w:rPr>
                <w:rFonts w:ascii="Arial" w:hAnsi="Arial" w:cs="Arial"/>
                <w:sz w:val="20"/>
                <w:szCs w:val="20"/>
              </w:rPr>
              <w:t>Locuinte urban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74E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574E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114.536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114.967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115.440</w:t>
            </w:r>
          </w:p>
        </w:tc>
        <w:tc>
          <w:tcPr>
            <w:tcW w:w="1171" w:type="dxa"/>
          </w:tcPr>
          <w:p w:rsidR="00857750" w:rsidRPr="001D574E" w:rsidRDefault="0090064A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115.907</w:t>
            </w:r>
          </w:p>
        </w:tc>
      </w:tr>
      <w:tr w:rsidR="00857750" w:rsidRPr="00535D0B" w:rsidTr="00A60999">
        <w:trPr>
          <w:trHeight w:val="246"/>
          <w:jc w:val="center"/>
        </w:trPr>
        <w:tc>
          <w:tcPr>
            <w:tcW w:w="2704" w:type="dxa"/>
          </w:tcPr>
          <w:p w:rsidR="00857750" w:rsidRPr="00783501" w:rsidRDefault="00857750" w:rsidP="007B38A9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501">
              <w:rPr>
                <w:rFonts w:ascii="Arial" w:hAnsi="Arial" w:cs="Arial"/>
                <w:sz w:val="20"/>
                <w:szCs w:val="20"/>
              </w:rPr>
              <w:t>Locuinte rural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574E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574E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151.609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152.458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153.604</w:t>
            </w:r>
          </w:p>
        </w:tc>
        <w:tc>
          <w:tcPr>
            <w:tcW w:w="1171" w:type="dxa"/>
          </w:tcPr>
          <w:p w:rsidR="00857750" w:rsidRPr="001D574E" w:rsidRDefault="00052F9F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154.638</w:t>
            </w:r>
          </w:p>
        </w:tc>
      </w:tr>
      <w:tr w:rsidR="00857750" w:rsidRPr="00535D0B" w:rsidTr="00A60999">
        <w:trPr>
          <w:trHeight w:val="246"/>
          <w:jc w:val="center"/>
        </w:trPr>
        <w:tc>
          <w:tcPr>
            <w:tcW w:w="2704" w:type="dxa"/>
          </w:tcPr>
          <w:p w:rsidR="00857750" w:rsidRPr="00783501" w:rsidRDefault="00857750" w:rsidP="007B38A9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501">
              <w:rPr>
                <w:rFonts w:ascii="Arial" w:hAnsi="Arial" w:cs="Arial"/>
                <w:sz w:val="20"/>
                <w:szCs w:val="20"/>
              </w:rPr>
              <w:t>Persoane jud. Suceava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F247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F2470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F2470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.8</w:t>
            </w:r>
            <w:r w:rsidR="00F2470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F2470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4704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</w:tr>
      <w:tr w:rsidR="00857750" w:rsidRPr="00535D0B" w:rsidTr="00A60999">
        <w:trPr>
          <w:trHeight w:val="134"/>
          <w:jc w:val="center"/>
        </w:trPr>
        <w:tc>
          <w:tcPr>
            <w:tcW w:w="2704" w:type="dxa"/>
          </w:tcPr>
          <w:p w:rsidR="00857750" w:rsidRPr="00783501" w:rsidRDefault="00857750" w:rsidP="007B38A9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501">
              <w:rPr>
                <w:rFonts w:ascii="Arial" w:hAnsi="Arial" w:cs="Arial"/>
                <w:sz w:val="20"/>
                <w:szCs w:val="20"/>
              </w:rPr>
              <w:t xml:space="preserve">Persoane urban  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324.0</w:t>
            </w:r>
            <w:r w:rsidR="00F2470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2470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</w:t>
            </w:r>
            <w:r w:rsidR="00F24704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2470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71" w:type="dxa"/>
          </w:tcPr>
          <w:p w:rsidR="00857750" w:rsidRPr="001D574E" w:rsidRDefault="00F24704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330.653</w:t>
            </w:r>
          </w:p>
        </w:tc>
      </w:tr>
      <w:tr w:rsidR="00857750" w:rsidRPr="00535D0B" w:rsidTr="00A60999">
        <w:trPr>
          <w:trHeight w:val="246"/>
          <w:jc w:val="center"/>
        </w:trPr>
        <w:tc>
          <w:tcPr>
            <w:tcW w:w="2704" w:type="dxa"/>
          </w:tcPr>
          <w:p w:rsidR="00857750" w:rsidRPr="00783501" w:rsidRDefault="00857750" w:rsidP="007B38A9">
            <w:pPr>
              <w:spacing w:beforeLines="40" w:afterLines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501">
              <w:rPr>
                <w:rFonts w:ascii="Arial" w:hAnsi="Arial" w:cs="Arial"/>
                <w:sz w:val="20"/>
                <w:szCs w:val="20"/>
              </w:rPr>
              <w:t xml:space="preserve">Persoane rural 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2470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F2470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2470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247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171" w:type="dxa"/>
          </w:tcPr>
          <w:p w:rsidR="00857750" w:rsidRPr="001D574E" w:rsidRDefault="00857750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F2470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470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171" w:type="dxa"/>
          </w:tcPr>
          <w:p w:rsidR="00857750" w:rsidRPr="001D574E" w:rsidRDefault="00F24704" w:rsidP="007B38A9">
            <w:pPr>
              <w:spacing w:beforeLines="40" w:afterLines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423.054</w:t>
            </w:r>
          </w:p>
        </w:tc>
      </w:tr>
    </w:tbl>
    <w:p w:rsidR="00F708E6" w:rsidRPr="00783501" w:rsidRDefault="00F708E6" w:rsidP="00CF31CA">
      <w:pPr>
        <w:pStyle w:val="Default"/>
        <w:widowControl w:val="0"/>
        <w:jc w:val="both"/>
        <w:rPr>
          <w:b/>
          <w:bCs/>
          <w:iCs/>
          <w:sz w:val="16"/>
          <w:szCs w:val="16"/>
        </w:rPr>
      </w:pPr>
    </w:p>
    <w:p w:rsidR="002C1D55" w:rsidRDefault="001D574E" w:rsidP="001D574E">
      <w:pPr>
        <w:pStyle w:val="Default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Fig.</w:t>
      </w:r>
      <w:r w:rsidRPr="004F7CAF">
        <w:rPr>
          <w:sz w:val="22"/>
          <w:szCs w:val="22"/>
        </w:rPr>
        <w:t xml:space="preserve"> X.1.2.1</w:t>
      </w:r>
      <w:r>
        <w:rPr>
          <w:sz w:val="22"/>
          <w:szCs w:val="22"/>
        </w:rPr>
        <w:t xml:space="preserve">. </w:t>
      </w:r>
      <w:r w:rsidR="00001433">
        <w:rPr>
          <w:sz w:val="22"/>
          <w:szCs w:val="22"/>
        </w:rPr>
        <w:t>Evoluţia n</w:t>
      </w:r>
      <w:r>
        <w:rPr>
          <w:sz w:val="22"/>
          <w:szCs w:val="22"/>
        </w:rPr>
        <w:t>umărul</w:t>
      </w:r>
      <w:r w:rsidR="00001433">
        <w:rPr>
          <w:sz w:val="22"/>
          <w:szCs w:val="22"/>
        </w:rPr>
        <w:t>ui</w:t>
      </w:r>
      <w:r>
        <w:rPr>
          <w:sz w:val="22"/>
          <w:szCs w:val="22"/>
        </w:rPr>
        <w:t xml:space="preserve"> mediu de persoane pe</w:t>
      </w:r>
      <w:r w:rsidR="00001433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locuinţă</w:t>
      </w:r>
      <w:r w:rsidR="00911D3B">
        <w:rPr>
          <w:sz w:val="22"/>
          <w:szCs w:val="22"/>
        </w:rPr>
        <w:t xml:space="preserve"> </w:t>
      </w:r>
    </w:p>
    <w:p w:rsidR="00911D3B" w:rsidRPr="001D574E" w:rsidRDefault="00911D3B" w:rsidP="00911D3B">
      <w:pPr>
        <w:pStyle w:val="Default"/>
        <w:widowControl w:val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în perioada 2013-2017, în județul Suceava</w:t>
      </w:r>
    </w:p>
    <w:p w:rsidR="00783501" w:rsidRPr="00783501" w:rsidRDefault="00783501" w:rsidP="001D574E">
      <w:pPr>
        <w:pStyle w:val="Default"/>
        <w:widowControl w:val="0"/>
        <w:jc w:val="center"/>
        <w:rPr>
          <w:b/>
          <w:bCs/>
          <w:iCs/>
          <w:sz w:val="10"/>
          <w:szCs w:val="10"/>
        </w:rPr>
      </w:pPr>
    </w:p>
    <w:p w:rsidR="00535D0B" w:rsidRDefault="00915A81" w:rsidP="001D574E">
      <w:pPr>
        <w:pStyle w:val="Default"/>
        <w:widowControl w:val="0"/>
        <w:jc w:val="center"/>
        <w:rPr>
          <w:b/>
          <w:bCs/>
          <w:iCs/>
        </w:rPr>
      </w:pPr>
      <w:r w:rsidRPr="00915A81">
        <w:rPr>
          <w:b/>
          <w:bCs/>
          <w:iCs/>
          <w:noProof/>
        </w:rPr>
        <w:drawing>
          <wp:inline distT="0" distB="0" distL="0" distR="0">
            <wp:extent cx="5667375" cy="2028825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D55" w:rsidRPr="002C1D55" w:rsidRDefault="002C1D55" w:rsidP="002C1D55">
      <w:pPr>
        <w:pStyle w:val="Default"/>
        <w:widowControl w:val="0"/>
        <w:jc w:val="both"/>
        <w:rPr>
          <w:i/>
          <w:sz w:val="20"/>
          <w:szCs w:val="20"/>
        </w:rPr>
      </w:pPr>
      <w:r w:rsidRPr="002C1D55">
        <w:rPr>
          <w:bCs/>
          <w:i/>
          <w:iCs/>
          <w:sz w:val="20"/>
          <w:szCs w:val="20"/>
        </w:rPr>
        <w:t xml:space="preserve">* Valori calculate de APM Suceava din datele prezentate în tabelul </w:t>
      </w:r>
      <w:r w:rsidRPr="002C1D55">
        <w:rPr>
          <w:i/>
          <w:sz w:val="20"/>
          <w:szCs w:val="20"/>
        </w:rPr>
        <w:t xml:space="preserve">X.1.2.1 </w:t>
      </w:r>
    </w:p>
    <w:p w:rsidR="002C1D55" w:rsidRPr="002C1D55" w:rsidRDefault="002C1D55" w:rsidP="002C1D55">
      <w:pPr>
        <w:pStyle w:val="Default"/>
        <w:widowControl w:val="0"/>
        <w:jc w:val="both"/>
        <w:rPr>
          <w:i/>
          <w:sz w:val="10"/>
          <w:szCs w:val="10"/>
        </w:rPr>
      </w:pPr>
    </w:p>
    <w:p w:rsidR="00535D0B" w:rsidRDefault="00F708E6" w:rsidP="002C1D55">
      <w:pPr>
        <w:pStyle w:val="Default"/>
        <w:widowControl w:val="0"/>
        <w:ind w:firstLine="708"/>
        <w:jc w:val="both"/>
        <w:rPr>
          <w:bCs/>
          <w:iCs/>
          <w:color w:val="FF0000"/>
        </w:rPr>
      </w:pPr>
      <w:r w:rsidRPr="00F708E6">
        <w:rPr>
          <w:bCs/>
          <w:iCs/>
        </w:rPr>
        <w:t>Din fig. X.1.2.1 se poate constata că</w:t>
      </w:r>
      <w:r w:rsidR="00381218">
        <w:rPr>
          <w:bCs/>
          <w:iCs/>
        </w:rPr>
        <w:t>, în perioada 201</w:t>
      </w:r>
      <w:r w:rsidR="00BA48DD">
        <w:rPr>
          <w:bCs/>
          <w:iCs/>
        </w:rPr>
        <w:t>3</w:t>
      </w:r>
      <w:r w:rsidR="00381218">
        <w:rPr>
          <w:bCs/>
          <w:iCs/>
        </w:rPr>
        <w:t>-201</w:t>
      </w:r>
      <w:r w:rsidR="00BA48DD">
        <w:rPr>
          <w:bCs/>
          <w:iCs/>
        </w:rPr>
        <w:t>7</w:t>
      </w:r>
      <w:r w:rsidR="00381218">
        <w:rPr>
          <w:bCs/>
          <w:iCs/>
        </w:rPr>
        <w:t xml:space="preserve">, </w:t>
      </w:r>
      <w:r w:rsidR="00381218" w:rsidRPr="00F708E6">
        <w:rPr>
          <w:bCs/>
          <w:iCs/>
        </w:rPr>
        <w:t>atât la nivel de judeţ, cât şi la ni</w:t>
      </w:r>
      <w:r w:rsidR="00381218">
        <w:rPr>
          <w:bCs/>
          <w:iCs/>
        </w:rPr>
        <w:t xml:space="preserve">vel urban şi rural, </w:t>
      </w:r>
      <w:r w:rsidR="00783501">
        <w:rPr>
          <w:bCs/>
          <w:iCs/>
        </w:rPr>
        <w:t>numărul</w:t>
      </w:r>
      <w:r w:rsidRPr="00F708E6">
        <w:rPr>
          <w:bCs/>
          <w:iCs/>
        </w:rPr>
        <w:t xml:space="preserve"> de persoane per locuinţă</w:t>
      </w:r>
      <w:r w:rsidR="008A33B3">
        <w:rPr>
          <w:bCs/>
          <w:iCs/>
        </w:rPr>
        <w:t xml:space="preserve"> este relativ constant</w:t>
      </w:r>
      <w:r w:rsidR="00C64085">
        <w:rPr>
          <w:bCs/>
          <w:iCs/>
        </w:rPr>
        <w:t>.</w:t>
      </w:r>
    </w:p>
    <w:p w:rsidR="001D574E" w:rsidRPr="004F3CFC" w:rsidRDefault="004F3CFC" w:rsidP="00CF31CA">
      <w:pPr>
        <w:pStyle w:val="Default"/>
        <w:widowControl w:val="0"/>
        <w:jc w:val="both"/>
        <w:rPr>
          <w:bCs/>
          <w:iCs/>
        </w:rPr>
      </w:pPr>
      <w:r>
        <w:rPr>
          <w:b/>
          <w:bCs/>
          <w:iCs/>
        </w:rPr>
        <w:tab/>
      </w:r>
      <w:r w:rsidR="00406512" w:rsidRPr="00406512">
        <w:rPr>
          <w:bCs/>
          <w:iCs/>
        </w:rPr>
        <w:t>A</w:t>
      </w:r>
      <w:r w:rsidR="00406512">
        <w:rPr>
          <w:bCs/>
          <w:iCs/>
        </w:rPr>
        <w:t>naliza datelor</w:t>
      </w:r>
      <w:r w:rsidRPr="004F3CFC">
        <w:rPr>
          <w:bCs/>
          <w:iCs/>
        </w:rPr>
        <w:t xml:space="preserve"> prezentate </w:t>
      </w:r>
      <w:r w:rsidR="00406512">
        <w:rPr>
          <w:bCs/>
          <w:iCs/>
        </w:rPr>
        <w:t xml:space="preserve">arată </w:t>
      </w:r>
      <w:r w:rsidRPr="004F3CFC">
        <w:rPr>
          <w:bCs/>
          <w:iCs/>
        </w:rPr>
        <w:t>că gradul de urbanizare la nivelul judeţului Suceava este</w:t>
      </w:r>
      <w:r w:rsidR="002C1D55">
        <w:rPr>
          <w:bCs/>
          <w:iCs/>
        </w:rPr>
        <w:t>, la nivelul anului 2017,</w:t>
      </w:r>
      <w:r w:rsidRPr="004F3CFC">
        <w:rPr>
          <w:bCs/>
          <w:iCs/>
        </w:rPr>
        <w:t xml:space="preserve"> de cca</w:t>
      </w:r>
      <w:r w:rsidR="002C1D55">
        <w:rPr>
          <w:bCs/>
          <w:iCs/>
        </w:rPr>
        <w:t>.</w:t>
      </w:r>
      <w:r w:rsidRPr="004F3CFC">
        <w:rPr>
          <w:bCs/>
          <w:iCs/>
        </w:rPr>
        <w:t xml:space="preserve"> </w:t>
      </w:r>
      <w:r w:rsidR="00BA48DD">
        <w:rPr>
          <w:bCs/>
          <w:iCs/>
        </w:rPr>
        <w:t>4</w:t>
      </w:r>
      <w:r w:rsidR="007A336D">
        <w:rPr>
          <w:bCs/>
          <w:iCs/>
        </w:rPr>
        <w:t>3</w:t>
      </w:r>
      <w:r w:rsidRPr="004F3CFC">
        <w:rPr>
          <w:bCs/>
          <w:iCs/>
        </w:rPr>
        <w:t>%.</w:t>
      </w:r>
    </w:p>
    <w:p w:rsidR="00406512" w:rsidRPr="00406512" w:rsidRDefault="00406512" w:rsidP="00CF31CA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</w:p>
    <w:p w:rsidR="00535D0B" w:rsidRDefault="00535D0B" w:rsidP="00CF31CA">
      <w:pPr>
        <w:pStyle w:val="Default"/>
        <w:widowControl w:val="0"/>
        <w:jc w:val="both"/>
        <w:rPr>
          <w:b/>
          <w:bCs/>
          <w:iCs/>
        </w:rPr>
      </w:pPr>
      <w:r>
        <w:rPr>
          <w:b/>
          <w:bCs/>
          <w:iCs/>
        </w:rPr>
        <w:t xml:space="preserve">X.2. Factori care influenţează consumul  </w:t>
      </w:r>
    </w:p>
    <w:p w:rsidR="00F205AA" w:rsidRPr="00AB45C7" w:rsidRDefault="00F205AA" w:rsidP="00F20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4F3CFC" w:rsidRPr="00BC1A57" w:rsidRDefault="00BC1A57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4F3CFC" w:rsidRPr="00BC1A57">
        <w:rPr>
          <w:rFonts w:ascii="Arial" w:hAnsi="Arial" w:cs="Arial"/>
          <w:bCs/>
          <w:iCs/>
          <w:color w:val="000000"/>
          <w:sz w:val="24"/>
          <w:szCs w:val="24"/>
        </w:rPr>
        <w:t xml:space="preserve">Printre cei mai importanți factori care influențează </w:t>
      </w:r>
      <w:r w:rsidR="00D05282">
        <w:rPr>
          <w:rFonts w:ascii="Arial" w:hAnsi="Arial" w:cs="Arial"/>
          <w:bCs/>
          <w:iCs/>
          <w:color w:val="000000"/>
          <w:sz w:val="24"/>
          <w:szCs w:val="24"/>
        </w:rPr>
        <w:t>consumul</w:t>
      </w:r>
      <w:r w:rsidR="004F3CFC" w:rsidRPr="00BC1A57">
        <w:rPr>
          <w:rFonts w:ascii="Arial" w:hAnsi="Arial" w:cs="Arial"/>
          <w:bCs/>
          <w:iCs/>
          <w:color w:val="000000"/>
          <w:sz w:val="24"/>
          <w:szCs w:val="24"/>
        </w:rPr>
        <w:t>, se numără: factorii demografici, factorii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4F3CFC" w:rsidRPr="00BC1A57">
        <w:rPr>
          <w:rFonts w:ascii="Arial" w:hAnsi="Arial" w:cs="Arial"/>
          <w:bCs/>
          <w:iCs/>
          <w:sz w:val="24"/>
          <w:szCs w:val="24"/>
        </w:rPr>
        <w:t>sociali și cei psihologici, veniturile și prețurile, comerțul,</w:t>
      </w:r>
      <w:r w:rsidR="00EA114E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3CFC" w:rsidRPr="00BC1A57">
        <w:rPr>
          <w:rFonts w:ascii="Arial" w:hAnsi="Arial" w:cs="Arial"/>
          <w:bCs/>
          <w:iCs/>
          <w:sz w:val="24"/>
          <w:szCs w:val="24"/>
        </w:rPr>
        <w:t>globalizarea, tehnologiile, furnizarea de bunuri și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4F3CFC" w:rsidRPr="00BC1A57">
        <w:rPr>
          <w:rFonts w:ascii="Arial" w:hAnsi="Arial" w:cs="Arial"/>
          <w:bCs/>
          <w:iCs/>
          <w:sz w:val="24"/>
          <w:szCs w:val="24"/>
        </w:rPr>
        <w:t xml:space="preserve">servicii, cât și modul în care acestea sunt </w:t>
      </w:r>
      <w:r>
        <w:rPr>
          <w:rFonts w:ascii="Arial" w:hAnsi="Arial" w:cs="Arial"/>
          <w:bCs/>
          <w:iCs/>
          <w:sz w:val="24"/>
          <w:szCs w:val="24"/>
        </w:rPr>
        <w:t>c</w:t>
      </w:r>
      <w:r w:rsidR="004F3CFC" w:rsidRPr="00BC1A57">
        <w:rPr>
          <w:rFonts w:ascii="Arial" w:hAnsi="Arial" w:cs="Arial"/>
          <w:bCs/>
          <w:iCs/>
          <w:sz w:val="24"/>
          <w:szCs w:val="24"/>
        </w:rPr>
        <w:t>omercializate.</w:t>
      </w:r>
    </w:p>
    <w:p w:rsidR="00BC1A57" w:rsidRDefault="00BC1A57" w:rsidP="00BC1A57">
      <w:pPr>
        <w:pStyle w:val="Default"/>
        <w:widowControl w:val="0"/>
        <w:jc w:val="both"/>
        <w:rPr>
          <w:bCs/>
          <w:iCs/>
        </w:rPr>
      </w:pPr>
      <w:r>
        <w:rPr>
          <w:bCs/>
          <w:iCs/>
        </w:rPr>
        <w:tab/>
      </w:r>
      <w:r w:rsidR="004F3CFC" w:rsidRPr="00BC1A57">
        <w:rPr>
          <w:bCs/>
          <w:iCs/>
        </w:rPr>
        <w:t xml:space="preserve">De asemenea, mai au influență asupra </w:t>
      </w:r>
      <w:r w:rsidR="004F3CFC" w:rsidRPr="00D05282">
        <w:rPr>
          <w:bCs/>
          <w:iCs/>
        </w:rPr>
        <w:t>consumului informațiile</w:t>
      </w:r>
      <w:r w:rsidR="004F3CFC" w:rsidRPr="00BC1A57">
        <w:rPr>
          <w:bCs/>
          <w:iCs/>
        </w:rPr>
        <w:t xml:space="preserve"> cu privire la produse și servicii,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politici, locuințe și infrastructură.</w:t>
      </w:r>
    </w:p>
    <w:p w:rsidR="004F3CFC" w:rsidRPr="00BC1A57" w:rsidRDefault="00BC1A57" w:rsidP="00BC1A57">
      <w:pPr>
        <w:pStyle w:val="Default"/>
        <w:widowControl w:val="0"/>
        <w:jc w:val="both"/>
        <w:rPr>
          <w:bCs/>
          <w:iCs/>
        </w:rPr>
      </w:pPr>
      <w:r>
        <w:rPr>
          <w:bCs/>
          <w:iCs/>
        </w:rPr>
        <w:tab/>
      </w:r>
      <w:r w:rsidR="004F3CFC" w:rsidRPr="00BC1A57">
        <w:rPr>
          <w:bCs/>
          <w:iCs/>
        </w:rPr>
        <w:t>Pentru limitarea, pe cât posibil, a efectelor negative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ale presiunilor și a impactului asupra mediului,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provenite din consum, este necesară o înțelegere mai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bună a factorilor care influențează consumul.</w:t>
      </w:r>
    </w:p>
    <w:p w:rsidR="004F3CFC" w:rsidRPr="00BC1A57" w:rsidRDefault="00BC1A57" w:rsidP="00BC1A57">
      <w:pPr>
        <w:pStyle w:val="Default"/>
        <w:widowControl w:val="0"/>
        <w:jc w:val="both"/>
        <w:rPr>
          <w:bCs/>
          <w:iCs/>
        </w:rPr>
      </w:pPr>
      <w:r>
        <w:rPr>
          <w:bCs/>
          <w:iCs/>
        </w:rPr>
        <w:tab/>
      </w:r>
      <w:r w:rsidR="004F3CFC" w:rsidRPr="00177F1B">
        <w:rPr>
          <w:bCs/>
          <w:iCs/>
        </w:rPr>
        <w:t>Și în epoca modernă factorii economici au un rol</w:t>
      </w:r>
      <w:r w:rsidRPr="00177F1B">
        <w:rPr>
          <w:bCs/>
          <w:iCs/>
        </w:rPr>
        <w:t xml:space="preserve"> </w:t>
      </w:r>
      <w:r w:rsidR="004F3CFC" w:rsidRPr="00177F1B">
        <w:rPr>
          <w:bCs/>
          <w:iCs/>
        </w:rPr>
        <w:t>important,</w:t>
      </w:r>
      <w:r w:rsidR="004F3CFC" w:rsidRPr="00BC1A57">
        <w:rPr>
          <w:bCs/>
          <w:iCs/>
        </w:rPr>
        <w:t xml:space="preserve"> deoarece la nivel macroeconomic, ei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caracterizează capacitatea de cumpărare de care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dispune societatea la un moment dat, constituind la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formarea comportamentului consumatorului. La nivel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microeconomic, venitul consumatorului este factorul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esențial, care prin formă, mărime, dinamică, distribuție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 xml:space="preserve">în timp, </w:t>
      </w:r>
      <w:r w:rsidR="00791F6B" w:rsidRPr="00BC1A57">
        <w:rPr>
          <w:bCs/>
          <w:iCs/>
        </w:rPr>
        <w:t xml:space="preserve">și </w:t>
      </w:r>
      <w:r w:rsidR="004F3CFC" w:rsidRPr="00BC1A57">
        <w:rPr>
          <w:bCs/>
          <w:iCs/>
        </w:rPr>
        <w:t>destinație constituie premisa materială a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comportamentului consumatorului dar și principala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restricție care se impune acestuia.</w:t>
      </w:r>
    </w:p>
    <w:p w:rsidR="004F3CFC" w:rsidRPr="00BC1A57" w:rsidRDefault="00BC1A57" w:rsidP="00BC1A57">
      <w:pPr>
        <w:pStyle w:val="Default"/>
        <w:widowControl w:val="0"/>
        <w:jc w:val="both"/>
        <w:rPr>
          <w:bCs/>
          <w:iCs/>
        </w:rPr>
      </w:pPr>
      <w:r>
        <w:rPr>
          <w:bCs/>
          <w:iCs/>
        </w:rPr>
        <w:tab/>
      </w:r>
      <w:r w:rsidR="004F3CFC" w:rsidRPr="00BC1A57">
        <w:rPr>
          <w:bCs/>
          <w:iCs/>
        </w:rPr>
        <w:t>Conform Organizației pentru Cooperare și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Dezvoltare Economică ”cel mai important factor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>economic care influențează modelele de consum este</w:t>
      </w:r>
      <w:r>
        <w:rPr>
          <w:bCs/>
          <w:iCs/>
        </w:rPr>
        <w:t xml:space="preserve"> </w:t>
      </w:r>
      <w:r w:rsidR="004F3CFC" w:rsidRPr="00BC1A57">
        <w:rPr>
          <w:bCs/>
          <w:iCs/>
        </w:rPr>
        <w:t xml:space="preserve">nivelul venitului disponibil pe </w:t>
      </w:r>
      <w:r w:rsidR="004F3CFC" w:rsidRPr="00BC1A57">
        <w:rPr>
          <w:bCs/>
          <w:iCs/>
        </w:rPr>
        <w:lastRenderedPageBreak/>
        <w:t>gospodărie”.</w:t>
      </w:r>
    </w:p>
    <w:p w:rsidR="00BC1A57" w:rsidRPr="00C41B76" w:rsidRDefault="00BC1A57" w:rsidP="00BC1A57">
      <w:pPr>
        <w:pStyle w:val="Default"/>
        <w:widowControl w:val="0"/>
        <w:jc w:val="both"/>
        <w:rPr>
          <w:bCs/>
          <w:iCs/>
          <w:color w:val="auto"/>
        </w:rPr>
      </w:pPr>
      <w:r w:rsidRPr="00C41B76">
        <w:rPr>
          <w:bCs/>
          <w:iCs/>
          <w:color w:val="auto"/>
        </w:rPr>
        <w:tab/>
      </w:r>
      <w:r w:rsidR="004F3CFC" w:rsidRPr="00C41B76">
        <w:rPr>
          <w:bCs/>
          <w:iCs/>
          <w:color w:val="auto"/>
        </w:rPr>
        <w:t>Integrarea obiectivelor dezvoltării durabile în</w:t>
      </w:r>
      <w:r w:rsidRPr="00C41B76">
        <w:rPr>
          <w:bCs/>
          <w:iCs/>
          <w:color w:val="auto"/>
        </w:rPr>
        <w:t xml:space="preserve"> </w:t>
      </w:r>
      <w:r w:rsidR="004F3CFC" w:rsidRPr="00C41B76">
        <w:rPr>
          <w:bCs/>
          <w:iCs/>
          <w:color w:val="auto"/>
        </w:rPr>
        <w:t>centrul activităților economice presupune inclusiv,</w:t>
      </w:r>
      <w:r w:rsidRPr="00C41B76">
        <w:rPr>
          <w:bCs/>
          <w:iCs/>
          <w:color w:val="auto"/>
        </w:rPr>
        <w:t xml:space="preserve"> modificarea modelelor de producție și consum. Astfel de schimbări pot fi făcute prin reglementări, fiscalitate, decizii juridice, solicitări din partea publicului etc.</w:t>
      </w:r>
    </w:p>
    <w:p w:rsidR="00BC1A57" w:rsidRPr="00BC1A57" w:rsidRDefault="00EA114E" w:rsidP="00BC1A57">
      <w:pPr>
        <w:pStyle w:val="Default"/>
        <w:widowControl w:val="0"/>
        <w:jc w:val="both"/>
        <w:rPr>
          <w:bCs/>
          <w:iCs/>
        </w:rPr>
      </w:pPr>
      <w:r w:rsidRPr="00C41B76">
        <w:rPr>
          <w:bCs/>
          <w:iCs/>
          <w:color w:val="auto"/>
        </w:rPr>
        <w:tab/>
      </w:r>
      <w:r w:rsidR="00BC1A57" w:rsidRPr="00BC1A57">
        <w:rPr>
          <w:bCs/>
          <w:iCs/>
        </w:rPr>
        <w:t>Consumul mai este influenţat de către numărul</w:t>
      </w:r>
      <w:r w:rsidR="00BC1A57">
        <w:rPr>
          <w:bCs/>
          <w:iCs/>
        </w:rPr>
        <w:t xml:space="preserve"> </w:t>
      </w:r>
      <w:r w:rsidR="00BC1A57" w:rsidRPr="00BC1A57">
        <w:rPr>
          <w:bCs/>
          <w:iCs/>
        </w:rPr>
        <w:t>populaţiei, ponderea acesteia pe grupe de vârstă,</w:t>
      </w:r>
      <w:r w:rsidR="00BC1A57">
        <w:rPr>
          <w:bCs/>
          <w:iCs/>
        </w:rPr>
        <w:t xml:space="preserve"> </w:t>
      </w:r>
      <w:r w:rsidR="00BC1A57" w:rsidRPr="00BC1A57">
        <w:rPr>
          <w:bCs/>
          <w:iCs/>
        </w:rPr>
        <w:t>numărul de persoane pe gospodărie și spațiul de locuit</w:t>
      </w:r>
      <w:r w:rsidR="00BC1A57">
        <w:rPr>
          <w:bCs/>
          <w:iCs/>
        </w:rPr>
        <w:t xml:space="preserve"> </w:t>
      </w:r>
      <w:r w:rsidR="00BC1A57" w:rsidRPr="00BC1A57">
        <w:rPr>
          <w:bCs/>
          <w:iCs/>
        </w:rPr>
        <w:t>disponibil per persoană.</w:t>
      </w:r>
    </w:p>
    <w:p w:rsidR="00BC1A57" w:rsidRPr="00BC1A57" w:rsidRDefault="00BC1A57" w:rsidP="00BC1A57">
      <w:pPr>
        <w:pStyle w:val="Default"/>
        <w:widowControl w:val="0"/>
        <w:jc w:val="both"/>
        <w:rPr>
          <w:bCs/>
          <w:iCs/>
        </w:rPr>
      </w:pPr>
      <w:r>
        <w:rPr>
          <w:bCs/>
          <w:iCs/>
        </w:rPr>
        <w:tab/>
      </w:r>
      <w:r w:rsidRPr="007F7156">
        <w:rPr>
          <w:bCs/>
          <w:iCs/>
        </w:rPr>
        <w:t>Întotdeauna prețurile vor avea</w:t>
      </w:r>
      <w:r w:rsidRPr="00BC1A57">
        <w:rPr>
          <w:bCs/>
          <w:iCs/>
        </w:rPr>
        <w:t xml:space="preserve"> efect direct asupra</w:t>
      </w:r>
      <w:r>
        <w:rPr>
          <w:bCs/>
          <w:iCs/>
        </w:rPr>
        <w:t xml:space="preserve"> </w:t>
      </w:r>
      <w:r w:rsidRPr="00BC1A57">
        <w:rPr>
          <w:bCs/>
          <w:iCs/>
        </w:rPr>
        <w:t>consumului, alături de scăderea numărului populației,</w:t>
      </w:r>
      <w:r>
        <w:rPr>
          <w:bCs/>
          <w:iCs/>
        </w:rPr>
        <w:t xml:space="preserve"> </w:t>
      </w:r>
      <w:r w:rsidRPr="00BC1A57">
        <w:rPr>
          <w:bCs/>
          <w:iCs/>
        </w:rPr>
        <w:t>îmbătrânirea populației din țările dezvoltate, reducerea</w:t>
      </w:r>
      <w:r>
        <w:rPr>
          <w:bCs/>
          <w:iCs/>
        </w:rPr>
        <w:t xml:space="preserve"> </w:t>
      </w:r>
      <w:r w:rsidRPr="00BC1A57">
        <w:rPr>
          <w:bCs/>
          <w:iCs/>
        </w:rPr>
        <w:t>materiilor prime, accesul la internet și dezvoltarea</w:t>
      </w:r>
      <w:r>
        <w:rPr>
          <w:bCs/>
          <w:iCs/>
        </w:rPr>
        <w:t xml:space="preserve"> </w:t>
      </w:r>
      <w:r w:rsidRPr="00BC1A57">
        <w:rPr>
          <w:bCs/>
          <w:iCs/>
        </w:rPr>
        <w:t>tehnologiei.</w:t>
      </w:r>
    </w:p>
    <w:p w:rsidR="00BC1A57" w:rsidRPr="00BC1A57" w:rsidRDefault="00BC1A57" w:rsidP="00BC1A57">
      <w:pPr>
        <w:pStyle w:val="Default"/>
        <w:widowControl w:val="0"/>
        <w:jc w:val="both"/>
        <w:rPr>
          <w:bCs/>
          <w:iCs/>
        </w:rPr>
      </w:pPr>
      <w:r>
        <w:rPr>
          <w:bCs/>
          <w:iCs/>
        </w:rPr>
        <w:tab/>
      </w:r>
      <w:r w:rsidRPr="00BC1A57">
        <w:rPr>
          <w:bCs/>
          <w:iCs/>
        </w:rPr>
        <w:t>Printre efectele acestor factori întâlnim: creșterea</w:t>
      </w:r>
      <w:r>
        <w:rPr>
          <w:bCs/>
          <w:iCs/>
        </w:rPr>
        <w:t xml:space="preserve"> </w:t>
      </w:r>
      <w:r w:rsidRPr="00BC1A57">
        <w:rPr>
          <w:bCs/>
          <w:iCs/>
        </w:rPr>
        <w:t>vârstei de pensionare, încurajarea oamenilor de a-și face</w:t>
      </w:r>
      <w:r>
        <w:rPr>
          <w:bCs/>
          <w:iCs/>
        </w:rPr>
        <w:t xml:space="preserve"> </w:t>
      </w:r>
      <w:r w:rsidRPr="00BC1A57">
        <w:rPr>
          <w:bCs/>
          <w:iCs/>
        </w:rPr>
        <w:t>sisteme de pensie alternative, consumul responsabil și</w:t>
      </w:r>
      <w:r>
        <w:rPr>
          <w:bCs/>
          <w:iCs/>
        </w:rPr>
        <w:t xml:space="preserve"> </w:t>
      </w:r>
      <w:r w:rsidRPr="00BC1A57">
        <w:rPr>
          <w:bCs/>
          <w:iCs/>
        </w:rPr>
        <w:t>cu atenție mai mare la ceea ce consumă</w:t>
      </w:r>
      <w:r w:rsidR="00C41B76">
        <w:rPr>
          <w:rStyle w:val="FootnoteReference"/>
          <w:bCs/>
          <w:iCs/>
        </w:rPr>
        <w:footnoteReference w:id="1"/>
      </w:r>
      <w:r w:rsidRPr="00BC1A57">
        <w:rPr>
          <w:bCs/>
          <w:iCs/>
        </w:rPr>
        <w:t>.</w:t>
      </w:r>
    </w:p>
    <w:p w:rsidR="00EA114E" w:rsidRPr="005D5C59" w:rsidRDefault="00EA114E" w:rsidP="00BC1A57">
      <w:pPr>
        <w:pStyle w:val="Default"/>
        <w:widowControl w:val="0"/>
        <w:jc w:val="both"/>
        <w:rPr>
          <w:bCs/>
          <w:iCs/>
          <w:color w:val="auto"/>
        </w:rPr>
      </w:pPr>
      <w:r>
        <w:rPr>
          <w:bCs/>
          <w:iCs/>
          <w:color w:val="FF0000"/>
        </w:rPr>
        <w:tab/>
      </w:r>
      <w:r w:rsidR="00BC1A57" w:rsidRPr="005D5C59">
        <w:rPr>
          <w:bCs/>
          <w:iCs/>
          <w:color w:val="auto"/>
        </w:rPr>
        <w:t>Conform datelor Direcţiei Judeţene de Statistică Suceava, în 1990, erau în jud. Suceava</w:t>
      </w:r>
      <w:r w:rsidR="00FF5C5E" w:rsidRPr="005D5C59">
        <w:rPr>
          <w:bCs/>
          <w:iCs/>
          <w:color w:val="auto"/>
        </w:rPr>
        <w:t xml:space="preserve"> </w:t>
      </w:r>
      <w:r w:rsidR="00BC1A57" w:rsidRPr="005D5C59">
        <w:rPr>
          <w:bCs/>
          <w:iCs/>
          <w:color w:val="auto"/>
        </w:rPr>
        <w:t xml:space="preserve"> </w:t>
      </w:r>
      <w:r w:rsidR="00FF5C5E" w:rsidRPr="005D5C59">
        <w:rPr>
          <w:bCs/>
          <w:iCs/>
          <w:color w:val="auto"/>
        </w:rPr>
        <w:t>703.490</w:t>
      </w:r>
      <w:r w:rsidR="00BC1A57" w:rsidRPr="005D5C59">
        <w:rPr>
          <w:bCs/>
          <w:iCs/>
          <w:color w:val="auto"/>
        </w:rPr>
        <w:t xml:space="preserve"> locuitori, din care aproximativ 2</w:t>
      </w:r>
      <w:r w:rsidR="00FF5C5E" w:rsidRPr="005D5C59">
        <w:rPr>
          <w:bCs/>
          <w:iCs/>
          <w:color w:val="auto"/>
        </w:rPr>
        <w:t>6,7</w:t>
      </w:r>
      <w:r w:rsidR="00BC1A57" w:rsidRPr="005D5C59">
        <w:rPr>
          <w:bCs/>
          <w:iCs/>
          <w:color w:val="auto"/>
        </w:rPr>
        <w:t>% persoane de peste 50 de ani.</w:t>
      </w:r>
      <w:r w:rsidRPr="005D5C59">
        <w:rPr>
          <w:bCs/>
          <w:iCs/>
          <w:color w:val="auto"/>
        </w:rPr>
        <w:t xml:space="preserve"> </w:t>
      </w:r>
      <w:r w:rsidR="00BC1A57" w:rsidRPr="005D5C59">
        <w:rPr>
          <w:bCs/>
          <w:iCs/>
          <w:color w:val="auto"/>
        </w:rPr>
        <w:t xml:space="preserve">În </w:t>
      </w:r>
      <w:r w:rsidRPr="005D5C59">
        <w:rPr>
          <w:bCs/>
          <w:iCs/>
          <w:color w:val="auto"/>
        </w:rPr>
        <w:t xml:space="preserve">anul </w:t>
      </w:r>
      <w:r w:rsidR="00BC1A57" w:rsidRPr="005D5C59">
        <w:rPr>
          <w:bCs/>
          <w:iCs/>
          <w:color w:val="auto"/>
        </w:rPr>
        <w:t xml:space="preserve">2000, </w:t>
      </w:r>
      <w:r w:rsidR="00FF5C5E" w:rsidRPr="005D5C59">
        <w:rPr>
          <w:bCs/>
          <w:iCs/>
          <w:color w:val="auto"/>
        </w:rPr>
        <w:t>judeţul Suceava</w:t>
      </w:r>
      <w:r w:rsidR="00BC1A57" w:rsidRPr="005D5C59">
        <w:rPr>
          <w:bCs/>
          <w:iCs/>
          <w:color w:val="auto"/>
        </w:rPr>
        <w:t xml:space="preserve"> avea </w:t>
      </w:r>
      <w:r w:rsidR="00FF5C5E" w:rsidRPr="005D5C59">
        <w:rPr>
          <w:bCs/>
          <w:iCs/>
          <w:color w:val="auto"/>
        </w:rPr>
        <w:t>716.301 locuitori, din care în jur de 27,3</w:t>
      </w:r>
      <w:r w:rsidR="00BC1A57" w:rsidRPr="005D5C59">
        <w:rPr>
          <w:bCs/>
          <w:iCs/>
          <w:color w:val="auto"/>
        </w:rPr>
        <w:t xml:space="preserve">% aveau peste 50 de ani, iar în anul 2010 aceste cifre erau de </w:t>
      </w:r>
      <w:r w:rsidR="00FF5C5E" w:rsidRPr="005D5C59">
        <w:rPr>
          <w:bCs/>
          <w:iCs/>
          <w:color w:val="auto"/>
        </w:rPr>
        <w:t>736.921</w:t>
      </w:r>
      <w:r w:rsidR="00BC1A57" w:rsidRPr="005D5C59">
        <w:rPr>
          <w:bCs/>
          <w:iCs/>
          <w:color w:val="auto"/>
        </w:rPr>
        <w:t xml:space="preserve"> locuitori, din care </w:t>
      </w:r>
      <w:r w:rsidR="00FF5C5E" w:rsidRPr="005D5C59">
        <w:rPr>
          <w:bCs/>
          <w:iCs/>
          <w:color w:val="auto"/>
        </w:rPr>
        <w:t>30</w:t>
      </w:r>
      <w:r w:rsidR="00BC1A57" w:rsidRPr="005D5C59">
        <w:rPr>
          <w:bCs/>
          <w:iCs/>
          <w:color w:val="auto"/>
        </w:rPr>
        <w:t>% seniori.</w:t>
      </w:r>
      <w:r w:rsidRPr="005D5C59">
        <w:rPr>
          <w:bCs/>
          <w:iCs/>
          <w:color w:val="auto"/>
        </w:rPr>
        <w:t xml:space="preserve"> </w:t>
      </w:r>
    </w:p>
    <w:p w:rsidR="00BC1A57" w:rsidRPr="004541A0" w:rsidRDefault="00D55957" w:rsidP="00BC1A57">
      <w:pPr>
        <w:pStyle w:val="Default"/>
        <w:widowControl w:val="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ab/>
      </w:r>
      <w:r w:rsidR="00BC1A57" w:rsidRPr="005D5C59">
        <w:rPr>
          <w:bCs/>
          <w:iCs/>
          <w:color w:val="auto"/>
        </w:rPr>
        <w:t xml:space="preserve">La nivelul anului </w:t>
      </w:r>
      <w:r w:rsidR="00FF5C5E" w:rsidRPr="005D5C59">
        <w:rPr>
          <w:bCs/>
          <w:iCs/>
          <w:color w:val="auto"/>
        </w:rPr>
        <w:t>201</w:t>
      </w:r>
      <w:r w:rsidR="00BA48DD">
        <w:rPr>
          <w:bCs/>
          <w:iCs/>
          <w:color w:val="auto"/>
        </w:rPr>
        <w:t>7</w:t>
      </w:r>
      <w:r w:rsidR="00BC1A57" w:rsidRPr="005D5C59">
        <w:rPr>
          <w:bCs/>
          <w:iCs/>
          <w:color w:val="auto"/>
        </w:rPr>
        <w:t xml:space="preserve"> în </w:t>
      </w:r>
      <w:r w:rsidR="00FF5C5E" w:rsidRPr="005D5C59">
        <w:rPr>
          <w:bCs/>
          <w:iCs/>
          <w:color w:val="auto"/>
        </w:rPr>
        <w:t>jud. Suceava</w:t>
      </w:r>
      <w:r w:rsidR="00BC1A57" w:rsidRPr="005D5C59">
        <w:rPr>
          <w:bCs/>
          <w:iCs/>
          <w:color w:val="auto"/>
        </w:rPr>
        <w:t xml:space="preserve"> sunt </w:t>
      </w:r>
      <w:r w:rsidR="002E5865" w:rsidRPr="004541A0">
        <w:rPr>
          <w:bCs/>
          <w:iCs/>
          <w:color w:val="auto"/>
        </w:rPr>
        <w:t>7</w:t>
      </w:r>
      <w:r w:rsidR="009F5829" w:rsidRPr="004541A0">
        <w:rPr>
          <w:bCs/>
          <w:iCs/>
          <w:color w:val="auto"/>
        </w:rPr>
        <w:t>53</w:t>
      </w:r>
      <w:r w:rsidR="002E5865" w:rsidRPr="004541A0">
        <w:rPr>
          <w:bCs/>
          <w:iCs/>
          <w:color w:val="auto"/>
        </w:rPr>
        <w:t>.</w:t>
      </w:r>
      <w:r w:rsidR="009F5829" w:rsidRPr="004541A0">
        <w:rPr>
          <w:bCs/>
          <w:iCs/>
          <w:color w:val="auto"/>
        </w:rPr>
        <w:t>70</w:t>
      </w:r>
      <w:r w:rsidR="002E5865" w:rsidRPr="004541A0">
        <w:rPr>
          <w:bCs/>
          <w:iCs/>
          <w:color w:val="auto"/>
        </w:rPr>
        <w:t xml:space="preserve">7 </w:t>
      </w:r>
      <w:r w:rsidR="00BC1A57" w:rsidRPr="004541A0">
        <w:rPr>
          <w:bCs/>
          <w:iCs/>
          <w:color w:val="auto"/>
        </w:rPr>
        <w:t xml:space="preserve">locuitori din care </w:t>
      </w:r>
      <w:r w:rsidR="009F5829" w:rsidRPr="004541A0">
        <w:rPr>
          <w:bCs/>
          <w:iCs/>
          <w:color w:val="auto"/>
        </w:rPr>
        <w:t>5</w:t>
      </w:r>
      <w:r w:rsidR="004541A0" w:rsidRPr="004541A0">
        <w:rPr>
          <w:bCs/>
          <w:iCs/>
          <w:color w:val="auto"/>
        </w:rPr>
        <w:t>5</w:t>
      </w:r>
      <w:r w:rsidR="00BC1A57" w:rsidRPr="004541A0">
        <w:rPr>
          <w:bCs/>
          <w:iCs/>
          <w:color w:val="auto"/>
        </w:rPr>
        <w:t>% peste 50 de ani.</w:t>
      </w:r>
    </w:p>
    <w:p w:rsidR="004F3CFC" w:rsidRPr="005D5C59" w:rsidRDefault="00EA114E" w:rsidP="00BC1A57">
      <w:pPr>
        <w:pStyle w:val="Default"/>
        <w:widowControl w:val="0"/>
        <w:jc w:val="both"/>
        <w:rPr>
          <w:bCs/>
          <w:iCs/>
          <w:color w:val="auto"/>
        </w:rPr>
      </w:pPr>
      <w:r>
        <w:rPr>
          <w:bCs/>
          <w:iCs/>
          <w:color w:val="FF0000"/>
        </w:rPr>
        <w:tab/>
      </w:r>
      <w:r w:rsidR="00BC1A57" w:rsidRPr="005D5C59">
        <w:rPr>
          <w:bCs/>
          <w:iCs/>
          <w:color w:val="auto"/>
        </w:rPr>
        <w:t xml:space="preserve">Conform prognozei estimată de MDRT, la nivel național, până în anul 2050, se va înregistra o scădere a populației ce se va datora menținerii unui deficit al nașterilor în raport cu numărul deceselor, la care se </w:t>
      </w:r>
      <w:r w:rsidR="00BC1A57" w:rsidRPr="003F6487">
        <w:rPr>
          <w:bCs/>
          <w:iCs/>
          <w:color w:val="auto"/>
        </w:rPr>
        <w:t>va adăuga soldul cumulat al migrației interne și externe.</w:t>
      </w:r>
    </w:p>
    <w:p w:rsidR="00EA114E" w:rsidRPr="00EA114E" w:rsidRDefault="00D55957" w:rsidP="00EA114E">
      <w:pPr>
        <w:pStyle w:val="Default"/>
        <w:widowControl w:val="0"/>
        <w:jc w:val="both"/>
        <w:rPr>
          <w:bCs/>
          <w:iCs/>
        </w:rPr>
      </w:pPr>
      <w:r>
        <w:rPr>
          <w:bCs/>
          <w:iCs/>
        </w:rPr>
        <w:tab/>
      </w:r>
      <w:r w:rsidR="00EA114E" w:rsidRPr="00EA114E">
        <w:rPr>
          <w:bCs/>
          <w:iCs/>
        </w:rPr>
        <w:t>Această tendință de îmbătrânire a populației va duce</w:t>
      </w:r>
      <w:r w:rsidR="00EA114E">
        <w:rPr>
          <w:bCs/>
          <w:iCs/>
        </w:rPr>
        <w:t xml:space="preserve"> </w:t>
      </w:r>
      <w:r w:rsidR="00EA114E" w:rsidRPr="00EA114E">
        <w:rPr>
          <w:bCs/>
          <w:iCs/>
        </w:rPr>
        <w:t>la apariția unor noi segmente de piață sau la apariția de</w:t>
      </w:r>
      <w:r w:rsidR="00EA114E">
        <w:rPr>
          <w:bCs/>
          <w:iCs/>
        </w:rPr>
        <w:t xml:space="preserve"> </w:t>
      </w:r>
      <w:r w:rsidR="00EA114E" w:rsidRPr="00EA114E">
        <w:rPr>
          <w:bCs/>
          <w:iCs/>
        </w:rPr>
        <w:t xml:space="preserve">noi produse dedicate </w:t>
      </w:r>
      <w:r w:rsidR="00BE1AB5">
        <w:rPr>
          <w:bCs/>
          <w:iCs/>
        </w:rPr>
        <w:t>persoanelor peste 50 de ani</w:t>
      </w:r>
      <w:r w:rsidR="00EA114E" w:rsidRPr="00EA114E">
        <w:rPr>
          <w:bCs/>
          <w:iCs/>
        </w:rPr>
        <w:t>, pe lângă cele clasice</w:t>
      </w:r>
      <w:r w:rsidR="00EA114E">
        <w:rPr>
          <w:bCs/>
          <w:iCs/>
        </w:rPr>
        <w:t xml:space="preserve"> </w:t>
      </w:r>
      <w:r w:rsidR="00EA114E" w:rsidRPr="00EA114E">
        <w:rPr>
          <w:bCs/>
          <w:iCs/>
        </w:rPr>
        <w:t>dedicate acestora.</w:t>
      </w:r>
      <w:r>
        <w:rPr>
          <w:bCs/>
          <w:iCs/>
        </w:rPr>
        <w:t xml:space="preserve"> </w:t>
      </w:r>
      <w:r w:rsidR="00EA114E" w:rsidRPr="00EA114E">
        <w:rPr>
          <w:bCs/>
          <w:iCs/>
        </w:rPr>
        <w:t>Tehnologia și inovarea au schimbat modul nostru de</w:t>
      </w:r>
      <w:r w:rsidR="00EA114E">
        <w:rPr>
          <w:bCs/>
          <w:iCs/>
        </w:rPr>
        <w:t xml:space="preserve"> </w:t>
      </w:r>
      <w:r w:rsidR="00EA114E" w:rsidRPr="00EA114E">
        <w:rPr>
          <w:bCs/>
          <w:iCs/>
        </w:rPr>
        <w:t>viață în mod semnificativ, prin apariția alimentelor</w:t>
      </w:r>
      <w:r w:rsidR="00EA114E">
        <w:rPr>
          <w:bCs/>
          <w:iCs/>
        </w:rPr>
        <w:t xml:space="preserve"> </w:t>
      </w:r>
      <w:r w:rsidR="00EA114E" w:rsidRPr="00EA114E">
        <w:rPr>
          <w:bCs/>
          <w:iCs/>
        </w:rPr>
        <w:t>semipreparate, aparatelor de uz casnic multiple și</w:t>
      </w:r>
      <w:r w:rsidR="00EA114E">
        <w:rPr>
          <w:bCs/>
          <w:iCs/>
        </w:rPr>
        <w:t xml:space="preserve"> </w:t>
      </w:r>
      <w:r w:rsidR="00EA114E" w:rsidRPr="00EA114E">
        <w:rPr>
          <w:bCs/>
          <w:iCs/>
        </w:rPr>
        <w:t>tehnologiilor de comunicare și informare moderne.</w:t>
      </w:r>
    </w:p>
    <w:p w:rsidR="00934F79" w:rsidRPr="00D31622" w:rsidRDefault="00D55957" w:rsidP="004541A0">
      <w:pPr>
        <w:pStyle w:val="Default"/>
        <w:widowControl w:val="0"/>
        <w:jc w:val="both"/>
        <w:rPr>
          <w:i/>
        </w:rPr>
      </w:pPr>
      <w:r>
        <w:rPr>
          <w:bCs/>
          <w:iCs/>
        </w:rPr>
        <w:tab/>
      </w:r>
    </w:p>
    <w:p w:rsidR="00CF6148" w:rsidRPr="00D31622" w:rsidRDefault="00CF6148" w:rsidP="00CF3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highlight w:val="green"/>
        </w:rPr>
      </w:pPr>
    </w:p>
    <w:sectPr w:rsidR="00CF6148" w:rsidRPr="00D31622" w:rsidSect="00E1149B">
      <w:headerReference w:type="default" r:id="rId9"/>
      <w:footerReference w:type="default" r:id="rId10"/>
      <w:pgSz w:w="11906" w:h="16838"/>
      <w:pgMar w:top="624" w:right="709" w:bottom="1021" w:left="141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94" w:rsidRDefault="001A6594" w:rsidP="00032554">
      <w:pPr>
        <w:spacing w:after="0" w:line="240" w:lineRule="auto"/>
      </w:pPr>
      <w:r>
        <w:separator/>
      </w:r>
    </w:p>
  </w:endnote>
  <w:endnote w:type="continuationSeparator" w:id="0">
    <w:p w:rsidR="001A6594" w:rsidRDefault="001A6594" w:rsidP="0003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0703"/>
      <w:docPartObj>
        <w:docPartGallery w:val="Page Numbers (Bottom of Page)"/>
        <w:docPartUnique/>
      </w:docPartObj>
    </w:sdtPr>
    <w:sdtContent>
      <w:p w:rsidR="00930C55" w:rsidRPr="00783501" w:rsidRDefault="00907B33" w:rsidP="00783501">
        <w:pPr>
          <w:pStyle w:val="Footer"/>
          <w:jc w:val="center"/>
        </w:pPr>
        <w:r w:rsidRPr="000B2B77">
          <w:rPr>
            <w:rFonts w:ascii="Arial" w:hAnsi="Arial" w:cs="Arial"/>
            <w:sz w:val="20"/>
            <w:szCs w:val="20"/>
          </w:rPr>
          <w:fldChar w:fldCharType="begin"/>
        </w:r>
        <w:r w:rsidR="00930C55" w:rsidRPr="000B2B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B2B77">
          <w:rPr>
            <w:rFonts w:ascii="Arial" w:hAnsi="Arial" w:cs="Arial"/>
            <w:sz w:val="20"/>
            <w:szCs w:val="20"/>
          </w:rPr>
          <w:fldChar w:fldCharType="separate"/>
        </w:r>
        <w:r w:rsidR="007B38A9">
          <w:rPr>
            <w:rFonts w:ascii="Arial" w:hAnsi="Arial" w:cs="Arial"/>
            <w:noProof/>
            <w:sz w:val="20"/>
            <w:szCs w:val="20"/>
          </w:rPr>
          <w:t>125</w:t>
        </w:r>
        <w:r w:rsidRPr="000B2B7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94" w:rsidRDefault="001A6594" w:rsidP="00032554">
      <w:pPr>
        <w:spacing w:after="0" w:line="240" w:lineRule="auto"/>
      </w:pPr>
      <w:r>
        <w:separator/>
      </w:r>
    </w:p>
  </w:footnote>
  <w:footnote w:type="continuationSeparator" w:id="0">
    <w:p w:rsidR="001A6594" w:rsidRDefault="001A6594" w:rsidP="00032554">
      <w:pPr>
        <w:spacing w:after="0" w:line="240" w:lineRule="auto"/>
      </w:pPr>
      <w:r>
        <w:continuationSeparator/>
      </w:r>
    </w:p>
  </w:footnote>
  <w:footnote w:id="1">
    <w:p w:rsidR="00930C55" w:rsidRDefault="00930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  <w:iCs/>
          <w:color w:val="000000"/>
        </w:rPr>
        <w:t>R</w:t>
      </w:r>
      <w:r w:rsidRPr="00D55957">
        <w:rPr>
          <w:rFonts w:ascii="Arial" w:hAnsi="Arial" w:cs="Arial"/>
          <w:bCs/>
          <w:iCs/>
          <w:color w:val="000000"/>
        </w:rPr>
        <w:t>aport anual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D55957">
        <w:rPr>
          <w:rFonts w:ascii="Arial" w:hAnsi="Arial" w:cs="Arial"/>
          <w:bCs/>
          <w:iCs/>
          <w:color w:val="000000"/>
        </w:rPr>
        <w:t>privind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D55957">
        <w:rPr>
          <w:rFonts w:ascii="Arial" w:hAnsi="Arial" w:cs="Arial"/>
          <w:bCs/>
          <w:iCs/>
          <w:color w:val="000000"/>
        </w:rPr>
        <w:t>starea mediului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D55957">
        <w:rPr>
          <w:rFonts w:ascii="Arial" w:hAnsi="Arial" w:cs="Arial"/>
          <w:bCs/>
          <w:iCs/>
          <w:color w:val="000000"/>
        </w:rPr>
        <w:t>în</w:t>
      </w:r>
      <w:r>
        <w:rPr>
          <w:rFonts w:ascii="Arial" w:hAnsi="Arial" w:cs="Arial"/>
          <w:bCs/>
          <w:iCs/>
          <w:color w:val="000000"/>
        </w:rPr>
        <w:t xml:space="preserve"> R</w:t>
      </w:r>
      <w:r w:rsidRPr="00D55957">
        <w:rPr>
          <w:rFonts w:ascii="Arial" w:hAnsi="Arial" w:cs="Arial"/>
          <w:bCs/>
          <w:iCs/>
          <w:color w:val="000000"/>
        </w:rPr>
        <w:t>omânia, anul 201</w:t>
      </w:r>
      <w:r w:rsidR="004541A0">
        <w:rPr>
          <w:rFonts w:ascii="Arial" w:hAnsi="Arial" w:cs="Arial"/>
          <w:bCs/>
          <w:iCs/>
          <w:color w:val="000000"/>
        </w:rPr>
        <w:t>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55" w:rsidRPr="005E7D7A" w:rsidRDefault="00930C55" w:rsidP="00032554">
    <w:pPr>
      <w:pStyle w:val="Header"/>
      <w:rPr>
        <w:rFonts w:ascii="Arial" w:hAnsi="Arial" w:cs="Arial"/>
        <w:b/>
        <w:i/>
        <w:sz w:val="20"/>
        <w:lang w:val="ro-RO"/>
      </w:rPr>
    </w:pPr>
    <w:r w:rsidRPr="005E7D7A">
      <w:rPr>
        <w:rFonts w:ascii="Arial" w:hAnsi="Arial" w:cs="Arial"/>
        <w:b/>
        <w:i/>
        <w:sz w:val="20"/>
        <w:lang w:val="ro-RO"/>
      </w:rPr>
      <w:t>Raport privind starea mediului în judeţul Suceava în anul 201</w:t>
    </w:r>
    <w:r w:rsidR="00BB5170">
      <w:rPr>
        <w:rFonts w:ascii="Arial" w:hAnsi="Arial" w:cs="Arial"/>
        <w:b/>
        <w:i/>
        <w:sz w:val="20"/>
        <w:lang w:val="ro-RO"/>
      </w:rPr>
      <w:t>7</w:t>
    </w:r>
  </w:p>
  <w:p w:rsidR="00930C55" w:rsidRDefault="00907B33" w:rsidP="00032554">
    <w:pPr>
      <w:pStyle w:val="Header"/>
      <w:tabs>
        <w:tab w:val="left" w:pos="2880"/>
      </w:tabs>
    </w:pPr>
    <w:r w:rsidRPr="00907B33">
      <w:rPr>
        <w:noProof/>
      </w:rPr>
      <w:pict>
        <v:line id="_x0000_s29697" style="position:absolute;flip:y;z-index:251658240" from=".9pt,3.45pt" to="495.3pt,3.45pt" o:allowincell="f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33A"/>
    <w:multiLevelType w:val="hybridMultilevel"/>
    <w:tmpl w:val="7A14CA38"/>
    <w:lvl w:ilvl="0" w:tplc="91D40B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E36"/>
    <w:multiLevelType w:val="hybridMultilevel"/>
    <w:tmpl w:val="4B64B2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6C2"/>
    <w:multiLevelType w:val="hybridMultilevel"/>
    <w:tmpl w:val="3C0AB776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D5807"/>
    <w:multiLevelType w:val="hybridMultilevel"/>
    <w:tmpl w:val="0DDAB116"/>
    <w:lvl w:ilvl="0" w:tplc="5BA4FFBA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8D1C9C"/>
    <w:multiLevelType w:val="hybridMultilevel"/>
    <w:tmpl w:val="770A4CDC"/>
    <w:lvl w:ilvl="0" w:tplc="91D40BC2">
      <w:start w:val="1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EEA71CC"/>
    <w:multiLevelType w:val="hybridMultilevel"/>
    <w:tmpl w:val="E048B8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1970"/>
    <w:multiLevelType w:val="hybridMultilevel"/>
    <w:tmpl w:val="5D249688"/>
    <w:lvl w:ilvl="0" w:tplc="06C4E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30052F"/>
    <w:multiLevelType w:val="hybridMultilevel"/>
    <w:tmpl w:val="9CAAC340"/>
    <w:lvl w:ilvl="0" w:tplc="BE9E2E6E">
      <w:start w:val="423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  <w:b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5E24008"/>
    <w:multiLevelType w:val="hybridMultilevel"/>
    <w:tmpl w:val="6FE0630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9637D4"/>
    <w:multiLevelType w:val="hybridMultilevel"/>
    <w:tmpl w:val="E0FE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64E7"/>
    <w:multiLevelType w:val="hybridMultilevel"/>
    <w:tmpl w:val="937CA2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10BA3"/>
    <w:multiLevelType w:val="hybridMultilevel"/>
    <w:tmpl w:val="DFFEAB56"/>
    <w:lvl w:ilvl="0" w:tplc="400686B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71332BE"/>
    <w:multiLevelType w:val="hybridMultilevel"/>
    <w:tmpl w:val="E202101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42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947"/>
    <w:rsid w:val="00000334"/>
    <w:rsid w:val="00001433"/>
    <w:rsid w:val="00001808"/>
    <w:rsid w:val="0000339E"/>
    <w:rsid w:val="0000345C"/>
    <w:rsid w:val="00003772"/>
    <w:rsid w:val="00006687"/>
    <w:rsid w:val="0001018E"/>
    <w:rsid w:val="0001240B"/>
    <w:rsid w:val="00013DB9"/>
    <w:rsid w:val="00013F74"/>
    <w:rsid w:val="0001475C"/>
    <w:rsid w:val="00016E86"/>
    <w:rsid w:val="000226A8"/>
    <w:rsid w:val="000279E9"/>
    <w:rsid w:val="00027DE7"/>
    <w:rsid w:val="00032554"/>
    <w:rsid w:val="000375E5"/>
    <w:rsid w:val="0004371B"/>
    <w:rsid w:val="000468CE"/>
    <w:rsid w:val="00047ABB"/>
    <w:rsid w:val="00052051"/>
    <w:rsid w:val="00052F9F"/>
    <w:rsid w:val="00053095"/>
    <w:rsid w:val="00056F24"/>
    <w:rsid w:val="00067829"/>
    <w:rsid w:val="000678BD"/>
    <w:rsid w:val="00074E0D"/>
    <w:rsid w:val="00075EA2"/>
    <w:rsid w:val="00076B18"/>
    <w:rsid w:val="000776F0"/>
    <w:rsid w:val="00081F98"/>
    <w:rsid w:val="00082DBF"/>
    <w:rsid w:val="00090FE5"/>
    <w:rsid w:val="00093C2B"/>
    <w:rsid w:val="00097207"/>
    <w:rsid w:val="000979C9"/>
    <w:rsid w:val="000A4AEA"/>
    <w:rsid w:val="000B2B77"/>
    <w:rsid w:val="000C0273"/>
    <w:rsid w:val="000C347A"/>
    <w:rsid w:val="000C458B"/>
    <w:rsid w:val="000C4ACC"/>
    <w:rsid w:val="000C606B"/>
    <w:rsid w:val="000C687F"/>
    <w:rsid w:val="000C788A"/>
    <w:rsid w:val="000D04F9"/>
    <w:rsid w:val="000D051E"/>
    <w:rsid w:val="000D180F"/>
    <w:rsid w:val="000D1935"/>
    <w:rsid w:val="000D36D1"/>
    <w:rsid w:val="000D430C"/>
    <w:rsid w:val="000D452E"/>
    <w:rsid w:val="000D61C7"/>
    <w:rsid w:val="000E1D04"/>
    <w:rsid w:val="000E5A91"/>
    <w:rsid w:val="000E6994"/>
    <w:rsid w:val="000F3FEA"/>
    <w:rsid w:val="00101CC7"/>
    <w:rsid w:val="0011043E"/>
    <w:rsid w:val="001112FD"/>
    <w:rsid w:val="00113F53"/>
    <w:rsid w:val="00114FFA"/>
    <w:rsid w:val="00116129"/>
    <w:rsid w:val="001163C3"/>
    <w:rsid w:val="0012055E"/>
    <w:rsid w:val="00120D92"/>
    <w:rsid w:val="0012344D"/>
    <w:rsid w:val="00124CB5"/>
    <w:rsid w:val="001259CD"/>
    <w:rsid w:val="00127778"/>
    <w:rsid w:val="00132A97"/>
    <w:rsid w:val="00135093"/>
    <w:rsid w:val="0013680A"/>
    <w:rsid w:val="00137955"/>
    <w:rsid w:val="00143948"/>
    <w:rsid w:val="0015691B"/>
    <w:rsid w:val="00157A96"/>
    <w:rsid w:val="00157D5A"/>
    <w:rsid w:val="00161A1F"/>
    <w:rsid w:val="001677A6"/>
    <w:rsid w:val="00172784"/>
    <w:rsid w:val="0017383D"/>
    <w:rsid w:val="0017522C"/>
    <w:rsid w:val="00177F1B"/>
    <w:rsid w:val="001823EF"/>
    <w:rsid w:val="00183673"/>
    <w:rsid w:val="0018384D"/>
    <w:rsid w:val="001858D2"/>
    <w:rsid w:val="0018671A"/>
    <w:rsid w:val="001908C2"/>
    <w:rsid w:val="0019173E"/>
    <w:rsid w:val="00191F11"/>
    <w:rsid w:val="00193F47"/>
    <w:rsid w:val="001A1BCF"/>
    <w:rsid w:val="001A2593"/>
    <w:rsid w:val="001A2B27"/>
    <w:rsid w:val="001A32B7"/>
    <w:rsid w:val="001A4394"/>
    <w:rsid w:val="001A6594"/>
    <w:rsid w:val="001B0E11"/>
    <w:rsid w:val="001B1643"/>
    <w:rsid w:val="001B41E3"/>
    <w:rsid w:val="001C1D2A"/>
    <w:rsid w:val="001C1E2D"/>
    <w:rsid w:val="001C258B"/>
    <w:rsid w:val="001C28A7"/>
    <w:rsid w:val="001C41CF"/>
    <w:rsid w:val="001C5643"/>
    <w:rsid w:val="001C5FC7"/>
    <w:rsid w:val="001C7868"/>
    <w:rsid w:val="001D34D3"/>
    <w:rsid w:val="001D3E2C"/>
    <w:rsid w:val="001D574E"/>
    <w:rsid w:val="001D5814"/>
    <w:rsid w:val="001D59E7"/>
    <w:rsid w:val="001D6663"/>
    <w:rsid w:val="001D6AD2"/>
    <w:rsid w:val="001E194D"/>
    <w:rsid w:val="001E2B33"/>
    <w:rsid w:val="001E61F2"/>
    <w:rsid w:val="001E7739"/>
    <w:rsid w:val="001E79E3"/>
    <w:rsid w:val="001F2D99"/>
    <w:rsid w:val="001F3455"/>
    <w:rsid w:val="001F537D"/>
    <w:rsid w:val="001F5683"/>
    <w:rsid w:val="001F579F"/>
    <w:rsid w:val="002077F8"/>
    <w:rsid w:val="00212658"/>
    <w:rsid w:val="00217DE5"/>
    <w:rsid w:val="00220826"/>
    <w:rsid w:val="002267D3"/>
    <w:rsid w:val="0023032E"/>
    <w:rsid w:val="002308C7"/>
    <w:rsid w:val="00234156"/>
    <w:rsid w:val="002368E4"/>
    <w:rsid w:val="00236EC9"/>
    <w:rsid w:val="00237330"/>
    <w:rsid w:val="00240727"/>
    <w:rsid w:val="002427AB"/>
    <w:rsid w:val="002435BE"/>
    <w:rsid w:val="0024773A"/>
    <w:rsid w:val="002478E6"/>
    <w:rsid w:val="00251147"/>
    <w:rsid w:val="00251C8F"/>
    <w:rsid w:val="002569E1"/>
    <w:rsid w:val="00266D9F"/>
    <w:rsid w:val="00266FBB"/>
    <w:rsid w:val="0026718B"/>
    <w:rsid w:val="002700D5"/>
    <w:rsid w:val="0027094E"/>
    <w:rsid w:val="00272DAD"/>
    <w:rsid w:val="00274876"/>
    <w:rsid w:val="00280A05"/>
    <w:rsid w:val="00290950"/>
    <w:rsid w:val="002911B8"/>
    <w:rsid w:val="00292BA7"/>
    <w:rsid w:val="00292C5D"/>
    <w:rsid w:val="002930EC"/>
    <w:rsid w:val="00297256"/>
    <w:rsid w:val="002A1AC5"/>
    <w:rsid w:val="002A3AA3"/>
    <w:rsid w:val="002A415B"/>
    <w:rsid w:val="002A6472"/>
    <w:rsid w:val="002A74A9"/>
    <w:rsid w:val="002B0DA8"/>
    <w:rsid w:val="002B32BE"/>
    <w:rsid w:val="002B50BD"/>
    <w:rsid w:val="002C0D7D"/>
    <w:rsid w:val="002C1D55"/>
    <w:rsid w:val="002C6432"/>
    <w:rsid w:val="002D0B07"/>
    <w:rsid w:val="002D15C3"/>
    <w:rsid w:val="002D203E"/>
    <w:rsid w:val="002D2C86"/>
    <w:rsid w:val="002D382B"/>
    <w:rsid w:val="002E015F"/>
    <w:rsid w:val="002E3C87"/>
    <w:rsid w:val="002E5865"/>
    <w:rsid w:val="002E69C1"/>
    <w:rsid w:val="002F24FC"/>
    <w:rsid w:val="002F2BC5"/>
    <w:rsid w:val="002F3332"/>
    <w:rsid w:val="002F3819"/>
    <w:rsid w:val="002F3A50"/>
    <w:rsid w:val="002F3DC6"/>
    <w:rsid w:val="002F4B8A"/>
    <w:rsid w:val="002F5072"/>
    <w:rsid w:val="002F5406"/>
    <w:rsid w:val="002F55B7"/>
    <w:rsid w:val="00300F59"/>
    <w:rsid w:val="00301E2A"/>
    <w:rsid w:val="00304053"/>
    <w:rsid w:val="003052C8"/>
    <w:rsid w:val="00305B05"/>
    <w:rsid w:val="003060A2"/>
    <w:rsid w:val="00310EB0"/>
    <w:rsid w:val="00313919"/>
    <w:rsid w:val="00316FEE"/>
    <w:rsid w:val="00317267"/>
    <w:rsid w:val="00321922"/>
    <w:rsid w:val="003278BF"/>
    <w:rsid w:val="00331814"/>
    <w:rsid w:val="00333DA6"/>
    <w:rsid w:val="00335088"/>
    <w:rsid w:val="0033771E"/>
    <w:rsid w:val="00337AF8"/>
    <w:rsid w:val="00337FC8"/>
    <w:rsid w:val="003407A9"/>
    <w:rsid w:val="00342635"/>
    <w:rsid w:val="00344F6F"/>
    <w:rsid w:val="00345FF2"/>
    <w:rsid w:val="00360A92"/>
    <w:rsid w:val="00360C33"/>
    <w:rsid w:val="0036202D"/>
    <w:rsid w:val="00367425"/>
    <w:rsid w:val="0037368A"/>
    <w:rsid w:val="00373EE0"/>
    <w:rsid w:val="00377B21"/>
    <w:rsid w:val="00381218"/>
    <w:rsid w:val="00386AB2"/>
    <w:rsid w:val="00387229"/>
    <w:rsid w:val="00390168"/>
    <w:rsid w:val="003915AD"/>
    <w:rsid w:val="00393264"/>
    <w:rsid w:val="003938AE"/>
    <w:rsid w:val="003A0957"/>
    <w:rsid w:val="003A48F6"/>
    <w:rsid w:val="003A650E"/>
    <w:rsid w:val="003A726B"/>
    <w:rsid w:val="003A7DFE"/>
    <w:rsid w:val="003B11CA"/>
    <w:rsid w:val="003B1DE2"/>
    <w:rsid w:val="003B215E"/>
    <w:rsid w:val="003B3F7F"/>
    <w:rsid w:val="003B74BD"/>
    <w:rsid w:val="003C0077"/>
    <w:rsid w:val="003C3B0D"/>
    <w:rsid w:val="003C4CD4"/>
    <w:rsid w:val="003D0F1B"/>
    <w:rsid w:val="003D187B"/>
    <w:rsid w:val="003D7604"/>
    <w:rsid w:val="003E2A31"/>
    <w:rsid w:val="003E32A4"/>
    <w:rsid w:val="003E3EB4"/>
    <w:rsid w:val="003E40A0"/>
    <w:rsid w:val="003F0430"/>
    <w:rsid w:val="003F1A00"/>
    <w:rsid w:val="003F327A"/>
    <w:rsid w:val="003F3CD6"/>
    <w:rsid w:val="003F6487"/>
    <w:rsid w:val="003F6FB0"/>
    <w:rsid w:val="00402502"/>
    <w:rsid w:val="004037B6"/>
    <w:rsid w:val="00405D3C"/>
    <w:rsid w:val="00406512"/>
    <w:rsid w:val="00406CEA"/>
    <w:rsid w:val="004075B6"/>
    <w:rsid w:val="00413F98"/>
    <w:rsid w:val="00414583"/>
    <w:rsid w:val="004158EC"/>
    <w:rsid w:val="004162CA"/>
    <w:rsid w:val="0041659D"/>
    <w:rsid w:val="00416DCC"/>
    <w:rsid w:val="00421024"/>
    <w:rsid w:val="0042331C"/>
    <w:rsid w:val="0042356F"/>
    <w:rsid w:val="00433030"/>
    <w:rsid w:val="004339D5"/>
    <w:rsid w:val="0043400A"/>
    <w:rsid w:val="00436F38"/>
    <w:rsid w:val="004419A1"/>
    <w:rsid w:val="00445045"/>
    <w:rsid w:val="00452FA0"/>
    <w:rsid w:val="004541A0"/>
    <w:rsid w:val="00460A44"/>
    <w:rsid w:val="00462489"/>
    <w:rsid w:val="0046302E"/>
    <w:rsid w:val="0046630F"/>
    <w:rsid w:val="00467336"/>
    <w:rsid w:val="004713D9"/>
    <w:rsid w:val="00480D21"/>
    <w:rsid w:val="00482011"/>
    <w:rsid w:val="00486323"/>
    <w:rsid w:val="00490F11"/>
    <w:rsid w:val="00497BD9"/>
    <w:rsid w:val="004A0C93"/>
    <w:rsid w:val="004A2F1B"/>
    <w:rsid w:val="004A308F"/>
    <w:rsid w:val="004B0386"/>
    <w:rsid w:val="004B21B8"/>
    <w:rsid w:val="004B364D"/>
    <w:rsid w:val="004B3F8A"/>
    <w:rsid w:val="004B52DA"/>
    <w:rsid w:val="004C0B0B"/>
    <w:rsid w:val="004C3A5E"/>
    <w:rsid w:val="004C4845"/>
    <w:rsid w:val="004C725B"/>
    <w:rsid w:val="004D36EC"/>
    <w:rsid w:val="004D3925"/>
    <w:rsid w:val="004D40BA"/>
    <w:rsid w:val="004D53D6"/>
    <w:rsid w:val="004D5A68"/>
    <w:rsid w:val="004E3F8B"/>
    <w:rsid w:val="004E5565"/>
    <w:rsid w:val="004E66D8"/>
    <w:rsid w:val="004E74EE"/>
    <w:rsid w:val="004E7F3E"/>
    <w:rsid w:val="004F01F5"/>
    <w:rsid w:val="004F1ABF"/>
    <w:rsid w:val="004F2C77"/>
    <w:rsid w:val="004F3CFC"/>
    <w:rsid w:val="004F7CAF"/>
    <w:rsid w:val="00504666"/>
    <w:rsid w:val="00507E3A"/>
    <w:rsid w:val="0051133F"/>
    <w:rsid w:val="005126FC"/>
    <w:rsid w:val="005127B6"/>
    <w:rsid w:val="00513681"/>
    <w:rsid w:val="0052382A"/>
    <w:rsid w:val="00525B24"/>
    <w:rsid w:val="00525DE3"/>
    <w:rsid w:val="00527395"/>
    <w:rsid w:val="005307F6"/>
    <w:rsid w:val="00532E8D"/>
    <w:rsid w:val="00535D0B"/>
    <w:rsid w:val="00536D88"/>
    <w:rsid w:val="00537763"/>
    <w:rsid w:val="00537FCC"/>
    <w:rsid w:val="0054067F"/>
    <w:rsid w:val="00540B5E"/>
    <w:rsid w:val="00542C06"/>
    <w:rsid w:val="00543D69"/>
    <w:rsid w:val="00544E14"/>
    <w:rsid w:val="0054564F"/>
    <w:rsid w:val="00553C82"/>
    <w:rsid w:val="005568D7"/>
    <w:rsid w:val="00557653"/>
    <w:rsid w:val="00560B08"/>
    <w:rsid w:val="00562FDB"/>
    <w:rsid w:val="00563667"/>
    <w:rsid w:val="00563688"/>
    <w:rsid w:val="00565FEE"/>
    <w:rsid w:val="0056698C"/>
    <w:rsid w:val="00566F52"/>
    <w:rsid w:val="005672FE"/>
    <w:rsid w:val="005701BE"/>
    <w:rsid w:val="00573383"/>
    <w:rsid w:val="00577B23"/>
    <w:rsid w:val="00581FEF"/>
    <w:rsid w:val="00583601"/>
    <w:rsid w:val="005854DB"/>
    <w:rsid w:val="0059056B"/>
    <w:rsid w:val="00594BFA"/>
    <w:rsid w:val="005950DB"/>
    <w:rsid w:val="005A0669"/>
    <w:rsid w:val="005A2F8F"/>
    <w:rsid w:val="005A4B2F"/>
    <w:rsid w:val="005A58A8"/>
    <w:rsid w:val="005A7FFD"/>
    <w:rsid w:val="005B086D"/>
    <w:rsid w:val="005B530C"/>
    <w:rsid w:val="005B67AB"/>
    <w:rsid w:val="005C08BC"/>
    <w:rsid w:val="005C0BDE"/>
    <w:rsid w:val="005C47AC"/>
    <w:rsid w:val="005C56EE"/>
    <w:rsid w:val="005D0274"/>
    <w:rsid w:val="005D4E89"/>
    <w:rsid w:val="005D53CC"/>
    <w:rsid w:val="005D57C0"/>
    <w:rsid w:val="005D5C59"/>
    <w:rsid w:val="005E1397"/>
    <w:rsid w:val="005E25F5"/>
    <w:rsid w:val="005E3E86"/>
    <w:rsid w:val="005E4601"/>
    <w:rsid w:val="005F0490"/>
    <w:rsid w:val="005F0A34"/>
    <w:rsid w:val="005F4DD4"/>
    <w:rsid w:val="005F530E"/>
    <w:rsid w:val="005F6282"/>
    <w:rsid w:val="005F6BC0"/>
    <w:rsid w:val="005F6F0A"/>
    <w:rsid w:val="006018FB"/>
    <w:rsid w:val="006019E8"/>
    <w:rsid w:val="00602A91"/>
    <w:rsid w:val="00604E1A"/>
    <w:rsid w:val="006075C1"/>
    <w:rsid w:val="0061465C"/>
    <w:rsid w:val="00616A1A"/>
    <w:rsid w:val="00630BBC"/>
    <w:rsid w:val="00637149"/>
    <w:rsid w:val="006374F4"/>
    <w:rsid w:val="00643709"/>
    <w:rsid w:val="00645580"/>
    <w:rsid w:val="0065053F"/>
    <w:rsid w:val="006508B3"/>
    <w:rsid w:val="00651F2B"/>
    <w:rsid w:val="00652402"/>
    <w:rsid w:val="006609B2"/>
    <w:rsid w:val="006658B2"/>
    <w:rsid w:val="006704FE"/>
    <w:rsid w:val="006718A4"/>
    <w:rsid w:val="00673B84"/>
    <w:rsid w:val="0067493B"/>
    <w:rsid w:val="0068199E"/>
    <w:rsid w:val="00684AE9"/>
    <w:rsid w:val="006857F1"/>
    <w:rsid w:val="006909C7"/>
    <w:rsid w:val="00692F8C"/>
    <w:rsid w:val="00695F5C"/>
    <w:rsid w:val="00696570"/>
    <w:rsid w:val="00696852"/>
    <w:rsid w:val="00696FEF"/>
    <w:rsid w:val="006A202C"/>
    <w:rsid w:val="006A4B16"/>
    <w:rsid w:val="006A5BFC"/>
    <w:rsid w:val="006A67B2"/>
    <w:rsid w:val="006B1734"/>
    <w:rsid w:val="006B263A"/>
    <w:rsid w:val="006B5E6B"/>
    <w:rsid w:val="006B6FBE"/>
    <w:rsid w:val="006B7D72"/>
    <w:rsid w:val="006C13DB"/>
    <w:rsid w:val="006C24EE"/>
    <w:rsid w:val="006C3F00"/>
    <w:rsid w:val="006C4165"/>
    <w:rsid w:val="006C6A9F"/>
    <w:rsid w:val="006D0ECB"/>
    <w:rsid w:val="006D0F96"/>
    <w:rsid w:val="006D2016"/>
    <w:rsid w:val="006D35C2"/>
    <w:rsid w:val="006D5CF6"/>
    <w:rsid w:val="006E00E7"/>
    <w:rsid w:val="006E0B3F"/>
    <w:rsid w:val="006E12EB"/>
    <w:rsid w:val="006E22B3"/>
    <w:rsid w:val="006E42C2"/>
    <w:rsid w:val="006F299B"/>
    <w:rsid w:val="006F507A"/>
    <w:rsid w:val="006F5687"/>
    <w:rsid w:val="006F754A"/>
    <w:rsid w:val="006F7DBD"/>
    <w:rsid w:val="006F7F90"/>
    <w:rsid w:val="007002B3"/>
    <w:rsid w:val="0070352F"/>
    <w:rsid w:val="00704A52"/>
    <w:rsid w:val="00713916"/>
    <w:rsid w:val="00720091"/>
    <w:rsid w:val="00724B6C"/>
    <w:rsid w:val="00726B42"/>
    <w:rsid w:val="00734177"/>
    <w:rsid w:val="007369A3"/>
    <w:rsid w:val="007421B0"/>
    <w:rsid w:val="0074301A"/>
    <w:rsid w:val="00743305"/>
    <w:rsid w:val="00744D91"/>
    <w:rsid w:val="00744EB3"/>
    <w:rsid w:val="007517F5"/>
    <w:rsid w:val="00752770"/>
    <w:rsid w:val="0075420D"/>
    <w:rsid w:val="007574B5"/>
    <w:rsid w:val="00761698"/>
    <w:rsid w:val="00764431"/>
    <w:rsid w:val="007644B0"/>
    <w:rsid w:val="00775701"/>
    <w:rsid w:val="007830C5"/>
    <w:rsid w:val="00783501"/>
    <w:rsid w:val="0078360E"/>
    <w:rsid w:val="00784AA4"/>
    <w:rsid w:val="007855BD"/>
    <w:rsid w:val="007909B1"/>
    <w:rsid w:val="00791297"/>
    <w:rsid w:val="0079138C"/>
    <w:rsid w:val="00791F6B"/>
    <w:rsid w:val="007934AF"/>
    <w:rsid w:val="007A065F"/>
    <w:rsid w:val="007A06C0"/>
    <w:rsid w:val="007A336D"/>
    <w:rsid w:val="007A4EF3"/>
    <w:rsid w:val="007B1D39"/>
    <w:rsid w:val="007B3149"/>
    <w:rsid w:val="007B36AC"/>
    <w:rsid w:val="007B38A9"/>
    <w:rsid w:val="007C3888"/>
    <w:rsid w:val="007C790C"/>
    <w:rsid w:val="007D34A0"/>
    <w:rsid w:val="007D5CDA"/>
    <w:rsid w:val="007D627C"/>
    <w:rsid w:val="007E486C"/>
    <w:rsid w:val="007E5070"/>
    <w:rsid w:val="007E72B5"/>
    <w:rsid w:val="007F37E9"/>
    <w:rsid w:val="007F5559"/>
    <w:rsid w:val="007F5C0F"/>
    <w:rsid w:val="007F7083"/>
    <w:rsid w:val="007F7156"/>
    <w:rsid w:val="00801878"/>
    <w:rsid w:val="00804646"/>
    <w:rsid w:val="008046AE"/>
    <w:rsid w:val="00804AEC"/>
    <w:rsid w:val="00810A67"/>
    <w:rsid w:val="00812575"/>
    <w:rsid w:val="008127C0"/>
    <w:rsid w:val="008132C5"/>
    <w:rsid w:val="00813BB0"/>
    <w:rsid w:val="00813EE1"/>
    <w:rsid w:val="00822932"/>
    <w:rsid w:val="00823E4C"/>
    <w:rsid w:val="00825E2E"/>
    <w:rsid w:val="00827CD2"/>
    <w:rsid w:val="00831008"/>
    <w:rsid w:val="00832924"/>
    <w:rsid w:val="00833D6A"/>
    <w:rsid w:val="00840783"/>
    <w:rsid w:val="00850A9C"/>
    <w:rsid w:val="00851821"/>
    <w:rsid w:val="008525AD"/>
    <w:rsid w:val="00852F7B"/>
    <w:rsid w:val="008573E3"/>
    <w:rsid w:val="00857750"/>
    <w:rsid w:val="00860B04"/>
    <w:rsid w:val="008628EF"/>
    <w:rsid w:val="008635B5"/>
    <w:rsid w:val="00865F0A"/>
    <w:rsid w:val="00871393"/>
    <w:rsid w:val="00871435"/>
    <w:rsid w:val="008716A6"/>
    <w:rsid w:val="00871A61"/>
    <w:rsid w:val="00872D7F"/>
    <w:rsid w:val="008814A5"/>
    <w:rsid w:val="00883525"/>
    <w:rsid w:val="0088559A"/>
    <w:rsid w:val="00885944"/>
    <w:rsid w:val="00890899"/>
    <w:rsid w:val="00897600"/>
    <w:rsid w:val="00897A61"/>
    <w:rsid w:val="008A33B3"/>
    <w:rsid w:val="008B2C8C"/>
    <w:rsid w:val="008B3350"/>
    <w:rsid w:val="008C07E1"/>
    <w:rsid w:val="008C0813"/>
    <w:rsid w:val="008C0D48"/>
    <w:rsid w:val="008C1981"/>
    <w:rsid w:val="008C73F9"/>
    <w:rsid w:val="008D1CCF"/>
    <w:rsid w:val="008D5902"/>
    <w:rsid w:val="008D740F"/>
    <w:rsid w:val="008E4493"/>
    <w:rsid w:val="008E680D"/>
    <w:rsid w:val="008F3551"/>
    <w:rsid w:val="0090064A"/>
    <w:rsid w:val="00900BAE"/>
    <w:rsid w:val="00902507"/>
    <w:rsid w:val="009065C0"/>
    <w:rsid w:val="00907946"/>
    <w:rsid w:val="00907B33"/>
    <w:rsid w:val="00911D3B"/>
    <w:rsid w:val="00913B4F"/>
    <w:rsid w:val="00913D06"/>
    <w:rsid w:val="00914F54"/>
    <w:rsid w:val="00915A81"/>
    <w:rsid w:val="009237E3"/>
    <w:rsid w:val="00925C31"/>
    <w:rsid w:val="0092674B"/>
    <w:rsid w:val="00930C55"/>
    <w:rsid w:val="00934F79"/>
    <w:rsid w:val="0094182E"/>
    <w:rsid w:val="00942087"/>
    <w:rsid w:val="00944203"/>
    <w:rsid w:val="00944853"/>
    <w:rsid w:val="009501F5"/>
    <w:rsid w:val="00950B13"/>
    <w:rsid w:val="00953DED"/>
    <w:rsid w:val="0095410A"/>
    <w:rsid w:val="009574EC"/>
    <w:rsid w:val="0096408C"/>
    <w:rsid w:val="00970C70"/>
    <w:rsid w:val="00971AB0"/>
    <w:rsid w:val="0097348C"/>
    <w:rsid w:val="00976E98"/>
    <w:rsid w:val="009807BB"/>
    <w:rsid w:val="009824C3"/>
    <w:rsid w:val="009844EE"/>
    <w:rsid w:val="0098527B"/>
    <w:rsid w:val="00987D53"/>
    <w:rsid w:val="00991BFD"/>
    <w:rsid w:val="009A1457"/>
    <w:rsid w:val="009A334E"/>
    <w:rsid w:val="009A7200"/>
    <w:rsid w:val="009B1239"/>
    <w:rsid w:val="009B2B4C"/>
    <w:rsid w:val="009B651D"/>
    <w:rsid w:val="009B6861"/>
    <w:rsid w:val="009B7272"/>
    <w:rsid w:val="009C07C0"/>
    <w:rsid w:val="009C1709"/>
    <w:rsid w:val="009C264A"/>
    <w:rsid w:val="009C31B2"/>
    <w:rsid w:val="009C5A25"/>
    <w:rsid w:val="009C7F4C"/>
    <w:rsid w:val="009D16B9"/>
    <w:rsid w:val="009D49EA"/>
    <w:rsid w:val="009D7D94"/>
    <w:rsid w:val="009D7D98"/>
    <w:rsid w:val="009E1513"/>
    <w:rsid w:val="009E1973"/>
    <w:rsid w:val="009E6392"/>
    <w:rsid w:val="009E7C0A"/>
    <w:rsid w:val="009F4572"/>
    <w:rsid w:val="009F5829"/>
    <w:rsid w:val="009F6BE5"/>
    <w:rsid w:val="009F7170"/>
    <w:rsid w:val="00A01737"/>
    <w:rsid w:val="00A021D7"/>
    <w:rsid w:val="00A0508D"/>
    <w:rsid w:val="00A07440"/>
    <w:rsid w:val="00A1127D"/>
    <w:rsid w:val="00A11838"/>
    <w:rsid w:val="00A11B36"/>
    <w:rsid w:val="00A139AF"/>
    <w:rsid w:val="00A1681F"/>
    <w:rsid w:val="00A306D6"/>
    <w:rsid w:val="00A322CF"/>
    <w:rsid w:val="00A323F1"/>
    <w:rsid w:val="00A32521"/>
    <w:rsid w:val="00A33A01"/>
    <w:rsid w:val="00A33A22"/>
    <w:rsid w:val="00A346F9"/>
    <w:rsid w:val="00A34D45"/>
    <w:rsid w:val="00A35679"/>
    <w:rsid w:val="00A374BA"/>
    <w:rsid w:val="00A43284"/>
    <w:rsid w:val="00A433D6"/>
    <w:rsid w:val="00A450FE"/>
    <w:rsid w:val="00A46D89"/>
    <w:rsid w:val="00A5371E"/>
    <w:rsid w:val="00A60999"/>
    <w:rsid w:val="00A6174A"/>
    <w:rsid w:val="00A659A4"/>
    <w:rsid w:val="00A65BC0"/>
    <w:rsid w:val="00A6659D"/>
    <w:rsid w:val="00A66C94"/>
    <w:rsid w:val="00A70600"/>
    <w:rsid w:val="00A73118"/>
    <w:rsid w:val="00A73C1C"/>
    <w:rsid w:val="00A776FD"/>
    <w:rsid w:val="00A82882"/>
    <w:rsid w:val="00A85183"/>
    <w:rsid w:val="00A87E41"/>
    <w:rsid w:val="00A91A76"/>
    <w:rsid w:val="00A96458"/>
    <w:rsid w:val="00AA241B"/>
    <w:rsid w:val="00AA59E8"/>
    <w:rsid w:val="00AA5A41"/>
    <w:rsid w:val="00AA70F8"/>
    <w:rsid w:val="00AB0175"/>
    <w:rsid w:val="00AB2367"/>
    <w:rsid w:val="00AB45C7"/>
    <w:rsid w:val="00AB5E3C"/>
    <w:rsid w:val="00AB65DD"/>
    <w:rsid w:val="00AB679D"/>
    <w:rsid w:val="00AC3EED"/>
    <w:rsid w:val="00AC51ED"/>
    <w:rsid w:val="00AC56EE"/>
    <w:rsid w:val="00AC628A"/>
    <w:rsid w:val="00AD1B4F"/>
    <w:rsid w:val="00AD522E"/>
    <w:rsid w:val="00AD6F1B"/>
    <w:rsid w:val="00AD75C5"/>
    <w:rsid w:val="00AD76AD"/>
    <w:rsid w:val="00AE0849"/>
    <w:rsid w:val="00AE3515"/>
    <w:rsid w:val="00AE67C9"/>
    <w:rsid w:val="00AF0B8D"/>
    <w:rsid w:val="00AF758B"/>
    <w:rsid w:val="00B00825"/>
    <w:rsid w:val="00B01BC7"/>
    <w:rsid w:val="00B05150"/>
    <w:rsid w:val="00B05F8B"/>
    <w:rsid w:val="00B13834"/>
    <w:rsid w:val="00B20792"/>
    <w:rsid w:val="00B23302"/>
    <w:rsid w:val="00B23F7A"/>
    <w:rsid w:val="00B247CA"/>
    <w:rsid w:val="00B24A18"/>
    <w:rsid w:val="00B24FE0"/>
    <w:rsid w:val="00B24FFC"/>
    <w:rsid w:val="00B260C9"/>
    <w:rsid w:val="00B26F31"/>
    <w:rsid w:val="00B302F0"/>
    <w:rsid w:val="00B32F60"/>
    <w:rsid w:val="00B352AE"/>
    <w:rsid w:val="00B35436"/>
    <w:rsid w:val="00B35F31"/>
    <w:rsid w:val="00B43D0B"/>
    <w:rsid w:val="00B44FC3"/>
    <w:rsid w:val="00B465B8"/>
    <w:rsid w:val="00B52EC5"/>
    <w:rsid w:val="00B5707C"/>
    <w:rsid w:val="00B57F43"/>
    <w:rsid w:val="00B60741"/>
    <w:rsid w:val="00B610FC"/>
    <w:rsid w:val="00B62981"/>
    <w:rsid w:val="00B62F07"/>
    <w:rsid w:val="00B66EE6"/>
    <w:rsid w:val="00B7099E"/>
    <w:rsid w:val="00B724FA"/>
    <w:rsid w:val="00B733A1"/>
    <w:rsid w:val="00B757C7"/>
    <w:rsid w:val="00B764E7"/>
    <w:rsid w:val="00B82EEE"/>
    <w:rsid w:val="00B85AE3"/>
    <w:rsid w:val="00B87386"/>
    <w:rsid w:val="00B90EA2"/>
    <w:rsid w:val="00B914EE"/>
    <w:rsid w:val="00B915A9"/>
    <w:rsid w:val="00B9395C"/>
    <w:rsid w:val="00BA48DD"/>
    <w:rsid w:val="00BA5900"/>
    <w:rsid w:val="00BA6327"/>
    <w:rsid w:val="00BA6CFD"/>
    <w:rsid w:val="00BA7FAB"/>
    <w:rsid w:val="00BB1DE3"/>
    <w:rsid w:val="00BB4BC0"/>
    <w:rsid w:val="00BB5170"/>
    <w:rsid w:val="00BB5C8C"/>
    <w:rsid w:val="00BC1A57"/>
    <w:rsid w:val="00BC21A1"/>
    <w:rsid w:val="00BC2460"/>
    <w:rsid w:val="00BC450B"/>
    <w:rsid w:val="00BC5CBF"/>
    <w:rsid w:val="00BC7E1C"/>
    <w:rsid w:val="00BD1477"/>
    <w:rsid w:val="00BD4EF9"/>
    <w:rsid w:val="00BD5CAF"/>
    <w:rsid w:val="00BE0B0F"/>
    <w:rsid w:val="00BE1AB5"/>
    <w:rsid w:val="00BE379E"/>
    <w:rsid w:val="00BE3947"/>
    <w:rsid w:val="00BF0004"/>
    <w:rsid w:val="00BF2074"/>
    <w:rsid w:val="00BF5610"/>
    <w:rsid w:val="00BF5C98"/>
    <w:rsid w:val="00C00CD0"/>
    <w:rsid w:val="00C0486F"/>
    <w:rsid w:val="00C10784"/>
    <w:rsid w:val="00C11CAE"/>
    <w:rsid w:val="00C15217"/>
    <w:rsid w:val="00C16AC7"/>
    <w:rsid w:val="00C174FC"/>
    <w:rsid w:val="00C17AC2"/>
    <w:rsid w:val="00C34AD0"/>
    <w:rsid w:val="00C357B5"/>
    <w:rsid w:val="00C36279"/>
    <w:rsid w:val="00C41B76"/>
    <w:rsid w:val="00C54226"/>
    <w:rsid w:val="00C54CB7"/>
    <w:rsid w:val="00C5512F"/>
    <w:rsid w:val="00C569D0"/>
    <w:rsid w:val="00C6018A"/>
    <w:rsid w:val="00C64085"/>
    <w:rsid w:val="00C66EC8"/>
    <w:rsid w:val="00C702A4"/>
    <w:rsid w:val="00C7412E"/>
    <w:rsid w:val="00C7468B"/>
    <w:rsid w:val="00C74C1B"/>
    <w:rsid w:val="00C758DF"/>
    <w:rsid w:val="00C767EA"/>
    <w:rsid w:val="00C81ED1"/>
    <w:rsid w:val="00C83BB2"/>
    <w:rsid w:val="00C84074"/>
    <w:rsid w:val="00C87201"/>
    <w:rsid w:val="00C92F80"/>
    <w:rsid w:val="00C95763"/>
    <w:rsid w:val="00C9724D"/>
    <w:rsid w:val="00CA5510"/>
    <w:rsid w:val="00CA79A3"/>
    <w:rsid w:val="00CA7A2A"/>
    <w:rsid w:val="00CB0B2A"/>
    <w:rsid w:val="00CB160F"/>
    <w:rsid w:val="00CB1BA8"/>
    <w:rsid w:val="00CB6EBA"/>
    <w:rsid w:val="00CB72D5"/>
    <w:rsid w:val="00CC2DD7"/>
    <w:rsid w:val="00CC5DBF"/>
    <w:rsid w:val="00CC68A3"/>
    <w:rsid w:val="00CC73F1"/>
    <w:rsid w:val="00CD2D2B"/>
    <w:rsid w:val="00CD3B86"/>
    <w:rsid w:val="00CD3FB5"/>
    <w:rsid w:val="00CD5309"/>
    <w:rsid w:val="00CD69AB"/>
    <w:rsid w:val="00CE08AD"/>
    <w:rsid w:val="00CE212F"/>
    <w:rsid w:val="00CE516A"/>
    <w:rsid w:val="00CF1599"/>
    <w:rsid w:val="00CF1761"/>
    <w:rsid w:val="00CF31CA"/>
    <w:rsid w:val="00CF3F44"/>
    <w:rsid w:val="00CF4D6C"/>
    <w:rsid w:val="00CF6148"/>
    <w:rsid w:val="00CF74C5"/>
    <w:rsid w:val="00CF78B0"/>
    <w:rsid w:val="00D00229"/>
    <w:rsid w:val="00D00513"/>
    <w:rsid w:val="00D034E9"/>
    <w:rsid w:val="00D04820"/>
    <w:rsid w:val="00D05282"/>
    <w:rsid w:val="00D05976"/>
    <w:rsid w:val="00D05F3A"/>
    <w:rsid w:val="00D101AF"/>
    <w:rsid w:val="00D16338"/>
    <w:rsid w:val="00D20463"/>
    <w:rsid w:val="00D20DBB"/>
    <w:rsid w:val="00D25BD1"/>
    <w:rsid w:val="00D27EFD"/>
    <w:rsid w:val="00D3104A"/>
    <w:rsid w:val="00D31622"/>
    <w:rsid w:val="00D31ADD"/>
    <w:rsid w:val="00D321E8"/>
    <w:rsid w:val="00D3294B"/>
    <w:rsid w:val="00D33BBC"/>
    <w:rsid w:val="00D36637"/>
    <w:rsid w:val="00D36EF2"/>
    <w:rsid w:val="00D413F5"/>
    <w:rsid w:val="00D42C96"/>
    <w:rsid w:val="00D472A7"/>
    <w:rsid w:val="00D50C26"/>
    <w:rsid w:val="00D53981"/>
    <w:rsid w:val="00D55957"/>
    <w:rsid w:val="00D55BCA"/>
    <w:rsid w:val="00D57B95"/>
    <w:rsid w:val="00D62BCA"/>
    <w:rsid w:val="00D71C95"/>
    <w:rsid w:val="00D72BB3"/>
    <w:rsid w:val="00D73951"/>
    <w:rsid w:val="00D847E7"/>
    <w:rsid w:val="00D85DF5"/>
    <w:rsid w:val="00D96DBF"/>
    <w:rsid w:val="00D97C38"/>
    <w:rsid w:val="00DA01D6"/>
    <w:rsid w:val="00DA1683"/>
    <w:rsid w:val="00DA3676"/>
    <w:rsid w:val="00DA484F"/>
    <w:rsid w:val="00DA4EF4"/>
    <w:rsid w:val="00DA689D"/>
    <w:rsid w:val="00DB0EB5"/>
    <w:rsid w:val="00DB2E1D"/>
    <w:rsid w:val="00DB4665"/>
    <w:rsid w:val="00DB6F91"/>
    <w:rsid w:val="00DC1EA3"/>
    <w:rsid w:val="00DC340D"/>
    <w:rsid w:val="00DC5346"/>
    <w:rsid w:val="00DD3209"/>
    <w:rsid w:val="00DD40CA"/>
    <w:rsid w:val="00DD5F79"/>
    <w:rsid w:val="00DD632A"/>
    <w:rsid w:val="00DD678C"/>
    <w:rsid w:val="00DD754C"/>
    <w:rsid w:val="00DE0A23"/>
    <w:rsid w:val="00DE1805"/>
    <w:rsid w:val="00DE68B7"/>
    <w:rsid w:val="00DF1CC3"/>
    <w:rsid w:val="00DF2493"/>
    <w:rsid w:val="00DF3893"/>
    <w:rsid w:val="00DF4D38"/>
    <w:rsid w:val="00DF5B23"/>
    <w:rsid w:val="00DF7EB1"/>
    <w:rsid w:val="00E004C2"/>
    <w:rsid w:val="00E01C54"/>
    <w:rsid w:val="00E050E1"/>
    <w:rsid w:val="00E1149B"/>
    <w:rsid w:val="00E14877"/>
    <w:rsid w:val="00E20F73"/>
    <w:rsid w:val="00E21185"/>
    <w:rsid w:val="00E21D0D"/>
    <w:rsid w:val="00E30962"/>
    <w:rsid w:val="00E30D5F"/>
    <w:rsid w:val="00E32EFA"/>
    <w:rsid w:val="00E35350"/>
    <w:rsid w:val="00E45E32"/>
    <w:rsid w:val="00E52A68"/>
    <w:rsid w:val="00E52D64"/>
    <w:rsid w:val="00E555F3"/>
    <w:rsid w:val="00E555F6"/>
    <w:rsid w:val="00E55939"/>
    <w:rsid w:val="00E60FC2"/>
    <w:rsid w:val="00E70748"/>
    <w:rsid w:val="00E72741"/>
    <w:rsid w:val="00E74EDD"/>
    <w:rsid w:val="00E7544C"/>
    <w:rsid w:val="00E82D5E"/>
    <w:rsid w:val="00E87F1C"/>
    <w:rsid w:val="00E9565F"/>
    <w:rsid w:val="00E95E3C"/>
    <w:rsid w:val="00EA114E"/>
    <w:rsid w:val="00EA1D33"/>
    <w:rsid w:val="00EA3F56"/>
    <w:rsid w:val="00EA6B0F"/>
    <w:rsid w:val="00EA7741"/>
    <w:rsid w:val="00EB1B27"/>
    <w:rsid w:val="00EB1C59"/>
    <w:rsid w:val="00EB2866"/>
    <w:rsid w:val="00EB2F12"/>
    <w:rsid w:val="00EB36E2"/>
    <w:rsid w:val="00EB3CFD"/>
    <w:rsid w:val="00EB41F0"/>
    <w:rsid w:val="00EC2D03"/>
    <w:rsid w:val="00EC36A2"/>
    <w:rsid w:val="00EC555F"/>
    <w:rsid w:val="00EC5D67"/>
    <w:rsid w:val="00EC6639"/>
    <w:rsid w:val="00ED2216"/>
    <w:rsid w:val="00ED2C4F"/>
    <w:rsid w:val="00ED46DB"/>
    <w:rsid w:val="00ED6486"/>
    <w:rsid w:val="00EE4539"/>
    <w:rsid w:val="00EE4DF4"/>
    <w:rsid w:val="00EE5E78"/>
    <w:rsid w:val="00EF13CF"/>
    <w:rsid w:val="00EF1DF1"/>
    <w:rsid w:val="00EF1FFF"/>
    <w:rsid w:val="00EF3678"/>
    <w:rsid w:val="00EF50D9"/>
    <w:rsid w:val="00EF609B"/>
    <w:rsid w:val="00EF61BA"/>
    <w:rsid w:val="00EF6208"/>
    <w:rsid w:val="00EF7FEB"/>
    <w:rsid w:val="00F037C5"/>
    <w:rsid w:val="00F054AC"/>
    <w:rsid w:val="00F100EC"/>
    <w:rsid w:val="00F136A0"/>
    <w:rsid w:val="00F1491E"/>
    <w:rsid w:val="00F15B13"/>
    <w:rsid w:val="00F203B3"/>
    <w:rsid w:val="00F205AA"/>
    <w:rsid w:val="00F22947"/>
    <w:rsid w:val="00F24704"/>
    <w:rsid w:val="00F27F50"/>
    <w:rsid w:val="00F326D6"/>
    <w:rsid w:val="00F32940"/>
    <w:rsid w:val="00F33481"/>
    <w:rsid w:val="00F36063"/>
    <w:rsid w:val="00F41499"/>
    <w:rsid w:val="00F4298B"/>
    <w:rsid w:val="00F459C0"/>
    <w:rsid w:val="00F45F08"/>
    <w:rsid w:val="00F50876"/>
    <w:rsid w:val="00F5140F"/>
    <w:rsid w:val="00F53B63"/>
    <w:rsid w:val="00F53CFD"/>
    <w:rsid w:val="00F607AB"/>
    <w:rsid w:val="00F62DF1"/>
    <w:rsid w:val="00F63D7D"/>
    <w:rsid w:val="00F663F9"/>
    <w:rsid w:val="00F67F8F"/>
    <w:rsid w:val="00F70420"/>
    <w:rsid w:val="00F7044F"/>
    <w:rsid w:val="00F708E6"/>
    <w:rsid w:val="00F73BED"/>
    <w:rsid w:val="00F803CC"/>
    <w:rsid w:val="00F84638"/>
    <w:rsid w:val="00F84DB5"/>
    <w:rsid w:val="00F87D41"/>
    <w:rsid w:val="00FA121F"/>
    <w:rsid w:val="00FA284B"/>
    <w:rsid w:val="00FB1490"/>
    <w:rsid w:val="00FB2750"/>
    <w:rsid w:val="00FB2F94"/>
    <w:rsid w:val="00FB35EF"/>
    <w:rsid w:val="00FB669E"/>
    <w:rsid w:val="00FC3004"/>
    <w:rsid w:val="00FC48BB"/>
    <w:rsid w:val="00FC4978"/>
    <w:rsid w:val="00FD10E8"/>
    <w:rsid w:val="00FD54EB"/>
    <w:rsid w:val="00FD792E"/>
    <w:rsid w:val="00FE1479"/>
    <w:rsid w:val="00FE21BD"/>
    <w:rsid w:val="00FE3E6D"/>
    <w:rsid w:val="00FE5AEE"/>
    <w:rsid w:val="00FE6633"/>
    <w:rsid w:val="00FE6F0D"/>
    <w:rsid w:val="00FE7C1F"/>
    <w:rsid w:val="00FE7D32"/>
    <w:rsid w:val="00FE7F53"/>
    <w:rsid w:val="00FF1D03"/>
    <w:rsid w:val="00FF31ED"/>
    <w:rsid w:val="00FF3FCA"/>
    <w:rsid w:val="00FF5C5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EA"/>
  </w:style>
  <w:style w:type="paragraph" w:styleId="Heading3">
    <w:name w:val="heading 3"/>
    <w:basedOn w:val="Normal"/>
    <w:next w:val="Normal"/>
    <w:link w:val="Heading3Char"/>
    <w:qFormat/>
    <w:rsid w:val="005568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1F5"/>
    <w:pPr>
      <w:ind w:left="720"/>
      <w:contextualSpacing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FB2750"/>
    <w:rPr>
      <w:b/>
      <w:bCs/>
    </w:rPr>
  </w:style>
  <w:style w:type="paragraph" w:styleId="NormalWeb">
    <w:name w:val="Normal (Web)"/>
    <w:basedOn w:val="Normal"/>
    <w:uiPriority w:val="99"/>
    <w:unhideWhenUsed/>
    <w:rsid w:val="00FB27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58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5568D7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5568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8D7"/>
    <w:rPr>
      <w:rFonts w:ascii="Times New Roman" w:eastAsia="Times New Roman" w:hAnsi="Times New Roman" w:cs="Times New Roman"/>
      <w:sz w:val="28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3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54"/>
  </w:style>
  <w:style w:type="paragraph" w:styleId="FootnoteText">
    <w:name w:val="footnote text"/>
    <w:basedOn w:val="Normal"/>
    <w:link w:val="FootnoteTextChar"/>
    <w:uiPriority w:val="99"/>
    <w:semiHidden/>
    <w:unhideWhenUsed/>
    <w:rsid w:val="000325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5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554"/>
    <w:rPr>
      <w:vertAlign w:val="superscript"/>
    </w:rPr>
  </w:style>
  <w:style w:type="paragraph" w:customStyle="1" w:styleId="CharCharCaracterCaracter">
    <w:name w:val="Char Char Caracter Caracter"/>
    <w:basedOn w:val="Normal"/>
    <w:rsid w:val="000B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plotArea>
      <c:layout>
        <c:manualLayout>
          <c:layoutTarget val="inner"/>
          <c:xMode val="edge"/>
          <c:yMode val="edge"/>
          <c:x val="0.16551260504201684"/>
          <c:y val="4.3650784527847014E-2"/>
          <c:w val="0.68028390568825958"/>
          <c:h val="0.5458850976961221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total judeţ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0.00</c:formatCode>
                <c:ptCount val="5"/>
                <c:pt idx="0">
                  <c:v>2.8063174073190766</c:v>
                </c:pt>
                <c:pt idx="1">
                  <c:v>2.7945067538371964</c:v>
                </c:pt>
                <c:pt idx="2">
                  <c:v>2.7852818547256262</c:v>
                </c:pt>
                <c:pt idx="3">
                  <c:v>2.7807719183479334</c:v>
                </c:pt>
                <c:pt idx="4">
                  <c:v>2.7858840488643342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urban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0.00</c:formatCode>
                <c:ptCount val="5"/>
                <c:pt idx="0">
                  <c:v>2.8483689776113499</c:v>
                </c:pt>
                <c:pt idx="1">
                  <c:v>2.8363134734930457</c:v>
                </c:pt>
                <c:pt idx="2">
                  <c:v>2.8256369218993278</c:v>
                </c:pt>
                <c:pt idx="3">
                  <c:v>2.8252338877338867</c:v>
                </c:pt>
                <c:pt idx="4">
                  <c:v>2.8527440102841046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Sheet1!$D$2:$D$6</c:f>
              <c:numCache>
                <c:formatCode>0.00</c:formatCode>
                <c:ptCount val="5"/>
                <c:pt idx="0">
                  <c:v>2.7745086305486826</c:v>
                </c:pt>
                <c:pt idx="1">
                  <c:v>2.7629230454656408</c:v>
                </c:pt>
                <c:pt idx="2">
                  <c:v>2.7548505162077426</c:v>
                </c:pt>
                <c:pt idx="3">
                  <c:v>2.7473568396656352</c:v>
                </c:pt>
                <c:pt idx="4">
                  <c:v>2.7357699918519391</c:v>
                </c:pt>
              </c:numCache>
            </c:numRef>
          </c:val>
        </c:ser>
        <c:gapWidth val="500"/>
        <c:axId val="111784704"/>
        <c:axId val="111786240"/>
      </c:barChart>
      <c:catAx>
        <c:axId val="111784704"/>
        <c:scaling>
          <c:orientation val="minMax"/>
        </c:scaling>
        <c:axPos val="b"/>
        <c:numFmt formatCode="General" sourceLinked="1"/>
        <c:tickLblPos val="nextTo"/>
        <c:crossAx val="111786240"/>
        <c:crossesAt val="0"/>
        <c:auto val="1"/>
        <c:lblAlgn val="ctr"/>
        <c:lblOffset val="100"/>
      </c:catAx>
      <c:valAx>
        <c:axId val="111786240"/>
        <c:scaling>
          <c:orientation val="minMax"/>
          <c:max val="3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o-RO"/>
                  <a:t>persoană/locuinţă</a:t>
                </a:r>
              </a:p>
            </c:rich>
          </c:tx>
          <c:layout>
            <c:manualLayout>
              <c:xMode val="edge"/>
              <c:yMode val="edge"/>
              <c:x val="1.6997287103817909E-2"/>
              <c:y val="4.1482138676327447E-2"/>
            </c:manualLayout>
          </c:layout>
        </c:title>
        <c:numFmt formatCode="#,##0.0" sourceLinked="0"/>
        <c:tickLblPos val="nextTo"/>
        <c:crossAx val="1117847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5340620657711963"/>
          <c:y val="0.12068956169211244"/>
          <c:w val="0.13314841527162061"/>
          <c:h val="0.44563183123236361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o-RO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9FA1-E32D-4831-B3BB-3AAB894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989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melexina.dumbraveanu</dc:creator>
  <cp:lastModifiedBy>gina.ursul</cp:lastModifiedBy>
  <cp:revision>13</cp:revision>
  <dcterms:created xsi:type="dcterms:W3CDTF">2018-07-13T06:18:00Z</dcterms:created>
  <dcterms:modified xsi:type="dcterms:W3CDTF">2018-08-14T14:04:00Z</dcterms:modified>
</cp:coreProperties>
</file>