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drawings/drawing2.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7D" w:rsidRPr="00D12BF1" w:rsidRDefault="00002134" w:rsidP="00146F66">
      <w:pPr>
        <w:pStyle w:val="Header"/>
        <w:tabs>
          <w:tab w:val="clear" w:pos="4680"/>
          <w:tab w:val="clear" w:pos="9360"/>
          <w:tab w:val="left" w:pos="9000"/>
        </w:tabs>
        <w:rPr>
          <w:rFonts w:ascii="Times New Roman" w:hAnsi="Times New Roman"/>
          <w:b/>
          <w:sz w:val="12"/>
          <w:szCs w:val="12"/>
          <w:lang w:val="ro-RO"/>
        </w:rPr>
      </w:pPr>
      <w:r w:rsidRPr="00D12BF1">
        <w:rPr>
          <w:rFonts w:ascii="Times New Roman" w:hAnsi="Times New Roman"/>
          <w:b/>
          <w:sz w:val="32"/>
          <w:szCs w:val="32"/>
          <w:lang w:val="ro-RO"/>
        </w:rPr>
        <w:t xml:space="preserve"> </w:t>
      </w:r>
      <w:r w:rsidR="003D3452" w:rsidRPr="00D12BF1">
        <w:rPr>
          <w:rFonts w:ascii="Times New Roman" w:hAnsi="Times New Roman"/>
          <w:b/>
          <w:sz w:val="32"/>
          <w:szCs w:val="32"/>
          <w:lang w:val="ro-RO"/>
        </w:rPr>
        <w:t xml:space="preserve"> </w:t>
      </w:r>
    </w:p>
    <w:p w:rsidR="00AD6BED" w:rsidRDefault="00AD6BED" w:rsidP="00AD6BED">
      <w:pPr>
        <w:pStyle w:val="Header"/>
        <w:tabs>
          <w:tab w:val="clear" w:pos="4680"/>
          <w:tab w:val="clear" w:pos="9360"/>
          <w:tab w:val="left" w:pos="9000"/>
        </w:tabs>
        <w:rPr>
          <w:lang w:val="it-IT"/>
        </w:rPr>
      </w:pPr>
      <w:r>
        <w:rPr>
          <w:noProof/>
          <w:lang w:val="ro-RO" w:eastAsia="ro-RO"/>
        </w:rPr>
        <w:drawing>
          <wp:anchor distT="0" distB="0" distL="114300" distR="114300" simplePos="0" relativeHeight="251677184" behindDoc="0" locked="0" layoutInCell="1" allowOverlap="1">
            <wp:simplePos x="0" y="0"/>
            <wp:positionH relativeFrom="column">
              <wp:posOffset>4978400</wp:posOffset>
            </wp:positionH>
            <wp:positionV relativeFrom="paragraph">
              <wp:posOffset>39370</wp:posOffset>
            </wp:positionV>
            <wp:extent cx="1311275" cy="699770"/>
            <wp:effectExtent l="19050" t="0" r="3175" b="0"/>
            <wp:wrapSquare wrapText="bothSides"/>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11275" cy="699770"/>
                    </a:xfrm>
                    <a:prstGeom prst="rect">
                      <a:avLst/>
                    </a:prstGeom>
                    <a:noFill/>
                    <a:ln w="9525">
                      <a:noFill/>
                      <a:miter lim="800000"/>
                      <a:headEnd/>
                      <a:tailEnd/>
                    </a:ln>
                  </pic:spPr>
                </pic:pic>
              </a:graphicData>
            </a:graphic>
          </wp:anchor>
        </w:drawing>
      </w:r>
      <w:r>
        <w:rPr>
          <w:noProof/>
          <w:lang w:val="ro-RO" w:eastAsia="ro-RO"/>
        </w:rPr>
        <w:drawing>
          <wp:anchor distT="0" distB="0" distL="114300" distR="114300" simplePos="0" relativeHeight="251678208"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2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Pr>
          <w:lang w:val="it-IT"/>
        </w:rPr>
        <w:t xml:space="preserve">                     </w:t>
      </w:r>
    </w:p>
    <w:p w:rsidR="00AD6BED" w:rsidRPr="00E757D2" w:rsidRDefault="00AD6BED" w:rsidP="00AD6BED">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AD6BED" w:rsidRPr="00E757D2" w:rsidRDefault="00AD6BED" w:rsidP="00AD6BED">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AD6BED" w:rsidRPr="004075B3" w:rsidTr="00E11EC6">
        <w:trPr>
          <w:trHeight w:val="692"/>
        </w:trPr>
        <w:tc>
          <w:tcPr>
            <w:tcW w:w="10031" w:type="dxa"/>
            <w:tcBorders>
              <w:top w:val="single" w:sz="8" w:space="0" w:color="000000"/>
              <w:bottom w:val="single" w:sz="8" w:space="0" w:color="000000"/>
            </w:tcBorders>
            <w:shd w:val="clear" w:color="auto" w:fill="auto"/>
            <w:vAlign w:val="center"/>
          </w:tcPr>
          <w:p w:rsidR="00AD6BED" w:rsidRPr="004075B3" w:rsidRDefault="00AD6BED" w:rsidP="00E11EC6">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SUCEAVA</w:t>
            </w:r>
          </w:p>
        </w:tc>
      </w:tr>
    </w:tbl>
    <w:p w:rsidR="00AD6BED" w:rsidRPr="004075B3" w:rsidRDefault="00AD6BED" w:rsidP="00AD6BED">
      <w:pPr>
        <w:spacing w:after="0"/>
        <w:ind w:right="-1"/>
        <w:rPr>
          <w:rFonts w:ascii="Times New Roman" w:hAnsi="Times New Roman"/>
          <w:b/>
          <w:bCs/>
          <w:color w:val="FFFFFF"/>
          <w:sz w:val="28"/>
          <w:szCs w:val="28"/>
          <w:lang w:val="fr-FR"/>
        </w:rPr>
      </w:pPr>
      <w:r w:rsidRPr="004075B3">
        <w:rPr>
          <w:rFonts w:ascii="Times New Roman" w:hAnsi="Times New Roman"/>
          <w:b/>
          <w:bCs/>
          <w:color w:val="FFFFFF"/>
          <w:sz w:val="28"/>
          <w:szCs w:val="28"/>
          <w:lang w:val="fr-FR"/>
        </w:rPr>
        <w:t>DE STAT</w:t>
      </w:r>
    </w:p>
    <w:p w:rsidR="005576B6" w:rsidRPr="00D12BF1" w:rsidRDefault="005576B6" w:rsidP="005000F5">
      <w:pPr>
        <w:widowControl w:val="0"/>
        <w:spacing w:after="0" w:line="240" w:lineRule="auto"/>
        <w:jc w:val="center"/>
        <w:rPr>
          <w:rFonts w:ascii="Times New Roman" w:hAnsi="Times New Roman"/>
          <w:b/>
          <w:sz w:val="28"/>
          <w:szCs w:val="28"/>
          <w:lang w:val="ro-RO"/>
        </w:rPr>
      </w:pPr>
    </w:p>
    <w:p w:rsidR="005000F5" w:rsidRPr="00D12BF1" w:rsidRDefault="005000F5" w:rsidP="005000F5">
      <w:pPr>
        <w:widowControl w:val="0"/>
        <w:spacing w:after="0" w:line="240" w:lineRule="auto"/>
        <w:jc w:val="center"/>
        <w:rPr>
          <w:rFonts w:ascii="Times New Roman" w:hAnsi="Times New Roman"/>
          <w:b/>
          <w:sz w:val="28"/>
          <w:szCs w:val="28"/>
          <w:lang w:val="ro-RO"/>
        </w:rPr>
      </w:pPr>
      <w:r w:rsidRPr="00D12BF1">
        <w:rPr>
          <w:rFonts w:ascii="Times New Roman" w:hAnsi="Times New Roman"/>
          <w:b/>
          <w:sz w:val="28"/>
          <w:szCs w:val="28"/>
          <w:lang w:val="ro-RO"/>
        </w:rPr>
        <w:t>RAPORT</w:t>
      </w:r>
    </w:p>
    <w:p w:rsidR="005000F5" w:rsidRPr="00D12BF1" w:rsidRDefault="005000F5" w:rsidP="005000F5">
      <w:pPr>
        <w:widowControl w:val="0"/>
        <w:spacing w:after="0" w:line="240" w:lineRule="auto"/>
        <w:ind w:firstLine="709"/>
        <w:jc w:val="both"/>
        <w:rPr>
          <w:rFonts w:ascii="Times New Roman" w:hAnsi="Times New Roman"/>
          <w:sz w:val="12"/>
          <w:szCs w:val="12"/>
          <w:lang w:val="ro-RO"/>
        </w:rPr>
      </w:pPr>
    </w:p>
    <w:p w:rsidR="005000F5" w:rsidRPr="00D12BF1" w:rsidRDefault="005000F5" w:rsidP="005000F5">
      <w:pPr>
        <w:widowControl w:val="0"/>
        <w:spacing w:after="0" w:line="240" w:lineRule="auto"/>
        <w:jc w:val="center"/>
        <w:rPr>
          <w:rFonts w:ascii="Times New Roman" w:hAnsi="Times New Roman"/>
          <w:b/>
          <w:sz w:val="28"/>
          <w:szCs w:val="28"/>
          <w:lang w:val="ro-RO"/>
        </w:rPr>
      </w:pPr>
      <w:r w:rsidRPr="00D12BF1">
        <w:rPr>
          <w:rFonts w:ascii="Times New Roman" w:hAnsi="Times New Roman"/>
          <w:b/>
          <w:sz w:val="28"/>
          <w:szCs w:val="28"/>
          <w:lang w:val="ro-RO"/>
        </w:rPr>
        <w:t xml:space="preserve">privind starea mediului în judeţul Suceava în luna </w:t>
      </w:r>
      <w:r w:rsidR="009C7028" w:rsidRPr="00D12BF1">
        <w:rPr>
          <w:rFonts w:ascii="Times New Roman" w:hAnsi="Times New Roman"/>
          <w:b/>
          <w:sz w:val="28"/>
          <w:szCs w:val="28"/>
          <w:lang w:val="ro-RO"/>
        </w:rPr>
        <w:t>ianuarie</w:t>
      </w:r>
      <w:r w:rsidRPr="00D12BF1">
        <w:rPr>
          <w:rFonts w:ascii="Times New Roman" w:hAnsi="Times New Roman"/>
          <w:b/>
          <w:sz w:val="28"/>
          <w:szCs w:val="28"/>
          <w:lang w:val="ro-RO"/>
        </w:rPr>
        <w:t xml:space="preserve"> </w:t>
      </w:r>
      <w:r w:rsidR="009C7028" w:rsidRPr="00D12BF1">
        <w:rPr>
          <w:rFonts w:ascii="Times New Roman" w:hAnsi="Times New Roman"/>
          <w:b/>
          <w:sz w:val="28"/>
          <w:szCs w:val="28"/>
          <w:lang w:val="ro-RO"/>
        </w:rPr>
        <w:t>2019</w:t>
      </w:r>
    </w:p>
    <w:p w:rsidR="005000F5" w:rsidRDefault="005000F5" w:rsidP="005000F5">
      <w:pPr>
        <w:pStyle w:val="ListParagraph"/>
        <w:widowControl w:val="0"/>
        <w:tabs>
          <w:tab w:val="center" w:pos="4819"/>
        </w:tabs>
        <w:ind w:left="720"/>
        <w:jc w:val="both"/>
        <w:textAlignment w:val="auto"/>
        <w:rPr>
          <w:b/>
          <w:sz w:val="24"/>
          <w:szCs w:val="24"/>
          <w:lang w:val="ro-RO"/>
        </w:rPr>
      </w:pPr>
    </w:p>
    <w:p w:rsidR="00AD6BED" w:rsidRPr="00D12BF1" w:rsidRDefault="00AD6BED" w:rsidP="005000F5">
      <w:pPr>
        <w:pStyle w:val="ListParagraph"/>
        <w:widowControl w:val="0"/>
        <w:tabs>
          <w:tab w:val="center" w:pos="4819"/>
        </w:tabs>
        <w:ind w:left="720"/>
        <w:jc w:val="both"/>
        <w:textAlignment w:val="auto"/>
        <w:rPr>
          <w:b/>
          <w:sz w:val="24"/>
          <w:szCs w:val="24"/>
          <w:lang w:val="ro-RO"/>
        </w:rPr>
      </w:pPr>
    </w:p>
    <w:p w:rsidR="005000F5" w:rsidRPr="00D12BF1" w:rsidRDefault="005000F5" w:rsidP="005000F5">
      <w:pPr>
        <w:widowControl w:val="0"/>
        <w:tabs>
          <w:tab w:val="center" w:pos="4819"/>
        </w:tabs>
        <w:spacing w:after="0" w:line="240" w:lineRule="auto"/>
        <w:jc w:val="both"/>
        <w:rPr>
          <w:rFonts w:ascii="Times New Roman" w:hAnsi="Times New Roman"/>
          <w:b/>
          <w:sz w:val="24"/>
          <w:szCs w:val="24"/>
          <w:lang w:val="ro-RO"/>
        </w:rPr>
      </w:pPr>
      <w:r w:rsidRPr="00D12BF1">
        <w:rPr>
          <w:rFonts w:ascii="Times New Roman" w:hAnsi="Times New Roman"/>
          <w:b/>
          <w:sz w:val="24"/>
          <w:szCs w:val="24"/>
          <w:lang w:val="ro-RO"/>
        </w:rPr>
        <w:t>1. AER</w:t>
      </w:r>
    </w:p>
    <w:p w:rsidR="00D12BF1" w:rsidRPr="00D12BF1" w:rsidRDefault="00D12BF1" w:rsidP="00D12BF1">
      <w:pPr>
        <w:widowControl w:val="0"/>
        <w:spacing w:after="0" w:line="240" w:lineRule="auto"/>
        <w:ind w:firstLine="720"/>
        <w:jc w:val="both"/>
        <w:rPr>
          <w:rFonts w:ascii="Times New Roman" w:hAnsi="Times New Roman"/>
          <w:sz w:val="10"/>
          <w:szCs w:val="10"/>
          <w:lang w:val="ro-RO"/>
        </w:rPr>
      </w:pPr>
    </w:p>
    <w:p w:rsidR="00D12BF1" w:rsidRPr="00D12BF1" w:rsidRDefault="00D12BF1" w:rsidP="00D12BF1">
      <w:pPr>
        <w:widowControl w:val="0"/>
        <w:spacing w:after="0" w:line="240" w:lineRule="auto"/>
        <w:ind w:firstLine="720"/>
        <w:jc w:val="both"/>
        <w:rPr>
          <w:rFonts w:ascii="Times New Roman" w:hAnsi="Times New Roman"/>
          <w:sz w:val="24"/>
          <w:szCs w:val="24"/>
          <w:lang w:val="ro-RO"/>
        </w:rPr>
      </w:pPr>
      <w:r w:rsidRPr="00D12BF1">
        <w:rPr>
          <w:rFonts w:ascii="Times New Roman" w:hAnsi="Times New Roman"/>
          <w:sz w:val="24"/>
          <w:szCs w:val="24"/>
          <w:lang w:val="ro-RO"/>
        </w:rPr>
        <w:t xml:space="preserve">În luna ianuarie monitorizarea calităţii aerului a fost efectuată în cele 4 staţii de pe teritoriul județului Suceava, aparţinând Reţelei Naţionale de Monitorizare a Calităţii Aerului (fig.1.1 și tab. 1.1.). </w:t>
      </w:r>
    </w:p>
    <w:p w:rsidR="00D12BF1" w:rsidRPr="00D12BF1" w:rsidRDefault="00D12BF1" w:rsidP="00D12BF1">
      <w:pPr>
        <w:widowControl w:val="0"/>
        <w:spacing w:after="0" w:line="240" w:lineRule="auto"/>
        <w:jc w:val="center"/>
        <w:rPr>
          <w:rFonts w:ascii="Times New Roman" w:hAnsi="Times New Roman"/>
          <w:sz w:val="10"/>
          <w:szCs w:val="10"/>
          <w:lang w:val="ro-RO"/>
        </w:rPr>
      </w:pP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 xml:space="preserve">Fig.1.1. Amplasarea staţiilor automate de monitorizare a calităţii aerului </w:t>
      </w: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din jud. Suceava aparţinând RNMCA</w:t>
      </w:r>
    </w:p>
    <w:tbl>
      <w:tblPr>
        <w:tblW w:w="9989" w:type="dxa"/>
        <w:jc w:val="center"/>
        <w:tblLayout w:type="fixed"/>
        <w:tblLook w:val="04A0"/>
      </w:tblPr>
      <w:tblGrid>
        <w:gridCol w:w="5750"/>
        <w:gridCol w:w="4239"/>
      </w:tblGrid>
      <w:tr w:rsidR="00D12BF1" w:rsidRPr="00D12BF1" w:rsidTr="0072501D">
        <w:trPr>
          <w:trHeight w:val="2724"/>
          <w:jc w:val="center"/>
        </w:trPr>
        <w:tc>
          <w:tcPr>
            <w:tcW w:w="5750" w:type="dxa"/>
          </w:tcPr>
          <w:p w:rsidR="00D12BF1" w:rsidRPr="00D12BF1" w:rsidRDefault="00D12BF1" w:rsidP="0072501D">
            <w:pPr>
              <w:widowControl w:val="0"/>
              <w:spacing w:after="0" w:line="240" w:lineRule="auto"/>
              <w:jc w:val="center"/>
              <w:rPr>
                <w:rFonts w:ascii="Times New Roman" w:hAnsi="Times New Roman"/>
                <w:color w:val="FF0000"/>
                <w:sz w:val="24"/>
                <w:szCs w:val="24"/>
                <w:lang w:val="ro-RO"/>
              </w:rPr>
            </w:pPr>
            <w:r w:rsidRPr="00D12BF1">
              <w:rPr>
                <w:rFonts w:ascii="Times New Roman" w:hAnsi="Times New Roman"/>
                <w:noProof/>
                <w:color w:val="FF0000"/>
                <w:sz w:val="24"/>
                <w:szCs w:val="24"/>
                <w:lang w:val="ro-RO" w:eastAsia="ro-RO"/>
              </w:rPr>
              <w:drawing>
                <wp:inline distT="0" distB="0" distL="0" distR="0">
                  <wp:extent cx="3201235" cy="23336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206171" cy="2337224"/>
                          </a:xfrm>
                          <a:prstGeom prst="rect">
                            <a:avLst/>
                          </a:prstGeom>
                          <a:noFill/>
                          <a:ln w="9525">
                            <a:noFill/>
                            <a:miter lim="800000"/>
                            <a:headEnd/>
                            <a:tailEnd/>
                          </a:ln>
                        </pic:spPr>
                      </pic:pic>
                    </a:graphicData>
                  </a:graphic>
                </wp:inline>
              </w:drawing>
            </w:r>
          </w:p>
        </w:tc>
        <w:tc>
          <w:tcPr>
            <w:tcW w:w="4239" w:type="dxa"/>
          </w:tcPr>
          <w:p w:rsidR="00D12BF1" w:rsidRPr="00D12BF1" w:rsidRDefault="001B19A2" w:rsidP="0072501D">
            <w:pPr>
              <w:widowControl w:val="0"/>
              <w:spacing w:before="120" w:after="0" w:line="240" w:lineRule="auto"/>
              <w:jc w:val="center"/>
              <w:rPr>
                <w:rFonts w:ascii="Times New Roman" w:hAnsi="Times New Roman"/>
                <w:sz w:val="24"/>
                <w:szCs w:val="24"/>
                <w:lang w:val="ro-RO"/>
              </w:rPr>
            </w:pPr>
            <w:r w:rsidRPr="001B19A2">
              <w:rPr>
                <w:rFonts w:ascii="Times New Roman" w:hAnsi="Times New Roman"/>
                <w:b/>
                <w:sz w:val="24"/>
                <w:szCs w:val="24"/>
                <w:lang w:val="ro-RO"/>
              </w:rPr>
              <w:pict>
                <v:shapetype id="_x0000_t202" coordsize="21600,21600" o:spt="202" path="m,l,21600r21600,l21600,xe">
                  <v:stroke joinstyle="miter"/>
                  <v:path gradientshapeok="t" o:connecttype="rect"/>
                </v:shapetype>
                <v:shape id="_x0000_s1073" type="#_x0000_t202" style="position:absolute;left:0;text-align:left;margin-left:300.7pt;margin-top:75.15pt;width:25.7pt;height:13.65pt;z-index:251671040;mso-position-horizontal-relative:text;mso-position-vertical-relative:text;mso-width-relative:margin;mso-height-relative:margin">
                  <v:textbox style="mso-next-textbox:#_x0000_s1073">
                    <w:txbxContent>
                      <w:p w:rsidR="00D12BF1" w:rsidRPr="00EC47DC" w:rsidRDefault="00D12BF1" w:rsidP="00D12BF1">
                        <w:pPr>
                          <w:rPr>
                            <w:b/>
                            <w:color w:val="00B050"/>
                            <w:sz w:val="10"/>
                            <w:szCs w:val="10"/>
                          </w:rPr>
                        </w:pPr>
                        <w:r>
                          <w:rPr>
                            <w:b/>
                            <w:color w:val="00B050"/>
                            <w:sz w:val="10"/>
                            <w:szCs w:val="10"/>
                          </w:rPr>
                          <w:t>CJ-5</w:t>
                        </w:r>
                      </w:p>
                    </w:txbxContent>
                  </v:textbox>
                </v:shape>
              </w:pict>
            </w:r>
            <w:r w:rsidRPr="001B19A2">
              <w:rPr>
                <w:rFonts w:ascii="Times New Roman" w:hAnsi="Times New Roman"/>
                <w:b/>
                <w:bCs/>
                <w:sz w:val="24"/>
                <w:szCs w:val="24"/>
                <w:lang w:val="ro-RO"/>
              </w:rPr>
              <w:pict>
                <v:shape id="_x0000_s1074" type="#_x0000_t202" style="position:absolute;left:0;text-align:left;margin-left:253.1pt;margin-top:173pt;width:25.7pt;height:13.65pt;z-index:251672064;mso-position-horizontal-relative:text;mso-position-vertical-relative:text;mso-width-relative:margin;mso-height-relative:margin">
                  <v:textbox style="mso-next-textbox:#_x0000_s1074">
                    <w:txbxContent>
                      <w:p w:rsidR="00D12BF1" w:rsidRPr="00EC47DC" w:rsidRDefault="00D12BF1" w:rsidP="00D12BF1">
                        <w:pPr>
                          <w:rPr>
                            <w:b/>
                            <w:color w:val="00B050"/>
                            <w:sz w:val="10"/>
                            <w:szCs w:val="10"/>
                          </w:rPr>
                        </w:pPr>
                        <w:r>
                          <w:rPr>
                            <w:b/>
                            <w:color w:val="00B050"/>
                            <w:sz w:val="10"/>
                            <w:szCs w:val="10"/>
                          </w:rPr>
                          <w:t>CJ-2</w:t>
                        </w:r>
                      </w:p>
                    </w:txbxContent>
                  </v:textbox>
                </v:shape>
              </w:pict>
            </w:r>
            <w:r w:rsidR="00D12BF1" w:rsidRPr="00D12BF1">
              <w:rPr>
                <w:rFonts w:ascii="Times New Roman" w:hAnsi="Times New Roman"/>
                <w:b/>
                <w:sz w:val="24"/>
                <w:szCs w:val="24"/>
                <w:lang w:val="ro-RO"/>
              </w:rPr>
              <w:t>Legendă</w:t>
            </w:r>
            <w:r w:rsidR="00D12BF1" w:rsidRPr="00D12BF1">
              <w:rPr>
                <w:rFonts w:ascii="Times New Roman" w:hAnsi="Times New Roman"/>
                <w:sz w:val="24"/>
                <w:szCs w:val="24"/>
                <w:lang w:val="ro-RO"/>
              </w:rPr>
              <w:t>:</w:t>
            </w:r>
          </w:p>
          <w:p w:rsidR="00D12BF1" w:rsidRPr="00D12BF1" w:rsidRDefault="00D12BF1" w:rsidP="0072501D">
            <w:pPr>
              <w:widowControl w:val="0"/>
              <w:spacing w:before="120" w:after="0" w:line="240" w:lineRule="auto"/>
              <w:jc w:val="both"/>
              <w:rPr>
                <w:rFonts w:ascii="Times New Roman" w:hAnsi="Times New Roman"/>
                <w:sz w:val="24"/>
                <w:szCs w:val="24"/>
                <w:lang w:val="ro-RO"/>
              </w:rPr>
            </w:pPr>
            <w:r w:rsidRPr="00D12BF1">
              <w:rPr>
                <w:rFonts w:ascii="Times New Roman" w:hAnsi="Times New Roman"/>
                <w:b/>
                <w:sz w:val="24"/>
                <w:szCs w:val="24"/>
                <w:lang w:val="ro-RO"/>
              </w:rPr>
              <w:t>SV1</w:t>
            </w:r>
            <w:r w:rsidRPr="00D12BF1">
              <w:rPr>
                <w:rFonts w:ascii="Times New Roman" w:hAnsi="Times New Roman"/>
                <w:sz w:val="24"/>
                <w:szCs w:val="24"/>
                <w:lang w:val="ro-RO"/>
              </w:rPr>
              <w:t>: Suceava, str. Mărăşeşti nr. 57, la Colegiul Naţional „Mihai Eminescu”</w:t>
            </w:r>
          </w:p>
          <w:p w:rsidR="00D12BF1" w:rsidRPr="00D12BF1" w:rsidRDefault="00D12BF1" w:rsidP="0072501D">
            <w:pPr>
              <w:widowControl w:val="0"/>
              <w:spacing w:before="120" w:after="0" w:line="240" w:lineRule="auto"/>
              <w:jc w:val="both"/>
              <w:rPr>
                <w:rFonts w:ascii="Times New Roman" w:hAnsi="Times New Roman"/>
                <w:sz w:val="24"/>
                <w:szCs w:val="24"/>
                <w:lang w:val="ro-RO"/>
              </w:rPr>
            </w:pPr>
            <w:r w:rsidRPr="00D12BF1">
              <w:rPr>
                <w:rFonts w:ascii="Times New Roman" w:hAnsi="Times New Roman"/>
                <w:b/>
                <w:sz w:val="24"/>
                <w:szCs w:val="24"/>
                <w:lang w:val="ro-RO"/>
              </w:rPr>
              <w:t>SV2</w:t>
            </w:r>
            <w:r w:rsidRPr="00D12BF1">
              <w:rPr>
                <w:rFonts w:ascii="Times New Roman" w:hAnsi="Times New Roman"/>
                <w:sz w:val="24"/>
                <w:szCs w:val="24"/>
                <w:lang w:val="ro-RO"/>
              </w:rPr>
              <w:t xml:space="preserve">: Suceava, str. Tineretului f.n (cartier Cuza Vodă), la Grădiniţa nr. 12 “Ţăndărică” </w:t>
            </w:r>
          </w:p>
          <w:p w:rsidR="00D12BF1" w:rsidRPr="00D12BF1" w:rsidRDefault="00D12BF1" w:rsidP="0072501D">
            <w:pPr>
              <w:widowControl w:val="0"/>
              <w:spacing w:before="120" w:after="0" w:line="240" w:lineRule="auto"/>
              <w:jc w:val="both"/>
              <w:rPr>
                <w:rFonts w:ascii="Times New Roman" w:hAnsi="Times New Roman"/>
                <w:sz w:val="24"/>
                <w:szCs w:val="24"/>
                <w:lang w:val="ro-RO"/>
              </w:rPr>
            </w:pPr>
            <w:r w:rsidRPr="00D12BF1">
              <w:rPr>
                <w:rFonts w:ascii="Times New Roman" w:hAnsi="Times New Roman"/>
                <w:b/>
                <w:sz w:val="24"/>
                <w:szCs w:val="24"/>
                <w:lang w:val="ro-RO"/>
              </w:rPr>
              <w:t>SV3</w:t>
            </w:r>
            <w:r w:rsidRPr="00D12BF1">
              <w:rPr>
                <w:rFonts w:ascii="Times New Roman" w:hAnsi="Times New Roman"/>
                <w:sz w:val="24"/>
                <w:szCs w:val="24"/>
                <w:lang w:val="ro-RO"/>
              </w:rPr>
              <w:t>: Siret, str. Alexandru cel Bun f.n.</w:t>
            </w:r>
          </w:p>
          <w:p w:rsidR="00D12BF1" w:rsidRPr="00D12BF1" w:rsidRDefault="00D12BF1" w:rsidP="0072501D">
            <w:pPr>
              <w:widowControl w:val="0"/>
              <w:spacing w:before="120" w:after="0" w:line="240" w:lineRule="auto"/>
              <w:jc w:val="both"/>
              <w:rPr>
                <w:rFonts w:ascii="Times New Roman" w:hAnsi="Times New Roman"/>
                <w:sz w:val="24"/>
                <w:szCs w:val="24"/>
                <w:lang w:val="ro-RO"/>
              </w:rPr>
            </w:pPr>
            <w:r w:rsidRPr="00D12BF1">
              <w:rPr>
                <w:rFonts w:ascii="Times New Roman" w:hAnsi="Times New Roman"/>
                <w:b/>
                <w:sz w:val="24"/>
                <w:szCs w:val="24"/>
                <w:lang w:val="ro-RO"/>
              </w:rPr>
              <w:t>EM3</w:t>
            </w:r>
            <w:r w:rsidRPr="00D12BF1">
              <w:rPr>
                <w:rFonts w:ascii="Times New Roman" w:hAnsi="Times New Roman"/>
                <w:sz w:val="24"/>
                <w:szCs w:val="24"/>
                <w:lang w:val="ro-RO"/>
              </w:rPr>
              <w:t>: Poiana Stampei</w:t>
            </w:r>
            <w:r w:rsidR="001B19A2">
              <w:rPr>
                <w:rFonts w:ascii="Times New Roman" w:hAnsi="Times New Roman"/>
                <w:sz w:val="24"/>
                <w:szCs w:val="24"/>
                <w:lang w:val="ro-RO"/>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5" type="#_x0000_t34" style="position:absolute;left:0;text-align:left;margin-left:43pt;margin-top:119.5pt;width:.05pt;height:.05pt;rotation:90;flip:x;z-index:251673088;mso-position-horizontal-relative:text;mso-position-vertical-relative:text" o:connectortype="elbow" adj="0,229176000,-196020000"/>
              </w:pict>
            </w:r>
            <w:r w:rsidRPr="00D12BF1">
              <w:rPr>
                <w:rFonts w:ascii="Times New Roman" w:hAnsi="Times New Roman"/>
                <w:sz w:val="24"/>
                <w:szCs w:val="24"/>
                <w:lang w:val="ro-RO"/>
              </w:rPr>
              <w:t>, lângă staţia meteo a INM.</w:t>
            </w:r>
          </w:p>
        </w:tc>
      </w:tr>
    </w:tbl>
    <w:p w:rsidR="00D12BF1" w:rsidRPr="00D12BF1" w:rsidRDefault="00D12BF1" w:rsidP="00D12BF1">
      <w:pPr>
        <w:widowControl w:val="0"/>
        <w:spacing w:after="0" w:line="240" w:lineRule="auto"/>
        <w:ind w:firstLine="540"/>
        <w:jc w:val="both"/>
        <w:rPr>
          <w:rFonts w:ascii="Times New Roman" w:hAnsi="Times New Roman"/>
          <w:sz w:val="24"/>
          <w:szCs w:val="24"/>
          <w:lang w:val="ro-RO"/>
        </w:rPr>
      </w:pP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 xml:space="preserve">Tabel 1.1. Staţiile automate de monitorizare a calităţii aerului din jud. Suceava </w:t>
      </w: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aparţinând RNMCA și poluanții monitorizați în luna de raportare</w:t>
      </w:r>
    </w:p>
    <w:p w:rsidR="00D12BF1" w:rsidRPr="00D12BF1" w:rsidRDefault="00D12BF1" w:rsidP="00D12BF1">
      <w:pPr>
        <w:widowControl w:val="0"/>
        <w:spacing w:after="0" w:line="240" w:lineRule="auto"/>
        <w:ind w:firstLine="540"/>
        <w:jc w:val="both"/>
        <w:rPr>
          <w:rFonts w:ascii="Times New Roman" w:hAnsi="Times New Roman"/>
          <w:sz w:val="10"/>
          <w:szCs w:val="10"/>
          <w:lang w:val="ro-RO"/>
        </w:rPr>
      </w:pPr>
    </w:p>
    <w:tbl>
      <w:tblPr>
        <w:tblStyle w:val="TableGrid"/>
        <w:tblW w:w="0" w:type="auto"/>
        <w:tblBorders>
          <w:top w:val="double" w:sz="4" w:space="0" w:color="auto"/>
          <w:left w:val="double" w:sz="4" w:space="0" w:color="auto"/>
          <w:bottom w:val="double" w:sz="4" w:space="0" w:color="auto"/>
          <w:right w:val="double" w:sz="4" w:space="0" w:color="auto"/>
        </w:tblBorders>
        <w:tblCellMar>
          <w:left w:w="57" w:type="dxa"/>
          <w:right w:w="57" w:type="dxa"/>
        </w:tblCellMar>
        <w:tblLook w:val="04A0"/>
      </w:tblPr>
      <w:tblGrid>
        <w:gridCol w:w="766"/>
        <w:gridCol w:w="1648"/>
        <w:gridCol w:w="7589"/>
      </w:tblGrid>
      <w:tr w:rsidR="00D12BF1" w:rsidRPr="00D12BF1" w:rsidTr="0072501D">
        <w:trPr>
          <w:trHeight w:val="528"/>
        </w:trPr>
        <w:tc>
          <w:tcPr>
            <w:tcW w:w="766" w:type="dxa"/>
          </w:tcPr>
          <w:p w:rsidR="00D12BF1" w:rsidRPr="00D12BF1" w:rsidRDefault="00D12BF1" w:rsidP="0072501D">
            <w:pPr>
              <w:widowControl w:val="0"/>
              <w:spacing w:after="0" w:line="240" w:lineRule="auto"/>
              <w:jc w:val="center"/>
              <w:rPr>
                <w:rFonts w:ascii="Times New Roman" w:hAnsi="Times New Roman"/>
                <w:sz w:val="24"/>
                <w:szCs w:val="24"/>
                <w:lang w:val="ro-RO"/>
              </w:rPr>
            </w:pPr>
            <w:r w:rsidRPr="00D12BF1">
              <w:rPr>
                <w:rFonts w:ascii="Times New Roman" w:hAnsi="Times New Roman"/>
                <w:sz w:val="24"/>
                <w:szCs w:val="24"/>
                <w:lang w:val="ro-RO"/>
              </w:rPr>
              <w:t>Cod stație</w:t>
            </w:r>
          </w:p>
        </w:tc>
        <w:tc>
          <w:tcPr>
            <w:tcW w:w="1648" w:type="dxa"/>
          </w:tcPr>
          <w:p w:rsidR="00D12BF1" w:rsidRPr="00D12BF1" w:rsidRDefault="00D12BF1" w:rsidP="0072501D">
            <w:pPr>
              <w:widowControl w:val="0"/>
              <w:spacing w:after="0" w:line="240" w:lineRule="auto"/>
              <w:jc w:val="center"/>
              <w:rPr>
                <w:rFonts w:ascii="Times New Roman" w:hAnsi="Times New Roman"/>
                <w:sz w:val="24"/>
                <w:szCs w:val="24"/>
                <w:lang w:val="ro-RO"/>
              </w:rPr>
            </w:pPr>
            <w:r w:rsidRPr="00D12BF1">
              <w:rPr>
                <w:rFonts w:ascii="Times New Roman" w:hAnsi="Times New Roman"/>
                <w:sz w:val="24"/>
                <w:szCs w:val="24"/>
                <w:lang w:val="ro-RO"/>
              </w:rPr>
              <w:t>Tip stație</w:t>
            </w:r>
          </w:p>
        </w:tc>
        <w:tc>
          <w:tcPr>
            <w:tcW w:w="7589" w:type="dxa"/>
          </w:tcPr>
          <w:p w:rsidR="00D12BF1" w:rsidRPr="00D12BF1" w:rsidRDefault="00D12BF1" w:rsidP="0072501D">
            <w:pPr>
              <w:widowControl w:val="0"/>
              <w:spacing w:after="0" w:line="240" w:lineRule="auto"/>
              <w:jc w:val="center"/>
              <w:rPr>
                <w:rFonts w:ascii="Times New Roman" w:hAnsi="Times New Roman"/>
                <w:sz w:val="24"/>
                <w:szCs w:val="24"/>
                <w:lang w:val="ro-RO"/>
              </w:rPr>
            </w:pPr>
            <w:r w:rsidRPr="00D12BF1">
              <w:rPr>
                <w:rFonts w:ascii="Times New Roman" w:hAnsi="Times New Roman"/>
                <w:sz w:val="24"/>
                <w:szCs w:val="24"/>
                <w:lang w:val="ro-RO"/>
              </w:rPr>
              <w:t>Poluanţi monitorizaţi în luna de raportare</w:t>
            </w:r>
          </w:p>
        </w:tc>
      </w:tr>
      <w:tr w:rsidR="00D12BF1" w:rsidRPr="00D12BF1" w:rsidTr="0072501D">
        <w:trPr>
          <w:trHeight w:val="527"/>
        </w:trPr>
        <w:tc>
          <w:tcPr>
            <w:tcW w:w="766" w:type="dxa"/>
          </w:tcPr>
          <w:p w:rsidR="00D12BF1" w:rsidRPr="00D12BF1" w:rsidRDefault="00D12BF1" w:rsidP="0072501D">
            <w:pPr>
              <w:widowControl w:val="0"/>
              <w:spacing w:after="0" w:line="240" w:lineRule="auto"/>
              <w:jc w:val="center"/>
              <w:rPr>
                <w:rFonts w:ascii="Times New Roman" w:hAnsi="Times New Roman"/>
                <w:sz w:val="24"/>
                <w:szCs w:val="24"/>
                <w:lang w:val="ro-RO"/>
              </w:rPr>
            </w:pPr>
            <w:r w:rsidRPr="00D12BF1">
              <w:rPr>
                <w:rFonts w:ascii="Times New Roman" w:hAnsi="Times New Roman"/>
                <w:b/>
                <w:sz w:val="24"/>
                <w:szCs w:val="24"/>
                <w:lang w:val="ro-RO"/>
              </w:rPr>
              <w:t>SV1</w:t>
            </w:r>
          </w:p>
        </w:tc>
        <w:tc>
          <w:tcPr>
            <w:tcW w:w="1648" w:type="dxa"/>
          </w:tcPr>
          <w:p w:rsidR="00D12BF1" w:rsidRPr="00D12BF1" w:rsidRDefault="00D12BF1" w:rsidP="0072501D">
            <w:pPr>
              <w:widowControl w:val="0"/>
              <w:spacing w:after="0" w:line="240" w:lineRule="auto"/>
              <w:jc w:val="both"/>
              <w:rPr>
                <w:rFonts w:ascii="Times New Roman" w:hAnsi="Times New Roman"/>
                <w:sz w:val="24"/>
                <w:szCs w:val="24"/>
                <w:lang w:val="ro-RO"/>
              </w:rPr>
            </w:pPr>
            <w:r w:rsidRPr="00D12BF1">
              <w:rPr>
                <w:rFonts w:ascii="Times New Roman" w:hAnsi="Times New Roman"/>
                <w:b/>
                <w:sz w:val="24"/>
                <w:szCs w:val="24"/>
                <w:lang w:val="ro-RO"/>
              </w:rPr>
              <w:t>fond urban</w:t>
            </w:r>
          </w:p>
        </w:tc>
        <w:tc>
          <w:tcPr>
            <w:tcW w:w="7589" w:type="dxa"/>
          </w:tcPr>
          <w:p w:rsidR="00D12BF1" w:rsidRPr="00D12BF1" w:rsidRDefault="00D12BF1" w:rsidP="0072501D">
            <w:pPr>
              <w:widowControl w:val="0"/>
              <w:spacing w:after="0" w:line="240" w:lineRule="auto"/>
              <w:jc w:val="both"/>
              <w:rPr>
                <w:rFonts w:ascii="Times New Roman" w:hAnsi="Times New Roman"/>
                <w:sz w:val="24"/>
                <w:szCs w:val="24"/>
                <w:lang w:val="ro-RO"/>
              </w:rPr>
            </w:pPr>
            <w:r w:rsidRPr="00D12BF1">
              <w:rPr>
                <w:rFonts w:ascii="Times New Roman" w:hAnsi="Times New Roman"/>
                <w:sz w:val="24"/>
                <w:szCs w:val="24"/>
                <w:lang w:val="ro-RO" w:eastAsia="ro-RO"/>
              </w:rPr>
              <w:t>dioxid de sulf (SO</w:t>
            </w:r>
            <w:r w:rsidRPr="00D12BF1">
              <w:rPr>
                <w:rFonts w:ascii="Times New Roman" w:hAnsi="Times New Roman"/>
                <w:sz w:val="24"/>
                <w:szCs w:val="24"/>
                <w:vertAlign w:val="subscript"/>
                <w:lang w:val="ro-RO" w:eastAsia="ro-RO"/>
              </w:rPr>
              <w:t>2</w:t>
            </w:r>
            <w:r w:rsidRPr="00D12BF1">
              <w:rPr>
                <w:rFonts w:ascii="Times New Roman" w:hAnsi="Times New Roman"/>
                <w:sz w:val="24"/>
                <w:szCs w:val="24"/>
                <w:lang w:val="ro-RO" w:eastAsia="ro-RO"/>
              </w:rPr>
              <w:t>),</w:t>
            </w:r>
            <w:r w:rsidRPr="00D12BF1">
              <w:rPr>
                <w:rFonts w:ascii="Times New Roman" w:hAnsi="Times New Roman"/>
                <w:b/>
                <w:sz w:val="24"/>
                <w:szCs w:val="24"/>
                <w:lang w:val="ro-RO" w:eastAsia="ro-RO"/>
              </w:rPr>
              <w:t xml:space="preserve"> </w:t>
            </w:r>
            <w:r w:rsidRPr="00D12BF1">
              <w:rPr>
                <w:rFonts w:ascii="Times New Roman" w:hAnsi="Times New Roman"/>
                <w:sz w:val="24"/>
                <w:szCs w:val="24"/>
                <w:lang w:val="ro-RO"/>
              </w:rPr>
              <w:t xml:space="preserve">monoxid de carbon (CO), </w:t>
            </w:r>
            <w:r w:rsidRPr="00D12BF1">
              <w:rPr>
                <w:rFonts w:ascii="Times New Roman" w:hAnsi="Times New Roman"/>
                <w:sz w:val="24"/>
                <w:szCs w:val="24"/>
                <w:lang w:val="ro-RO" w:eastAsia="ro-RO"/>
              </w:rPr>
              <w:t>oxizi de azot (NO</w:t>
            </w:r>
            <w:r w:rsidRPr="00D12BF1">
              <w:rPr>
                <w:rFonts w:ascii="Times New Roman" w:hAnsi="Times New Roman"/>
                <w:sz w:val="24"/>
                <w:szCs w:val="24"/>
                <w:vertAlign w:val="subscript"/>
                <w:lang w:val="ro-RO" w:eastAsia="ro-RO"/>
              </w:rPr>
              <w:t>x</w:t>
            </w:r>
            <w:r w:rsidRPr="00D12BF1">
              <w:rPr>
                <w:rFonts w:ascii="Times New Roman" w:hAnsi="Times New Roman"/>
                <w:sz w:val="24"/>
                <w:szCs w:val="24"/>
                <w:lang w:val="ro-RO" w:eastAsia="ro-RO"/>
              </w:rPr>
              <w:t>)</w:t>
            </w:r>
            <w:r w:rsidRPr="00D12BF1">
              <w:rPr>
                <w:rFonts w:ascii="Times New Roman" w:hAnsi="Times New Roman"/>
                <w:sz w:val="24"/>
                <w:szCs w:val="24"/>
                <w:lang w:val="ro-RO"/>
              </w:rPr>
              <w:t>, pulberi în suspensie (PM10) – gravimetric și automat</w:t>
            </w:r>
          </w:p>
        </w:tc>
      </w:tr>
      <w:tr w:rsidR="00D12BF1" w:rsidRPr="00D12BF1" w:rsidTr="0072501D">
        <w:trPr>
          <w:trHeight w:val="397"/>
        </w:trPr>
        <w:tc>
          <w:tcPr>
            <w:tcW w:w="766" w:type="dxa"/>
          </w:tcPr>
          <w:p w:rsidR="00D12BF1" w:rsidRPr="00D12BF1" w:rsidRDefault="00D12BF1" w:rsidP="0072501D">
            <w:pPr>
              <w:widowControl w:val="0"/>
              <w:spacing w:after="0" w:line="240" w:lineRule="auto"/>
              <w:jc w:val="center"/>
              <w:rPr>
                <w:rFonts w:ascii="Times New Roman" w:hAnsi="Times New Roman"/>
                <w:sz w:val="24"/>
                <w:szCs w:val="24"/>
                <w:lang w:val="ro-RO"/>
              </w:rPr>
            </w:pPr>
            <w:r w:rsidRPr="00D12BF1">
              <w:rPr>
                <w:rFonts w:ascii="Times New Roman" w:hAnsi="Times New Roman"/>
                <w:b/>
                <w:sz w:val="24"/>
                <w:szCs w:val="24"/>
                <w:lang w:val="ro-RO"/>
              </w:rPr>
              <w:t>SV2</w:t>
            </w:r>
          </w:p>
        </w:tc>
        <w:tc>
          <w:tcPr>
            <w:tcW w:w="1648" w:type="dxa"/>
          </w:tcPr>
          <w:p w:rsidR="00D12BF1" w:rsidRPr="00D12BF1" w:rsidRDefault="00D12BF1" w:rsidP="0072501D">
            <w:pPr>
              <w:widowControl w:val="0"/>
              <w:spacing w:after="0" w:line="240" w:lineRule="auto"/>
              <w:jc w:val="both"/>
              <w:rPr>
                <w:rFonts w:ascii="Times New Roman" w:hAnsi="Times New Roman"/>
                <w:sz w:val="24"/>
                <w:szCs w:val="24"/>
                <w:lang w:val="ro-RO"/>
              </w:rPr>
            </w:pPr>
            <w:r w:rsidRPr="00D12BF1">
              <w:rPr>
                <w:rFonts w:ascii="Times New Roman" w:hAnsi="Times New Roman"/>
                <w:b/>
                <w:sz w:val="24"/>
                <w:szCs w:val="24"/>
                <w:lang w:val="ro-RO"/>
              </w:rPr>
              <w:t>industrial</w:t>
            </w:r>
          </w:p>
        </w:tc>
        <w:tc>
          <w:tcPr>
            <w:tcW w:w="7589" w:type="dxa"/>
          </w:tcPr>
          <w:p w:rsidR="00D12BF1" w:rsidRPr="00D12BF1" w:rsidRDefault="00D12BF1" w:rsidP="0072501D">
            <w:pPr>
              <w:widowControl w:val="0"/>
              <w:spacing w:after="0" w:line="240" w:lineRule="auto"/>
              <w:jc w:val="both"/>
              <w:rPr>
                <w:rFonts w:ascii="Times New Roman" w:hAnsi="Times New Roman"/>
                <w:sz w:val="24"/>
                <w:szCs w:val="24"/>
                <w:lang w:val="ro-RO"/>
              </w:rPr>
            </w:pPr>
            <w:r w:rsidRPr="00D12BF1">
              <w:rPr>
                <w:rFonts w:ascii="Times New Roman" w:hAnsi="Times New Roman"/>
                <w:sz w:val="24"/>
                <w:szCs w:val="24"/>
                <w:lang w:val="ro-RO" w:eastAsia="ro-RO"/>
              </w:rPr>
              <w:t>dioxid de sulf (SO</w:t>
            </w:r>
            <w:r w:rsidRPr="00D12BF1">
              <w:rPr>
                <w:rFonts w:ascii="Times New Roman" w:hAnsi="Times New Roman"/>
                <w:sz w:val="24"/>
                <w:szCs w:val="24"/>
                <w:vertAlign w:val="subscript"/>
                <w:lang w:val="ro-RO" w:eastAsia="ro-RO"/>
              </w:rPr>
              <w:t>2</w:t>
            </w:r>
            <w:r w:rsidRPr="00D12BF1">
              <w:rPr>
                <w:rFonts w:ascii="Times New Roman" w:hAnsi="Times New Roman"/>
                <w:sz w:val="24"/>
                <w:szCs w:val="24"/>
                <w:lang w:val="ro-RO" w:eastAsia="ro-RO"/>
              </w:rPr>
              <w:t>),</w:t>
            </w:r>
            <w:r w:rsidRPr="00D12BF1">
              <w:rPr>
                <w:rFonts w:ascii="Times New Roman" w:hAnsi="Times New Roman"/>
                <w:b/>
                <w:sz w:val="24"/>
                <w:szCs w:val="24"/>
                <w:lang w:val="ro-RO" w:eastAsia="ro-RO"/>
              </w:rPr>
              <w:t xml:space="preserve"> </w:t>
            </w:r>
            <w:r w:rsidRPr="00D12BF1">
              <w:rPr>
                <w:rFonts w:ascii="Times New Roman" w:hAnsi="Times New Roman"/>
                <w:sz w:val="24"/>
                <w:szCs w:val="24"/>
                <w:lang w:val="ro-RO"/>
              </w:rPr>
              <w:t>monoxid de carbon (CO), pulberi în suspensie (PM10) – gravimetric și automat</w:t>
            </w:r>
          </w:p>
        </w:tc>
      </w:tr>
      <w:tr w:rsidR="00D12BF1" w:rsidRPr="00D12BF1" w:rsidTr="0072501D">
        <w:trPr>
          <w:trHeight w:val="271"/>
        </w:trPr>
        <w:tc>
          <w:tcPr>
            <w:tcW w:w="766" w:type="dxa"/>
          </w:tcPr>
          <w:p w:rsidR="00D12BF1" w:rsidRPr="00D12BF1" w:rsidRDefault="00D12BF1" w:rsidP="0072501D">
            <w:pPr>
              <w:widowControl w:val="0"/>
              <w:spacing w:after="0" w:line="240" w:lineRule="auto"/>
              <w:jc w:val="center"/>
              <w:rPr>
                <w:rFonts w:ascii="Times New Roman" w:hAnsi="Times New Roman"/>
                <w:sz w:val="24"/>
                <w:szCs w:val="24"/>
                <w:lang w:val="ro-RO"/>
              </w:rPr>
            </w:pPr>
            <w:r w:rsidRPr="00D12BF1">
              <w:rPr>
                <w:rFonts w:ascii="Times New Roman" w:hAnsi="Times New Roman"/>
                <w:b/>
                <w:sz w:val="24"/>
                <w:szCs w:val="24"/>
                <w:lang w:val="ro-RO"/>
              </w:rPr>
              <w:t>SV3</w:t>
            </w:r>
          </w:p>
        </w:tc>
        <w:tc>
          <w:tcPr>
            <w:tcW w:w="1648" w:type="dxa"/>
          </w:tcPr>
          <w:p w:rsidR="00D12BF1" w:rsidRPr="00D12BF1" w:rsidRDefault="00D12BF1" w:rsidP="0072501D">
            <w:pPr>
              <w:widowControl w:val="0"/>
              <w:spacing w:after="0" w:line="240" w:lineRule="auto"/>
              <w:jc w:val="both"/>
              <w:rPr>
                <w:rFonts w:ascii="Times New Roman" w:hAnsi="Times New Roman"/>
                <w:sz w:val="24"/>
                <w:szCs w:val="24"/>
                <w:lang w:val="ro-RO"/>
              </w:rPr>
            </w:pPr>
            <w:r w:rsidRPr="00D12BF1">
              <w:rPr>
                <w:rFonts w:ascii="Times New Roman" w:hAnsi="Times New Roman"/>
                <w:b/>
                <w:sz w:val="24"/>
                <w:szCs w:val="24"/>
                <w:lang w:val="ro-RO"/>
              </w:rPr>
              <w:t>trafic</w:t>
            </w:r>
          </w:p>
        </w:tc>
        <w:tc>
          <w:tcPr>
            <w:tcW w:w="7589" w:type="dxa"/>
          </w:tcPr>
          <w:p w:rsidR="00D12BF1" w:rsidRPr="00D12BF1" w:rsidRDefault="00D12BF1" w:rsidP="0072501D">
            <w:pPr>
              <w:widowControl w:val="0"/>
              <w:spacing w:after="0" w:line="240" w:lineRule="auto"/>
              <w:jc w:val="both"/>
              <w:rPr>
                <w:rFonts w:ascii="Times New Roman" w:hAnsi="Times New Roman"/>
                <w:sz w:val="24"/>
                <w:szCs w:val="24"/>
                <w:lang w:val="ro-RO"/>
              </w:rPr>
            </w:pPr>
            <w:r w:rsidRPr="00D12BF1">
              <w:rPr>
                <w:rFonts w:ascii="Times New Roman" w:hAnsi="Times New Roman"/>
                <w:sz w:val="24"/>
                <w:szCs w:val="24"/>
                <w:lang w:val="ro-RO" w:eastAsia="ro-RO"/>
              </w:rPr>
              <w:t>dioxid de sulf (SO</w:t>
            </w:r>
            <w:r w:rsidRPr="00D12BF1">
              <w:rPr>
                <w:rFonts w:ascii="Times New Roman" w:hAnsi="Times New Roman"/>
                <w:sz w:val="24"/>
                <w:szCs w:val="24"/>
                <w:vertAlign w:val="subscript"/>
                <w:lang w:val="ro-RO" w:eastAsia="ro-RO"/>
              </w:rPr>
              <w:t>2</w:t>
            </w:r>
            <w:r w:rsidRPr="00D12BF1">
              <w:rPr>
                <w:rFonts w:ascii="Times New Roman" w:hAnsi="Times New Roman"/>
                <w:sz w:val="24"/>
                <w:szCs w:val="24"/>
                <w:lang w:val="ro-RO" w:eastAsia="ro-RO"/>
              </w:rPr>
              <w:t>),</w:t>
            </w:r>
            <w:r w:rsidRPr="00D12BF1">
              <w:rPr>
                <w:rFonts w:ascii="Times New Roman" w:hAnsi="Times New Roman"/>
                <w:b/>
                <w:sz w:val="24"/>
                <w:szCs w:val="24"/>
                <w:lang w:val="ro-RO" w:eastAsia="ro-RO"/>
              </w:rPr>
              <w:t xml:space="preserve"> </w:t>
            </w:r>
            <w:r w:rsidRPr="00D12BF1">
              <w:rPr>
                <w:rFonts w:ascii="Times New Roman" w:hAnsi="Times New Roman"/>
                <w:sz w:val="24"/>
                <w:szCs w:val="24"/>
                <w:lang w:val="ro-RO" w:eastAsia="ro-RO"/>
              </w:rPr>
              <w:t>oxizi de azot (NO</w:t>
            </w:r>
            <w:r w:rsidRPr="00D12BF1">
              <w:rPr>
                <w:rFonts w:ascii="Times New Roman" w:hAnsi="Times New Roman"/>
                <w:sz w:val="24"/>
                <w:szCs w:val="24"/>
                <w:vertAlign w:val="subscript"/>
                <w:lang w:val="ro-RO" w:eastAsia="ro-RO"/>
              </w:rPr>
              <w:t>x</w:t>
            </w:r>
            <w:r w:rsidRPr="00D12BF1">
              <w:rPr>
                <w:rFonts w:ascii="Times New Roman" w:hAnsi="Times New Roman"/>
                <w:sz w:val="24"/>
                <w:szCs w:val="24"/>
                <w:lang w:val="ro-RO" w:eastAsia="ro-RO"/>
              </w:rPr>
              <w:t>),</w:t>
            </w:r>
            <w:r w:rsidRPr="00D12BF1">
              <w:rPr>
                <w:rFonts w:ascii="Times New Roman" w:hAnsi="Times New Roman"/>
                <w:sz w:val="24"/>
                <w:szCs w:val="24"/>
                <w:lang w:val="ro-RO"/>
              </w:rPr>
              <w:t xml:space="preserve"> monoxid de carbon (CO), benzen</w:t>
            </w:r>
            <w:r w:rsidRPr="00D12BF1">
              <w:rPr>
                <w:rFonts w:ascii="Times New Roman" w:hAnsi="Times New Roman"/>
                <w:b/>
                <w:sz w:val="24"/>
                <w:szCs w:val="24"/>
                <w:lang w:val="ro-RO"/>
              </w:rPr>
              <w:t xml:space="preserve"> </w:t>
            </w:r>
            <w:r w:rsidRPr="00D12BF1">
              <w:rPr>
                <w:rFonts w:ascii="Times New Roman" w:hAnsi="Times New Roman"/>
                <w:sz w:val="24"/>
                <w:szCs w:val="24"/>
                <w:lang w:val="ro-RO"/>
              </w:rPr>
              <w:t>(C</w:t>
            </w:r>
            <w:r w:rsidRPr="00D12BF1">
              <w:rPr>
                <w:rFonts w:ascii="Times New Roman" w:hAnsi="Times New Roman"/>
                <w:sz w:val="24"/>
                <w:szCs w:val="24"/>
                <w:vertAlign w:val="subscript"/>
                <w:lang w:val="ro-RO"/>
              </w:rPr>
              <w:t>6</w:t>
            </w:r>
            <w:r w:rsidRPr="00D12BF1">
              <w:rPr>
                <w:rFonts w:ascii="Times New Roman" w:hAnsi="Times New Roman"/>
                <w:sz w:val="24"/>
                <w:szCs w:val="24"/>
                <w:lang w:val="ro-RO"/>
              </w:rPr>
              <w:t>H</w:t>
            </w:r>
            <w:r w:rsidRPr="00D12BF1">
              <w:rPr>
                <w:rFonts w:ascii="Times New Roman" w:hAnsi="Times New Roman"/>
                <w:sz w:val="24"/>
                <w:szCs w:val="24"/>
                <w:vertAlign w:val="subscript"/>
                <w:lang w:val="ro-RO"/>
              </w:rPr>
              <w:t>6</w:t>
            </w:r>
            <w:r w:rsidRPr="00D12BF1">
              <w:rPr>
                <w:rFonts w:ascii="Times New Roman" w:hAnsi="Times New Roman"/>
                <w:sz w:val="24"/>
                <w:szCs w:val="24"/>
                <w:lang w:val="ro-RO"/>
              </w:rPr>
              <w:t>), toluen, etilbenzen, o-, m-, p-xileni, pulberi în suspensie (PM10) – gravimetric și automat</w:t>
            </w:r>
          </w:p>
        </w:tc>
      </w:tr>
      <w:tr w:rsidR="00D12BF1" w:rsidRPr="00D12BF1" w:rsidTr="0072501D">
        <w:trPr>
          <w:trHeight w:val="257"/>
        </w:trPr>
        <w:tc>
          <w:tcPr>
            <w:tcW w:w="766" w:type="dxa"/>
          </w:tcPr>
          <w:p w:rsidR="00D12BF1" w:rsidRPr="00D12BF1" w:rsidRDefault="00D12BF1" w:rsidP="0072501D">
            <w:pPr>
              <w:widowControl w:val="0"/>
              <w:spacing w:after="0" w:line="240" w:lineRule="auto"/>
              <w:jc w:val="center"/>
              <w:rPr>
                <w:rFonts w:ascii="Times New Roman" w:hAnsi="Times New Roman"/>
                <w:sz w:val="24"/>
                <w:szCs w:val="24"/>
                <w:lang w:val="ro-RO"/>
              </w:rPr>
            </w:pPr>
            <w:r w:rsidRPr="00D12BF1">
              <w:rPr>
                <w:rFonts w:ascii="Times New Roman" w:hAnsi="Times New Roman"/>
                <w:b/>
                <w:sz w:val="24"/>
                <w:szCs w:val="24"/>
                <w:lang w:val="ro-RO"/>
              </w:rPr>
              <w:t>EM3</w:t>
            </w:r>
          </w:p>
        </w:tc>
        <w:tc>
          <w:tcPr>
            <w:tcW w:w="1648" w:type="dxa"/>
          </w:tcPr>
          <w:p w:rsidR="00D12BF1" w:rsidRPr="00D12BF1" w:rsidRDefault="00D12BF1" w:rsidP="0072501D">
            <w:pPr>
              <w:widowControl w:val="0"/>
              <w:spacing w:after="0" w:line="240" w:lineRule="auto"/>
              <w:jc w:val="both"/>
              <w:rPr>
                <w:rFonts w:ascii="Times New Roman" w:hAnsi="Times New Roman"/>
                <w:sz w:val="24"/>
                <w:szCs w:val="24"/>
                <w:lang w:val="ro-RO"/>
              </w:rPr>
            </w:pPr>
            <w:r w:rsidRPr="00D12BF1">
              <w:rPr>
                <w:rFonts w:ascii="Times New Roman" w:hAnsi="Times New Roman"/>
                <w:b/>
                <w:sz w:val="24"/>
                <w:szCs w:val="24"/>
                <w:lang w:val="ro-RO"/>
              </w:rPr>
              <w:t>fond regional european</w:t>
            </w:r>
          </w:p>
        </w:tc>
        <w:tc>
          <w:tcPr>
            <w:tcW w:w="7589" w:type="dxa"/>
          </w:tcPr>
          <w:p w:rsidR="00D12BF1" w:rsidRPr="00D12BF1" w:rsidRDefault="00D12BF1" w:rsidP="0072501D">
            <w:pPr>
              <w:widowControl w:val="0"/>
              <w:spacing w:after="0" w:line="240" w:lineRule="auto"/>
              <w:jc w:val="both"/>
              <w:rPr>
                <w:rFonts w:ascii="Times New Roman" w:hAnsi="Times New Roman"/>
                <w:sz w:val="24"/>
                <w:szCs w:val="24"/>
                <w:lang w:val="ro-RO"/>
              </w:rPr>
            </w:pPr>
            <w:r w:rsidRPr="00D12BF1">
              <w:rPr>
                <w:rFonts w:ascii="Times New Roman" w:hAnsi="Times New Roman"/>
                <w:sz w:val="24"/>
                <w:szCs w:val="24"/>
                <w:lang w:val="ro-RO"/>
              </w:rPr>
              <w:t>monoxid de carbon (CO), ozon (O</w:t>
            </w:r>
            <w:r w:rsidRPr="00D12BF1">
              <w:rPr>
                <w:rFonts w:ascii="Times New Roman" w:hAnsi="Times New Roman"/>
                <w:sz w:val="24"/>
                <w:szCs w:val="24"/>
                <w:vertAlign w:val="subscript"/>
                <w:lang w:val="ro-RO"/>
              </w:rPr>
              <w:t>3</w:t>
            </w:r>
            <w:r w:rsidRPr="00D12BF1">
              <w:rPr>
                <w:rFonts w:ascii="Times New Roman" w:hAnsi="Times New Roman"/>
                <w:sz w:val="24"/>
                <w:szCs w:val="24"/>
                <w:lang w:val="ro-RO"/>
              </w:rPr>
              <w:t>)</w:t>
            </w:r>
          </w:p>
        </w:tc>
      </w:tr>
    </w:tbl>
    <w:p w:rsidR="00D12BF1" w:rsidRPr="00D12BF1" w:rsidRDefault="00D12BF1" w:rsidP="00D12BF1">
      <w:pPr>
        <w:widowControl w:val="0"/>
        <w:spacing w:after="0" w:line="240" w:lineRule="auto"/>
        <w:ind w:firstLine="540"/>
        <w:jc w:val="both"/>
        <w:rPr>
          <w:rFonts w:ascii="Times New Roman" w:hAnsi="Times New Roman"/>
          <w:sz w:val="10"/>
          <w:szCs w:val="10"/>
          <w:lang w:val="ro-RO"/>
        </w:rPr>
      </w:pPr>
    </w:p>
    <w:p w:rsidR="00D12BF1" w:rsidRPr="00D12BF1" w:rsidRDefault="00D12BF1" w:rsidP="00D12BF1">
      <w:pPr>
        <w:widowControl w:val="0"/>
        <w:spacing w:after="0" w:line="240" w:lineRule="auto"/>
        <w:ind w:firstLine="540"/>
        <w:jc w:val="both"/>
        <w:rPr>
          <w:rFonts w:ascii="Times New Roman" w:hAnsi="Times New Roman"/>
          <w:sz w:val="24"/>
          <w:szCs w:val="24"/>
          <w:lang w:val="ro-RO"/>
        </w:rPr>
      </w:pPr>
      <w:r w:rsidRPr="00D12BF1">
        <w:rPr>
          <w:rFonts w:ascii="Times New Roman" w:hAnsi="Times New Roman"/>
          <w:sz w:val="24"/>
          <w:szCs w:val="24"/>
          <w:lang w:val="ro-RO"/>
        </w:rPr>
        <w:t xml:space="preserve">În fiecare stație de monitorizare a calității aerului se monitorizează și parametrii meteo: direcţia şi viteza vântului, presiune, temperatura, radiaţia solară, umiditate relativă, precipitaţii. </w:t>
      </w:r>
    </w:p>
    <w:p w:rsidR="00D12BF1" w:rsidRPr="00D12BF1" w:rsidRDefault="00D12BF1" w:rsidP="00D12BF1">
      <w:pPr>
        <w:widowControl w:val="0"/>
        <w:spacing w:after="0" w:line="240" w:lineRule="auto"/>
        <w:ind w:firstLine="540"/>
        <w:jc w:val="both"/>
        <w:rPr>
          <w:rFonts w:ascii="Times New Roman" w:hAnsi="Times New Roman"/>
          <w:sz w:val="10"/>
          <w:szCs w:val="10"/>
          <w:lang w:val="ro-RO"/>
        </w:rPr>
      </w:pPr>
    </w:p>
    <w:p w:rsidR="00D12BF1" w:rsidRPr="00D12BF1" w:rsidRDefault="00D12BF1" w:rsidP="00D12BF1">
      <w:pPr>
        <w:widowControl w:val="0"/>
        <w:spacing w:after="0" w:line="240" w:lineRule="auto"/>
        <w:ind w:firstLine="540"/>
        <w:jc w:val="both"/>
        <w:rPr>
          <w:rFonts w:ascii="Times New Roman" w:hAnsi="Times New Roman"/>
          <w:sz w:val="24"/>
          <w:szCs w:val="24"/>
          <w:lang w:val="ro-RO"/>
        </w:rPr>
      </w:pPr>
      <w:r w:rsidRPr="00D12BF1">
        <w:rPr>
          <w:rFonts w:ascii="Times New Roman" w:hAnsi="Times New Roman"/>
          <w:sz w:val="24"/>
          <w:szCs w:val="24"/>
          <w:lang w:val="ro-RO"/>
        </w:rPr>
        <w:t xml:space="preserve">Pentru fiecare dintre poluanţii monitorizaţi, prin </w:t>
      </w:r>
      <w:r w:rsidRPr="00D12BF1">
        <w:rPr>
          <w:rFonts w:ascii="Times New Roman" w:hAnsi="Times New Roman"/>
          <w:b/>
          <w:sz w:val="24"/>
          <w:szCs w:val="24"/>
          <w:lang w:val="ro-RO"/>
        </w:rPr>
        <w:t>Legea nr. 104/2011 privind calitatea aerului înconjurăto</w:t>
      </w:r>
      <w:r w:rsidRPr="00D12BF1">
        <w:rPr>
          <w:rFonts w:ascii="Times New Roman" w:hAnsi="Times New Roman"/>
          <w:sz w:val="24"/>
          <w:szCs w:val="24"/>
          <w:lang w:val="ro-RO"/>
        </w:rPr>
        <w:t xml:space="preserve">r, sunt reglementate valori limită, valori ţintă, praguri de informare a publicului şi praguri de alertă precum şi obiective de calitate a datelor. </w:t>
      </w:r>
    </w:p>
    <w:p w:rsidR="00D12BF1" w:rsidRDefault="00D12BF1" w:rsidP="00D12BF1">
      <w:pPr>
        <w:widowControl w:val="0"/>
        <w:spacing w:after="0" w:line="240" w:lineRule="auto"/>
        <w:rPr>
          <w:rFonts w:ascii="Times New Roman" w:hAnsi="Times New Roman"/>
          <w:sz w:val="20"/>
          <w:szCs w:val="20"/>
          <w:lang w:val="ro-RO"/>
        </w:rPr>
      </w:pPr>
    </w:p>
    <w:p w:rsidR="00AD6BED" w:rsidRPr="00AD6BED" w:rsidRDefault="00AD6BED" w:rsidP="00D12BF1">
      <w:pPr>
        <w:widowControl w:val="0"/>
        <w:spacing w:after="0" w:line="240" w:lineRule="auto"/>
        <w:rPr>
          <w:rFonts w:ascii="Times New Roman" w:hAnsi="Times New Roman"/>
          <w:b/>
          <w:sz w:val="10"/>
          <w:szCs w:val="10"/>
          <w:u w:val="single"/>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D12BF1" w:rsidRPr="00D12BF1" w:rsidTr="0072501D">
        <w:tc>
          <w:tcPr>
            <w:tcW w:w="9889" w:type="dxa"/>
          </w:tcPr>
          <w:p w:rsidR="00D12BF1" w:rsidRPr="00D12BF1" w:rsidRDefault="00D12BF1" w:rsidP="007F4FD8">
            <w:pPr>
              <w:widowControl w:val="0"/>
              <w:spacing w:after="0" w:line="240" w:lineRule="auto"/>
              <w:ind w:firstLine="584"/>
              <w:jc w:val="both"/>
              <w:rPr>
                <w:rFonts w:ascii="Times New Roman" w:hAnsi="Times New Roman"/>
                <w:i/>
                <w:sz w:val="24"/>
                <w:szCs w:val="24"/>
                <w:lang w:val="ro-RO"/>
              </w:rPr>
            </w:pPr>
            <w:r w:rsidRPr="00D12BF1">
              <w:rPr>
                <w:rFonts w:ascii="Times New Roman" w:hAnsi="Times New Roman"/>
                <w:i/>
                <w:sz w:val="24"/>
                <w:szCs w:val="24"/>
                <w:lang w:val="ro-RO"/>
              </w:rPr>
              <w:t xml:space="preserve">În raport sunt prezentate doar datele care respectă criteriile de calitate conform Legii nr. 104/2011. Din motive tehnice, nu a fost posibilă obţinerea de </w:t>
            </w:r>
            <w:r w:rsidRPr="00D12BF1">
              <w:rPr>
                <w:rFonts w:ascii="Times New Roman" w:hAnsi="Times New Roman"/>
                <w:b/>
                <w:i/>
                <w:sz w:val="24"/>
                <w:szCs w:val="24"/>
                <w:lang w:val="ro-RO"/>
              </w:rPr>
              <w:t>capturi de date de minim 75%</w:t>
            </w:r>
            <w:r w:rsidRPr="00D12BF1">
              <w:rPr>
                <w:rFonts w:ascii="Times New Roman" w:hAnsi="Times New Roman"/>
                <w:i/>
                <w:sz w:val="24"/>
                <w:szCs w:val="24"/>
                <w:lang w:val="ro-RO"/>
              </w:rPr>
              <w:t xml:space="preserve"> pentru toţi poluanţii, la toate staţiile de monitorizare. </w:t>
            </w:r>
          </w:p>
          <w:p w:rsidR="00D12BF1" w:rsidRPr="00D12BF1" w:rsidRDefault="00D12BF1" w:rsidP="007F4FD8">
            <w:pPr>
              <w:widowControl w:val="0"/>
              <w:spacing w:after="0" w:line="240" w:lineRule="auto"/>
              <w:ind w:firstLine="584"/>
              <w:jc w:val="both"/>
              <w:rPr>
                <w:rFonts w:ascii="Times New Roman" w:hAnsi="Times New Roman"/>
                <w:i/>
                <w:sz w:val="24"/>
                <w:szCs w:val="24"/>
                <w:lang w:val="ro-RO"/>
              </w:rPr>
            </w:pPr>
            <w:r w:rsidRPr="00D12BF1">
              <w:rPr>
                <w:rFonts w:ascii="Times New Roman" w:hAnsi="Times New Roman"/>
                <w:i/>
                <w:sz w:val="24"/>
                <w:szCs w:val="24"/>
                <w:lang w:val="ro-RO"/>
              </w:rPr>
              <w:t>Datele au fost validate local, dar nu au fost încă certificate la nivel naţional, având un caracter provizoriu. După certificarea datelor de către CECA – ANPM, se vor realiza eventualele modificări necesare.</w:t>
            </w:r>
          </w:p>
        </w:tc>
      </w:tr>
    </w:tbl>
    <w:p w:rsidR="00D12BF1" w:rsidRPr="00D12BF1" w:rsidRDefault="00D12BF1" w:rsidP="00D12BF1">
      <w:pPr>
        <w:widowControl w:val="0"/>
        <w:spacing w:after="0" w:line="240" w:lineRule="auto"/>
        <w:ind w:firstLine="540"/>
        <w:jc w:val="both"/>
        <w:rPr>
          <w:rFonts w:ascii="Times New Roman" w:hAnsi="Times New Roman"/>
          <w:color w:val="FF0000"/>
          <w:sz w:val="12"/>
          <w:szCs w:val="12"/>
          <w:lang w:val="ro-RO"/>
        </w:rPr>
      </w:pPr>
    </w:p>
    <w:p w:rsidR="00D12BF1" w:rsidRPr="00D12BF1" w:rsidRDefault="00D12BF1" w:rsidP="00D12BF1">
      <w:pPr>
        <w:widowControl w:val="0"/>
        <w:spacing w:after="0" w:line="240" w:lineRule="auto"/>
        <w:rPr>
          <w:rFonts w:ascii="Times New Roman" w:hAnsi="Times New Roman"/>
          <w:b/>
          <w:i/>
          <w:sz w:val="24"/>
          <w:szCs w:val="24"/>
          <w:lang w:val="ro-RO"/>
        </w:rPr>
      </w:pPr>
      <w:r w:rsidRPr="00D12BF1">
        <w:rPr>
          <w:rFonts w:ascii="Times New Roman" w:hAnsi="Times New Roman"/>
          <w:b/>
          <w:i/>
          <w:sz w:val="24"/>
          <w:szCs w:val="24"/>
          <w:lang w:val="ro-RO"/>
        </w:rPr>
        <w:t>1.1. Dioxid de azot (NO</w:t>
      </w:r>
      <w:r w:rsidRPr="00D12BF1">
        <w:rPr>
          <w:rFonts w:ascii="Times New Roman" w:hAnsi="Times New Roman"/>
          <w:b/>
          <w:i/>
          <w:sz w:val="24"/>
          <w:szCs w:val="24"/>
          <w:vertAlign w:val="subscript"/>
          <w:lang w:val="ro-RO"/>
        </w:rPr>
        <w:t>2</w:t>
      </w:r>
      <w:r w:rsidRPr="00D12BF1">
        <w:rPr>
          <w:rFonts w:ascii="Times New Roman" w:hAnsi="Times New Roman"/>
          <w:b/>
          <w:i/>
          <w:sz w:val="24"/>
          <w:szCs w:val="24"/>
          <w:lang w:val="ro-RO"/>
        </w:rPr>
        <w:t xml:space="preserve">) </w:t>
      </w:r>
    </w:p>
    <w:p w:rsidR="00D12BF1" w:rsidRPr="00D12BF1" w:rsidRDefault="00D12BF1" w:rsidP="00D12BF1">
      <w:pPr>
        <w:widowControl w:val="0"/>
        <w:spacing w:after="0" w:line="240" w:lineRule="auto"/>
        <w:jc w:val="both"/>
        <w:rPr>
          <w:rFonts w:ascii="Times New Roman" w:hAnsi="Times New Roman"/>
          <w:sz w:val="10"/>
          <w:szCs w:val="10"/>
          <w:lang w:val="ro-RO"/>
        </w:rPr>
      </w:pP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Fig. 1.1.1. Concentraţii maxime orare de NO</w:t>
      </w:r>
      <w:r w:rsidRPr="00D12BF1">
        <w:rPr>
          <w:rFonts w:ascii="Times New Roman" w:hAnsi="Times New Roman"/>
          <w:vertAlign w:val="subscript"/>
          <w:lang w:val="ro-RO"/>
        </w:rPr>
        <w:t>2</w:t>
      </w: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 xml:space="preserve">înregistrate în luna </w:t>
      </w:r>
      <w:r w:rsidRPr="00D12BF1">
        <w:rPr>
          <w:rFonts w:ascii="Times New Roman" w:hAnsi="Times New Roman"/>
          <w:sz w:val="24"/>
          <w:szCs w:val="24"/>
          <w:lang w:val="ro-RO"/>
        </w:rPr>
        <w:t>ianuarie</w:t>
      </w:r>
      <w:r w:rsidRPr="00D12BF1">
        <w:rPr>
          <w:rFonts w:ascii="Times New Roman" w:hAnsi="Times New Roman"/>
          <w:lang w:val="ro-RO"/>
        </w:rPr>
        <w:t xml:space="preserve"> 2019 la staţiile aparţinând RNMCA din judeţul Suceava</w:t>
      </w:r>
    </w:p>
    <w:p w:rsidR="00D12BF1" w:rsidRPr="00D12BF1" w:rsidRDefault="00D12BF1" w:rsidP="00D12BF1">
      <w:pPr>
        <w:widowControl w:val="0"/>
        <w:spacing w:after="0" w:line="240" w:lineRule="auto"/>
        <w:jc w:val="center"/>
        <w:rPr>
          <w:rFonts w:ascii="Times New Roman" w:hAnsi="Times New Roman"/>
          <w:color w:val="FF0000"/>
          <w:sz w:val="24"/>
          <w:szCs w:val="24"/>
          <w:lang w:val="ro-RO"/>
        </w:rPr>
      </w:pPr>
      <w:r w:rsidRPr="00D12BF1">
        <w:rPr>
          <w:rFonts w:ascii="Times New Roman" w:hAnsi="Times New Roman"/>
          <w:noProof/>
          <w:color w:val="FF0000"/>
          <w:sz w:val="24"/>
          <w:szCs w:val="24"/>
          <w:lang w:val="ro-RO" w:eastAsia="ro-RO"/>
        </w:rPr>
        <w:drawing>
          <wp:inline distT="0" distB="0" distL="0" distR="0">
            <wp:extent cx="5133975" cy="1133475"/>
            <wp:effectExtent l="0" t="0" r="0" b="0"/>
            <wp:docPr id="3"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12BF1" w:rsidRPr="00D12BF1" w:rsidRDefault="00D12BF1" w:rsidP="00D12BF1">
      <w:pPr>
        <w:widowControl w:val="0"/>
        <w:spacing w:after="0" w:line="240" w:lineRule="auto"/>
        <w:ind w:firstLine="706"/>
        <w:jc w:val="both"/>
        <w:rPr>
          <w:rFonts w:ascii="Times New Roman" w:hAnsi="Times New Roman"/>
          <w:color w:val="FF0000"/>
          <w:sz w:val="6"/>
          <w:szCs w:val="6"/>
          <w:lang w:val="ro-RO"/>
        </w:rPr>
      </w:pPr>
    </w:p>
    <w:p w:rsidR="00D12BF1" w:rsidRPr="00D12BF1" w:rsidRDefault="00D12BF1" w:rsidP="00D12BF1">
      <w:pPr>
        <w:widowControl w:val="0"/>
        <w:spacing w:after="0" w:line="240" w:lineRule="auto"/>
        <w:ind w:firstLine="720"/>
        <w:jc w:val="both"/>
        <w:rPr>
          <w:rFonts w:ascii="Times New Roman" w:hAnsi="Times New Roman"/>
          <w:sz w:val="24"/>
          <w:szCs w:val="24"/>
          <w:lang w:val="ro-RO"/>
        </w:rPr>
      </w:pPr>
      <w:r w:rsidRPr="00D12BF1">
        <w:rPr>
          <w:rFonts w:ascii="Times New Roman" w:hAnsi="Times New Roman"/>
          <w:sz w:val="24"/>
          <w:szCs w:val="24"/>
          <w:u w:val="single"/>
          <w:lang w:val="ro-RO"/>
        </w:rPr>
        <w:t>Concluzii</w:t>
      </w:r>
      <w:r w:rsidRPr="00D12BF1">
        <w:rPr>
          <w:rFonts w:ascii="Times New Roman" w:hAnsi="Times New Roman"/>
          <w:sz w:val="24"/>
          <w:szCs w:val="24"/>
          <w:lang w:val="ro-RO"/>
        </w:rPr>
        <w:t xml:space="preserve">: din fig. 1.1.1 se constată că, în luna ianuarie 2019, concentraţiile medii orare de </w:t>
      </w:r>
      <w:r w:rsidRPr="00D12BF1">
        <w:rPr>
          <w:rFonts w:ascii="Times New Roman" w:hAnsi="Times New Roman"/>
          <w:b/>
          <w:sz w:val="24"/>
          <w:szCs w:val="24"/>
          <w:lang w:val="ro-RO"/>
        </w:rPr>
        <w:t>NO</w:t>
      </w:r>
      <w:r w:rsidRPr="00D12BF1">
        <w:rPr>
          <w:rFonts w:ascii="Times New Roman" w:hAnsi="Times New Roman"/>
          <w:b/>
          <w:sz w:val="24"/>
          <w:szCs w:val="24"/>
          <w:vertAlign w:val="subscript"/>
          <w:lang w:val="ro-RO"/>
        </w:rPr>
        <w:t>2</w:t>
      </w:r>
      <w:r w:rsidRPr="00D12BF1">
        <w:rPr>
          <w:rFonts w:ascii="Times New Roman" w:hAnsi="Times New Roman"/>
          <w:sz w:val="24"/>
          <w:szCs w:val="24"/>
          <w:lang w:val="ro-RO"/>
        </w:rPr>
        <w:t xml:space="preserve"> s-au încadrat </w:t>
      </w:r>
      <w:r w:rsidRPr="00D12BF1">
        <w:rPr>
          <w:rFonts w:ascii="Times New Roman" w:hAnsi="Times New Roman"/>
          <w:b/>
          <w:sz w:val="24"/>
          <w:szCs w:val="24"/>
          <w:lang w:val="ro-RO"/>
        </w:rPr>
        <w:t>sub valoarea limită orară pentru protecţia sănătăţii umane</w:t>
      </w:r>
      <w:r w:rsidRPr="00D12BF1">
        <w:rPr>
          <w:rFonts w:ascii="Times New Roman" w:hAnsi="Times New Roman"/>
          <w:i/>
          <w:sz w:val="24"/>
          <w:szCs w:val="24"/>
          <w:lang w:val="ro-RO"/>
        </w:rPr>
        <w:t xml:space="preserve"> (</w:t>
      </w:r>
      <w:r w:rsidRPr="00D12BF1">
        <w:rPr>
          <w:rFonts w:ascii="Times New Roman" w:hAnsi="Times New Roman"/>
          <w:b/>
          <w:i/>
          <w:sz w:val="24"/>
          <w:szCs w:val="24"/>
          <w:lang w:val="ro-RO"/>
        </w:rPr>
        <w:t>200</w:t>
      </w:r>
      <w:r w:rsidRPr="00D12BF1">
        <w:rPr>
          <w:rFonts w:ascii="Times New Roman" w:hAnsi="Times New Roman"/>
          <w:i/>
          <w:sz w:val="24"/>
          <w:szCs w:val="24"/>
          <w:lang w:val="ro-RO"/>
        </w:rPr>
        <w:t xml:space="preserve"> </w:t>
      </w:r>
      <w:r w:rsidRPr="00D12BF1">
        <w:rPr>
          <w:rFonts w:ascii="Times New Roman" w:hAnsi="Times New Roman"/>
          <w:b/>
          <w:i/>
          <w:sz w:val="24"/>
          <w:szCs w:val="24"/>
          <w:lang w:val="ro-RO"/>
        </w:rPr>
        <w:t>µg/m</w:t>
      </w:r>
      <w:r w:rsidRPr="00D12BF1">
        <w:rPr>
          <w:rFonts w:ascii="Times New Roman" w:hAnsi="Times New Roman"/>
          <w:b/>
          <w:i/>
          <w:sz w:val="24"/>
          <w:szCs w:val="24"/>
          <w:vertAlign w:val="superscript"/>
          <w:lang w:val="ro-RO"/>
        </w:rPr>
        <w:t>3</w:t>
      </w:r>
      <w:r w:rsidRPr="00D12BF1">
        <w:rPr>
          <w:rFonts w:ascii="Times New Roman" w:hAnsi="Times New Roman"/>
          <w:i/>
          <w:sz w:val="24"/>
          <w:szCs w:val="24"/>
          <w:lang w:val="ro-RO"/>
        </w:rPr>
        <w:t>, a nu se depăşi de mai mult de 18 de ori într-un an calendaristic)</w:t>
      </w:r>
      <w:r w:rsidRPr="00D12BF1">
        <w:rPr>
          <w:rFonts w:ascii="Times New Roman" w:hAnsi="Times New Roman"/>
          <w:sz w:val="24"/>
          <w:szCs w:val="24"/>
          <w:lang w:val="ro-RO"/>
        </w:rPr>
        <w:t xml:space="preserve">. </w:t>
      </w:r>
    </w:p>
    <w:p w:rsidR="00D12BF1" w:rsidRPr="00D12BF1" w:rsidRDefault="00D12BF1" w:rsidP="00D12BF1">
      <w:pPr>
        <w:widowControl w:val="0"/>
        <w:spacing w:after="0" w:line="240" w:lineRule="auto"/>
        <w:ind w:firstLine="720"/>
        <w:jc w:val="both"/>
        <w:rPr>
          <w:rFonts w:ascii="Times New Roman" w:hAnsi="Times New Roman"/>
          <w:color w:val="FF0000"/>
          <w:sz w:val="10"/>
          <w:szCs w:val="10"/>
          <w:lang w:val="ro-RO"/>
        </w:rPr>
      </w:pPr>
    </w:p>
    <w:p w:rsidR="00D12BF1" w:rsidRPr="00D12BF1" w:rsidRDefault="00D12BF1" w:rsidP="00D12BF1">
      <w:pPr>
        <w:widowControl w:val="0"/>
        <w:spacing w:after="0" w:line="240" w:lineRule="auto"/>
        <w:rPr>
          <w:rFonts w:ascii="Times New Roman" w:hAnsi="Times New Roman"/>
          <w:b/>
          <w:i/>
          <w:sz w:val="24"/>
          <w:szCs w:val="24"/>
          <w:lang w:val="ro-RO"/>
        </w:rPr>
      </w:pPr>
      <w:r w:rsidRPr="00D12BF1">
        <w:rPr>
          <w:rFonts w:ascii="Times New Roman" w:hAnsi="Times New Roman"/>
          <w:b/>
          <w:i/>
          <w:sz w:val="24"/>
          <w:szCs w:val="24"/>
          <w:lang w:val="ro-RO"/>
        </w:rPr>
        <w:t>1.2. Dioxid de sulf (SO</w:t>
      </w:r>
      <w:r w:rsidRPr="00D12BF1">
        <w:rPr>
          <w:rFonts w:ascii="Times New Roman" w:hAnsi="Times New Roman"/>
          <w:b/>
          <w:i/>
          <w:sz w:val="24"/>
          <w:szCs w:val="24"/>
          <w:vertAlign w:val="subscript"/>
          <w:lang w:val="ro-RO"/>
        </w:rPr>
        <w:t>2</w:t>
      </w:r>
      <w:r w:rsidRPr="00D12BF1">
        <w:rPr>
          <w:rFonts w:ascii="Times New Roman" w:hAnsi="Times New Roman"/>
          <w:b/>
          <w:i/>
          <w:sz w:val="24"/>
          <w:szCs w:val="24"/>
          <w:lang w:val="ro-RO"/>
        </w:rPr>
        <w:t>)</w:t>
      </w:r>
    </w:p>
    <w:p w:rsidR="00D12BF1" w:rsidRPr="00D12BF1" w:rsidRDefault="00D12BF1" w:rsidP="00D12BF1">
      <w:pPr>
        <w:widowControl w:val="0"/>
        <w:spacing w:after="0" w:line="240" w:lineRule="auto"/>
        <w:ind w:firstLine="720"/>
        <w:jc w:val="both"/>
        <w:rPr>
          <w:rFonts w:ascii="Times New Roman" w:hAnsi="Times New Roman"/>
          <w:sz w:val="10"/>
          <w:szCs w:val="10"/>
          <w:lang w:val="ro-RO"/>
        </w:rPr>
      </w:pP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Fig. 1.2.1. Concentraţii maxime orare de SO</w:t>
      </w:r>
      <w:r w:rsidRPr="00D12BF1">
        <w:rPr>
          <w:rFonts w:ascii="Times New Roman" w:hAnsi="Times New Roman"/>
          <w:vertAlign w:val="subscript"/>
          <w:lang w:val="ro-RO"/>
        </w:rPr>
        <w:t>2</w:t>
      </w:r>
      <w:r w:rsidRPr="00D12BF1">
        <w:rPr>
          <w:rFonts w:ascii="Times New Roman" w:hAnsi="Times New Roman"/>
          <w:lang w:val="ro-RO"/>
        </w:rPr>
        <w:t xml:space="preserve"> </w:t>
      </w: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 xml:space="preserve">înregistrate în luna </w:t>
      </w:r>
      <w:r w:rsidRPr="00D12BF1">
        <w:rPr>
          <w:rFonts w:ascii="Times New Roman" w:hAnsi="Times New Roman"/>
          <w:sz w:val="24"/>
          <w:szCs w:val="24"/>
          <w:lang w:val="ro-RO"/>
        </w:rPr>
        <w:t>ianuarie</w:t>
      </w:r>
      <w:r w:rsidRPr="00D12BF1">
        <w:rPr>
          <w:rFonts w:ascii="Times New Roman" w:hAnsi="Times New Roman"/>
          <w:lang w:val="ro-RO"/>
        </w:rPr>
        <w:t xml:space="preserve"> 2019 la staţiile aparţinând RNMCA din judeţul Suceava</w:t>
      </w:r>
    </w:p>
    <w:p w:rsidR="00D12BF1" w:rsidRPr="00D12BF1" w:rsidRDefault="00D12BF1" w:rsidP="00D12BF1">
      <w:pPr>
        <w:widowControl w:val="0"/>
        <w:spacing w:after="0" w:line="240" w:lineRule="auto"/>
        <w:jc w:val="center"/>
        <w:rPr>
          <w:rFonts w:ascii="Times New Roman" w:hAnsi="Times New Roman"/>
          <w:color w:val="FF0000"/>
          <w:sz w:val="24"/>
          <w:szCs w:val="24"/>
          <w:lang w:val="ro-RO"/>
        </w:rPr>
      </w:pPr>
      <w:r w:rsidRPr="00D12BF1">
        <w:rPr>
          <w:rFonts w:ascii="Times New Roman" w:hAnsi="Times New Roman"/>
          <w:noProof/>
          <w:color w:val="FF0000"/>
          <w:sz w:val="24"/>
          <w:szCs w:val="24"/>
          <w:lang w:val="ro-RO" w:eastAsia="ro-RO"/>
        </w:rPr>
        <w:drawing>
          <wp:inline distT="0" distB="0" distL="0" distR="0">
            <wp:extent cx="5133975" cy="1152525"/>
            <wp:effectExtent l="0" t="0" r="0" b="0"/>
            <wp:docPr id="5"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2BF1" w:rsidRPr="00D12BF1" w:rsidRDefault="00D12BF1" w:rsidP="00D12BF1">
      <w:pPr>
        <w:widowControl w:val="0"/>
        <w:spacing w:after="0" w:line="240" w:lineRule="auto"/>
        <w:ind w:firstLine="706"/>
        <w:jc w:val="both"/>
        <w:rPr>
          <w:rFonts w:ascii="Times New Roman" w:hAnsi="Times New Roman"/>
          <w:color w:val="FF0000"/>
          <w:sz w:val="6"/>
          <w:szCs w:val="6"/>
          <w:lang w:val="ro-RO"/>
        </w:rPr>
      </w:pPr>
    </w:p>
    <w:p w:rsidR="00D12BF1" w:rsidRPr="00D12BF1" w:rsidRDefault="00D12BF1" w:rsidP="00D12BF1">
      <w:pPr>
        <w:widowControl w:val="0"/>
        <w:spacing w:after="0" w:line="240" w:lineRule="auto"/>
        <w:ind w:firstLine="706"/>
        <w:jc w:val="both"/>
        <w:rPr>
          <w:rFonts w:ascii="Times New Roman" w:hAnsi="Times New Roman"/>
          <w:color w:val="FF0000"/>
          <w:sz w:val="10"/>
          <w:szCs w:val="10"/>
          <w:lang w:val="ro-RO"/>
        </w:rPr>
      </w:pP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Fig. 1.2.2. Concentraţii maxime zilnice de SO</w:t>
      </w:r>
      <w:r w:rsidRPr="00D12BF1">
        <w:rPr>
          <w:rFonts w:ascii="Times New Roman" w:hAnsi="Times New Roman"/>
          <w:vertAlign w:val="subscript"/>
          <w:lang w:val="ro-RO"/>
        </w:rPr>
        <w:t>2</w:t>
      </w:r>
      <w:r w:rsidRPr="00D12BF1">
        <w:rPr>
          <w:rFonts w:ascii="Times New Roman" w:hAnsi="Times New Roman"/>
          <w:lang w:val="ro-RO"/>
        </w:rPr>
        <w:t xml:space="preserve"> </w:t>
      </w: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 xml:space="preserve">înregistrate în luna </w:t>
      </w:r>
      <w:r w:rsidRPr="00D12BF1">
        <w:rPr>
          <w:rFonts w:ascii="Times New Roman" w:hAnsi="Times New Roman"/>
          <w:sz w:val="24"/>
          <w:szCs w:val="24"/>
          <w:lang w:val="ro-RO"/>
        </w:rPr>
        <w:t>ianuarie</w:t>
      </w:r>
      <w:r w:rsidRPr="00D12BF1">
        <w:rPr>
          <w:rFonts w:ascii="Times New Roman" w:hAnsi="Times New Roman"/>
          <w:lang w:val="ro-RO"/>
        </w:rPr>
        <w:t xml:space="preserve"> 2019 la staţiile aparţinând RNMCA din judeţul Suceava</w:t>
      </w:r>
    </w:p>
    <w:p w:rsidR="00D12BF1" w:rsidRPr="00D12BF1" w:rsidRDefault="00D12BF1" w:rsidP="00D12BF1">
      <w:pPr>
        <w:widowControl w:val="0"/>
        <w:spacing w:after="0" w:line="240" w:lineRule="auto"/>
        <w:jc w:val="center"/>
        <w:rPr>
          <w:rFonts w:ascii="Times New Roman" w:hAnsi="Times New Roman"/>
          <w:color w:val="FF0000"/>
          <w:sz w:val="24"/>
          <w:szCs w:val="24"/>
          <w:lang w:val="ro-RO"/>
        </w:rPr>
      </w:pPr>
      <w:r w:rsidRPr="00D12BF1">
        <w:rPr>
          <w:rFonts w:ascii="Times New Roman" w:hAnsi="Times New Roman"/>
          <w:noProof/>
          <w:color w:val="FF0000"/>
          <w:sz w:val="24"/>
          <w:szCs w:val="24"/>
          <w:lang w:val="ro-RO" w:eastAsia="ro-RO"/>
        </w:rPr>
        <w:drawing>
          <wp:inline distT="0" distB="0" distL="0" distR="0">
            <wp:extent cx="5133975" cy="1266825"/>
            <wp:effectExtent l="0" t="0" r="0" b="0"/>
            <wp:docPr id="6"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2BF1" w:rsidRPr="00D12BF1" w:rsidRDefault="00D12BF1" w:rsidP="00D12BF1">
      <w:pPr>
        <w:widowControl w:val="0"/>
        <w:spacing w:after="0" w:line="240" w:lineRule="auto"/>
        <w:ind w:firstLine="708"/>
        <w:jc w:val="both"/>
        <w:rPr>
          <w:rFonts w:ascii="Times New Roman" w:hAnsi="Times New Roman"/>
          <w:i/>
          <w:sz w:val="10"/>
          <w:szCs w:val="10"/>
          <w:lang w:val="ro-RO"/>
        </w:rPr>
      </w:pPr>
    </w:p>
    <w:p w:rsidR="00D12BF1" w:rsidRPr="00D12BF1" w:rsidRDefault="00D12BF1" w:rsidP="00D12BF1">
      <w:pPr>
        <w:widowControl w:val="0"/>
        <w:spacing w:after="0" w:line="240" w:lineRule="auto"/>
        <w:ind w:firstLine="720"/>
        <w:jc w:val="both"/>
        <w:rPr>
          <w:rFonts w:ascii="Times New Roman" w:hAnsi="Times New Roman"/>
          <w:sz w:val="24"/>
          <w:szCs w:val="24"/>
          <w:lang w:val="ro-RO"/>
        </w:rPr>
      </w:pPr>
      <w:r w:rsidRPr="00D12BF1">
        <w:rPr>
          <w:rFonts w:ascii="Times New Roman" w:hAnsi="Times New Roman"/>
          <w:sz w:val="24"/>
          <w:szCs w:val="24"/>
          <w:u w:val="single"/>
          <w:lang w:val="ro-RO"/>
        </w:rPr>
        <w:t>Concluzii</w:t>
      </w:r>
      <w:r w:rsidRPr="00D12BF1">
        <w:rPr>
          <w:rFonts w:ascii="Times New Roman" w:hAnsi="Times New Roman"/>
          <w:sz w:val="24"/>
          <w:szCs w:val="24"/>
          <w:lang w:val="ro-RO"/>
        </w:rPr>
        <w:t>: din fig. 1.2.1 şi 1.2.2 se constată că, în luna ianuarie</w:t>
      </w:r>
      <w:r w:rsidRPr="00D12BF1">
        <w:rPr>
          <w:rFonts w:ascii="Times New Roman" w:hAnsi="Times New Roman"/>
          <w:lang w:val="ro-RO"/>
        </w:rPr>
        <w:t xml:space="preserve"> 2019</w:t>
      </w:r>
      <w:r w:rsidRPr="00D12BF1">
        <w:rPr>
          <w:rFonts w:ascii="Times New Roman" w:hAnsi="Times New Roman"/>
          <w:sz w:val="24"/>
          <w:szCs w:val="24"/>
          <w:lang w:val="ro-RO"/>
        </w:rPr>
        <w:t xml:space="preserve">, concentraţiile de </w:t>
      </w:r>
      <w:r w:rsidRPr="00D12BF1">
        <w:rPr>
          <w:rFonts w:ascii="Times New Roman" w:hAnsi="Times New Roman"/>
          <w:b/>
          <w:sz w:val="24"/>
          <w:szCs w:val="24"/>
          <w:lang w:val="ro-RO"/>
        </w:rPr>
        <w:t>SO</w:t>
      </w:r>
      <w:r w:rsidRPr="00D12BF1">
        <w:rPr>
          <w:rFonts w:ascii="Times New Roman" w:hAnsi="Times New Roman"/>
          <w:b/>
          <w:sz w:val="24"/>
          <w:szCs w:val="24"/>
          <w:vertAlign w:val="subscript"/>
          <w:lang w:val="ro-RO"/>
        </w:rPr>
        <w:t xml:space="preserve">2 </w:t>
      </w:r>
      <w:r w:rsidRPr="00D12BF1">
        <w:rPr>
          <w:rFonts w:ascii="Times New Roman" w:hAnsi="Times New Roman"/>
          <w:sz w:val="24"/>
          <w:szCs w:val="24"/>
          <w:lang w:val="ro-RO"/>
        </w:rPr>
        <w:t xml:space="preserve">s-au situat </w:t>
      </w:r>
      <w:r w:rsidRPr="00D12BF1">
        <w:rPr>
          <w:rFonts w:ascii="Times New Roman" w:hAnsi="Times New Roman"/>
          <w:b/>
          <w:sz w:val="24"/>
          <w:szCs w:val="24"/>
          <w:lang w:val="ro-RO"/>
        </w:rPr>
        <w:t>mult sub</w:t>
      </w:r>
      <w:r w:rsidRPr="00D12BF1">
        <w:rPr>
          <w:rFonts w:ascii="Times New Roman" w:hAnsi="Times New Roman"/>
          <w:sz w:val="24"/>
          <w:szCs w:val="24"/>
          <w:lang w:val="ro-RO"/>
        </w:rPr>
        <w:t xml:space="preserve"> </w:t>
      </w:r>
      <w:r w:rsidRPr="00D12BF1">
        <w:rPr>
          <w:rFonts w:ascii="Times New Roman" w:hAnsi="Times New Roman"/>
          <w:b/>
          <w:sz w:val="24"/>
          <w:szCs w:val="24"/>
          <w:lang w:val="ro-RO"/>
        </w:rPr>
        <w:t>valoarea limită orară</w:t>
      </w:r>
      <w:r w:rsidRPr="00D12BF1">
        <w:rPr>
          <w:rFonts w:ascii="Times New Roman" w:hAnsi="Times New Roman"/>
          <w:i/>
          <w:sz w:val="24"/>
          <w:szCs w:val="24"/>
          <w:lang w:val="ro-RO"/>
        </w:rPr>
        <w:t xml:space="preserve"> (</w:t>
      </w:r>
      <w:r w:rsidRPr="00D12BF1">
        <w:rPr>
          <w:rFonts w:ascii="Times New Roman" w:hAnsi="Times New Roman"/>
          <w:b/>
          <w:i/>
          <w:sz w:val="24"/>
          <w:szCs w:val="24"/>
          <w:lang w:val="ro-RO"/>
        </w:rPr>
        <w:t>350 µg/m</w:t>
      </w:r>
      <w:r w:rsidRPr="00D12BF1">
        <w:rPr>
          <w:rFonts w:ascii="Times New Roman" w:hAnsi="Times New Roman"/>
          <w:b/>
          <w:i/>
          <w:sz w:val="24"/>
          <w:szCs w:val="24"/>
          <w:vertAlign w:val="superscript"/>
          <w:lang w:val="ro-RO"/>
        </w:rPr>
        <w:t>3</w:t>
      </w:r>
      <w:r w:rsidRPr="00D12BF1">
        <w:rPr>
          <w:rFonts w:ascii="Times New Roman" w:hAnsi="Times New Roman"/>
          <w:i/>
          <w:sz w:val="24"/>
          <w:szCs w:val="24"/>
          <w:lang w:val="ro-RO"/>
        </w:rPr>
        <w:t xml:space="preserve">, a nu se depăşi de mai mult de 24 de ori într-un an calendaristic) </w:t>
      </w:r>
      <w:r w:rsidRPr="00D12BF1">
        <w:rPr>
          <w:rFonts w:ascii="Times New Roman" w:hAnsi="Times New Roman"/>
          <w:sz w:val="24"/>
          <w:szCs w:val="24"/>
          <w:lang w:val="ro-RO"/>
        </w:rPr>
        <w:t xml:space="preserve">şi </w:t>
      </w:r>
      <w:r w:rsidRPr="00D12BF1">
        <w:rPr>
          <w:rFonts w:ascii="Times New Roman" w:hAnsi="Times New Roman"/>
          <w:b/>
          <w:sz w:val="24"/>
          <w:szCs w:val="24"/>
          <w:lang w:val="ro-RO"/>
        </w:rPr>
        <w:t>sub valoarea limită zilnică</w:t>
      </w:r>
      <w:r w:rsidRPr="00D12BF1">
        <w:rPr>
          <w:rFonts w:ascii="Times New Roman" w:hAnsi="Times New Roman"/>
          <w:i/>
          <w:sz w:val="24"/>
          <w:szCs w:val="24"/>
          <w:lang w:val="ro-RO"/>
        </w:rPr>
        <w:t xml:space="preserve"> (</w:t>
      </w:r>
      <w:r w:rsidRPr="00D12BF1">
        <w:rPr>
          <w:rFonts w:ascii="Times New Roman" w:hAnsi="Times New Roman"/>
          <w:b/>
          <w:i/>
          <w:sz w:val="24"/>
          <w:szCs w:val="24"/>
          <w:lang w:val="ro-RO"/>
        </w:rPr>
        <w:t>125 µg/m</w:t>
      </w:r>
      <w:r w:rsidRPr="00D12BF1">
        <w:rPr>
          <w:rFonts w:ascii="Times New Roman" w:hAnsi="Times New Roman"/>
          <w:b/>
          <w:i/>
          <w:sz w:val="24"/>
          <w:szCs w:val="24"/>
          <w:vertAlign w:val="superscript"/>
          <w:lang w:val="ro-RO"/>
        </w:rPr>
        <w:t>3</w:t>
      </w:r>
      <w:r w:rsidRPr="00D12BF1">
        <w:rPr>
          <w:rFonts w:ascii="Times New Roman" w:hAnsi="Times New Roman"/>
          <w:i/>
          <w:sz w:val="24"/>
          <w:szCs w:val="24"/>
          <w:lang w:val="ro-RO"/>
        </w:rPr>
        <w:t>, a nu se depăşi de mai mult de 3 de ori într-un an calendaristic)</w:t>
      </w:r>
      <w:r w:rsidRPr="00D12BF1">
        <w:rPr>
          <w:rFonts w:ascii="Times New Roman" w:hAnsi="Times New Roman"/>
          <w:sz w:val="24"/>
          <w:szCs w:val="24"/>
          <w:lang w:val="ro-RO"/>
        </w:rPr>
        <w:t xml:space="preserve"> pentru protecţia sănătăţii umane.</w:t>
      </w:r>
    </w:p>
    <w:p w:rsidR="00D12BF1" w:rsidRPr="00D12BF1" w:rsidRDefault="00D12BF1" w:rsidP="00D12BF1">
      <w:pPr>
        <w:widowControl w:val="0"/>
        <w:spacing w:after="0" w:line="240" w:lineRule="auto"/>
        <w:rPr>
          <w:rFonts w:ascii="Times New Roman" w:hAnsi="Times New Roman"/>
          <w:b/>
          <w:i/>
          <w:color w:val="FF0000"/>
          <w:sz w:val="10"/>
          <w:szCs w:val="10"/>
          <w:lang w:val="ro-RO"/>
        </w:rPr>
      </w:pPr>
    </w:p>
    <w:p w:rsidR="00D12BF1" w:rsidRPr="00D12BF1" w:rsidRDefault="00D12BF1" w:rsidP="00D12BF1">
      <w:pPr>
        <w:widowControl w:val="0"/>
        <w:spacing w:after="0" w:line="240" w:lineRule="auto"/>
        <w:rPr>
          <w:rFonts w:ascii="Times New Roman" w:hAnsi="Times New Roman"/>
          <w:b/>
          <w:i/>
          <w:sz w:val="24"/>
          <w:szCs w:val="24"/>
          <w:lang w:val="ro-RO"/>
        </w:rPr>
      </w:pPr>
      <w:r w:rsidRPr="00D12BF1">
        <w:rPr>
          <w:rFonts w:ascii="Times New Roman" w:hAnsi="Times New Roman"/>
          <w:b/>
          <w:i/>
          <w:sz w:val="24"/>
          <w:szCs w:val="24"/>
          <w:lang w:val="ro-RO"/>
        </w:rPr>
        <w:t>1.3. Ozon (O</w:t>
      </w:r>
      <w:r w:rsidRPr="00D12BF1">
        <w:rPr>
          <w:rFonts w:ascii="Times New Roman" w:hAnsi="Times New Roman"/>
          <w:b/>
          <w:i/>
          <w:sz w:val="24"/>
          <w:szCs w:val="24"/>
          <w:vertAlign w:val="subscript"/>
          <w:lang w:val="ro-RO"/>
        </w:rPr>
        <w:t>3</w:t>
      </w:r>
      <w:r w:rsidRPr="00D12BF1">
        <w:rPr>
          <w:rFonts w:ascii="Times New Roman" w:hAnsi="Times New Roman"/>
          <w:b/>
          <w:i/>
          <w:sz w:val="24"/>
          <w:szCs w:val="24"/>
          <w:lang w:val="ro-RO"/>
        </w:rPr>
        <w:t>)</w:t>
      </w:r>
    </w:p>
    <w:p w:rsidR="00D12BF1" w:rsidRPr="00D12BF1" w:rsidRDefault="00D12BF1" w:rsidP="00D12BF1">
      <w:pPr>
        <w:widowControl w:val="0"/>
        <w:spacing w:after="0" w:line="240" w:lineRule="auto"/>
        <w:ind w:firstLine="720"/>
        <w:jc w:val="both"/>
        <w:rPr>
          <w:rFonts w:ascii="Times New Roman" w:hAnsi="Times New Roman"/>
          <w:sz w:val="10"/>
          <w:szCs w:val="10"/>
          <w:lang w:val="ro-RO"/>
        </w:rPr>
      </w:pPr>
    </w:p>
    <w:p w:rsidR="00D12BF1" w:rsidRPr="00D12BF1" w:rsidRDefault="00D12BF1" w:rsidP="00D12BF1">
      <w:pPr>
        <w:widowControl w:val="0"/>
        <w:spacing w:after="0" w:line="240" w:lineRule="auto"/>
        <w:ind w:firstLine="708"/>
        <w:jc w:val="both"/>
        <w:rPr>
          <w:rFonts w:ascii="Times New Roman" w:hAnsi="Times New Roman"/>
          <w:sz w:val="24"/>
          <w:szCs w:val="24"/>
          <w:lang w:val="ro-RO"/>
        </w:rPr>
      </w:pPr>
      <w:r w:rsidRPr="00D12BF1">
        <w:rPr>
          <w:rFonts w:ascii="Times New Roman" w:hAnsi="Times New Roman"/>
          <w:sz w:val="24"/>
          <w:szCs w:val="24"/>
          <w:lang w:val="ro-RO"/>
        </w:rPr>
        <w:t xml:space="preserve">Ozonul este un poluant secundar care se formează din precursori (NOx, compuși organici volatili – COV și CO). În atmosferă au loc reacţii fotochimice complexe, în lanţ, de formare şi distrugere a ozonului, în funcţie de condiţiile meteorologice şi prezenţa precursorilor. </w:t>
      </w:r>
    </w:p>
    <w:p w:rsidR="00D12BF1" w:rsidRPr="00D12BF1" w:rsidRDefault="00D12BF1" w:rsidP="00D12BF1">
      <w:pPr>
        <w:widowControl w:val="0"/>
        <w:spacing w:after="0" w:line="240" w:lineRule="auto"/>
        <w:ind w:firstLine="708"/>
        <w:jc w:val="both"/>
        <w:rPr>
          <w:rFonts w:ascii="Times New Roman" w:hAnsi="Times New Roman"/>
          <w:sz w:val="24"/>
          <w:szCs w:val="24"/>
          <w:lang w:val="ro-RO"/>
        </w:rPr>
      </w:pPr>
      <w:r w:rsidRPr="00D12BF1">
        <w:rPr>
          <w:rFonts w:ascii="Times New Roman" w:hAnsi="Times New Roman"/>
          <w:sz w:val="24"/>
          <w:szCs w:val="24"/>
          <w:lang w:val="ro-RO"/>
        </w:rPr>
        <w:t xml:space="preserve">Condiţiile meteorologice favorizante pentru formarea ozonului din precursori sunt: durata şi intensitatea mare de strălucire a soarelui, cer senin, lipsa precipitaţiilor, temperaturi ridicate, inversiile termice. În consecinţă, cele mai mari valori ale ozonului din atmosfera joasă se înregistrează de regulă în anotimpurile primăvară-vară, la orele după-amiezii, în timp ce în anotimpul rece valorile sunt cele mai mici din an. </w:t>
      </w:r>
    </w:p>
    <w:p w:rsidR="00D12BF1" w:rsidRPr="00D12BF1" w:rsidRDefault="00D12BF1" w:rsidP="00D12BF1">
      <w:pPr>
        <w:widowControl w:val="0"/>
        <w:spacing w:after="0" w:line="240" w:lineRule="auto"/>
        <w:ind w:firstLine="708"/>
        <w:jc w:val="both"/>
        <w:rPr>
          <w:rFonts w:ascii="Times New Roman" w:hAnsi="Times New Roman"/>
          <w:sz w:val="24"/>
          <w:szCs w:val="24"/>
          <w:lang w:val="ro-RO"/>
        </w:rPr>
      </w:pPr>
      <w:r w:rsidRPr="00D12BF1">
        <w:rPr>
          <w:rFonts w:ascii="Times New Roman" w:hAnsi="Times New Roman"/>
          <w:sz w:val="24"/>
          <w:szCs w:val="24"/>
          <w:lang w:val="ro-RO"/>
        </w:rPr>
        <w:lastRenderedPageBreak/>
        <w:t xml:space="preserve">Ozonul troposferic mai poate proveni şi din transferul unor mici cantităţi de ozon dinspre stratosferă spre troposferă, în anumite situaţii de circulaţie a maselor de aer la macroscară, dar şi din transportul transfrontalier de ozon sau de precursori ai săi. </w:t>
      </w:r>
    </w:p>
    <w:p w:rsidR="00D12BF1" w:rsidRPr="00D12BF1" w:rsidRDefault="00D12BF1" w:rsidP="00D12BF1">
      <w:pPr>
        <w:widowControl w:val="0"/>
        <w:spacing w:after="0" w:line="240" w:lineRule="auto"/>
        <w:ind w:firstLine="708"/>
        <w:jc w:val="both"/>
        <w:rPr>
          <w:rFonts w:ascii="Times New Roman" w:hAnsi="Times New Roman"/>
          <w:sz w:val="24"/>
          <w:szCs w:val="24"/>
          <w:lang w:val="ro-RO"/>
        </w:rPr>
      </w:pPr>
      <w:r w:rsidRPr="00D12BF1">
        <w:rPr>
          <w:rFonts w:ascii="Times New Roman" w:hAnsi="Times New Roman"/>
          <w:sz w:val="24"/>
          <w:szCs w:val="24"/>
          <w:lang w:val="ro-RO"/>
        </w:rPr>
        <w:t>Acest poluant nu se monitorizează în staţia SV3 Siret, de tip trafic, ci doar în celelalte trei stații din județ. În luna ianuarie</w:t>
      </w:r>
      <w:r w:rsidRPr="00D12BF1">
        <w:rPr>
          <w:rFonts w:ascii="Times New Roman" w:hAnsi="Times New Roman"/>
          <w:lang w:val="ro-RO"/>
        </w:rPr>
        <w:t xml:space="preserve"> 2019</w:t>
      </w:r>
      <w:r w:rsidRPr="00D12BF1">
        <w:rPr>
          <w:rFonts w:ascii="Times New Roman" w:hAnsi="Times New Roman"/>
          <w:sz w:val="24"/>
          <w:szCs w:val="24"/>
          <w:lang w:val="ro-RO"/>
        </w:rPr>
        <w:t xml:space="preserve">, din motive tehnice, ozonul nu s-a monitorizat decât în stația EM3. </w:t>
      </w:r>
    </w:p>
    <w:p w:rsidR="00D12BF1" w:rsidRPr="00D12BF1" w:rsidRDefault="00D12BF1" w:rsidP="00D12BF1">
      <w:pPr>
        <w:widowControl w:val="0"/>
        <w:spacing w:after="0" w:line="240" w:lineRule="auto"/>
        <w:jc w:val="both"/>
        <w:rPr>
          <w:rFonts w:ascii="Times New Roman" w:hAnsi="Times New Roman"/>
          <w:sz w:val="10"/>
          <w:szCs w:val="10"/>
          <w:lang w:val="ro-RO"/>
        </w:rPr>
      </w:pP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Fig. 1.3.1. Concentraţii maxime orare de O</w:t>
      </w:r>
      <w:r w:rsidRPr="00D12BF1">
        <w:rPr>
          <w:rFonts w:ascii="Times New Roman" w:hAnsi="Times New Roman"/>
          <w:vertAlign w:val="subscript"/>
          <w:lang w:val="ro-RO"/>
        </w:rPr>
        <w:t>3</w:t>
      </w:r>
      <w:r w:rsidRPr="00D12BF1">
        <w:rPr>
          <w:rFonts w:ascii="Times New Roman" w:hAnsi="Times New Roman"/>
          <w:lang w:val="ro-RO"/>
        </w:rPr>
        <w:t xml:space="preserve"> </w:t>
      </w: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 xml:space="preserve">înregistrate în luna </w:t>
      </w:r>
      <w:r w:rsidRPr="00D12BF1">
        <w:rPr>
          <w:rFonts w:ascii="Times New Roman" w:hAnsi="Times New Roman"/>
          <w:sz w:val="24"/>
          <w:szCs w:val="24"/>
          <w:lang w:val="ro-RO"/>
        </w:rPr>
        <w:t>ianuarie</w:t>
      </w:r>
      <w:r w:rsidRPr="00D12BF1">
        <w:rPr>
          <w:rFonts w:ascii="Times New Roman" w:hAnsi="Times New Roman"/>
          <w:lang w:val="ro-RO"/>
        </w:rPr>
        <w:t xml:space="preserve"> 2019 la staţiile aparţinând RNMCA din judeţul Suceava</w:t>
      </w:r>
    </w:p>
    <w:p w:rsidR="00D12BF1" w:rsidRPr="00D12BF1" w:rsidRDefault="00D12BF1" w:rsidP="00D12BF1">
      <w:pPr>
        <w:widowControl w:val="0"/>
        <w:spacing w:after="0" w:line="240" w:lineRule="auto"/>
        <w:jc w:val="center"/>
        <w:rPr>
          <w:rFonts w:ascii="Times New Roman" w:hAnsi="Times New Roman"/>
          <w:color w:val="FF0000"/>
          <w:sz w:val="24"/>
          <w:szCs w:val="24"/>
          <w:lang w:val="ro-RO"/>
        </w:rPr>
      </w:pPr>
      <w:r w:rsidRPr="00D12BF1">
        <w:rPr>
          <w:rFonts w:ascii="Times New Roman" w:hAnsi="Times New Roman"/>
          <w:noProof/>
          <w:color w:val="FF0000"/>
          <w:sz w:val="24"/>
          <w:szCs w:val="24"/>
          <w:lang w:val="ro-RO" w:eastAsia="ro-RO"/>
        </w:rPr>
        <w:drawing>
          <wp:inline distT="0" distB="0" distL="0" distR="0">
            <wp:extent cx="5581650" cy="1171575"/>
            <wp:effectExtent l="0" t="0" r="0" b="0"/>
            <wp:docPr id="7"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12BF1" w:rsidRPr="00D12BF1" w:rsidRDefault="00D12BF1" w:rsidP="00D12BF1">
      <w:pPr>
        <w:widowControl w:val="0"/>
        <w:spacing w:after="0" w:line="240" w:lineRule="auto"/>
        <w:rPr>
          <w:rFonts w:ascii="Times New Roman" w:hAnsi="Times New Roman"/>
          <w:color w:val="FF0000"/>
          <w:sz w:val="6"/>
          <w:szCs w:val="6"/>
          <w:lang w:val="ro-RO"/>
        </w:rPr>
      </w:pPr>
    </w:p>
    <w:p w:rsidR="00D12BF1" w:rsidRPr="00D12BF1" w:rsidRDefault="00D12BF1" w:rsidP="00D12BF1">
      <w:pPr>
        <w:widowControl w:val="0"/>
        <w:spacing w:after="0" w:line="240" w:lineRule="auto"/>
        <w:jc w:val="center"/>
        <w:rPr>
          <w:rFonts w:ascii="Times New Roman" w:hAnsi="Times New Roman"/>
          <w:color w:val="FF0000"/>
          <w:sz w:val="16"/>
          <w:szCs w:val="16"/>
          <w:lang w:val="ro-RO"/>
        </w:rPr>
      </w:pP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Fig. 1.3.2. Concentraţii maxime zilnice ale mediilor de 8 ore de O</w:t>
      </w:r>
      <w:r w:rsidRPr="00D12BF1">
        <w:rPr>
          <w:rFonts w:ascii="Times New Roman" w:hAnsi="Times New Roman"/>
          <w:vertAlign w:val="subscript"/>
          <w:lang w:val="ro-RO"/>
        </w:rPr>
        <w:t>3</w:t>
      </w:r>
      <w:r w:rsidRPr="00D12BF1">
        <w:rPr>
          <w:rFonts w:ascii="Times New Roman" w:hAnsi="Times New Roman"/>
          <w:lang w:val="ro-RO"/>
        </w:rPr>
        <w:t xml:space="preserve"> </w:t>
      </w: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 xml:space="preserve">înregistrate în luna </w:t>
      </w:r>
      <w:r w:rsidRPr="00D12BF1">
        <w:rPr>
          <w:rFonts w:ascii="Times New Roman" w:hAnsi="Times New Roman"/>
          <w:sz w:val="24"/>
          <w:szCs w:val="24"/>
          <w:lang w:val="ro-RO"/>
        </w:rPr>
        <w:t>ianuarie</w:t>
      </w:r>
      <w:r w:rsidRPr="00D12BF1">
        <w:rPr>
          <w:rFonts w:ascii="Times New Roman" w:hAnsi="Times New Roman"/>
          <w:lang w:val="ro-RO"/>
        </w:rPr>
        <w:t xml:space="preserve"> 2019 la staţiile aparţinând RNMCA din judeţul Suceava</w:t>
      </w:r>
    </w:p>
    <w:p w:rsidR="00D12BF1" w:rsidRPr="00D12BF1" w:rsidRDefault="00D12BF1" w:rsidP="00D12BF1">
      <w:pPr>
        <w:widowControl w:val="0"/>
        <w:spacing w:after="0" w:line="240" w:lineRule="auto"/>
        <w:jc w:val="center"/>
        <w:rPr>
          <w:rFonts w:ascii="Times New Roman" w:hAnsi="Times New Roman"/>
          <w:color w:val="FF0000"/>
          <w:sz w:val="24"/>
          <w:szCs w:val="24"/>
          <w:lang w:val="ro-RO"/>
        </w:rPr>
      </w:pPr>
      <w:r w:rsidRPr="00D12BF1">
        <w:rPr>
          <w:rFonts w:ascii="Times New Roman" w:hAnsi="Times New Roman"/>
          <w:noProof/>
          <w:color w:val="FF0000"/>
          <w:sz w:val="24"/>
          <w:szCs w:val="24"/>
          <w:lang w:val="ro-RO" w:eastAsia="ro-RO"/>
        </w:rPr>
        <w:drawing>
          <wp:inline distT="0" distB="0" distL="0" distR="0">
            <wp:extent cx="5743575" cy="1247775"/>
            <wp:effectExtent l="0" t="0" r="0" b="0"/>
            <wp:docPr id="8"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12BF1" w:rsidRPr="00D12BF1" w:rsidRDefault="00D12BF1" w:rsidP="00D12BF1">
      <w:pPr>
        <w:widowControl w:val="0"/>
        <w:spacing w:after="0" w:line="240" w:lineRule="auto"/>
        <w:ind w:firstLine="708"/>
        <w:jc w:val="both"/>
        <w:rPr>
          <w:rFonts w:ascii="Times New Roman" w:hAnsi="Times New Roman"/>
          <w:sz w:val="10"/>
          <w:szCs w:val="10"/>
          <w:u w:val="single"/>
          <w:lang w:val="ro-RO"/>
        </w:rPr>
      </w:pPr>
    </w:p>
    <w:p w:rsidR="00D12BF1" w:rsidRPr="00D12BF1" w:rsidRDefault="00D12BF1" w:rsidP="00D12BF1">
      <w:pPr>
        <w:widowControl w:val="0"/>
        <w:spacing w:after="0" w:line="240" w:lineRule="auto"/>
        <w:ind w:firstLine="708"/>
        <w:jc w:val="both"/>
        <w:rPr>
          <w:rFonts w:ascii="Times New Roman" w:hAnsi="Times New Roman"/>
          <w:sz w:val="24"/>
          <w:szCs w:val="24"/>
          <w:lang w:val="ro-RO"/>
        </w:rPr>
      </w:pPr>
      <w:r w:rsidRPr="00D12BF1">
        <w:rPr>
          <w:rFonts w:ascii="Times New Roman" w:hAnsi="Times New Roman"/>
          <w:sz w:val="24"/>
          <w:szCs w:val="24"/>
          <w:u w:val="single"/>
          <w:lang w:val="ro-RO"/>
        </w:rPr>
        <w:t>Concluzii</w:t>
      </w:r>
      <w:r w:rsidRPr="00D12BF1">
        <w:rPr>
          <w:rFonts w:ascii="Times New Roman" w:hAnsi="Times New Roman"/>
          <w:sz w:val="24"/>
          <w:szCs w:val="24"/>
          <w:lang w:val="ro-RO"/>
        </w:rPr>
        <w:t>:</w:t>
      </w:r>
    </w:p>
    <w:p w:rsidR="00D12BF1" w:rsidRPr="00D12BF1" w:rsidRDefault="00D12BF1" w:rsidP="00D12BF1">
      <w:pPr>
        <w:widowControl w:val="0"/>
        <w:spacing w:after="0" w:line="240" w:lineRule="auto"/>
        <w:jc w:val="both"/>
        <w:rPr>
          <w:rFonts w:ascii="Times New Roman" w:hAnsi="Times New Roman"/>
          <w:sz w:val="24"/>
          <w:szCs w:val="24"/>
          <w:lang w:val="ro-RO"/>
        </w:rPr>
      </w:pPr>
      <w:r w:rsidRPr="00D12BF1">
        <w:rPr>
          <w:rFonts w:ascii="Times New Roman" w:hAnsi="Times New Roman"/>
          <w:sz w:val="24"/>
          <w:szCs w:val="24"/>
          <w:lang w:val="ro-RO"/>
        </w:rPr>
        <w:t xml:space="preserve">- concentraţiile orare de ozon s-au situat mult </w:t>
      </w:r>
      <w:r w:rsidRPr="00D12BF1">
        <w:rPr>
          <w:rFonts w:ascii="Times New Roman" w:hAnsi="Times New Roman"/>
          <w:b/>
          <w:sz w:val="24"/>
          <w:szCs w:val="24"/>
          <w:lang w:val="ro-RO"/>
        </w:rPr>
        <w:t xml:space="preserve">sub pragul de informare a publicului </w:t>
      </w:r>
      <w:r w:rsidRPr="00D12BF1">
        <w:rPr>
          <w:rFonts w:ascii="Times New Roman" w:hAnsi="Times New Roman"/>
          <w:sz w:val="24"/>
          <w:szCs w:val="24"/>
          <w:lang w:val="ro-RO"/>
        </w:rPr>
        <w:t>(</w:t>
      </w:r>
      <w:r w:rsidRPr="00D12BF1">
        <w:rPr>
          <w:rFonts w:ascii="Times New Roman" w:hAnsi="Times New Roman"/>
          <w:b/>
          <w:i/>
          <w:sz w:val="24"/>
          <w:szCs w:val="24"/>
          <w:lang w:val="ro-RO"/>
        </w:rPr>
        <w:t>180 µg/m</w:t>
      </w:r>
      <w:r w:rsidRPr="00D12BF1">
        <w:rPr>
          <w:rFonts w:ascii="Times New Roman" w:hAnsi="Times New Roman"/>
          <w:b/>
          <w:i/>
          <w:sz w:val="24"/>
          <w:szCs w:val="24"/>
          <w:vertAlign w:val="superscript"/>
          <w:lang w:val="ro-RO"/>
        </w:rPr>
        <w:t>3</w:t>
      </w:r>
      <w:r w:rsidRPr="00D12BF1">
        <w:rPr>
          <w:rFonts w:ascii="Times New Roman" w:hAnsi="Times New Roman"/>
          <w:sz w:val="24"/>
          <w:szCs w:val="24"/>
          <w:lang w:val="ro-RO"/>
        </w:rPr>
        <w:t xml:space="preserve">) şi </w:t>
      </w:r>
      <w:r w:rsidRPr="00D12BF1">
        <w:rPr>
          <w:rFonts w:ascii="Times New Roman" w:hAnsi="Times New Roman"/>
          <w:b/>
          <w:sz w:val="24"/>
          <w:szCs w:val="24"/>
          <w:lang w:val="ro-RO"/>
        </w:rPr>
        <w:t>sub pragul de alertă</w:t>
      </w:r>
      <w:r w:rsidRPr="00D12BF1">
        <w:rPr>
          <w:rFonts w:ascii="Times New Roman" w:hAnsi="Times New Roman"/>
          <w:sz w:val="24"/>
          <w:szCs w:val="24"/>
          <w:lang w:val="ro-RO"/>
        </w:rPr>
        <w:t xml:space="preserve"> (</w:t>
      </w:r>
      <w:r w:rsidRPr="00D12BF1">
        <w:rPr>
          <w:rFonts w:ascii="Times New Roman" w:hAnsi="Times New Roman"/>
          <w:b/>
          <w:i/>
          <w:sz w:val="24"/>
          <w:szCs w:val="24"/>
          <w:lang w:val="ro-RO"/>
        </w:rPr>
        <w:t>240 µg/m</w:t>
      </w:r>
      <w:r w:rsidRPr="00D12BF1">
        <w:rPr>
          <w:rFonts w:ascii="Times New Roman" w:hAnsi="Times New Roman"/>
          <w:b/>
          <w:i/>
          <w:sz w:val="24"/>
          <w:szCs w:val="24"/>
          <w:vertAlign w:val="superscript"/>
          <w:lang w:val="ro-RO"/>
        </w:rPr>
        <w:t>3</w:t>
      </w:r>
      <w:r w:rsidRPr="00D12BF1">
        <w:rPr>
          <w:rFonts w:ascii="Times New Roman" w:hAnsi="Times New Roman"/>
          <w:sz w:val="24"/>
          <w:szCs w:val="24"/>
          <w:lang w:val="ro-RO"/>
        </w:rPr>
        <w:t xml:space="preserve">) – vezi fig. 1.3.1; </w:t>
      </w:r>
    </w:p>
    <w:p w:rsidR="00D12BF1" w:rsidRPr="00D12BF1" w:rsidRDefault="00D12BF1" w:rsidP="00D12BF1">
      <w:pPr>
        <w:widowControl w:val="0"/>
        <w:spacing w:after="0" w:line="240" w:lineRule="auto"/>
        <w:jc w:val="both"/>
        <w:rPr>
          <w:rFonts w:ascii="Times New Roman" w:hAnsi="Times New Roman"/>
          <w:sz w:val="24"/>
          <w:szCs w:val="24"/>
          <w:lang w:val="ro-RO"/>
        </w:rPr>
      </w:pPr>
      <w:r w:rsidRPr="00D12BF1">
        <w:rPr>
          <w:rFonts w:ascii="Times New Roman" w:hAnsi="Times New Roman"/>
          <w:sz w:val="24"/>
          <w:szCs w:val="24"/>
          <w:lang w:val="ro-RO"/>
        </w:rPr>
        <w:t xml:space="preserve">- </w:t>
      </w:r>
      <w:r w:rsidRPr="00D12BF1">
        <w:rPr>
          <w:rFonts w:ascii="Times New Roman" w:hAnsi="Times New Roman"/>
          <w:b/>
          <w:sz w:val="24"/>
          <w:szCs w:val="24"/>
          <w:lang w:val="ro-RO"/>
        </w:rPr>
        <w:t>nu</w:t>
      </w:r>
      <w:r w:rsidRPr="00D12BF1">
        <w:rPr>
          <w:rFonts w:ascii="Times New Roman" w:hAnsi="Times New Roman"/>
          <w:sz w:val="24"/>
          <w:szCs w:val="24"/>
          <w:lang w:val="ro-RO"/>
        </w:rPr>
        <w:t xml:space="preserve"> s-a înregistrat</w:t>
      </w:r>
      <w:r w:rsidRPr="00D12BF1">
        <w:rPr>
          <w:rFonts w:ascii="Times New Roman" w:hAnsi="Times New Roman"/>
          <w:b/>
          <w:sz w:val="24"/>
          <w:szCs w:val="24"/>
          <w:lang w:val="ro-RO"/>
        </w:rPr>
        <w:t xml:space="preserve"> nicio depăşire a valorii ţintă pentru protecţia sănătăţii umane </w:t>
      </w:r>
      <w:r w:rsidRPr="00D12BF1">
        <w:rPr>
          <w:rFonts w:ascii="Times New Roman" w:hAnsi="Times New Roman"/>
          <w:sz w:val="24"/>
          <w:szCs w:val="24"/>
          <w:lang w:val="ro-RO"/>
        </w:rPr>
        <w:t>pentru ozon (</w:t>
      </w:r>
      <w:r w:rsidRPr="00D12BF1">
        <w:rPr>
          <w:rFonts w:ascii="Times New Roman" w:hAnsi="Times New Roman"/>
          <w:b/>
          <w:i/>
          <w:sz w:val="24"/>
          <w:szCs w:val="24"/>
          <w:lang w:val="ro-RO"/>
        </w:rPr>
        <w:t>120 µg/m</w:t>
      </w:r>
      <w:r w:rsidRPr="00D12BF1">
        <w:rPr>
          <w:rFonts w:ascii="Times New Roman" w:hAnsi="Times New Roman"/>
          <w:b/>
          <w:i/>
          <w:sz w:val="24"/>
          <w:szCs w:val="24"/>
          <w:vertAlign w:val="superscript"/>
          <w:lang w:val="ro-RO"/>
        </w:rPr>
        <w:t>3</w:t>
      </w:r>
      <w:r w:rsidRPr="00D12BF1">
        <w:rPr>
          <w:rFonts w:ascii="Times New Roman" w:hAnsi="Times New Roman"/>
          <w:i/>
          <w:sz w:val="24"/>
          <w:szCs w:val="24"/>
          <w:lang w:val="ro-RO"/>
        </w:rPr>
        <w:t>, a nu se depăşi de mai mult de 25 de ori într-un an calendaristic, mediat pe 3 ani</w:t>
      </w:r>
      <w:r w:rsidRPr="00D12BF1">
        <w:rPr>
          <w:rFonts w:ascii="Times New Roman" w:hAnsi="Times New Roman"/>
          <w:sz w:val="24"/>
          <w:szCs w:val="24"/>
          <w:lang w:val="ro-RO"/>
        </w:rPr>
        <w:t xml:space="preserve">) – vezi fig. 1.3.2. </w:t>
      </w:r>
    </w:p>
    <w:p w:rsidR="00D12BF1" w:rsidRPr="00D12BF1" w:rsidRDefault="00D12BF1" w:rsidP="00D12BF1">
      <w:pPr>
        <w:widowControl w:val="0"/>
        <w:spacing w:after="0" w:line="240" w:lineRule="auto"/>
        <w:jc w:val="both"/>
        <w:rPr>
          <w:rFonts w:ascii="Times New Roman" w:hAnsi="Times New Roman"/>
          <w:b/>
          <w:i/>
          <w:color w:val="FF0000"/>
          <w:sz w:val="10"/>
          <w:szCs w:val="10"/>
          <w:lang w:val="ro-RO"/>
        </w:rPr>
      </w:pPr>
    </w:p>
    <w:p w:rsidR="00D12BF1" w:rsidRPr="00D12BF1" w:rsidRDefault="00D12BF1" w:rsidP="00D12BF1">
      <w:pPr>
        <w:widowControl w:val="0"/>
        <w:spacing w:after="0" w:line="240" w:lineRule="auto"/>
        <w:rPr>
          <w:rFonts w:ascii="Times New Roman" w:hAnsi="Times New Roman"/>
          <w:b/>
          <w:i/>
          <w:sz w:val="24"/>
          <w:szCs w:val="24"/>
          <w:lang w:val="ro-RO"/>
        </w:rPr>
      </w:pPr>
      <w:r w:rsidRPr="00D12BF1">
        <w:rPr>
          <w:rFonts w:ascii="Times New Roman" w:hAnsi="Times New Roman"/>
          <w:b/>
          <w:i/>
          <w:sz w:val="24"/>
          <w:szCs w:val="24"/>
          <w:lang w:val="ro-RO"/>
        </w:rPr>
        <w:t>1.4. Monoxid de carbon (CO)</w:t>
      </w:r>
    </w:p>
    <w:p w:rsidR="00D12BF1" w:rsidRPr="00D12BF1" w:rsidRDefault="00D12BF1" w:rsidP="00D12BF1">
      <w:pPr>
        <w:widowControl w:val="0"/>
        <w:spacing w:after="0" w:line="240" w:lineRule="auto"/>
        <w:ind w:firstLine="720"/>
        <w:jc w:val="both"/>
        <w:rPr>
          <w:rFonts w:ascii="Times New Roman" w:hAnsi="Times New Roman"/>
          <w:sz w:val="10"/>
          <w:szCs w:val="10"/>
          <w:lang w:val="ro-RO"/>
        </w:rPr>
      </w:pP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 xml:space="preserve">Fig. 1.4.1. Concentraţii maxime zilnice ale mediilor de 8 ore de CO </w:t>
      </w:r>
    </w:p>
    <w:p w:rsidR="00D12BF1" w:rsidRPr="00D12BF1" w:rsidRDefault="00D12BF1" w:rsidP="00D12BF1">
      <w:pPr>
        <w:widowControl w:val="0"/>
        <w:spacing w:after="0" w:line="240" w:lineRule="auto"/>
        <w:jc w:val="center"/>
        <w:rPr>
          <w:rFonts w:ascii="Times New Roman" w:hAnsi="Times New Roman"/>
          <w:sz w:val="24"/>
          <w:szCs w:val="24"/>
          <w:lang w:val="ro-RO"/>
        </w:rPr>
      </w:pPr>
      <w:r w:rsidRPr="00D12BF1">
        <w:rPr>
          <w:rFonts w:ascii="Times New Roman" w:hAnsi="Times New Roman"/>
          <w:lang w:val="ro-RO"/>
        </w:rPr>
        <w:t xml:space="preserve">înregistrate în luna </w:t>
      </w:r>
      <w:r w:rsidRPr="00D12BF1">
        <w:rPr>
          <w:rFonts w:ascii="Times New Roman" w:hAnsi="Times New Roman"/>
          <w:sz w:val="24"/>
          <w:szCs w:val="24"/>
          <w:lang w:val="ro-RO"/>
        </w:rPr>
        <w:t>ianuarie</w:t>
      </w:r>
      <w:r w:rsidRPr="00D12BF1">
        <w:rPr>
          <w:rFonts w:ascii="Times New Roman" w:hAnsi="Times New Roman"/>
          <w:lang w:val="ro-RO"/>
        </w:rPr>
        <w:t xml:space="preserve"> 2019 la staţiile aparţinând RNMCA din judeţul Suceava</w:t>
      </w:r>
      <w:r w:rsidRPr="00D12BF1">
        <w:rPr>
          <w:rFonts w:ascii="Times New Roman" w:hAnsi="Times New Roman"/>
          <w:noProof/>
          <w:sz w:val="24"/>
          <w:szCs w:val="24"/>
          <w:lang w:val="ro-RO" w:eastAsia="ro-RO"/>
        </w:rPr>
        <w:drawing>
          <wp:inline distT="0" distB="0" distL="0" distR="0">
            <wp:extent cx="5876925" cy="1028700"/>
            <wp:effectExtent l="1905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12BF1" w:rsidRPr="00D12BF1" w:rsidRDefault="00D12BF1" w:rsidP="00D12BF1">
      <w:pPr>
        <w:widowControl w:val="0"/>
        <w:spacing w:after="0" w:line="240" w:lineRule="auto"/>
        <w:ind w:firstLine="706"/>
        <w:jc w:val="both"/>
        <w:rPr>
          <w:rFonts w:ascii="Times New Roman" w:hAnsi="Times New Roman"/>
          <w:color w:val="FF0000"/>
          <w:sz w:val="6"/>
          <w:szCs w:val="6"/>
          <w:lang w:val="ro-RO"/>
        </w:rPr>
      </w:pPr>
    </w:p>
    <w:p w:rsidR="00D12BF1" w:rsidRPr="00D12BF1" w:rsidRDefault="00D12BF1" w:rsidP="00D12BF1">
      <w:pPr>
        <w:widowControl w:val="0"/>
        <w:spacing w:after="0" w:line="240" w:lineRule="auto"/>
        <w:ind w:firstLine="708"/>
        <w:jc w:val="both"/>
        <w:rPr>
          <w:rFonts w:ascii="Times New Roman" w:hAnsi="Times New Roman"/>
          <w:sz w:val="24"/>
          <w:szCs w:val="24"/>
          <w:lang w:val="ro-RO"/>
        </w:rPr>
      </w:pPr>
      <w:r w:rsidRPr="00D12BF1">
        <w:rPr>
          <w:rFonts w:ascii="Times New Roman" w:hAnsi="Times New Roman"/>
          <w:sz w:val="24"/>
          <w:szCs w:val="24"/>
          <w:u w:val="single"/>
          <w:lang w:val="ro-RO"/>
        </w:rPr>
        <w:t>Concluzii</w:t>
      </w:r>
      <w:r w:rsidRPr="00D12BF1">
        <w:rPr>
          <w:rFonts w:ascii="Times New Roman" w:hAnsi="Times New Roman"/>
          <w:sz w:val="24"/>
          <w:szCs w:val="24"/>
          <w:lang w:val="ro-RO"/>
        </w:rPr>
        <w:t>: din fig. 1.4.1 se constată că, în luna ianuarie</w:t>
      </w:r>
      <w:r w:rsidRPr="00D12BF1">
        <w:rPr>
          <w:rFonts w:ascii="Times New Roman" w:hAnsi="Times New Roman"/>
          <w:lang w:val="ro-RO"/>
        </w:rPr>
        <w:t xml:space="preserve"> 2019</w:t>
      </w:r>
      <w:r w:rsidRPr="00D12BF1">
        <w:rPr>
          <w:rFonts w:ascii="Times New Roman" w:hAnsi="Times New Roman"/>
          <w:sz w:val="24"/>
          <w:szCs w:val="24"/>
          <w:lang w:val="ro-RO"/>
        </w:rPr>
        <w:t xml:space="preserve">, valorile maxime zilnice ale mediilor de 8 ore la CO s-au încadrat mult </w:t>
      </w:r>
      <w:r w:rsidRPr="00D12BF1">
        <w:rPr>
          <w:rFonts w:ascii="Times New Roman" w:hAnsi="Times New Roman"/>
          <w:b/>
          <w:sz w:val="24"/>
          <w:szCs w:val="24"/>
          <w:lang w:val="ro-RO"/>
        </w:rPr>
        <w:t>sub valoarea limită zilnică pentru protecţia sănătăţii umane</w:t>
      </w:r>
      <w:r w:rsidRPr="00D12BF1">
        <w:rPr>
          <w:rFonts w:ascii="Times New Roman" w:hAnsi="Times New Roman"/>
          <w:i/>
          <w:sz w:val="24"/>
          <w:szCs w:val="24"/>
          <w:lang w:val="ro-RO"/>
        </w:rPr>
        <w:t xml:space="preserve"> </w:t>
      </w:r>
      <w:r w:rsidRPr="00D12BF1">
        <w:rPr>
          <w:rFonts w:ascii="Times New Roman" w:hAnsi="Times New Roman"/>
          <w:sz w:val="24"/>
          <w:szCs w:val="24"/>
          <w:lang w:val="ro-RO"/>
        </w:rPr>
        <w:t>(</w:t>
      </w:r>
      <w:r w:rsidRPr="00D12BF1">
        <w:rPr>
          <w:rFonts w:ascii="Times New Roman" w:hAnsi="Times New Roman"/>
          <w:b/>
          <w:i/>
          <w:sz w:val="24"/>
          <w:szCs w:val="24"/>
          <w:lang w:val="ro-RO"/>
        </w:rPr>
        <w:t>10 mg/m</w:t>
      </w:r>
      <w:r w:rsidRPr="00D12BF1">
        <w:rPr>
          <w:rFonts w:ascii="Times New Roman" w:hAnsi="Times New Roman"/>
          <w:b/>
          <w:i/>
          <w:sz w:val="24"/>
          <w:szCs w:val="24"/>
          <w:vertAlign w:val="superscript"/>
          <w:lang w:val="ro-RO"/>
        </w:rPr>
        <w:t>3</w:t>
      </w:r>
      <w:r w:rsidRPr="00D12BF1">
        <w:rPr>
          <w:rFonts w:ascii="Times New Roman" w:hAnsi="Times New Roman"/>
          <w:sz w:val="24"/>
          <w:szCs w:val="24"/>
          <w:lang w:val="ro-RO"/>
        </w:rPr>
        <w:t xml:space="preserve">), în toate staţiile de monitorizare din judeţ. </w:t>
      </w:r>
    </w:p>
    <w:p w:rsidR="00D12BF1" w:rsidRPr="00D12BF1" w:rsidRDefault="00D12BF1" w:rsidP="00D12BF1">
      <w:pPr>
        <w:widowControl w:val="0"/>
        <w:spacing w:after="0" w:line="240" w:lineRule="auto"/>
        <w:jc w:val="both"/>
        <w:rPr>
          <w:rFonts w:ascii="Times New Roman" w:hAnsi="Times New Roman"/>
          <w:color w:val="FF0000"/>
          <w:sz w:val="10"/>
          <w:szCs w:val="10"/>
          <w:lang w:val="ro-RO"/>
        </w:rPr>
      </w:pPr>
    </w:p>
    <w:p w:rsidR="00D12BF1" w:rsidRPr="00D12BF1" w:rsidRDefault="00D12BF1" w:rsidP="00D12BF1">
      <w:pPr>
        <w:widowControl w:val="0"/>
        <w:spacing w:after="0" w:line="240" w:lineRule="auto"/>
        <w:rPr>
          <w:rFonts w:ascii="Times New Roman" w:hAnsi="Times New Roman"/>
          <w:b/>
          <w:i/>
          <w:sz w:val="24"/>
          <w:szCs w:val="24"/>
          <w:lang w:val="ro-RO"/>
        </w:rPr>
      </w:pPr>
      <w:r w:rsidRPr="00D12BF1">
        <w:rPr>
          <w:rFonts w:ascii="Times New Roman" w:hAnsi="Times New Roman"/>
          <w:b/>
          <w:i/>
          <w:sz w:val="24"/>
          <w:szCs w:val="24"/>
          <w:lang w:val="ro-RO"/>
        </w:rPr>
        <w:t>1.5. Benzen (C</w:t>
      </w:r>
      <w:r w:rsidRPr="00D12BF1">
        <w:rPr>
          <w:rFonts w:ascii="Times New Roman" w:hAnsi="Times New Roman"/>
          <w:b/>
          <w:i/>
          <w:sz w:val="24"/>
          <w:szCs w:val="24"/>
          <w:vertAlign w:val="subscript"/>
          <w:lang w:val="ro-RO"/>
        </w:rPr>
        <w:t>6</w:t>
      </w:r>
      <w:r w:rsidRPr="00D12BF1">
        <w:rPr>
          <w:rFonts w:ascii="Times New Roman" w:hAnsi="Times New Roman"/>
          <w:b/>
          <w:i/>
          <w:sz w:val="24"/>
          <w:szCs w:val="24"/>
          <w:lang w:val="ro-RO"/>
        </w:rPr>
        <w:t>H</w:t>
      </w:r>
      <w:r w:rsidRPr="00D12BF1">
        <w:rPr>
          <w:rFonts w:ascii="Times New Roman" w:hAnsi="Times New Roman"/>
          <w:b/>
          <w:i/>
          <w:sz w:val="24"/>
          <w:szCs w:val="24"/>
          <w:vertAlign w:val="subscript"/>
          <w:lang w:val="ro-RO"/>
        </w:rPr>
        <w:t>6</w:t>
      </w:r>
      <w:r w:rsidRPr="00D12BF1">
        <w:rPr>
          <w:rFonts w:ascii="Times New Roman" w:hAnsi="Times New Roman"/>
          <w:b/>
          <w:i/>
          <w:sz w:val="24"/>
          <w:szCs w:val="24"/>
          <w:lang w:val="ro-RO"/>
        </w:rPr>
        <w:t>)</w:t>
      </w:r>
    </w:p>
    <w:p w:rsidR="00D12BF1" w:rsidRPr="00D12BF1" w:rsidRDefault="00D12BF1" w:rsidP="00D12BF1">
      <w:pPr>
        <w:widowControl w:val="0"/>
        <w:spacing w:after="0" w:line="240" w:lineRule="auto"/>
        <w:ind w:firstLine="720"/>
        <w:jc w:val="both"/>
        <w:rPr>
          <w:rFonts w:ascii="Times New Roman" w:hAnsi="Times New Roman"/>
          <w:sz w:val="10"/>
          <w:szCs w:val="10"/>
          <w:lang w:val="ro-RO"/>
        </w:rPr>
      </w:pPr>
    </w:p>
    <w:p w:rsidR="00D12BF1" w:rsidRPr="00D12BF1" w:rsidRDefault="00D12BF1" w:rsidP="00D12BF1">
      <w:pPr>
        <w:widowControl w:val="0"/>
        <w:spacing w:after="0" w:line="240" w:lineRule="auto"/>
        <w:ind w:firstLine="720"/>
        <w:jc w:val="both"/>
        <w:rPr>
          <w:rFonts w:ascii="Times New Roman" w:hAnsi="Times New Roman"/>
          <w:sz w:val="24"/>
          <w:szCs w:val="24"/>
          <w:lang w:val="ro-RO"/>
        </w:rPr>
      </w:pPr>
      <w:r w:rsidRPr="00D12BF1">
        <w:rPr>
          <w:rFonts w:ascii="Times New Roman" w:hAnsi="Times New Roman"/>
          <w:sz w:val="24"/>
          <w:szCs w:val="24"/>
          <w:lang w:val="ro-RO"/>
        </w:rPr>
        <w:t>În luna ianuarie</w:t>
      </w:r>
      <w:r w:rsidRPr="00D12BF1">
        <w:rPr>
          <w:rFonts w:ascii="Times New Roman" w:hAnsi="Times New Roman"/>
          <w:lang w:val="ro-RO"/>
        </w:rPr>
        <w:t xml:space="preserve"> 2019</w:t>
      </w:r>
      <w:r w:rsidRPr="00D12BF1">
        <w:rPr>
          <w:rFonts w:ascii="Times New Roman" w:hAnsi="Times New Roman"/>
          <w:sz w:val="24"/>
          <w:szCs w:val="24"/>
          <w:lang w:val="ro-RO"/>
        </w:rPr>
        <w:t>, din motive tehnice, compuşii organici volatili (benzen, toluen, etilbenzen, o-, m- şi p-xileni) s-au monitorizat doar în stația de monitorizare SV3. Acești compuși nu se monitorizează deloc în stația de tip industrial SV2.</w:t>
      </w:r>
    </w:p>
    <w:p w:rsidR="00D12BF1" w:rsidRPr="00D12BF1" w:rsidRDefault="00D12BF1" w:rsidP="00D12BF1">
      <w:pPr>
        <w:widowControl w:val="0"/>
        <w:spacing w:after="0" w:line="240" w:lineRule="auto"/>
        <w:ind w:firstLine="720"/>
        <w:jc w:val="both"/>
        <w:rPr>
          <w:rFonts w:ascii="Times New Roman" w:hAnsi="Times New Roman"/>
          <w:sz w:val="24"/>
          <w:szCs w:val="24"/>
          <w:lang w:val="ro-RO"/>
        </w:rPr>
      </w:pPr>
      <w:r w:rsidRPr="00D12BF1">
        <w:rPr>
          <w:rFonts w:ascii="Times New Roman" w:hAnsi="Times New Roman"/>
          <w:sz w:val="24"/>
          <w:szCs w:val="24"/>
          <w:lang w:val="ro-RO"/>
        </w:rPr>
        <w:t xml:space="preserve">Compușii organici volatili rezultă din traficul rutier, arderea combustibililor în instalaţiile de ardere centralizate şi individuale, depozitarea şi manipularea carburanţilor, utilizarea de solvenţi organici în diferite activităţi industriale. </w:t>
      </w:r>
    </w:p>
    <w:p w:rsidR="00D12BF1" w:rsidRPr="00D12BF1" w:rsidRDefault="00D12BF1" w:rsidP="00D12BF1">
      <w:pPr>
        <w:widowControl w:val="0"/>
        <w:spacing w:after="0" w:line="240" w:lineRule="auto"/>
        <w:ind w:firstLine="720"/>
        <w:jc w:val="both"/>
        <w:rPr>
          <w:rFonts w:ascii="Times New Roman" w:hAnsi="Times New Roman"/>
          <w:sz w:val="24"/>
          <w:szCs w:val="24"/>
          <w:lang w:val="ro-RO"/>
        </w:rPr>
      </w:pPr>
      <w:r w:rsidRPr="00D12BF1">
        <w:rPr>
          <w:rFonts w:ascii="Times New Roman" w:hAnsi="Times New Roman"/>
          <w:sz w:val="24"/>
          <w:szCs w:val="24"/>
          <w:lang w:val="ro-RO"/>
        </w:rPr>
        <w:t xml:space="preserve">Dintre compușii organici volatili monitorizaţi, doar pentru benzen este reglementată, prin Legea nr. 104/2011 privind calitatea aerului înconjurător, o </w:t>
      </w:r>
      <w:r w:rsidRPr="00D12BF1">
        <w:rPr>
          <w:rFonts w:ascii="Times New Roman" w:hAnsi="Times New Roman"/>
          <w:b/>
          <w:sz w:val="24"/>
          <w:szCs w:val="24"/>
          <w:lang w:val="ro-RO"/>
        </w:rPr>
        <w:t>valoare limită</w:t>
      </w:r>
      <w:r w:rsidRPr="00D12BF1">
        <w:rPr>
          <w:rFonts w:ascii="Times New Roman" w:hAnsi="Times New Roman"/>
          <w:sz w:val="24"/>
          <w:szCs w:val="24"/>
          <w:lang w:val="ro-RO"/>
        </w:rPr>
        <w:t xml:space="preserve"> </w:t>
      </w:r>
      <w:r w:rsidRPr="00D12BF1">
        <w:rPr>
          <w:rFonts w:ascii="Times New Roman" w:hAnsi="Times New Roman"/>
          <w:b/>
          <w:sz w:val="24"/>
          <w:szCs w:val="24"/>
          <w:lang w:val="ro-RO"/>
        </w:rPr>
        <w:t>pentru protecţia sănătăţii umane</w:t>
      </w:r>
      <w:r w:rsidRPr="00D12BF1">
        <w:rPr>
          <w:rFonts w:ascii="Times New Roman" w:hAnsi="Times New Roman"/>
          <w:i/>
          <w:sz w:val="24"/>
          <w:szCs w:val="24"/>
          <w:lang w:val="ro-RO"/>
        </w:rPr>
        <w:t xml:space="preserve"> de </w:t>
      </w:r>
      <w:r w:rsidRPr="00D12BF1">
        <w:rPr>
          <w:rFonts w:ascii="Times New Roman" w:hAnsi="Times New Roman"/>
          <w:b/>
          <w:i/>
          <w:sz w:val="24"/>
          <w:szCs w:val="24"/>
          <w:lang w:val="ro-RO"/>
        </w:rPr>
        <w:t>5 µg/m</w:t>
      </w:r>
      <w:r w:rsidRPr="00D12BF1">
        <w:rPr>
          <w:rFonts w:ascii="Times New Roman" w:hAnsi="Times New Roman"/>
          <w:b/>
          <w:i/>
          <w:sz w:val="24"/>
          <w:szCs w:val="24"/>
          <w:vertAlign w:val="superscript"/>
          <w:lang w:val="ro-RO"/>
        </w:rPr>
        <w:t>3</w:t>
      </w:r>
      <w:r w:rsidRPr="00D12BF1">
        <w:rPr>
          <w:rFonts w:ascii="Times New Roman" w:hAnsi="Times New Roman"/>
          <w:sz w:val="24"/>
          <w:szCs w:val="24"/>
          <w:lang w:val="ro-RO"/>
        </w:rPr>
        <w:t xml:space="preserve">, pentru </w:t>
      </w:r>
      <w:r w:rsidRPr="00D12BF1">
        <w:rPr>
          <w:rFonts w:ascii="Times New Roman" w:hAnsi="Times New Roman"/>
          <w:b/>
          <w:sz w:val="24"/>
          <w:szCs w:val="24"/>
          <w:lang w:val="ro-RO"/>
        </w:rPr>
        <w:t>media anuală</w:t>
      </w:r>
      <w:r w:rsidRPr="00D12BF1">
        <w:rPr>
          <w:rFonts w:ascii="Times New Roman" w:hAnsi="Times New Roman"/>
          <w:sz w:val="24"/>
          <w:szCs w:val="24"/>
          <w:lang w:val="ro-RO"/>
        </w:rPr>
        <w:t xml:space="preserve">. </w:t>
      </w:r>
    </w:p>
    <w:p w:rsidR="00D12BF1" w:rsidRPr="00D12BF1" w:rsidRDefault="00D12BF1" w:rsidP="00D12BF1">
      <w:pPr>
        <w:widowControl w:val="0"/>
        <w:spacing w:after="0" w:line="240" w:lineRule="auto"/>
        <w:rPr>
          <w:rFonts w:ascii="Times New Roman" w:hAnsi="Times New Roman"/>
          <w:sz w:val="10"/>
          <w:szCs w:val="10"/>
          <w:lang w:val="ro-RO"/>
        </w:rPr>
      </w:pP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lastRenderedPageBreak/>
        <w:t xml:space="preserve">Fig. 1.5.1. Concentraţii medii lunare de benzen </w:t>
      </w:r>
    </w:p>
    <w:p w:rsidR="00D12BF1" w:rsidRPr="00D12BF1" w:rsidRDefault="00D12BF1" w:rsidP="00D12BF1">
      <w:pPr>
        <w:widowControl w:val="0"/>
        <w:spacing w:after="0" w:line="240" w:lineRule="auto"/>
        <w:jc w:val="center"/>
        <w:rPr>
          <w:rFonts w:ascii="Times New Roman" w:hAnsi="Times New Roman"/>
          <w:sz w:val="24"/>
          <w:szCs w:val="24"/>
          <w:lang w:val="ro-RO"/>
        </w:rPr>
      </w:pPr>
      <w:r w:rsidRPr="00D12BF1">
        <w:rPr>
          <w:rFonts w:ascii="Times New Roman" w:hAnsi="Times New Roman"/>
          <w:lang w:val="ro-RO"/>
        </w:rPr>
        <w:t xml:space="preserve">înregistrate în luna </w:t>
      </w:r>
      <w:r w:rsidRPr="00D12BF1">
        <w:rPr>
          <w:rFonts w:ascii="Times New Roman" w:hAnsi="Times New Roman"/>
          <w:sz w:val="24"/>
          <w:szCs w:val="24"/>
          <w:lang w:val="ro-RO"/>
        </w:rPr>
        <w:t>ianuarie</w:t>
      </w:r>
      <w:r w:rsidRPr="00D12BF1">
        <w:rPr>
          <w:rFonts w:ascii="Times New Roman" w:hAnsi="Times New Roman"/>
          <w:lang w:val="ro-RO"/>
        </w:rPr>
        <w:t xml:space="preserve"> 2019 la staţiile aparţinând RNMCA din judeţul Suceava</w:t>
      </w:r>
    </w:p>
    <w:p w:rsidR="00D12BF1" w:rsidRPr="00D12BF1" w:rsidRDefault="00D12BF1" w:rsidP="00D12BF1">
      <w:pPr>
        <w:widowControl w:val="0"/>
        <w:spacing w:after="0" w:line="240" w:lineRule="auto"/>
        <w:jc w:val="center"/>
        <w:rPr>
          <w:rFonts w:ascii="Times New Roman" w:hAnsi="Times New Roman"/>
          <w:color w:val="FF0000"/>
          <w:sz w:val="24"/>
          <w:szCs w:val="24"/>
          <w:lang w:val="ro-RO"/>
        </w:rPr>
      </w:pPr>
      <w:r w:rsidRPr="00D12BF1">
        <w:rPr>
          <w:rFonts w:ascii="Times New Roman" w:hAnsi="Times New Roman"/>
          <w:noProof/>
          <w:color w:val="FF0000"/>
          <w:sz w:val="24"/>
          <w:szCs w:val="24"/>
          <w:lang w:val="ro-RO" w:eastAsia="ro-RO"/>
        </w:rPr>
        <w:drawing>
          <wp:inline distT="0" distB="0" distL="0" distR="0">
            <wp:extent cx="4343400" cy="1095375"/>
            <wp:effectExtent l="0" t="0" r="0" b="0"/>
            <wp:docPr id="10"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12BF1" w:rsidRPr="00D12BF1" w:rsidRDefault="00D12BF1" w:rsidP="00D12BF1">
      <w:pPr>
        <w:widowControl w:val="0"/>
        <w:spacing w:after="0" w:line="240" w:lineRule="auto"/>
        <w:jc w:val="center"/>
        <w:rPr>
          <w:rFonts w:ascii="Times New Roman" w:hAnsi="Times New Roman"/>
          <w:color w:val="FF0000"/>
          <w:sz w:val="12"/>
          <w:szCs w:val="12"/>
          <w:lang w:val="ro-RO"/>
        </w:rPr>
      </w:pPr>
    </w:p>
    <w:p w:rsidR="00D12BF1" w:rsidRPr="00D12BF1" w:rsidRDefault="00D12BF1" w:rsidP="00D12BF1">
      <w:pPr>
        <w:widowControl w:val="0"/>
        <w:spacing w:after="0" w:line="240" w:lineRule="auto"/>
        <w:rPr>
          <w:rFonts w:ascii="Times New Roman" w:hAnsi="Times New Roman"/>
          <w:b/>
          <w:i/>
          <w:sz w:val="24"/>
          <w:szCs w:val="24"/>
          <w:lang w:val="ro-RO"/>
        </w:rPr>
      </w:pPr>
      <w:r w:rsidRPr="00D12BF1">
        <w:rPr>
          <w:rFonts w:ascii="Times New Roman" w:hAnsi="Times New Roman"/>
          <w:b/>
          <w:i/>
          <w:sz w:val="24"/>
          <w:szCs w:val="24"/>
          <w:lang w:val="ro-RO"/>
        </w:rPr>
        <w:t>1.6. Pulberi în suspensie fracţia PM10</w:t>
      </w:r>
    </w:p>
    <w:p w:rsidR="00D12BF1" w:rsidRPr="00D12BF1" w:rsidRDefault="00D12BF1" w:rsidP="00D12BF1">
      <w:pPr>
        <w:widowControl w:val="0"/>
        <w:spacing w:after="0" w:line="240" w:lineRule="auto"/>
        <w:ind w:firstLine="720"/>
        <w:jc w:val="both"/>
        <w:rPr>
          <w:rFonts w:ascii="Times New Roman" w:hAnsi="Times New Roman"/>
          <w:sz w:val="10"/>
          <w:szCs w:val="10"/>
          <w:lang w:val="ro-RO"/>
        </w:rPr>
      </w:pPr>
    </w:p>
    <w:p w:rsidR="00D12BF1" w:rsidRPr="00D12BF1" w:rsidRDefault="00D12BF1" w:rsidP="00D12BF1">
      <w:pPr>
        <w:widowControl w:val="0"/>
        <w:spacing w:after="0" w:line="240" w:lineRule="auto"/>
        <w:ind w:firstLine="720"/>
        <w:jc w:val="both"/>
        <w:rPr>
          <w:rFonts w:ascii="Times New Roman" w:hAnsi="Times New Roman"/>
          <w:sz w:val="10"/>
          <w:szCs w:val="10"/>
          <w:lang w:val="ro-RO"/>
        </w:rPr>
      </w:pPr>
      <w:r w:rsidRPr="00D12BF1">
        <w:rPr>
          <w:rFonts w:ascii="Times New Roman" w:hAnsi="Times New Roman"/>
          <w:sz w:val="24"/>
          <w:szCs w:val="24"/>
          <w:lang w:val="ro-RO"/>
        </w:rPr>
        <w:t>În luna ianuarie</w:t>
      </w:r>
      <w:r w:rsidRPr="00D12BF1">
        <w:rPr>
          <w:rFonts w:ascii="Times New Roman" w:hAnsi="Times New Roman"/>
          <w:lang w:val="ro-RO"/>
        </w:rPr>
        <w:t xml:space="preserve"> 2019</w:t>
      </w:r>
      <w:r w:rsidRPr="00D12BF1">
        <w:rPr>
          <w:rFonts w:ascii="Times New Roman" w:hAnsi="Times New Roman"/>
          <w:sz w:val="24"/>
          <w:szCs w:val="24"/>
          <w:lang w:val="ro-RO"/>
        </w:rPr>
        <w:t>, pulberile PM10 au fost monitorizate prin metoda automată (orientativă) și prin metoda gravimetrică (de referinţă)  în staţiile de monitorizare SV1, SV2 și SV3.</w:t>
      </w:r>
      <w:r w:rsidRPr="00D12BF1">
        <w:rPr>
          <w:rFonts w:ascii="Times New Roman" w:hAnsi="Times New Roman"/>
          <w:color w:val="FF0000"/>
          <w:sz w:val="24"/>
          <w:szCs w:val="24"/>
          <w:lang w:val="ro-RO"/>
        </w:rPr>
        <w:t xml:space="preserve"> </w:t>
      </w:r>
    </w:p>
    <w:p w:rsidR="00D12BF1" w:rsidRPr="00D12BF1" w:rsidRDefault="00D12BF1" w:rsidP="00D12BF1">
      <w:pPr>
        <w:widowControl w:val="0"/>
        <w:spacing w:after="0" w:line="240" w:lineRule="auto"/>
        <w:ind w:firstLine="720"/>
        <w:jc w:val="both"/>
        <w:rPr>
          <w:rFonts w:ascii="Times New Roman" w:hAnsi="Times New Roman"/>
          <w:sz w:val="10"/>
          <w:szCs w:val="10"/>
          <w:lang w:val="ro-RO"/>
        </w:rPr>
      </w:pP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Fig. 1.6.1. Evoluţia concentraţiilor medii zilnice la pulberi PM10 determinate gravimetric</w:t>
      </w: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 xml:space="preserve"> în luna </w:t>
      </w:r>
      <w:r w:rsidRPr="00D12BF1">
        <w:rPr>
          <w:rFonts w:ascii="Times New Roman" w:hAnsi="Times New Roman"/>
          <w:sz w:val="24"/>
          <w:szCs w:val="24"/>
          <w:lang w:val="ro-RO"/>
        </w:rPr>
        <w:t>ianuarie</w:t>
      </w:r>
      <w:r w:rsidRPr="00D12BF1">
        <w:rPr>
          <w:rFonts w:ascii="Times New Roman" w:hAnsi="Times New Roman"/>
          <w:lang w:val="ro-RO"/>
        </w:rPr>
        <w:t xml:space="preserve"> 2019, la staţiile aparţinând RNMCA din judeţul Suceava</w:t>
      </w:r>
    </w:p>
    <w:p w:rsidR="00D12BF1" w:rsidRPr="00D12BF1" w:rsidRDefault="00D12BF1" w:rsidP="00D12BF1">
      <w:pPr>
        <w:widowControl w:val="0"/>
        <w:spacing w:after="0" w:line="240" w:lineRule="auto"/>
        <w:ind w:firstLine="720"/>
        <w:rPr>
          <w:rFonts w:ascii="Times New Roman" w:hAnsi="Times New Roman"/>
          <w:color w:val="FF0000"/>
          <w:sz w:val="24"/>
          <w:szCs w:val="24"/>
          <w:lang w:val="ro-RO"/>
        </w:rPr>
      </w:pPr>
      <w:r w:rsidRPr="00D12BF1">
        <w:rPr>
          <w:rFonts w:ascii="Times New Roman" w:hAnsi="Times New Roman"/>
          <w:noProof/>
          <w:color w:val="FF0000"/>
          <w:sz w:val="24"/>
          <w:szCs w:val="24"/>
          <w:lang w:val="ro-RO" w:eastAsia="ro-RO"/>
        </w:rPr>
        <w:drawing>
          <wp:inline distT="0" distB="0" distL="0" distR="0">
            <wp:extent cx="5534025" cy="1628775"/>
            <wp:effectExtent l="0" t="0" r="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12BF1" w:rsidRPr="00D12BF1" w:rsidRDefault="00D12BF1" w:rsidP="00D12BF1">
      <w:pPr>
        <w:widowControl w:val="0"/>
        <w:spacing w:after="0" w:line="240" w:lineRule="auto"/>
        <w:contextualSpacing/>
        <w:rPr>
          <w:rFonts w:ascii="Times New Roman" w:hAnsi="Times New Roman"/>
          <w:color w:val="FF0000"/>
          <w:sz w:val="10"/>
          <w:szCs w:val="10"/>
          <w:lang w:val="ro-RO"/>
        </w:rPr>
      </w:pPr>
    </w:p>
    <w:p w:rsidR="00D12BF1" w:rsidRPr="00D12BF1" w:rsidRDefault="00D12BF1" w:rsidP="00D12BF1">
      <w:pPr>
        <w:widowControl w:val="0"/>
        <w:spacing w:after="0" w:line="240" w:lineRule="auto"/>
        <w:contextualSpacing/>
        <w:rPr>
          <w:rFonts w:ascii="Times New Roman" w:hAnsi="Times New Roman"/>
          <w:color w:val="FF0000"/>
          <w:sz w:val="10"/>
          <w:szCs w:val="10"/>
          <w:lang w:val="ro-RO"/>
        </w:rPr>
      </w:pPr>
    </w:p>
    <w:p w:rsidR="00D12BF1" w:rsidRPr="00D12BF1" w:rsidRDefault="00D12BF1" w:rsidP="00D12BF1">
      <w:pPr>
        <w:widowControl w:val="0"/>
        <w:spacing w:after="0" w:line="240" w:lineRule="auto"/>
        <w:ind w:firstLine="720"/>
        <w:contextualSpacing/>
        <w:jc w:val="center"/>
        <w:rPr>
          <w:rFonts w:ascii="Times New Roman" w:hAnsi="Times New Roman"/>
          <w:lang w:val="ro-RO"/>
        </w:rPr>
      </w:pPr>
      <w:r w:rsidRPr="00D12BF1">
        <w:rPr>
          <w:rFonts w:ascii="Times New Roman" w:hAnsi="Times New Roman"/>
          <w:lang w:val="ro-RO"/>
        </w:rPr>
        <w:t xml:space="preserve">Fig. 1.6.2. Numărul cumulat de valori mai mari decât VL zilnică la PM10 (gravimetric) </w:t>
      </w:r>
    </w:p>
    <w:p w:rsidR="00D12BF1" w:rsidRPr="00D12BF1" w:rsidRDefault="00D12BF1" w:rsidP="00D12BF1">
      <w:pPr>
        <w:widowControl w:val="0"/>
        <w:spacing w:after="0" w:line="240" w:lineRule="auto"/>
        <w:ind w:firstLine="720"/>
        <w:jc w:val="both"/>
        <w:rPr>
          <w:rFonts w:ascii="Times New Roman" w:hAnsi="Times New Roman"/>
          <w:lang w:val="ro-RO"/>
        </w:rPr>
      </w:pPr>
      <w:r w:rsidRPr="00D12BF1">
        <w:rPr>
          <w:rFonts w:ascii="Times New Roman" w:hAnsi="Times New Roman"/>
          <w:lang w:val="ro-RO"/>
        </w:rPr>
        <w:t>înregistrate în anul 2019, la staţiile aparţinând RNMCA din judeţul Suceava</w:t>
      </w:r>
    </w:p>
    <w:p w:rsidR="00D12BF1" w:rsidRPr="00D12BF1" w:rsidRDefault="00D12BF1" w:rsidP="00D12BF1">
      <w:pPr>
        <w:widowControl w:val="0"/>
        <w:spacing w:after="0" w:line="240" w:lineRule="auto"/>
        <w:ind w:left="283"/>
        <w:jc w:val="center"/>
        <w:rPr>
          <w:rFonts w:ascii="Times New Roman" w:hAnsi="Times New Roman"/>
          <w:sz w:val="6"/>
          <w:szCs w:val="6"/>
          <w:lang w:val="ro-RO"/>
        </w:rPr>
      </w:pPr>
      <w:r w:rsidRPr="00D12BF1">
        <w:rPr>
          <w:rFonts w:ascii="Times New Roman" w:hAnsi="Times New Roman"/>
          <w:noProof/>
          <w:lang w:val="ro-RO" w:eastAsia="ro-RO"/>
        </w:rPr>
        <w:drawing>
          <wp:inline distT="0" distB="0" distL="0" distR="0">
            <wp:extent cx="5514975" cy="1028700"/>
            <wp:effectExtent l="0" t="0" r="0" b="0"/>
            <wp:docPr id="12"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12BF1" w:rsidRPr="00D12BF1" w:rsidRDefault="00D12BF1" w:rsidP="00D12BF1">
      <w:pPr>
        <w:widowControl w:val="0"/>
        <w:spacing w:after="0" w:line="240" w:lineRule="auto"/>
        <w:jc w:val="both"/>
        <w:rPr>
          <w:rFonts w:ascii="Times New Roman" w:hAnsi="Times New Roman"/>
          <w:sz w:val="10"/>
          <w:szCs w:val="10"/>
          <w:lang w:val="ro-RO"/>
        </w:rPr>
      </w:pPr>
    </w:p>
    <w:p w:rsidR="00D12BF1" w:rsidRPr="00D12BF1" w:rsidRDefault="00D12BF1" w:rsidP="00D12BF1">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u w:val="single"/>
          <w:lang w:val="ro-RO"/>
        </w:rPr>
        <w:t>Concluzii</w:t>
      </w:r>
      <w:r w:rsidRPr="00D12BF1">
        <w:rPr>
          <w:rFonts w:ascii="Times New Roman" w:hAnsi="Times New Roman"/>
          <w:sz w:val="24"/>
          <w:szCs w:val="24"/>
          <w:lang w:val="ro-RO"/>
        </w:rPr>
        <w:t xml:space="preserve">: </w:t>
      </w:r>
    </w:p>
    <w:p w:rsidR="00D12BF1" w:rsidRPr="00D12BF1" w:rsidRDefault="00D12BF1" w:rsidP="00056E51">
      <w:pPr>
        <w:widowControl w:val="0"/>
        <w:spacing w:after="0" w:line="240" w:lineRule="auto"/>
        <w:jc w:val="both"/>
        <w:rPr>
          <w:rFonts w:ascii="Times New Roman" w:hAnsi="Times New Roman"/>
          <w:sz w:val="24"/>
          <w:szCs w:val="24"/>
          <w:lang w:val="ro-RO"/>
        </w:rPr>
      </w:pPr>
      <w:r w:rsidRPr="00D12BF1">
        <w:rPr>
          <w:rFonts w:ascii="Times New Roman" w:hAnsi="Times New Roman"/>
          <w:sz w:val="24"/>
          <w:szCs w:val="24"/>
          <w:lang w:val="ro-RO"/>
        </w:rPr>
        <w:t>- așa cum se observă în fig. 1.6.1, în luna ianuarie</w:t>
      </w:r>
      <w:r w:rsidRPr="00D12BF1">
        <w:rPr>
          <w:rFonts w:ascii="Times New Roman" w:hAnsi="Times New Roman"/>
          <w:lang w:val="ro-RO"/>
        </w:rPr>
        <w:t xml:space="preserve"> 2019 </w:t>
      </w:r>
      <w:r w:rsidRPr="00D12BF1">
        <w:rPr>
          <w:rFonts w:ascii="Times New Roman" w:hAnsi="Times New Roman"/>
          <w:sz w:val="24"/>
          <w:szCs w:val="24"/>
          <w:lang w:val="ro-RO"/>
        </w:rPr>
        <w:t xml:space="preserve">la stațiile SV1 de fond urban, SV2 de tip industrial și SV3 de tip trafic s-au înregistrat </w:t>
      </w:r>
      <w:r w:rsidRPr="00D12BF1">
        <w:rPr>
          <w:rFonts w:ascii="Times New Roman" w:hAnsi="Times New Roman"/>
          <w:b/>
          <w:sz w:val="24"/>
          <w:szCs w:val="24"/>
          <w:lang w:val="ro-RO"/>
        </w:rPr>
        <w:t xml:space="preserve">depăşiri ale valorii limite zilnice </w:t>
      </w:r>
      <w:r w:rsidRPr="00D12BF1">
        <w:rPr>
          <w:rFonts w:ascii="Times New Roman" w:hAnsi="Times New Roman"/>
          <w:sz w:val="24"/>
          <w:szCs w:val="24"/>
          <w:lang w:val="ro-RO"/>
        </w:rPr>
        <w:t>pentru protecţia sănătăţii umane</w:t>
      </w:r>
      <w:r w:rsidRPr="00D12BF1">
        <w:rPr>
          <w:rFonts w:ascii="Times New Roman" w:hAnsi="Times New Roman"/>
          <w:b/>
          <w:sz w:val="24"/>
          <w:szCs w:val="24"/>
          <w:lang w:val="ro-RO"/>
        </w:rPr>
        <w:t xml:space="preserve"> </w:t>
      </w:r>
      <w:r w:rsidRPr="00D12BF1">
        <w:rPr>
          <w:rFonts w:ascii="Times New Roman" w:hAnsi="Times New Roman"/>
          <w:sz w:val="24"/>
          <w:szCs w:val="24"/>
          <w:lang w:val="ro-RO"/>
        </w:rPr>
        <w:t xml:space="preserve">la PM10 </w:t>
      </w:r>
      <w:r w:rsidR="00056E51">
        <w:rPr>
          <w:rFonts w:ascii="Times New Roman" w:hAnsi="Times New Roman"/>
          <w:sz w:val="24"/>
          <w:szCs w:val="24"/>
          <w:lang w:val="ro-RO"/>
        </w:rPr>
        <w:t xml:space="preserve">gravimetric </w:t>
      </w:r>
      <w:r w:rsidRPr="00D12BF1">
        <w:rPr>
          <w:rFonts w:ascii="Times New Roman" w:hAnsi="Times New Roman"/>
          <w:sz w:val="24"/>
          <w:szCs w:val="24"/>
          <w:lang w:val="ro-RO"/>
        </w:rPr>
        <w:t>(</w:t>
      </w:r>
      <w:r w:rsidRPr="00D12BF1">
        <w:rPr>
          <w:rFonts w:ascii="Times New Roman" w:hAnsi="Times New Roman"/>
          <w:b/>
          <w:i/>
          <w:sz w:val="24"/>
          <w:szCs w:val="24"/>
          <w:lang w:val="ro-RO"/>
        </w:rPr>
        <w:t>50 µg/m</w:t>
      </w:r>
      <w:r w:rsidRPr="00D12BF1">
        <w:rPr>
          <w:rFonts w:ascii="Times New Roman" w:hAnsi="Times New Roman"/>
          <w:b/>
          <w:i/>
          <w:sz w:val="24"/>
          <w:szCs w:val="24"/>
          <w:vertAlign w:val="superscript"/>
          <w:lang w:val="ro-RO"/>
        </w:rPr>
        <w:t>3</w:t>
      </w:r>
      <w:r w:rsidRPr="00D12BF1">
        <w:rPr>
          <w:rFonts w:ascii="Times New Roman" w:hAnsi="Times New Roman"/>
          <w:i/>
          <w:sz w:val="24"/>
          <w:szCs w:val="24"/>
          <w:lang w:val="ro-RO"/>
        </w:rPr>
        <w:t>, a nu se depăşi de peste 35 de ori într-un an calendaristic</w:t>
      </w:r>
      <w:r w:rsidRPr="00D12BF1">
        <w:rPr>
          <w:rFonts w:ascii="Times New Roman" w:hAnsi="Times New Roman"/>
          <w:sz w:val="24"/>
          <w:szCs w:val="24"/>
          <w:lang w:val="ro-RO"/>
        </w:rPr>
        <w:t>), și anume:</w:t>
      </w:r>
    </w:p>
    <w:p w:rsidR="00D12BF1" w:rsidRPr="00D12BF1" w:rsidRDefault="00D12BF1" w:rsidP="00D12BF1">
      <w:pPr>
        <w:pStyle w:val="ListParagraph"/>
        <w:widowControl w:val="0"/>
        <w:numPr>
          <w:ilvl w:val="0"/>
          <w:numId w:val="37"/>
        </w:numPr>
        <w:ind w:left="1276" w:hanging="207"/>
        <w:jc w:val="both"/>
        <w:rPr>
          <w:sz w:val="24"/>
          <w:szCs w:val="24"/>
          <w:lang w:val="ro-RO"/>
        </w:rPr>
      </w:pPr>
      <w:r w:rsidRPr="00D12BF1">
        <w:rPr>
          <w:sz w:val="24"/>
          <w:szCs w:val="24"/>
          <w:lang w:val="ro-RO"/>
        </w:rPr>
        <w:t>Stația SV1 – 3 depășiri</w:t>
      </w:r>
    </w:p>
    <w:p w:rsidR="00D12BF1" w:rsidRPr="00D12BF1" w:rsidRDefault="00D12BF1" w:rsidP="00D12BF1">
      <w:pPr>
        <w:pStyle w:val="ListParagraph"/>
        <w:widowControl w:val="0"/>
        <w:numPr>
          <w:ilvl w:val="0"/>
          <w:numId w:val="37"/>
        </w:numPr>
        <w:ind w:left="1276" w:hanging="207"/>
        <w:jc w:val="both"/>
        <w:rPr>
          <w:sz w:val="24"/>
          <w:szCs w:val="24"/>
          <w:lang w:val="ro-RO"/>
        </w:rPr>
      </w:pPr>
      <w:r w:rsidRPr="00D12BF1">
        <w:rPr>
          <w:sz w:val="24"/>
          <w:szCs w:val="24"/>
          <w:lang w:val="ro-RO"/>
        </w:rPr>
        <w:t>Stația SV2 – 8 depășiri</w:t>
      </w:r>
    </w:p>
    <w:p w:rsidR="00D12BF1" w:rsidRPr="00D12BF1" w:rsidRDefault="00D12BF1" w:rsidP="00D12BF1">
      <w:pPr>
        <w:pStyle w:val="ListParagraph"/>
        <w:widowControl w:val="0"/>
        <w:numPr>
          <w:ilvl w:val="0"/>
          <w:numId w:val="37"/>
        </w:numPr>
        <w:ind w:left="1276" w:hanging="207"/>
        <w:jc w:val="both"/>
        <w:rPr>
          <w:sz w:val="24"/>
          <w:szCs w:val="24"/>
          <w:lang w:val="ro-RO"/>
        </w:rPr>
      </w:pPr>
      <w:r w:rsidRPr="00D12BF1">
        <w:rPr>
          <w:sz w:val="24"/>
          <w:szCs w:val="24"/>
          <w:lang w:val="ro-RO"/>
        </w:rPr>
        <w:t>Stația SV3 – 7 depășiri</w:t>
      </w:r>
    </w:p>
    <w:p w:rsidR="00D12BF1" w:rsidRPr="00D12BF1" w:rsidRDefault="00D12BF1" w:rsidP="00056E51">
      <w:pPr>
        <w:widowControl w:val="0"/>
        <w:spacing w:after="0" w:line="240" w:lineRule="auto"/>
        <w:jc w:val="both"/>
        <w:rPr>
          <w:rFonts w:ascii="Times New Roman" w:hAnsi="Times New Roman"/>
          <w:sz w:val="24"/>
          <w:szCs w:val="24"/>
          <w:lang w:val="ro-RO"/>
        </w:rPr>
      </w:pPr>
      <w:r w:rsidRPr="00D12BF1">
        <w:rPr>
          <w:rFonts w:ascii="Times New Roman" w:hAnsi="Times New Roman"/>
          <w:sz w:val="24"/>
          <w:szCs w:val="24"/>
          <w:lang w:val="ro-RO"/>
        </w:rPr>
        <w:t>- numărul de depășiri din anul 2019, prezentat în fig. 1.6.2, se situează sub numărul maxim admis de depășiri ale VL zilnice într-un an calendaristic (maxim 35 valori/an), în toate stațiile de monitorizare.</w:t>
      </w:r>
    </w:p>
    <w:p w:rsidR="00FE5073" w:rsidRPr="00D12BF1" w:rsidRDefault="00FE5073" w:rsidP="00FA20FC">
      <w:pPr>
        <w:widowControl w:val="0"/>
        <w:spacing w:after="0" w:line="240" w:lineRule="auto"/>
        <w:ind w:firstLine="709"/>
        <w:jc w:val="both"/>
        <w:rPr>
          <w:rFonts w:ascii="Times New Roman" w:hAnsi="Times New Roman"/>
          <w:color w:val="FF0000"/>
          <w:sz w:val="24"/>
          <w:szCs w:val="24"/>
          <w:lang w:val="ro-RO"/>
        </w:rPr>
      </w:pPr>
    </w:p>
    <w:p w:rsidR="00FA20FC" w:rsidRPr="00D12BF1" w:rsidRDefault="00FA20FC" w:rsidP="00FA20FC">
      <w:pPr>
        <w:widowControl w:val="0"/>
        <w:spacing w:after="0" w:line="240" w:lineRule="auto"/>
        <w:jc w:val="both"/>
        <w:rPr>
          <w:rFonts w:ascii="Times New Roman" w:hAnsi="Times New Roman"/>
          <w:b/>
          <w:sz w:val="24"/>
          <w:szCs w:val="24"/>
          <w:lang w:val="ro-RO"/>
        </w:rPr>
      </w:pPr>
      <w:r w:rsidRPr="00D12BF1">
        <w:rPr>
          <w:rFonts w:ascii="Times New Roman" w:hAnsi="Times New Roman"/>
          <w:b/>
          <w:sz w:val="24"/>
          <w:szCs w:val="24"/>
          <w:lang w:val="ro-RO"/>
        </w:rPr>
        <w:t>2.</w:t>
      </w:r>
      <w:r w:rsidRPr="00D12BF1">
        <w:rPr>
          <w:rFonts w:ascii="Times New Roman" w:hAnsi="Times New Roman"/>
          <w:sz w:val="24"/>
          <w:szCs w:val="24"/>
          <w:lang w:val="ro-RO"/>
        </w:rPr>
        <w:t> </w:t>
      </w:r>
      <w:r w:rsidRPr="00D12BF1">
        <w:rPr>
          <w:rFonts w:ascii="Times New Roman" w:hAnsi="Times New Roman"/>
          <w:b/>
          <w:sz w:val="24"/>
          <w:szCs w:val="24"/>
          <w:lang w:val="ro-RO"/>
        </w:rPr>
        <w:t>RADIOACTIVITATEA MEDIULUI</w:t>
      </w:r>
    </w:p>
    <w:p w:rsidR="00D12BF1" w:rsidRPr="00D12BF1" w:rsidRDefault="00D12BF1" w:rsidP="00FA20FC">
      <w:pPr>
        <w:widowControl w:val="0"/>
        <w:spacing w:after="0" w:line="240" w:lineRule="auto"/>
        <w:jc w:val="both"/>
        <w:rPr>
          <w:rFonts w:ascii="Times New Roman" w:hAnsi="Times New Roman"/>
          <w:b/>
          <w:sz w:val="16"/>
          <w:szCs w:val="16"/>
          <w:lang w:val="ro-RO"/>
        </w:rPr>
      </w:pPr>
    </w:p>
    <w:p w:rsidR="00D12BF1" w:rsidRPr="00D12BF1" w:rsidRDefault="00D12BF1" w:rsidP="00D12BF1">
      <w:pPr>
        <w:pStyle w:val="Style1"/>
        <w:adjustRightInd/>
        <w:ind w:firstLine="708"/>
        <w:jc w:val="both"/>
        <w:rPr>
          <w:sz w:val="24"/>
          <w:szCs w:val="24"/>
          <w:lang w:val="ro-RO"/>
        </w:rPr>
      </w:pPr>
      <w:r w:rsidRPr="00D12BF1">
        <w:rPr>
          <w:sz w:val="24"/>
          <w:szCs w:val="24"/>
          <w:lang w:val="ro-RO"/>
        </w:rPr>
        <w:t xml:space="preserve">Radioactivitatea naturală se datorează prezenţei în mediu a substanţelor radioactive de origine terestră, existente în mod natural din cele mai vechi timpuri, la care se adaugă radiaţia cosmică. </w:t>
      </w:r>
    </w:p>
    <w:p w:rsidR="00D12BF1" w:rsidRPr="00D12BF1" w:rsidRDefault="00D12BF1" w:rsidP="00D12BF1">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 xml:space="preserve">Programele de supraveghere a radioactivităţii mediului de către Staţia de Supraveghere a Radioactivităţii Mediului (SSRM) din cadrul A.P.M. Suceava, procedurile metodologice şi instrucţiunile de lucru sunt stabilite de Laboratorul Naţional de Radioactivitate a Mediului din cadrul A.N.P.M., conform </w:t>
      </w:r>
      <w:r w:rsidRPr="00D12BF1">
        <w:rPr>
          <w:rFonts w:ascii="Times New Roman" w:hAnsi="Times New Roman"/>
          <w:i/>
          <w:sz w:val="24"/>
          <w:szCs w:val="24"/>
          <w:lang w:val="ro-RO"/>
        </w:rPr>
        <w:t>Ordinului M.M.P. nr. 1978/2010 de aprobare a Regulamentului de organizare şi funcţionare a Reţelei Naţionale de Supraveghere a Radioactivităţii Mediului</w:t>
      </w:r>
      <w:r w:rsidRPr="00D12BF1">
        <w:rPr>
          <w:rFonts w:ascii="Times New Roman" w:hAnsi="Times New Roman"/>
          <w:sz w:val="24"/>
          <w:szCs w:val="24"/>
          <w:lang w:val="ro-RO"/>
        </w:rPr>
        <w:t>.</w:t>
      </w:r>
    </w:p>
    <w:p w:rsidR="00D12BF1" w:rsidRPr="00D12BF1" w:rsidRDefault="00D12BF1" w:rsidP="00D12BF1">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 xml:space="preserve">S.S.R.M. Suceava derulează un </w:t>
      </w:r>
      <w:r w:rsidRPr="00D12BF1">
        <w:rPr>
          <w:rFonts w:ascii="Times New Roman" w:hAnsi="Times New Roman"/>
          <w:b/>
          <w:sz w:val="24"/>
          <w:szCs w:val="24"/>
          <w:lang w:val="ro-RO"/>
        </w:rPr>
        <w:t>program</w:t>
      </w:r>
      <w:r w:rsidRPr="00D12BF1">
        <w:rPr>
          <w:rFonts w:ascii="Times New Roman" w:hAnsi="Times New Roman"/>
          <w:sz w:val="24"/>
          <w:szCs w:val="24"/>
          <w:lang w:val="ro-RO"/>
        </w:rPr>
        <w:t xml:space="preserve"> </w:t>
      </w:r>
      <w:r w:rsidRPr="00D12BF1">
        <w:rPr>
          <w:rFonts w:ascii="Times New Roman" w:hAnsi="Times New Roman"/>
          <w:b/>
          <w:sz w:val="24"/>
          <w:szCs w:val="24"/>
          <w:lang w:val="ro-RO"/>
        </w:rPr>
        <w:t>standard</w:t>
      </w:r>
      <w:r w:rsidRPr="00D12BF1">
        <w:rPr>
          <w:rFonts w:ascii="Times New Roman" w:hAnsi="Times New Roman"/>
          <w:sz w:val="24"/>
          <w:szCs w:val="24"/>
          <w:lang w:val="ro-RO"/>
        </w:rPr>
        <w:t xml:space="preserve"> de 11 ore/zi, de recoltare şi măsurări privind radioactivitatea mediului (activitatea beta globală la aerosoli, depuneri atmosferice, apă de suprafaţă, </w:t>
      </w:r>
      <w:r w:rsidRPr="00D12BF1">
        <w:rPr>
          <w:rFonts w:ascii="Times New Roman" w:hAnsi="Times New Roman"/>
          <w:sz w:val="24"/>
          <w:szCs w:val="24"/>
          <w:lang w:val="ro-RO"/>
        </w:rPr>
        <w:lastRenderedPageBreak/>
        <w:t xml:space="preserve">vegetaţie spontană, sol necultivat şi măsurarea debitului de doză gamma absorbită în aer), conceput astfel încât să asigure decelarea variaţiilor în nivelele de radioactivitate datorate fluctuaţiilor fondului natural, de creşterile asociate unor posibile evenimente cu impact radiologic. </w:t>
      </w:r>
    </w:p>
    <w:p w:rsidR="00D12BF1" w:rsidRPr="00D12BF1" w:rsidRDefault="00D12BF1" w:rsidP="00D12BF1">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 xml:space="preserve">Conform </w:t>
      </w:r>
      <w:r w:rsidRPr="00D12BF1">
        <w:rPr>
          <w:rFonts w:ascii="Times New Roman" w:hAnsi="Times New Roman"/>
          <w:i/>
          <w:sz w:val="24"/>
          <w:szCs w:val="24"/>
          <w:lang w:val="ro-RO"/>
        </w:rPr>
        <w:t xml:space="preserve">Ordinului M.M.P. nr. 1978/2010, </w:t>
      </w:r>
      <w:r w:rsidRPr="00D12BF1">
        <w:rPr>
          <w:rFonts w:ascii="Times New Roman" w:hAnsi="Times New Roman"/>
          <w:sz w:val="24"/>
          <w:szCs w:val="24"/>
          <w:lang w:val="ro-RO"/>
        </w:rPr>
        <w:t xml:space="preserve">S.S.R.M. Suceava derulează anual şi un </w:t>
      </w:r>
      <w:r w:rsidRPr="00D12BF1">
        <w:rPr>
          <w:rFonts w:ascii="Times New Roman" w:hAnsi="Times New Roman"/>
          <w:b/>
          <w:sz w:val="24"/>
          <w:szCs w:val="24"/>
          <w:lang w:val="ro-RO"/>
        </w:rPr>
        <w:t>program special</w:t>
      </w:r>
      <w:r w:rsidRPr="00D12BF1">
        <w:rPr>
          <w:rFonts w:ascii="Times New Roman" w:hAnsi="Times New Roman"/>
          <w:sz w:val="24"/>
          <w:szCs w:val="24"/>
          <w:lang w:val="ro-RO"/>
        </w:rPr>
        <w:t xml:space="preserve"> de supraveghere a radioactivităţii mediului în zonele cu fondul natural modificat antropic din judeţ, aprobat anual,</w:t>
      </w:r>
      <w:r w:rsidRPr="00D12BF1">
        <w:rPr>
          <w:rFonts w:ascii="Times New Roman" w:hAnsi="Times New Roman"/>
          <w:b/>
          <w:sz w:val="24"/>
          <w:szCs w:val="24"/>
          <w:lang w:val="ro-RO"/>
        </w:rPr>
        <w:t xml:space="preserve"> </w:t>
      </w:r>
      <w:r w:rsidRPr="00D12BF1">
        <w:rPr>
          <w:rFonts w:ascii="Times New Roman" w:hAnsi="Times New Roman"/>
          <w:sz w:val="24"/>
          <w:szCs w:val="24"/>
          <w:lang w:val="ro-RO"/>
        </w:rPr>
        <w:t xml:space="preserve">cu prelevări de probe (ape de suprafaţă şi freatice, sol, vegetaţie, sediment de râu) şi măsurători alfa şi beta globale, trimestriale, semestriale sau anuale. </w:t>
      </w:r>
    </w:p>
    <w:p w:rsidR="00D12BF1" w:rsidRPr="00D12BF1" w:rsidRDefault="00D12BF1" w:rsidP="00D12BF1">
      <w:pPr>
        <w:widowControl w:val="0"/>
        <w:spacing w:after="0" w:line="240" w:lineRule="auto"/>
        <w:rPr>
          <w:rFonts w:ascii="Times New Roman" w:hAnsi="Times New Roman"/>
          <w:i/>
          <w:sz w:val="16"/>
          <w:szCs w:val="16"/>
          <w:lang w:val="ro-RO"/>
        </w:rPr>
      </w:pPr>
    </w:p>
    <w:p w:rsidR="00D12BF1" w:rsidRPr="00D12BF1" w:rsidRDefault="00D12BF1" w:rsidP="00D12BF1">
      <w:pPr>
        <w:widowControl w:val="0"/>
        <w:spacing w:after="0" w:line="240" w:lineRule="auto"/>
        <w:jc w:val="both"/>
        <w:rPr>
          <w:rFonts w:ascii="Times New Roman" w:hAnsi="Times New Roman"/>
          <w:sz w:val="24"/>
          <w:szCs w:val="24"/>
          <w:lang w:val="ro-RO"/>
        </w:rPr>
      </w:pPr>
      <w:r w:rsidRPr="00D12BF1">
        <w:rPr>
          <w:rFonts w:ascii="Times New Roman" w:hAnsi="Times New Roman"/>
          <w:b/>
          <w:i/>
          <w:sz w:val="24"/>
          <w:szCs w:val="24"/>
          <w:lang w:val="ro-RO"/>
        </w:rPr>
        <w:t>2.1. Debitul dozei gamma în aer</w:t>
      </w:r>
      <w:r w:rsidRPr="00D12BF1">
        <w:rPr>
          <w:rFonts w:ascii="Times New Roman" w:hAnsi="Times New Roman"/>
          <w:sz w:val="24"/>
          <w:szCs w:val="24"/>
          <w:lang w:val="ro-RO"/>
        </w:rPr>
        <w:t xml:space="preserve"> </w:t>
      </w:r>
    </w:p>
    <w:p w:rsidR="00D12BF1" w:rsidRPr="00D12BF1" w:rsidRDefault="00D12BF1" w:rsidP="00D12BF1">
      <w:pPr>
        <w:widowControl w:val="0"/>
        <w:spacing w:after="0" w:line="240" w:lineRule="auto"/>
        <w:rPr>
          <w:rFonts w:ascii="Times New Roman" w:hAnsi="Times New Roman"/>
          <w:i/>
          <w:sz w:val="10"/>
          <w:szCs w:val="10"/>
          <w:lang w:val="ro-RO"/>
        </w:rPr>
      </w:pPr>
    </w:p>
    <w:p w:rsidR="00D12BF1" w:rsidRPr="00D12BF1" w:rsidRDefault="00D12BF1" w:rsidP="00D12BF1">
      <w:pPr>
        <w:pStyle w:val="Default"/>
        <w:widowControl w:val="0"/>
        <w:ind w:firstLine="720"/>
        <w:jc w:val="both"/>
        <w:rPr>
          <w:rFonts w:ascii="Times New Roman" w:eastAsia="Calibri" w:hAnsi="Times New Roman" w:cs="Times New Roman"/>
          <w:color w:val="auto"/>
        </w:rPr>
      </w:pPr>
      <w:r w:rsidRPr="00D12BF1">
        <w:rPr>
          <w:rFonts w:ascii="Times New Roman" w:eastAsia="Calibri" w:hAnsi="Times New Roman" w:cs="Times New Roman"/>
          <w:color w:val="auto"/>
        </w:rPr>
        <w:t xml:space="preserve">Nivelul debitului dozei gamma ambientale este monitorizat continuu, prin valori medii orare, în staţia automată de doză gamma din aer, amplasată la sediul A.P.M. Suceava.  </w:t>
      </w:r>
    </w:p>
    <w:p w:rsidR="00D12BF1" w:rsidRPr="00D12BF1" w:rsidRDefault="00D12BF1" w:rsidP="00D12BF1">
      <w:pPr>
        <w:pStyle w:val="Default"/>
        <w:widowControl w:val="0"/>
        <w:ind w:firstLine="720"/>
        <w:jc w:val="both"/>
        <w:rPr>
          <w:rFonts w:ascii="Times New Roman" w:eastAsia="Calibri" w:hAnsi="Times New Roman" w:cs="Times New Roman"/>
          <w:color w:val="auto"/>
          <w:sz w:val="16"/>
          <w:szCs w:val="16"/>
        </w:rPr>
      </w:pPr>
    </w:p>
    <w:p w:rsidR="00D12BF1" w:rsidRPr="00D12BF1" w:rsidRDefault="00D12BF1" w:rsidP="00D12BF1">
      <w:pPr>
        <w:pStyle w:val="Default"/>
        <w:widowControl w:val="0"/>
        <w:jc w:val="center"/>
        <w:rPr>
          <w:rFonts w:ascii="Times New Roman" w:eastAsia="Calibri" w:hAnsi="Times New Roman" w:cs="Times New Roman"/>
          <w:color w:val="auto"/>
        </w:rPr>
      </w:pPr>
      <w:r w:rsidRPr="00D12BF1">
        <w:rPr>
          <w:rFonts w:ascii="Times New Roman" w:eastAsia="Calibri" w:hAnsi="Times New Roman" w:cs="Times New Roman"/>
          <w:color w:val="auto"/>
        </w:rPr>
        <w:t xml:space="preserve">Fig. 2.1.1. Debitul dozei gamma în aer (µSv/h) - medii şi maxime </w:t>
      </w:r>
    </w:p>
    <w:p w:rsidR="00D12BF1" w:rsidRPr="00D12BF1" w:rsidRDefault="00D12BF1" w:rsidP="00D12BF1">
      <w:pPr>
        <w:pStyle w:val="Default"/>
        <w:widowControl w:val="0"/>
        <w:jc w:val="center"/>
        <w:rPr>
          <w:rFonts w:ascii="Times New Roman" w:eastAsia="Calibri" w:hAnsi="Times New Roman" w:cs="Times New Roman"/>
          <w:color w:val="auto"/>
        </w:rPr>
      </w:pPr>
      <w:r w:rsidRPr="00D12BF1">
        <w:rPr>
          <w:rFonts w:ascii="Times New Roman" w:eastAsia="Calibri" w:hAnsi="Times New Roman" w:cs="Times New Roman"/>
          <w:noProof/>
          <w:color w:val="auto"/>
          <w:lang w:eastAsia="ro-RO"/>
        </w:rPr>
        <w:drawing>
          <wp:anchor distT="0" distB="0" distL="114300" distR="114300" simplePos="0" relativeHeight="251675136" behindDoc="0" locked="0" layoutInCell="1" allowOverlap="1">
            <wp:simplePos x="0" y="0"/>
            <wp:positionH relativeFrom="margin">
              <wp:align>center</wp:align>
            </wp:positionH>
            <wp:positionV relativeFrom="paragraph">
              <wp:posOffset>198755</wp:posOffset>
            </wp:positionV>
            <wp:extent cx="5105400" cy="1409700"/>
            <wp:effectExtent l="0" t="0" r="0" b="0"/>
            <wp:wrapTopAndBottom/>
            <wp:docPr id="13"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D12BF1">
        <w:rPr>
          <w:rFonts w:ascii="Times New Roman" w:eastAsia="Calibri" w:hAnsi="Times New Roman" w:cs="Times New Roman"/>
          <w:color w:val="auto"/>
        </w:rPr>
        <w:t>în luna ianuarie 2019, comparativ cu luna decembrie 2018</w:t>
      </w:r>
    </w:p>
    <w:p w:rsidR="00D12BF1" w:rsidRPr="00D12BF1" w:rsidRDefault="00D12BF1" w:rsidP="00D12BF1">
      <w:pPr>
        <w:widowControl w:val="0"/>
        <w:spacing w:after="0" w:line="240" w:lineRule="auto"/>
        <w:jc w:val="both"/>
        <w:rPr>
          <w:rFonts w:ascii="Times New Roman" w:hAnsi="Times New Roman"/>
          <w:sz w:val="6"/>
          <w:szCs w:val="6"/>
          <w:lang w:val="ro-RO"/>
        </w:rPr>
      </w:pPr>
      <w:r w:rsidRPr="00D12BF1">
        <w:rPr>
          <w:rFonts w:ascii="Times New Roman" w:hAnsi="Times New Roman"/>
          <w:sz w:val="6"/>
          <w:szCs w:val="6"/>
          <w:lang w:val="ro-RO"/>
        </w:rPr>
        <w:tab/>
      </w:r>
    </w:p>
    <w:p w:rsidR="00D12BF1" w:rsidRPr="00056E51" w:rsidRDefault="00D12BF1" w:rsidP="00D12BF1">
      <w:pPr>
        <w:widowControl w:val="0"/>
        <w:spacing w:after="0" w:line="240" w:lineRule="auto"/>
        <w:ind w:firstLine="720"/>
        <w:jc w:val="both"/>
        <w:rPr>
          <w:rFonts w:ascii="Times New Roman" w:hAnsi="Times New Roman"/>
          <w:sz w:val="24"/>
          <w:szCs w:val="24"/>
          <w:lang w:val="ro-RO"/>
        </w:rPr>
      </w:pPr>
      <w:r w:rsidRPr="00056E51">
        <w:rPr>
          <w:rFonts w:ascii="Times New Roman" w:hAnsi="Times New Roman"/>
          <w:sz w:val="24"/>
          <w:szCs w:val="24"/>
          <w:lang w:val="ro-RO"/>
        </w:rPr>
        <w:t xml:space="preserve">Din fig. 2.1.1 se observă că valoarea </w:t>
      </w:r>
      <w:r w:rsidR="00056E51" w:rsidRPr="00056E51">
        <w:rPr>
          <w:rFonts w:ascii="Times New Roman" w:hAnsi="Times New Roman"/>
          <w:sz w:val="24"/>
          <w:szCs w:val="24"/>
          <w:lang w:val="ro-RO"/>
        </w:rPr>
        <w:t>medie</w:t>
      </w:r>
      <w:r w:rsidRPr="00056E51">
        <w:rPr>
          <w:rFonts w:ascii="Times New Roman" w:hAnsi="Times New Roman"/>
          <w:sz w:val="24"/>
          <w:szCs w:val="24"/>
          <w:lang w:val="ro-RO"/>
        </w:rPr>
        <w:t xml:space="preserve"> a debitului dozei gamma este </w:t>
      </w:r>
      <w:r w:rsidR="00807AAC">
        <w:rPr>
          <w:rFonts w:ascii="Times New Roman" w:hAnsi="Times New Roman"/>
          <w:sz w:val="24"/>
          <w:szCs w:val="24"/>
          <w:lang w:val="ro-RO"/>
        </w:rPr>
        <w:t>similară</w:t>
      </w:r>
      <w:r w:rsidRPr="00056E51">
        <w:rPr>
          <w:rFonts w:ascii="Times New Roman" w:hAnsi="Times New Roman"/>
          <w:sz w:val="24"/>
          <w:szCs w:val="24"/>
          <w:lang w:val="ro-RO"/>
        </w:rPr>
        <w:t xml:space="preserve"> de cea din luna anterioară.</w:t>
      </w:r>
    </w:p>
    <w:p w:rsidR="00D12BF1" w:rsidRPr="00D12BF1" w:rsidRDefault="00D12BF1" w:rsidP="00D12BF1">
      <w:pPr>
        <w:widowControl w:val="0"/>
        <w:spacing w:after="0" w:line="240" w:lineRule="auto"/>
        <w:rPr>
          <w:rFonts w:ascii="Times New Roman" w:hAnsi="Times New Roman"/>
          <w:i/>
          <w:sz w:val="16"/>
          <w:szCs w:val="16"/>
          <w:lang w:val="ro-RO"/>
        </w:rPr>
      </w:pPr>
    </w:p>
    <w:p w:rsidR="00D12BF1" w:rsidRPr="00D12BF1" w:rsidRDefault="00D12BF1" w:rsidP="00D12BF1">
      <w:pPr>
        <w:widowControl w:val="0"/>
        <w:spacing w:after="0" w:line="240" w:lineRule="auto"/>
        <w:jc w:val="both"/>
        <w:rPr>
          <w:rFonts w:ascii="Times New Roman" w:hAnsi="Times New Roman"/>
          <w:b/>
          <w:i/>
          <w:sz w:val="24"/>
          <w:szCs w:val="24"/>
          <w:lang w:val="ro-RO"/>
        </w:rPr>
      </w:pPr>
      <w:r w:rsidRPr="00D12BF1">
        <w:rPr>
          <w:rFonts w:ascii="Times New Roman" w:hAnsi="Times New Roman"/>
          <w:b/>
          <w:i/>
          <w:sz w:val="24"/>
          <w:szCs w:val="24"/>
          <w:lang w:val="ro-RO"/>
        </w:rPr>
        <w:t>2.2. Aerosoli atmosferici</w:t>
      </w:r>
    </w:p>
    <w:p w:rsidR="00D12BF1" w:rsidRPr="00D12BF1" w:rsidRDefault="00D12BF1" w:rsidP="00D12BF1">
      <w:pPr>
        <w:widowControl w:val="0"/>
        <w:spacing w:after="0" w:line="240" w:lineRule="auto"/>
        <w:rPr>
          <w:rFonts w:ascii="Times New Roman" w:hAnsi="Times New Roman"/>
          <w:i/>
          <w:sz w:val="10"/>
          <w:szCs w:val="10"/>
          <w:lang w:val="ro-RO"/>
        </w:rPr>
      </w:pPr>
    </w:p>
    <w:p w:rsidR="00D12BF1" w:rsidRPr="00D12BF1" w:rsidRDefault="00D12BF1" w:rsidP="00D12BF1">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 xml:space="preserve">S.S.R.M. realizează 2 prelevări pe zi ale aerosolilor atmosferici, fiecare cu durata de 5 ore, efectuând măsurători beta globale astfel: imediat după prelevare (măsurători imediate), după 25 ore de la încetarea prelevării (determinare Rn şi Tn) şi după 5 zile (măsurători întârziate). </w:t>
      </w:r>
    </w:p>
    <w:p w:rsidR="00D12BF1" w:rsidRPr="00D12BF1" w:rsidRDefault="00D12BF1" w:rsidP="00D12BF1">
      <w:pPr>
        <w:widowControl w:val="0"/>
        <w:spacing w:after="0" w:line="240" w:lineRule="auto"/>
        <w:rPr>
          <w:rFonts w:ascii="Times New Roman" w:hAnsi="Times New Roman"/>
          <w:i/>
          <w:sz w:val="10"/>
          <w:szCs w:val="10"/>
          <w:lang w:val="ro-RO"/>
        </w:rPr>
      </w:pPr>
    </w:p>
    <w:p w:rsidR="00D12BF1" w:rsidRPr="00D12BF1" w:rsidRDefault="00D12BF1" w:rsidP="00D12BF1">
      <w:pPr>
        <w:widowControl w:val="0"/>
        <w:spacing w:after="0" w:line="240" w:lineRule="auto"/>
        <w:jc w:val="both"/>
        <w:rPr>
          <w:rFonts w:ascii="Times New Roman" w:hAnsi="Times New Roman"/>
          <w:b/>
          <w:sz w:val="24"/>
          <w:szCs w:val="24"/>
          <w:lang w:val="ro-RO"/>
        </w:rPr>
      </w:pPr>
      <w:r w:rsidRPr="00D12BF1">
        <w:rPr>
          <w:rFonts w:ascii="Times New Roman" w:hAnsi="Times New Roman"/>
          <w:b/>
          <w:sz w:val="24"/>
          <w:szCs w:val="24"/>
          <w:lang w:val="ro-RO"/>
        </w:rPr>
        <w:t xml:space="preserve">2.2.1. </w:t>
      </w:r>
      <w:r w:rsidRPr="00D12BF1">
        <w:rPr>
          <w:rFonts w:ascii="Times New Roman" w:hAnsi="Times New Roman"/>
          <w:sz w:val="24"/>
          <w:szCs w:val="24"/>
          <w:u w:val="single"/>
          <w:lang w:val="ro-RO"/>
        </w:rPr>
        <w:t>Activități beta globale ale aerosolilor atmosferici, măsurători imediate</w:t>
      </w:r>
      <w:r w:rsidRPr="00D12BF1">
        <w:rPr>
          <w:rFonts w:ascii="Times New Roman" w:hAnsi="Times New Roman"/>
          <w:b/>
          <w:sz w:val="24"/>
          <w:szCs w:val="24"/>
          <w:lang w:val="ro-RO"/>
        </w:rPr>
        <w:t xml:space="preserve"> </w:t>
      </w:r>
    </w:p>
    <w:p w:rsidR="00D12BF1" w:rsidRPr="00D12BF1" w:rsidRDefault="00D12BF1" w:rsidP="00D12BF1">
      <w:pPr>
        <w:widowControl w:val="0"/>
        <w:spacing w:after="0" w:line="240" w:lineRule="auto"/>
        <w:jc w:val="both"/>
        <w:rPr>
          <w:rFonts w:ascii="Times New Roman" w:hAnsi="Times New Roman"/>
          <w:b/>
          <w:sz w:val="10"/>
          <w:szCs w:val="10"/>
          <w:lang w:val="ro-RO"/>
        </w:rPr>
      </w:pPr>
    </w:p>
    <w:p w:rsidR="00D12BF1" w:rsidRPr="00D12BF1" w:rsidRDefault="00D12BF1" w:rsidP="00D12BF1">
      <w:pPr>
        <w:widowControl w:val="0"/>
        <w:spacing w:after="0" w:line="240" w:lineRule="auto"/>
        <w:jc w:val="center"/>
        <w:rPr>
          <w:rFonts w:ascii="Times New Roman" w:hAnsi="Times New Roman"/>
          <w:i/>
          <w:lang w:val="ro-RO"/>
        </w:rPr>
      </w:pPr>
      <w:r w:rsidRPr="00D12BF1">
        <w:rPr>
          <w:rFonts w:ascii="Times New Roman" w:hAnsi="Times New Roman"/>
          <w:lang w:val="ro-RO"/>
        </w:rPr>
        <w:t xml:space="preserve">Fig. 2.2.1.1. Aerosoli atmosferici, activităţi specifice beta globale </w:t>
      </w:r>
      <w:r w:rsidRPr="00D12BF1">
        <w:rPr>
          <w:rFonts w:ascii="Times New Roman" w:hAnsi="Times New Roman"/>
          <w:b/>
          <w:lang w:val="ro-RO"/>
        </w:rPr>
        <w:t>imediate</w:t>
      </w:r>
      <w:r w:rsidRPr="00D12BF1">
        <w:rPr>
          <w:rFonts w:ascii="Times New Roman" w:hAnsi="Times New Roman"/>
          <w:i/>
          <w:lang w:val="ro-RO"/>
        </w:rPr>
        <w:t xml:space="preserve"> –</w:t>
      </w: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valori medii şi maxime în luna ianuarie 2019, comparativ cu luna decembrie 2018</w:t>
      </w:r>
    </w:p>
    <w:tbl>
      <w:tblPr>
        <w:tblW w:w="9692" w:type="dxa"/>
        <w:tblLook w:val="01E0"/>
      </w:tblPr>
      <w:tblGrid>
        <w:gridCol w:w="4962"/>
        <w:gridCol w:w="4730"/>
      </w:tblGrid>
      <w:tr w:rsidR="00D12BF1" w:rsidRPr="00D12BF1" w:rsidTr="0072501D">
        <w:trPr>
          <w:trHeight w:val="1720"/>
        </w:trPr>
        <w:tc>
          <w:tcPr>
            <w:tcW w:w="4962" w:type="dxa"/>
            <w:vAlign w:val="center"/>
          </w:tcPr>
          <w:p w:rsidR="00D12BF1" w:rsidRPr="00D12BF1" w:rsidRDefault="00D12BF1" w:rsidP="0072501D">
            <w:pPr>
              <w:widowControl w:val="0"/>
              <w:spacing w:after="0" w:line="240" w:lineRule="auto"/>
              <w:jc w:val="center"/>
              <w:rPr>
                <w:rFonts w:ascii="Times New Roman" w:hAnsi="Times New Roman"/>
                <w:sz w:val="24"/>
                <w:szCs w:val="24"/>
                <w:lang w:val="ro-RO"/>
              </w:rPr>
            </w:pPr>
            <w:r w:rsidRPr="00D12BF1">
              <w:rPr>
                <w:rFonts w:ascii="Times New Roman" w:hAnsi="Times New Roman"/>
                <w:sz w:val="24"/>
                <w:szCs w:val="24"/>
                <w:lang w:val="ro-RO"/>
              </w:rPr>
              <w:t xml:space="preserve">   </w:t>
            </w:r>
            <w:r w:rsidRPr="00D12BF1">
              <w:rPr>
                <w:rFonts w:ascii="Times New Roman" w:hAnsi="Times New Roman"/>
                <w:noProof/>
                <w:sz w:val="24"/>
                <w:szCs w:val="24"/>
                <w:lang w:val="ro-RO" w:eastAsia="ro-RO"/>
              </w:rPr>
              <w:drawing>
                <wp:inline distT="0" distB="0" distL="0" distR="0">
                  <wp:extent cx="2867025" cy="1209675"/>
                  <wp:effectExtent l="0" t="0" r="0" b="0"/>
                  <wp:docPr id="14"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730" w:type="dxa"/>
            <w:vAlign w:val="center"/>
          </w:tcPr>
          <w:p w:rsidR="00D12BF1" w:rsidRPr="00D12BF1" w:rsidRDefault="00D12BF1" w:rsidP="0072501D">
            <w:pPr>
              <w:widowControl w:val="0"/>
              <w:spacing w:after="0" w:line="240" w:lineRule="auto"/>
              <w:jc w:val="center"/>
              <w:rPr>
                <w:rFonts w:ascii="Times New Roman" w:hAnsi="Times New Roman"/>
                <w:sz w:val="24"/>
                <w:szCs w:val="24"/>
                <w:lang w:val="ro-RO"/>
              </w:rPr>
            </w:pPr>
            <w:r w:rsidRPr="00D12BF1">
              <w:rPr>
                <w:rFonts w:ascii="Times New Roman" w:hAnsi="Times New Roman"/>
                <w:noProof/>
                <w:sz w:val="24"/>
                <w:szCs w:val="24"/>
                <w:lang w:val="ro-RO" w:eastAsia="ro-RO"/>
              </w:rPr>
              <w:drawing>
                <wp:inline distT="0" distB="0" distL="0" distR="0">
                  <wp:extent cx="2762250" cy="1190625"/>
                  <wp:effectExtent l="0" t="0" r="0" b="0"/>
                  <wp:docPr id="15"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D12BF1" w:rsidRPr="00D12BF1" w:rsidTr="0072501D">
        <w:trPr>
          <w:trHeight w:val="262"/>
        </w:trPr>
        <w:tc>
          <w:tcPr>
            <w:tcW w:w="4962" w:type="dxa"/>
          </w:tcPr>
          <w:p w:rsidR="00D12BF1" w:rsidRPr="00D12BF1" w:rsidRDefault="00D12BF1" w:rsidP="0072501D">
            <w:pPr>
              <w:widowControl w:val="0"/>
              <w:spacing w:after="0" w:line="240" w:lineRule="auto"/>
              <w:jc w:val="center"/>
              <w:rPr>
                <w:rFonts w:ascii="Times New Roman" w:hAnsi="Times New Roman"/>
                <w:i/>
                <w:sz w:val="24"/>
                <w:szCs w:val="24"/>
                <w:lang w:val="ro-RO"/>
              </w:rPr>
            </w:pPr>
            <w:r w:rsidRPr="00D12BF1">
              <w:rPr>
                <w:rFonts w:ascii="Times New Roman" w:hAnsi="Times New Roman"/>
                <w:i/>
                <w:sz w:val="24"/>
                <w:szCs w:val="24"/>
                <w:lang w:val="ro-RO"/>
              </w:rPr>
              <w:t>a. Aspiraţia de noapte 02:00 – 07:00</w:t>
            </w:r>
          </w:p>
        </w:tc>
        <w:tc>
          <w:tcPr>
            <w:tcW w:w="4730" w:type="dxa"/>
          </w:tcPr>
          <w:p w:rsidR="00D12BF1" w:rsidRPr="00D12BF1" w:rsidRDefault="00D12BF1" w:rsidP="0072501D">
            <w:pPr>
              <w:widowControl w:val="0"/>
              <w:spacing w:after="0" w:line="240" w:lineRule="auto"/>
              <w:jc w:val="center"/>
              <w:rPr>
                <w:rFonts w:ascii="Times New Roman" w:hAnsi="Times New Roman"/>
                <w:i/>
                <w:sz w:val="24"/>
                <w:szCs w:val="24"/>
                <w:lang w:val="ro-RO"/>
              </w:rPr>
            </w:pPr>
            <w:r w:rsidRPr="00D12BF1">
              <w:rPr>
                <w:rFonts w:ascii="Times New Roman" w:hAnsi="Times New Roman"/>
                <w:i/>
                <w:sz w:val="24"/>
                <w:szCs w:val="24"/>
                <w:lang w:val="ro-RO"/>
              </w:rPr>
              <w:t>b. Aspiraţia de zi 08:00 -13:00</w:t>
            </w:r>
          </w:p>
        </w:tc>
      </w:tr>
    </w:tbl>
    <w:p w:rsidR="00D12BF1" w:rsidRPr="00D12BF1" w:rsidRDefault="00D12BF1" w:rsidP="00D12BF1">
      <w:pPr>
        <w:pStyle w:val="Default"/>
        <w:widowControl w:val="0"/>
        <w:jc w:val="both"/>
        <w:rPr>
          <w:rFonts w:ascii="Times New Roman" w:hAnsi="Times New Roman" w:cs="Times New Roman"/>
          <w:i/>
          <w:color w:val="auto"/>
          <w:sz w:val="10"/>
          <w:szCs w:val="10"/>
        </w:rPr>
      </w:pPr>
    </w:p>
    <w:p w:rsidR="00D12BF1" w:rsidRPr="00D12BF1" w:rsidRDefault="00D12BF1" w:rsidP="00D12BF1">
      <w:pPr>
        <w:pStyle w:val="Default"/>
        <w:widowControl w:val="0"/>
        <w:jc w:val="both"/>
        <w:rPr>
          <w:rFonts w:ascii="Times New Roman" w:hAnsi="Times New Roman" w:cs="Times New Roman"/>
          <w:b/>
          <w:i/>
          <w:color w:val="auto"/>
          <w:sz w:val="20"/>
          <w:szCs w:val="20"/>
        </w:rPr>
      </w:pPr>
      <w:r w:rsidRPr="00D12BF1">
        <w:rPr>
          <w:rFonts w:ascii="Times New Roman" w:hAnsi="Times New Roman" w:cs="Times New Roman"/>
          <w:i/>
          <w:color w:val="auto"/>
          <w:sz w:val="20"/>
          <w:szCs w:val="20"/>
        </w:rPr>
        <w:t xml:space="preserve"> </w:t>
      </w:r>
      <w:r w:rsidRPr="00D12BF1">
        <w:rPr>
          <w:rFonts w:ascii="Times New Roman" w:hAnsi="Times New Roman" w:cs="Times New Roman"/>
          <w:b/>
          <w:i/>
          <w:color w:val="auto"/>
          <w:sz w:val="20"/>
          <w:szCs w:val="20"/>
        </w:rPr>
        <w:t>Notă:</w:t>
      </w:r>
      <w:r w:rsidRPr="00D12BF1">
        <w:rPr>
          <w:rFonts w:ascii="Times New Roman" w:hAnsi="Times New Roman" w:cs="Times New Roman"/>
          <w:i/>
          <w:color w:val="auto"/>
          <w:sz w:val="20"/>
          <w:szCs w:val="20"/>
        </w:rPr>
        <w:t xml:space="preserve"> </w:t>
      </w:r>
      <w:r w:rsidRPr="00D12BF1">
        <w:rPr>
          <w:rFonts w:ascii="Times New Roman" w:hAnsi="Times New Roman" w:cs="Times New Roman"/>
          <w:b/>
          <w:i/>
          <w:color w:val="auto"/>
          <w:sz w:val="20"/>
          <w:szCs w:val="20"/>
        </w:rPr>
        <w:t>limita de avertizare</w:t>
      </w:r>
      <w:r w:rsidRPr="00D12BF1">
        <w:rPr>
          <w:rFonts w:ascii="Times New Roman" w:hAnsi="Times New Roman" w:cs="Times New Roman"/>
          <w:i/>
          <w:color w:val="auto"/>
          <w:sz w:val="20"/>
          <w:szCs w:val="20"/>
        </w:rPr>
        <w:t xml:space="preserve"> pentru aerosolii atmosferici prin analiza beta globală </w:t>
      </w:r>
      <w:r w:rsidRPr="00D12BF1">
        <w:rPr>
          <w:rFonts w:ascii="Times New Roman" w:hAnsi="Times New Roman" w:cs="Times New Roman"/>
          <w:b/>
          <w:i/>
          <w:color w:val="auto"/>
          <w:sz w:val="20"/>
          <w:szCs w:val="20"/>
        </w:rPr>
        <w:t>imediată</w:t>
      </w:r>
      <w:r w:rsidRPr="00D12BF1">
        <w:rPr>
          <w:rFonts w:ascii="Times New Roman" w:hAnsi="Times New Roman" w:cs="Times New Roman"/>
          <w:i/>
          <w:color w:val="auto"/>
          <w:sz w:val="20"/>
          <w:szCs w:val="20"/>
        </w:rPr>
        <w:t xml:space="preserve"> este de </w:t>
      </w:r>
      <w:r w:rsidRPr="00D12BF1">
        <w:rPr>
          <w:rFonts w:ascii="Times New Roman" w:hAnsi="Times New Roman" w:cs="Times New Roman"/>
          <w:b/>
          <w:i/>
          <w:color w:val="auto"/>
          <w:sz w:val="20"/>
          <w:szCs w:val="20"/>
        </w:rPr>
        <w:t>50 Bq/m</w:t>
      </w:r>
      <w:r w:rsidRPr="00D12BF1">
        <w:rPr>
          <w:rFonts w:ascii="Times New Roman" w:hAnsi="Times New Roman" w:cs="Times New Roman"/>
          <w:b/>
          <w:i/>
          <w:color w:val="auto"/>
          <w:sz w:val="20"/>
          <w:szCs w:val="20"/>
          <w:vertAlign w:val="superscript"/>
        </w:rPr>
        <w:t>3</w:t>
      </w:r>
      <w:r w:rsidRPr="00D12BF1">
        <w:rPr>
          <w:rFonts w:ascii="Times New Roman" w:hAnsi="Times New Roman" w:cs="Times New Roman"/>
          <w:i/>
          <w:color w:val="auto"/>
          <w:sz w:val="20"/>
          <w:szCs w:val="20"/>
        </w:rPr>
        <w:t xml:space="preserve">(conform O.M. nr. 1978/2010). </w:t>
      </w:r>
    </w:p>
    <w:p w:rsidR="00D12BF1" w:rsidRPr="00D12BF1" w:rsidRDefault="00D12BF1" w:rsidP="00D12BF1">
      <w:pPr>
        <w:widowControl w:val="0"/>
        <w:spacing w:after="0" w:line="240" w:lineRule="auto"/>
        <w:jc w:val="center"/>
        <w:rPr>
          <w:rFonts w:ascii="Times New Roman" w:hAnsi="Times New Roman"/>
          <w:sz w:val="6"/>
          <w:szCs w:val="6"/>
          <w:lang w:val="ro-RO"/>
        </w:rPr>
      </w:pPr>
    </w:p>
    <w:p w:rsidR="00D12BF1" w:rsidRPr="00D12BF1" w:rsidRDefault="00D12BF1" w:rsidP="00D12BF1">
      <w:pPr>
        <w:pStyle w:val="Style1"/>
        <w:adjustRightInd/>
        <w:ind w:firstLine="720"/>
        <w:jc w:val="both"/>
        <w:rPr>
          <w:sz w:val="24"/>
          <w:szCs w:val="24"/>
          <w:lang w:val="ro-RO"/>
        </w:rPr>
      </w:pPr>
      <w:r w:rsidRPr="00D12BF1">
        <w:rPr>
          <w:sz w:val="24"/>
          <w:szCs w:val="24"/>
          <w:lang w:val="ro-RO"/>
        </w:rPr>
        <w:t xml:space="preserve">Toate valorile activităţii beta globale imediate a aerosolilor de noapte şi de zi s-au situat în limitele fondului natural. Valorile medii lunare au variat în limite normale faţă de cele din luna anterioară, coroborat și cu condițiile meteorologice, pentru  ambele prelevări (vezi fig. 2.2.1.1 a şi b).  </w:t>
      </w:r>
    </w:p>
    <w:p w:rsidR="00D12BF1" w:rsidRPr="00D12BF1" w:rsidRDefault="00D12BF1" w:rsidP="00D12BF1">
      <w:pPr>
        <w:widowControl w:val="0"/>
        <w:spacing w:after="0" w:line="240" w:lineRule="auto"/>
        <w:jc w:val="both"/>
        <w:rPr>
          <w:rFonts w:ascii="Times New Roman" w:hAnsi="Times New Roman"/>
          <w:b/>
          <w:i/>
          <w:sz w:val="10"/>
          <w:szCs w:val="10"/>
          <w:lang w:val="ro-RO"/>
        </w:rPr>
      </w:pPr>
    </w:p>
    <w:p w:rsidR="00D12BF1" w:rsidRPr="00D12BF1" w:rsidRDefault="00D12BF1" w:rsidP="00D12BF1">
      <w:pPr>
        <w:widowControl w:val="0"/>
        <w:spacing w:after="0" w:line="240" w:lineRule="auto"/>
        <w:jc w:val="both"/>
        <w:rPr>
          <w:rFonts w:ascii="Times New Roman" w:hAnsi="Times New Roman"/>
          <w:sz w:val="24"/>
          <w:szCs w:val="24"/>
          <w:u w:val="single"/>
          <w:lang w:val="ro-RO"/>
        </w:rPr>
      </w:pPr>
      <w:r w:rsidRPr="00D12BF1">
        <w:rPr>
          <w:rFonts w:ascii="Times New Roman" w:hAnsi="Times New Roman"/>
          <w:b/>
          <w:sz w:val="24"/>
          <w:szCs w:val="24"/>
          <w:lang w:val="ro-RO"/>
        </w:rPr>
        <w:t xml:space="preserve">2.2.2. </w:t>
      </w:r>
      <w:r w:rsidRPr="00D12BF1">
        <w:rPr>
          <w:rFonts w:ascii="Times New Roman" w:hAnsi="Times New Roman"/>
          <w:sz w:val="24"/>
          <w:szCs w:val="24"/>
          <w:u w:val="single"/>
          <w:lang w:val="ro-RO"/>
        </w:rPr>
        <w:t>Activități specifice ale Radonului şi Toronului</w:t>
      </w:r>
    </w:p>
    <w:p w:rsidR="00D12BF1" w:rsidRPr="00D12BF1" w:rsidRDefault="00D12BF1" w:rsidP="00D12BF1">
      <w:pPr>
        <w:widowControl w:val="0"/>
        <w:spacing w:after="0" w:line="240" w:lineRule="auto"/>
        <w:jc w:val="both"/>
        <w:rPr>
          <w:rFonts w:ascii="Times New Roman" w:hAnsi="Times New Roman"/>
          <w:sz w:val="8"/>
          <w:szCs w:val="8"/>
          <w:u w:val="single"/>
          <w:lang w:val="ro-RO"/>
        </w:rPr>
      </w:pPr>
    </w:p>
    <w:p w:rsidR="00D12BF1" w:rsidRPr="00D12BF1" w:rsidRDefault="00D12BF1" w:rsidP="00D12BF1">
      <w:pPr>
        <w:widowControl w:val="0"/>
        <w:spacing w:after="0" w:line="240" w:lineRule="auto"/>
        <w:ind w:firstLine="708"/>
        <w:jc w:val="both"/>
        <w:rPr>
          <w:rFonts w:ascii="Times New Roman" w:hAnsi="Times New Roman"/>
          <w:sz w:val="24"/>
          <w:szCs w:val="24"/>
          <w:lang w:val="ro-RO"/>
        </w:rPr>
      </w:pPr>
      <w:r w:rsidRPr="00D12BF1">
        <w:rPr>
          <w:rFonts w:ascii="Times New Roman" w:hAnsi="Times New Roman"/>
          <w:sz w:val="24"/>
          <w:szCs w:val="24"/>
          <w:lang w:val="ro-RO"/>
        </w:rPr>
        <w:t xml:space="preserve">Activitatea specifică a Radonului şi Toronului este determinată indirect, prin măsurarea beta globală a filtrelor pe care s-au aspirat aerosolii atmosferici, după 25 ore de la încetarea prelevării. </w:t>
      </w:r>
    </w:p>
    <w:p w:rsidR="00D12BF1" w:rsidRPr="00D12BF1" w:rsidRDefault="00D12BF1" w:rsidP="00D12BF1">
      <w:pPr>
        <w:widowControl w:val="0"/>
        <w:spacing w:after="0" w:line="240" w:lineRule="auto"/>
        <w:ind w:firstLine="708"/>
        <w:jc w:val="both"/>
        <w:rPr>
          <w:rFonts w:ascii="Times New Roman" w:hAnsi="Times New Roman"/>
          <w:sz w:val="24"/>
          <w:szCs w:val="24"/>
          <w:lang w:val="ro-RO"/>
        </w:rPr>
      </w:pPr>
      <w:r w:rsidRPr="00D12BF1">
        <w:rPr>
          <w:rFonts w:ascii="Times New Roman" w:hAnsi="Times New Roman"/>
          <w:sz w:val="24"/>
          <w:szCs w:val="24"/>
          <w:lang w:val="ro-RO"/>
        </w:rPr>
        <w:t xml:space="preserve">Radonul (Rn-222) şi Toronul (Rn-220) sunt produşi de filiaţie ai U-238 şi Th-232, aflaţi în stare gazoasă. Ei ajung în atmosferă, în urma exhalaţiei din sol şi roci, unde sunt supuşi fenomenelor de dispersie. Concentraţiile de Rn-222 şi Rn-220 în atmosferă variază sezonier, depinzând de condiţiile meteorologice, care influenţează atât viteza de emanaţie a gazelor din sol, cât şi diluţia/dispersia acestora în atmosferă. </w:t>
      </w:r>
    </w:p>
    <w:p w:rsidR="00D12BF1" w:rsidRPr="00D12BF1" w:rsidRDefault="00D12BF1" w:rsidP="00D12BF1">
      <w:pPr>
        <w:widowControl w:val="0"/>
        <w:spacing w:after="0" w:line="240" w:lineRule="auto"/>
        <w:ind w:firstLine="708"/>
        <w:jc w:val="both"/>
        <w:rPr>
          <w:rFonts w:ascii="Times New Roman" w:hAnsi="Times New Roman"/>
          <w:sz w:val="24"/>
          <w:szCs w:val="24"/>
          <w:lang w:val="ro-RO"/>
        </w:rPr>
      </w:pPr>
      <w:r w:rsidRPr="00D12BF1">
        <w:rPr>
          <w:rFonts w:ascii="Times New Roman" w:hAnsi="Times New Roman"/>
          <w:sz w:val="24"/>
          <w:szCs w:val="24"/>
          <w:lang w:val="ro-RO"/>
        </w:rPr>
        <w:lastRenderedPageBreak/>
        <w:t>Dispersia Radonului şi Toronului în atmosferă este puternic influenţată de variaţia diurnă a curenţilor de aer. Astfel, cele mai mari concentraţii în atmosferă se înregistrează în perioada de noapte, în intervalul de aspiraţie 02</w:t>
      </w:r>
      <w:r w:rsidRPr="00D12BF1">
        <w:rPr>
          <w:rFonts w:ascii="Times New Roman" w:hAnsi="Times New Roman"/>
          <w:sz w:val="24"/>
          <w:szCs w:val="24"/>
          <w:lang w:val="ro-RO"/>
        </w:rPr>
        <w:sym w:font="Symbol" w:char="F0B0"/>
      </w:r>
      <w:r w:rsidRPr="00D12BF1">
        <w:rPr>
          <w:rFonts w:ascii="Times New Roman" w:hAnsi="Times New Roman"/>
          <w:sz w:val="24"/>
          <w:szCs w:val="24"/>
          <w:lang w:val="ro-RO"/>
        </w:rPr>
        <w:sym w:font="Symbol" w:char="F0B0"/>
      </w:r>
      <w:r w:rsidRPr="00D12BF1">
        <w:rPr>
          <w:rFonts w:ascii="Times New Roman" w:hAnsi="Times New Roman"/>
          <w:sz w:val="24"/>
          <w:szCs w:val="24"/>
          <w:lang w:val="ro-RO"/>
        </w:rPr>
        <w:t>- 07°°, valorile maxime fiind atinse spre dimineaţă, când apare o perioadă de acalmie a curenţilor de aer. Odată cu creşterea temperaturii, pe timpul zilei, apar curenţii de convecţie, care contribuie la dispersia Radonului şi Toronului acumulat peste noapte în păturile inferioare ale atmosferei.</w:t>
      </w:r>
    </w:p>
    <w:p w:rsidR="00D12BF1" w:rsidRPr="00D12BF1" w:rsidRDefault="00D12BF1" w:rsidP="00D12BF1">
      <w:pPr>
        <w:widowControl w:val="0"/>
        <w:spacing w:after="0" w:line="240" w:lineRule="auto"/>
        <w:ind w:firstLine="708"/>
        <w:jc w:val="both"/>
        <w:rPr>
          <w:rFonts w:ascii="Times New Roman" w:hAnsi="Times New Roman"/>
          <w:sz w:val="6"/>
          <w:szCs w:val="6"/>
          <w:lang w:val="ro-RO"/>
        </w:rPr>
      </w:pP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Fig. 2.2.2.1. Activităţi specifice ale  Radonului (</w:t>
      </w:r>
      <w:r w:rsidRPr="00D12BF1">
        <w:rPr>
          <w:rFonts w:ascii="Times New Roman" w:hAnsi="Times New Roman"/>
          <w:b/>
          <w:lang w:val="ro-RO"/>
        </w:rPr>
        <w:t>Rn-222</w:t>
      </w:r>
      <w:r w:rsidRPr="00D12BF1">
        <w:rPr>
          <w:rFonts w:ascii="Times New Roman" w:hAnsi="Times New Roman"/>
          <w:lang w:val="ro-RO"/>
        </w:rPr>
        <w:t>) în atmosfera liberă</w:t>
      </w: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 valori medii şi maxime în luna ianuarie 2019, comparativ cu luna decembrie 2018</w:t>
      </w:r>
    </w:p>
    <w:tbl>
      <w:tblPr>
        <w:tblW w:w="9798" w:type="dxa"/>
        <w:tblLayout w:type="fixed"/>
        <w:tblLook w:val="01E0"/>
      </w:tblPr>
      <w:tblGrid>
        <w:gridCol w:w="5019"/>
        <w:gridCol w:w="4779"/>
      </w:tblGrid>
      <w:tr w:rsidR="00D12BF1" w:rsidRPr="00D12BF1" w:rsidTr="0072501D">
        <w:trPr>
          <w:trHeight w:val="1726"/>
        </w:trPr>
        <w:tc>
          <w:tcPr>
            <w:tcW w:w="5019" w:type="dxa"/>
            <w:vAlign w:val="center"/>
          </w:tcPr>
          <w:p w:rsidR="00D12BF1" w:rsidRPr="00D12BF1" w:rsidRDefault="00D12BF1" w:rsidP="0072501D">
            <w:pPr>
              <w:widowControl w:val="0"/>
              <w:spacing w:after="0" w:line="240" w:lineRule="auto"/>
              <w:jc w:val="center"/>
              <w:rPr>
                <w:rFonts w:ascii="Times New Roman" w:hAnsi="Times New Roman"/>
                <w:sz w:val="24"/>
                <w:szCs w:val="24"/>
                <w:lang w:val="ro-RO"/>
              </w:rPr>
            </w:pPr>
            <w:r w:rsidRPr="00D12BF1">
              <w:rPr>
                <w:rFonts w:ascii="Times New Roman" w:hAnsi="Times New Roman"/>
                <w:noProof/>
                <w:sz w:val="24"/>
                <w:szCs w:val="24"/>
                <w:lang w:val="ro-RO" w:eastAsia="ro-RO"/>
              </w:rPr>
              <w:drawing>
                <wp:inline distT="0" distB="0" distL="0" distR="0">
                  <wp:extent cx="2686050" cy="1181100"/>
                  <wp:effectExtent l="0" t="0" r="0" b="0"/>
                  <wp:docPr id="16"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4779" w:type="dxa"/>
            <w:vAlign w:val="center"/>
          </w:tcPr>
          <w:p w:rsidR="00D12BF1" w:rsidRPr="00D12BF1" w:rsidRDefault="00D12BF1" w:rsidP="0072501D">
            <w:pPr>
              <w:widowControl w:val="0"/>
              <w:spacing w:after="0" w:line="240" w:lineRule="auto"/>
              <w:jc w:val="center"/>
              <w:rPr>
                <w:rFonts w:ascii="Times New Roman" w:hAnsi="Times New Roman"/>
                <w:sz w:val="24"/>
                <w:szCs w:val="24"/>
                <w:lang w:val="ro-RO"/>
              </w:rPr>
            </w:pPr>
            <w:r w:rsidRPr="00D12BF1">
              <w:rPr>
                <w:rFonts w:ascii="Times New Roman" w:hAnsi="Times New Roman"/>
                <w:noProof/>
                <w:sz w:val="24"/>
                <w:szCs w:val="24"/>
                <w:lang w:val="ro-RO" w:eastAsia="ro-RO"/>
              </w:rPr>
              <w:drawing>
                <wp:inline distT="0" distB="0" distL="0" distR="0">
                  <wp:extent cx="2647950" cy="1152525"/>
                  <wp:effectExtent l="19050" t="0" r="0" b="0"/>
                  <wp:docPr id="17"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D12BF1" w:rsidRPr="00D12BF1" w:rsidTr="0072501D">
        <w:trPr>
          <w:trHeight w:val="287"/>
        </w:trPr>
        <w:tc>
          <w:tcPr>
            <w:tcW w:w="5019" w:type="dxa"/>
          </w:tcPr>
          <w:p w:rsidR="00D12BF1" w:rsidRPr="00D12BF1" w:rsidRDefault="00D12BF1" w:rsidP="0072501D">
            <w:pPr>
              <w:widowControl w:val="0"/>
              <w:spacing w:after="0" w:line="240" w:lineRule="auto"/>
              <w:jc w:val="center"/>
              <w:rPr>
                <w:rFonts w:ascii="Times New Roman" w:hAnsi="Times New Roman"/>
                <w:i/>
                <w:sz w:val="24"/>
                <w:szCs w:val="24"/>
                <w:lang w:val="ro-RO"/>
              </w:rPr>
            </w:pPr>
            <w:r w:rsidRPr="00D12BF1">
              <w:rPr>
                <w:rFonts w:ascii="Times New Roman" w:hAnsi="Times New Roman"/>
                <w:i/>
                <w:sz w:val="24"/>
                <w:szCs w:val="24"/>
                <w:lang w:val="ro-RO"/>
              </w:rPr>
              <w:t>a. Aspiraţia de noapte 02:00-07:00</w:t>
            </w:r>
          </w:p>
        </w:tc>
        <w:tc>
          <w:tcPr>
            <w:tcW w:w="4779" w:type="dxa"/>
          </w:tcPr>
          <w:p w:rsidR="00D12BF1" w:rsidRPr="00D12BF1" w:rsidRDefault="00D12BF1" w:rsidP="0072501D">
            <w:pPr>
              <w:widowControl w:val="0"/>
              <w:spacing w:after="0" w:line="240" w:lineRule="auto"/>
              <w:jc w:val="center"/>
              <w:rPr>
                <w:rFonts w:ascii="Times New Roman" w:hAnsi="Times New Roman"/>
                <w:i/>
                <w:sz w:val="24"/>
                <w:szCs w:val="24"/>
                <w:lang w:val="ro-RO"/>
              </w:rPr>
            </w:pPr>
            <w:r w:rsidRPr="00D12BF1">
              <w:rPr>
                <w:rFonts w:ascii="Times New Roman" w:hAnsi="Times New Roman"/>
                <w:i/>
                <w:sz w:val="24"/>
                <w:szCs w:val="24"/>
                <w:lang w:val="ro-RO"/>
              </w:rPr>
              <w:t>b. Aspiraţia de zi 08:00-13:00</w:t>
            </w:r>
          </w:p>
        </w:tc>
      </w:tr>
    </w:tbl>
    <w:p w:rsidR="00D12BF1" w:rsidRPr="00D12BF1" w:rsidRDefault="00D12BF1" w:rsidP="00D12BF1">
      <w:pPr>
        <w:widowControl w:val="0"/>
        <w:spacing w:after="0" w:line="240" w:lineRule="auto"/>
        <w:rPr>
          <w:rFonts w:ascii="Times New Roman" w:hAnsi="Times New Roman"/>
          <w:sz w:val="16"/>
          <w:szCs w:val="16"/>
          <w:lang w:val="ro-RO"/>
        </w:rPr>
      </w:pP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Fig. 2.2.2.2. Activităţi specifice ale Toronului (</w:t>
      </w:r>
      <w:r w:rsidRPr="00D12BF1">
        <w:rPr>
          <w:rFonts w:ascii="Times New Roman" w:hAnsi="Times New Roman"/>
          <w:b/>
          <w:lang w:val="ro-RO"/>
        </w:rPr>
        <w:t>Rn-220</w:t>
      </w:r>
      <w:r w:rsidRPr="00D12BF1">
        <w:rPr>
          <w:rFonts w:ascii="Times New Roman" w:hAnsi="Times New Roman"/>
          <w:lang w:val="ro-RO"/>
        </w:rPr>
        <w:t>) în atmosfera liberă</w:t>
      </w: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 medii lunare şi maxime zilnice în luna ianuarie 2019, comparativ cu luna decembrie 2018</w:t>
      </w:r>
    </w:p>
    <w:tbl>
      <w:tblPr>
        <w:tblW w:w="9798" w:type="dxa"/>
        <w:tblLayout w:type="fixed"/>
        <w:tblLook w:val="01E0"/>
      </w:tblPr>
      <w:tblGrid>
        <w:gridCol w:w="5019"/>
        <w:gridCol w:w="4779"/>
      </w:tblGrid>
      <w:tr w:rsidR="00D12BF1" w:rsidRPr="00D12BF1" w:rsidTr="0072501D">
        <w:trPr>
          <w:trHeight w:val="1570"/>
        </w:trPr>
        <w:tc>
          <w:tcPr>
            <w:tcW w:w="5019" w:type="dxa"/>
            <w:vAlign w:val="center"/>
          </w:tcPr>
          <w:p w:rsidR="00D12BF1" w:rsidRPr="00D12BF1" w:rsidRDefault="00D12BF1" w:rsidP="0072501D">
            <w:pPr>
              <w:widowControl w:val="0"/>
              <w:spacing w:after="0" w:line="240" w:lineRule="auto"/>
              <w:jc w:val="center"/>
              <w:rPr>
                <w:rFonts w:ascii="Times New Roman" w:hAnsi="Times New Roman"/>
                <w:sz w:val="24"/>
                <w:szCs w:val="24"/>
                <w:lang w:val="ro-RO"/>
              </w:rPr>
            </w:pPr>
            <w:r w:rsidRPr="00D12BF1">
              <w:rPr>
                <w:rFonts w:ascii="Times New Roman" w:hAnsi="Times New Roman"/>
                <w:noProof/>
                <w:sz w:val="24"/>
                <w:szCs w:val="24"/>
                <w:lang w:val="ro-RO" w:eastAsia="ro-RO"/>
              </w:rPr>
              <w:drawing>
                <wp:inline distT="0" distB="0" distL="0" distR="0">
                  <wp:extent cx="2790825" cy="1171575"/>
                  <wp:effectExtent l="0" t="0" r="0" b="0"/>
                  <wp:docPr id="18"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4779" w:type="dxa"/>
            <w:vAlign w:val="center"/>
          </w:tcPr>
          <w:p w:rsidR="00D12BF1" w:rsidRPr="00D12BF1" w:rsidRDefault="00D12BF1" w:rsidP="0072501D">
            <w:pPr>
              <w:widowControl w:val="0"/>
              <w:spacing w:after="0" w:line="240" w:lineRule="auto"/>
              <w:jc w:val="center"/>
              <w:rPr>
                <w:rFonts w:ascii="Times New Roman" w:hAnsi="Times New Roman"/>
                <w:sz w:val="24"/>
                <w:szCs w:val="24"/>
                <w:lang w:val="ro-RO"/>
              </w:rPr>
            </w:pPr>
            <w:r w:rsidRPr="00D12BF1">
              <w:rPr>
                <w:rFonts w:ascii="Times New Roman" w:hAnsi="Times New Roman"/>
                <w:noProof/>
                <w:sz w:val="24"/>
                <w:szCs w:val="24"/>
                <w:lang w:val="ro-RO" w:eastAsia="ro-RO"/>
              </w:rPr>
              <w:drawing>
                <wp:inline distT="0" distB="0" distL="0" distR="0">
                  <wp:extent cx="2714625" cy="1143000"/>
                  <wp:effectExtent l="0" t="0" r="0" b="0"/>
                  <wp:docPr id="19"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D12BF1" w:rsidRPr="00D12BF1" w:rsidTr="0072501D">
        <w:trPr>
          <w:trHeight w:val="241"/>
        </w:trPr>
        <w:tc>
          <w:tcPr>
            <w:tcW w:w="5019" w:type="dxa"/>
          </w:tcPr>
          <w:p w:rsidR="00D12BF1" w:rsidRPr="00D12BF1" w:rsidRDefault="00D12BF1" w:rsidP="0072501D">
            <w:pPr>
              <w:widowControl w:val="0"/>
              <w:spacing w:after="0" w:line="240" w:lineRule="auto"/>
              <w:jc w:val="center"/>
              <w:rPr>
                <w:rFonts w:ascii="Times New Roman" w:hAnsi="Times New Roman"/>
                <w:i/>
                <w:sz w:val="24"/>
                <w:szCs w:val="24"/>
                <w:lang w:val="ro-RO"/>
              </w:rPr>
            </w:pPr>
            <w:r w:rsidRPr="00D12BF1">
              <w:rPr>
                <w:rFonts w:ascii="Times New Roman" w:hAnsi="Times New Roman"/>
                <w:i/>
                <w:sz w:val="24"/>
                <w:szCs w:val="24"/>
                <w:lang w:val="ro-RO"/>
              </w:rPr>
              <w:t>a. Aspiraţia de noapte 02:00-07:00</w:t>
            </w:r>
          </w:p>
        </w:tc>
        <w:tc>
          <w:tcPr>
            <w:tcW w:w="4779" w:type="dxa"/>
          </w:tcPr>
          <w:p w:rsidR="00D12BF1" w:rsidRPr="00D12BF1" w:rsidRDefault="00D12BF1" w:rsidP="0072501D">
            <w:pPr>
              <w:widowControl w:val="0"/>
              <w:spacing w:after="0" w:line="240" w:lineRule="auto"/>
              <w:jc w:val="center"/>
              <w:rPr>
                <w:rFonts w:ascii="Times New Roman" w:hAnsi="Times New Roman"/>
                <w:i/>
                <w:sz w:val="24"/>
                <w:szCs w:val="24"/>
                <w:lang w:val="ro-RO"/>
              </w:rPr>
            </w:pPr>
            <w:r w:rsidRPr="00D12BF1">
              <w:rPr>
                <w:rFonts w:ascii="Times New Roman" w:hAnsi="Times New Roman"/>
                <w:i/>
                <w:sz w:val="24"/>
                <w:szCs w:val="24"/>
                <w:lang w:val="ro-RO"/>
              </w:rPr>
              <w:t>b. Aspiraţia de zi 08:00-13:00</w:t>
            </w:r>
          </w:p>
        </w:tc>
      </w:tr>
    </w:tbl>
    <w:p w:rsidR="00D12BF1" w:rsidRPr="00D12BF1" w:rsidRDefault="00D12BF1" w:rsidP="00D12BF1">
      <w:pPr>
        <w:pStyle w:val="Default"/>
        <w:widowControl w:val="0"/>
        <w:jc w:val="both"/>
        <w:rPr>
          <w:rFonts w:ascii="Times New Roman" w:hAnsi="Times New Roman" w:cs="Times New Roman"/>
          <w:color w:val="auto"/>
          <w:sz w:val="10"/>
          <w:szCs w:val="10"/>
        </w:rPr>
      </w:pPr>
    </w:p>
    <w:p w:rsidR="00D12BF1" w:rsidRPr="00D12BF1" w:rsidRDefault="00D12BF1" w:rsidP="00D12BF1">
      <w:pPr>
        <w:pStyle w:val="Default"/>
        <w:widowControl w:val="0"/>
        <w:ind w:firstLine="720"/>
        <w:jc w:val="both"/>
        <w:rPr>
          <w:rFonts w:ascii="Times New Roman" w:hAnsi="Times New Roman" w:cs="Times New Roman"/>
          <w:color w:val="auto"/>
        </w:rPr>
      </w:pPr>
      <w:r w:rsidRPr="00D12BF1">
        <w:rPr>
          <w:rFonts w:ascii="Times New Roman" w:hAnsi="Times New Roman" w:cs="Times New Roman"/>
          <w:color w:val="auto"/>
        </w:rPr>
        <w:t xml:space="preserve">Analizând fig. 2.2.2.1 şi 2.2.2.2 comparativ cu  fig. 2.2.1.1, se observă că variabilitatea inter-lunară a valorilor medii ale Radonului şi Toronului, atât pe timp de zi, cât şi de noapte, este apropiată de cea a activităţii beta globale imediate a aerosolilor. Aceasta confirmă faptul că radioactivitatea atmosferei a fost dată în principal de descendenţii Radonului şi Toronului, aşa cum se întâmplă în condiţii normale. </w:t>
      </w:r>
    </w:p>
    <w:p w:rsidR="00D12BF1" w:rsidRPr="00D12BF1" w:rsidRDefault="00D12BF1" w:rsidP="00D12BF1">
      <w:pPr>
        <w:widowControl w:val="0"/>
        <w:spacing w:after="0" w:line="240" w:lineRule="auto"/>
        <w:jc w:val="both"/>
        <w:rPr>
          <w:rFonts w:ascii="Times New Roman" w:hAnsi="Times New Roman"/>
          <w:b/>
          <w:sz w:val="10"/>
          <w:szCs w:val="10"/>
          <w:lang w:val="ro-RO"/>
        </w:rPr>
      </w:pPr>
    </w:p>
    <w:p w:rsidR="00D12BF1" w:rsidRPr="00D12BF1" w:rsidRDefault="00D12BF1" w:rsidP="00D12BF1">
      <w:pPr>
        <w:widowControl w:val="0"/>
        <w:spacing w:after="0" w:line="240" w:lineRule="auto"/>
        <w:jc w:val="both"/>
        <w:rPr>
          <w:rFonts w:ascii="Times New Roman" w:hAnsi="Times New Roman"/>
          <w:b/>
          <w:sz w:val="24"/>
          <w:szCs w:val="24"/>
          <w:lang w:val="ro-RO"/>
        </w:rPr>
      </w:pPr>
      <w:r w:rsidRPr="00D12BF1">
        <w:rPr>
          <w:rFonts w:ascii="Times New Roman" w:hAnsi="Times New Roman"/>
          <w:b/>
          <w:sz w:val="24"/>
          <w:szCs w:val="24"/>
          <w:lang w:val="ro-RO"/>
        </w:rPr>
        <w:t xml:space="preserve">2.2.3. </w:t>
      </w:r>
      <w:r w:rsidRPr="00D12BF1">
        <w:rPr>
          <w:rFonts w:ascii="Times New Roman" w:hAnsi="Times New Roman"/>
          <w:sz w:val="24"/>
          <w:szCs w:val="24"/>
          <w:u w:val="single"/>
          <w:lang w:val="ro-RO"/>
        </w:rPr>
        <w:t>Activități beta globale ale aerosolilor atmosferici, măsurători întârziate</w:t>
      </w:r>
      <w:r w:rsidRPr="00D12BF1">
        <w:rPr>
          <w:rFonts w:ascii="Times New Roman" w:hAnsi="Times New Roman"/>
          <w:b/>
          <w:sz w:val="24"/>
          <w:szCs w:val="24"/>
          <w:lang w:val="ro-RO"/>
        </w:rPr>
        <w:t xml:space="preserve"> </w:t>
      </w:r>
    </w:p>
    <w:p w:rsidR="00D12BF1" w:rsidRPr="00D12BF1" w:rsidRDefault="00D12BF1" w:rsidP="00D12BF1">
      <w:pPr>
        <w:widowControl w:val="0"/>
        <w:spacing w:after="0" w:line="240" w:lineRule="auto"/>
        <w:jc w:val="both"/>
        <w:rPr>
          <w:rFonts w:ascii="Times New Roman" w:hAnsi="Times New Roman"/>
          <w:b/>
          <w:sz w:val="6"/>
          <w:szCs w:val="6"/>
          <w:lang w:val="ro-RO"/>
        </w:rPr>
      </w:pPr>
    </w:p>
    <w:p w:rsidR="00D12BF1" w:rsidRPr="00D12BF1" w:rsidRDefault="00D12BF1" w:rsidP="00D12BF1">
      <w:pPr>
        <w:widowControl w:val="0"/>
        <w:spacing w:after="0" w:line="240" w:lineRule="auto"/>
        <w:jc w:val="center"/>
        <w:rPr>
          <w:rFonts w:ascii="Times New Roman" w:hAnsi="Times New Roman"/>
          <w:i/>
          <w:lang w:val="ro-RO"/>
        </w:rPr>
      </w:pPr>
      <w:r w:rsidRPr="00D12BF1">
        <w:rPr>
          <w:rFonts w:ascii="Times New Roman" w:hAnsi="Times New Roman"/>
          <w:lang w:val="ro-RO"/>
        </w:rPr>
        <w:t xml:space="preserve">Fig. 2.2.3.1. Aerosoli atmosferici, activităţi specifice beta globale </w:t>
      </w:r>
      <w:r w:rsidRPr="00D12BF1">
        <w:rPr>
          <w:rFonts w:ascii="Times New Roman" w:hAnsi="Times New Roman"/>
          <w:b/>
          <w:lang w:val="ro-RO"/>
        </w:rPr>
        <w:t>întârziate</w:t>
      </w:r>
      <w:r w:rsidRPr="00D12BF1">
        <w:rPr>
          <w:rFonts w:ascii="Times New Roman" w:hAnsi="Times New Roman"/>
          <w:i/>
          <w:lang w:val="ro-RO"/>
        </w:rPr>
        <w:t xml:space="preserve"> </w:t>
      </w:r>
      <w:r w:rsidRPr="00D12BF1">
        <w:rPr>
          <w:rFonts w:ascii="Times New Roman" w:hAnsi="Times New Roman"/>
          <w:lang w:val="ro-RO"/>
        </w:rPr>
        <w:t>(la 5 zile)</w:t>
      </w: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 valori medii şi maxime în luna ianuarie 2019, comparativ cu luna decembrie 2018</w:t>
      </w:r>
    </w:p>
    <w:tbl>
      <w:tblPr>
        <w:tblW w:w="9880" w:type="dxa"/>
        <w:jc w:val="center"/>
        <w:tblLook w:val="01E0"/>
      </w:tblPr>
      <w:tblGrid>
        <w:gridCol w:w="4956"/>
        <w:gridCol w:w="4924"/>
      </w:tblGrid>
      <w:tr w:rsidR="00D12BF1" w:rsidRPr="00D12BF1" w:rsidTr="0072501D">
        <w:trPr>
          <w:trHeight w:val="1610"/>
          <w:jc w:val="center"/>
        </w:trPr>
        <w:tc>
          <w:tcPr>
            <w:tcW w:w="4956" w:type="dxa"/>
            <w:vAlign w:val="center"/>
          </w:tcPr>
          <w:p w:rsidR="00D12BF1" w:rsidRPr="00D12BF1" w:rsidRDefault="00D12BF1" w:rsidP="0072501D">
            <w:pPr>
              <w:widowControl w:val="0"/>
              <w:spacing w:after="0" w:line="240" w:lineRule="auto"/>
              <w:jc w:val="center"/>
              <w:rPr>
                <w:rFonts w:ascii="Times New Roman" w:hAnsi="Times New Roman"/>
                <w:sz w:val="24"/>
                <w:szCs w:val="24"/>
                <w:lang w:val="ro-RO"/>
              </w:rPr>
            </w:pPr>
            <w:r w:rsidRPr="00D12BF1">
              <w:rPr>
                <w:rFonts w:ascii="Times New Roman" w:hAnsi="Times New Roman"/>
                <w:noProof/>
                <w:sz w:val="24"/>
                <w:szCs w:val="24"/>
                <w:lang w:val="ro-RO" w:eastAsia="ro-RO"/>
              </w:rPr>
              <w:drawing>
                <wp:inline distT="0" distB="0" distL="0" distR="0">
                  <wp:extent cx="2735248" cy="1192695"/>
                  <wp:effectExtent l="0" t="0" r="0" b="0"/>
                  <wp:docPr id="20" name="Objec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4924" w:type="dxa"/>
            <w:vAlign w:val="center"/>
          </w:tcPr>
          <w:p w:rsidR="00D12BF1" w:rsidRPr="00D12BF1" w:rsidRDefault="00D12BF1" w:rsidP="0072501D">
            <w:pPr>
              <w:widowControl w:val="0"/>
              <w:spacing w:after="0" w:line="240" w:lineRule="auto"/>
              <w:jc w:val="center"/>
              <w:rPr>
                <w:rFonts w:ascii="Times New Roman" w:hAnsi="Times New Roman"/>
                <w:sz w:val="24"/>
                <w:szCs w:val="24"/>
                <w:lang w:val="ro-RO"/>
              </w:rPr>
            </w:pPr>
            <w:r w:rsidRPr="00D12BF1">
              <w:rPr>
                <w:rFonts w:ascii="Times New Roman" w:hAnsi="Times New Roman"/>
                <w:noProof/>
                <w:sz w:val="24"/>
                <w:szCs w:val="24"/>
                <w:lang w:val="ro-RO" w:eastAsia="ro-RO"/>
              </w:rPr>
              <w:drawing>
                <wp:inline distT="0" distB="0" distL="0" distR="0">
                  <wp:extent cx="2705100" cy="1123950"/>
                  <wp:effectExtent l="0" t="0" r="0" b="0"/>
                  <wp:docPr id="21" name="Objec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D12BF1" w:rsidRPr="00D12BF1" w:rsidTr="0072501D">
        <w:trPr>
          <w:trHeight w:val="289"/>
          <w:jc w:val="center"/>
        </w:trPr>
        <w:tc>
          <w:tcPr>
            <w:tcW w:w="4956" w:type="dxa"/>
          </w:tcPr>
          <w:p w:rsidR="00D12BF1" w:rsidRPr="00D12BF1" w:rsidRDefault="00D12BF1" w:rsidP="0072501D">
            <w:pPr>
              <w:widowControl w:val="0"/>
              <w:spacing w:after="0" w:line="240" w:lineRule="auto"/>
              <w:jc w:val="center"/>
              <w:rPr>
                <w:rFonts w:ascii="Times New Roman" w:hAnsi="Times New Roman"/>
                <w:i/>
                <w:sz w:val="24"/>
                <w:szCs w:val="24"/>
                <w:lang w:val="ro-RO"/>
              </w:rPr>
            </w:pPr>
            <w:r w:rsidRPr="00D12BF1">
              <w:rPr>
                <w:rFonts w:ascii="Times New Roman" w:hAnsi="Times New Roman"/>
                <w:i/>
                <w:sz w:val="24"/>
                <w:szCs w:val="24"/>
                <w:lang w:val="ro-RO"/>
              </w:rPr>
              <w:t>a. Aspiraţia de noapte 02:00-07:00</w:t>
            </w:r>
          </w:p>
        </w:tc>
        <w:tc>
          <w:tcPr>
            <w:tcW w:w="4924" w:type="dxa"/>
          </w:tcPr>
          <w:p w:rsidR="00D12BF1" w:rsidRPr="00D12BF1" w:rsidRDefault="00D12BF1" w:rsidP="0072501D">
            <w:pPr>
              <w:widowControl w:val="0"/>
              <w:spacing w:after="0" w:line="240" w:lineRule="auto"/>
              <w:jc w:val="center"/>
              <w:rPr>
                <w:rFonts w:ascii="Times New Roman" w:hAnsi="Times New Roman"/>
                <w:i/>
                <w:sz w:val="24"/>
                <w:szCs w:val="24"/>
                <w:lang w:val="ro-RO"/>
              </w:rPr>
            </w:pPr>
            <w:r w:rsidRPr="00D12BF1">
              <w:rPr>
                <w:rFonts w:ascii="Times New Roman" w:hAnsi="Times New Roman"/>
                <w:i/>
                <w:sz w:val="24"/>
                <w:szCs w:val="24"/>
                <w:lang w:val="ro-RO"/>
              </w:rPr>
              <w:t>b. Aspiraţia de zi 08:00-13:00</w:t>
            </w:r>
          </w:p>
        </w:tc>
      </w:tr>
    </w:tbl>
    <w:p w:rsidR="00D12BF1" w:rsidRPr="00D12BF1" w:rsidRDefault="00D12BF1" w:rsidP="00D12BF1">
      <w:pPr>
        <w:pStyle w:val="Default"/>
        <w:widowControl w:val="0"/>
        <w:jc w:val="both"/>
        <w:rPr>
          <w:rFonts w:ascii="Times New Roman" w:hAnsi="Times New Roman" w:cs="Times New Roman"/>
          <w:b/>
          <w:i/>
          <w:color w:val="auto"/>
          <w:sz w:val="4"/>
          <w:szCs w:val="4"/>
        </w:rPr>
      </w:pPr>
    </w:p>
    <w:p w:rsidR="00D12BF1" w:rsidRPr="00D12BF1" w:rsidRDefault="00D12BF1" w:rsidP="00D12BF1">
      <w:pPr>
        <w:pStyle w:val="Default"/>
        <w:widowControl w:val="0"/>
        <w:jc w:val="both"/>
        <w:rPr>
          <w:rFonts w:ascii="Times New Roman" w:hAnsi="Times New Roman" w:cs="Times New Roman"/>
          <w:i/>
          <w:color w:val="auto"/>
          <w:sz w:val="20"/>
          <w:szCs w:val="20"/>
        </w:rPr>
      </w:pPr>
      <w:r w:rsidRPr="00D12BF1">
        <w:rPr>
          <w:rFonts w:ascii="Times New Roman" w:hAnsi="Times New Roman" w:cs="Times New Roman"/>
          <w:b/>
          <w:i/>
          <w:color w:val="auto"/>
          <w:sz w:val="20"/>
          <w:szCs w:val="20"/>
        </w:rPr>
        <w:t>Notă</w:t>
      </w:r>
      <w:r w:rsidRPr="00D12BF1">
        <w:rPr>
          <w:rFonts w:ascii="Times New Roman" w:hAnsi="Times New Roman" w:cs="Times New Roman"/>
          <w:i/>
          <w:color w:val="auto"/>
          <w:sz w:val="20"/>
          <w:szCs w:val="20"/>
        </w:rPr>
        <w:t>: În cazurile în care valoarea măsurată a fost sub valoarea minim detectabilă a aparatului, în calculul mediei  s-a utilizat valoarea minim detectabilă (limita de detecţie).</w:t>
      </w:r>
    </w:p>
    <w:p w:rsidR="00D12BF1" w:rsidRPr="00D12BF1" w:rsidRDefault="00D12BF1" w:rsidP="00D12BF1">
      <w:pPr>
        <w:widowControl w:val="0"/>
        <w:spacing w:after="0" w:line="240" w:lineRule="auto"/>
        <w:jc w:val="center"/>
        <w:rPr>
          <w:rFonts w:ascii="Times New Roman" w:hAnsi="Times New Roman"/>
          <w:sz w:val="6"/>
          <w:szCs w:val="6"/>
          <w:lang w:val="ro-RO"/>
        </w:rPr>
      </w:pPr>
    </w:p>
    <w:p w:rsidR="00D12BF1" w:rsidRPr="00D12BF1" w:rsidRDefault="00D12BF1" w:rsidP="00D12BF1">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 xml:space="preserve">Radioactivitatea beta globală întârziată, artificială, a aerosolilor de zi şi de noapte este nesemnificativă comparativ cu cea imediată (valorile măsurate se exprimă în </w:t>
      </w:r>
      <w:r w:rsidRPr="00D12BF1">
        <w:rPr>
          <w:rFonts w:ascii="Times New Roman" w:hAnsi="Times New Roman"/>
          <w:b/>
          <w:sz w:val="24"/>
          <w:szCs w:val="24"/>
          <w:lang w:val="ro-RO"/>
        </w:rPr>
        <w:t>mBq/m</w:t>
      </w:r>
      <w:r w:rsidRPr="00D12BF1">
        <w:rPr>
          <w:rFonts w:ascii="Times New Roman" w:hAnsi="Times New Roman"/>
          <w:b/>
          <w:sz w:val="24"/>
          <w:szCs w:val="24"/>
          <w:vertAlign w:val="superscript"/>
          <w:lang w:val="ro-RO"/>
        </w:rPr>
        <w:t>3</w:t>
      </w:r>
      <w:r w:rsidRPr="00D12BF1">
        <w:rPr>
          <w:rFonts w:ascii="Times New Roman" w:hAnsi="Times New Roman"/>
          <w:sz w:val="24"/>
          <w:szCs w:val="24"/>
          <w:lang w:val="ro-RO"/>
        </w:rPr>
        <w:t xml:space="preserve">, faţă de valorile imediate, care se exprimă în </w:t>
      </w:r>
      <w:r w:rsidRPr="00D12BF1">
        <w:rPr>
          <w:rFonts w:ascii="Times New Roman" w:hAnsi="Times New Roman"/>
          <w:b/>
          <w:sz w:val="24"/>
          <w:szCs w:val="24"/>
          <w:lang w:val="ro-RO"/>
        </w:rPr>
        <w:t>Bq/m</w:t>
      </w:r>
      <w:r w:rsidRPr="00D12BF1">
        <w:rPr>
          <w:rFonts w:ascii="Times New Roman" w:hAnsi="Times New Roman"/>
          <w:b/>
          <w:sz w:val="24"/>
          <w:szCs w:val="24"/>
          <w:vertAlign w:val="superscript"/>
          <w:lang w:val="ro-RO"/>
        </w:rPr>
        <w:t>3</w:t>
      </w:r>
      <w:r w:rsidRPr="00D12BF1">
        <w:rPr>
          <w:rFonts w:ascii="Times New Roman" w:hAnsi="Times New Roman"/>
          <w:sz w:val="24"/>
          <w:szCs w:val="24"/>
          <w:lang w:val="ro-RO"/>
        </w:rPr>
        <w:t xml:space="preserve"> - vezi şi fig. 2.2.1.1). Valorile medii lunare, pentru ambele aspiraţii, au variat în limite normale faţă de cele din luna anterioară. </w:t>
      </w:r>
    </w:p>
    <w:p w:rsidR="00D12BF1" w:rsidRPr="00D12BF1" w:rsidRDefault="00D12BF1" w:rsidP="00D12BF1">
      <w:pPr>
        <w:widowControl w:val="0"/>
        <w:spacing w:after="0" w:line="240" w:lineRule="auto"/>
        <w:rPr>
          <w:rFonts w:ascii="Times New Roman" w:hAnsi="Times New Roman"/>
          <w:sz w:val="16"/>
          <w:szCs w:val="16"/>
          <w:lang w:val="ro-RO"/>
        </w:rPr>
      </w:pPr>
    </w:p>
    <w:p w:rsidR="00D12BF1" w:rsidRPr="00D12BF1" w:rsidRDefault="00D12BF1" w:rsidP="00D12BF1">
      <w:pPr>
        <w:widowControl w:val="0"/>
        <w:spacing w:after="0" w:line="240" w:lineRule="auto"/>
        <w:rPr>
          <w:rFonts w:ascii="Times New Roman" w:hAnsi="Times New Roman"/>
          <w:i/>
          <w:sz w:val="24"/>
          <w:szCs w:val="24"/>
          <w:lang w:val="ro-RO"/>
        </w:rPr>
      </w:pPr>
      <w:r w:rsidRPr="00D12BF1">
        <w:rPr>
          <w:rFonts w:ascii="Times New Roman" w:hAnsi="Times New Roman"/>
          <w:b/>
          <w:i/>
          <w:sz w:val="24"/>
          <w:szCs w:val="24"/>
          <w:lang w:val="ro-RO"/>
        </w:rPr>
        <w:t xml:space="preserve">2.3.  Depuneri atmosferice totale </w:t>
      </w:r>
      <w:r w:rsidRPr="00D12BF1">
        <w:rPr>
          <w:rFonts w:ascii="Times New Roman" w:hAnsi="Times New Roman"/>
          <w:i/>
          <w:sz w:val="24"/>
          <w:szCs w:val="24"/>
          <w:lang w:val="ro-RO"/>
        </w:rPr>
        <w:t>(uscate şi umede – precipitaţii)</w:t>
      </w:r>
    </w:p>
    <w:p w:rsidR="00D12BF1" w:rsidRPr="00D12BF1" w:rsidRDefault="00D12BF1" w:rsidP="00D12BF1">
      <w:pPr>
        <w:widowControl w:val="0"/>
        <w:spacing w:after="0" w:line="240" w:lineRule="auto"/>
        <w:jc w:val="both"/>
        <w:rPr>
          <w:rFonts w:ascii="Times New Roman" w:hAnsi="Times New Roman"/>
          <w:b/>
          <w:i/>
          <w:sz w:val="10"/>
          <w:szCs w:val="10"/>
          <w:lang w:val="ro-RO"/>
        </w:rPr>
      </w:pPr>
    </w:p>
    <w:p w:rsidR="00D12BF1" w:rsidRPr="00D12BF1" w:rsidRDefault="00D12BF1" w:rsidP="00D12BF1">
      <w:pPr>
        <w:widowControl w:val="0"/>
        <w:spacing w:after="0" w:line="240" w:lineRule="auto"/>
        <w:ind w:firstLine="709"/>
        <w:contextualSpacing/>
        <w:jc w:val="both"/>
        <w:rPr>
          <w:rFonts w:ascii="Times New Roman" w:hAnsi="Times New Roman"/>
          <w:sz w:val="24"/>
          <w:szCs w:val="24"/>
          <w:lang w:val="ro-RO"/>
        </w:rPr>
      </w:pPr>
      <w:r w:rsidRPr="00D12BF1">
        <w:rPr>
          <w:rFonts w:ascii="Times New Roman" w:hAnsi="Times New Roman"/>
          <w:sz w:val="24"/>
          <w:szCs w:val="24"/>
          <w:lang w:val="ro-RO"/>
        </w:rPr>
        <w:t xml:space="preserve">S.S.R.M. prelevează zilnic şi măsoară imediat şi întârziat (la 5 zile), probe de depuneri atmosferice (pulberi sedimentabile şi precipitaţii), din punctul Sediu A.P.M. Suceava. </w:t>
      </w:r>
    </w:p>
    <w:p w:rsidR="00D12BF1" w:rsidRDefault="00D12BF1" w:rsidP="00D12BF1">
      <w:pPr>
        <w:widowControl w:val="0"/>
        <w:spacing w:after="0" w:line="240" w:lineRule="auto"/>
        <w:ind w:firstLine="709"/>
        <w:contextualSpacing/>
        <w:jc w:val="both"/>
        <w:rPr>
          <w:rFonts w:ascii="Times New Roman" w:hAnsi="Times New Roman"/>
          <w:sz w:val="6"/>
          <w:szCs w:val="6"/>
          <w:lang w:val="ro-RO"/>
        </w:rPr>
      </w:pPr>
    </w:p>
    <w:p w:rsidR="00D12BF1" w:rsidRPr="00D12BF1" w:rsidRDefault="00D12BF1" w:rsidP="00D12BF1">
      <w:pPr>
        <w:widowControl w:val="0"/>
        <w:spacing w:after="0" w:line="240" w:lineRule="auto"/>
        <w:ind w:firstLine="709"/>
        <w:contextualSpacing/>
        <w:jc w:val="both"/>
        <w:rPr>
          <w:rFonts w:ascii="Times New Roman" w:hAnsi="Times New Roman"/>
          <w:sz w:val="6"/>
          <w:szCs w:val="6"/>
          <w:lang w:val="ro-RO"/>
        </w:rPr>
      </w:pPr>
    </w:p>
    <w:p w:rsidR="00D12BF1" w:rsidRPr="00D12BF1" w:rsidRDefault="00D12BF1" w:rsidP="00D12BF1">
      <w:pPr>
        <w:widowControl w:val="0"/>
        <w:spacing w:after="0" w:line="240" w:lineRule="auto"/>
        <w:ind w:firstLine="709"/>
        <w:contextualSpacing/>
        <w:jc w:val="both"/>
        <w:rPr>
          <w:rFonts w:ascii="Times New Roman" w:hAnsi="Times New Roman"/>
          <w:sz w:val="6"/>
          <w:szCs w:val="6"/>
          <w:lang w:val="ro-RO"/>
        </w:rPr>
      </w:pPr>
    </w:p>
    <w:p w:rsidR="00D12BF1" w:rsidRPr="00D12BF1" w:rsidRDefault="00D12BF1" w:rsidP="00D12BF1">
      <w:pPr>
        <w:widowControl w:val="0"/>
        <w:spacing w:after="0" w:line="240" w:lineRule="auto"/>
        <w:ind w:firstLine="709"/>
        <w:contextualSpacing/>
        <w:jc w:val="both"/>
        <w:rPr>
          <w:rFonts w:ascii="Times New Roman" w:hAnsi="Times New Roman"/>
          <w:sz w:val="6"/>
          <w:szCs w:val="6"/>
          <w:lang w:val="ro-RO"/>
        </w:rPr>
      </w:pPr>
    </w:p>
    <w:p w:rsidR="00D12BF1" w:rsidRPr="00D12BF1" w:rsidRDefault="00D12BF1" w:rsidP="00D12BF1">
      <w:pPr>
        <w:widowControl w:val="0"/>
        <w:spacing w:after="0" w:line="240" w:lineRule="auto"/>
        <w:jc w:val="center"/>
        <w:rPr>
          <w:rFonts w:ascii="Times New Roman" w:hAnsi="Times New Roman"/>
          <w:sz w:val="6"/>
          <w:szCs w:val="6"/>
          <w:lang w:val="ro-RO"/>
        </w:rPr>
      </w:pP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lastRenderedPageBreak/>
        <w:t xml:space="preserve">Fig. 2.3.1. Depuneri atmosferice, activităţi specifice beta globale </w:t>
      </w:r>
      <w:r w:rsidRPr="00D12BF1">
        <w:rPr>
          <w:rFonts w:ascii="Times New Roman" w:hAnsi="Times New Roman"/>
          <w:b/>
          <w:lang w:val="ro-RO"/>
        </w:rPr>
        <w:t>imediate</w:t>
      </w:r>
      <w:r w:rsidRPr="00D12BF1">
        <w:rPr>
          <w:rFonts w:ascii="Times New Roman" w:hAnsi="Times New Roman"/>
          <w:lang w:val="ro-RO"/>
        </w:rPr>
        <w:t xml:space="preserve"> şi </w:t>
      </w:r>
      <w:r w:rsidRPr="00D12BF1">
        <w:rPr>
          <w:rFonts w:ascii="Times New Roman" w:hAnsi="Times New Roman"/>
          <w:b/>
          <w:lang w:val="ro-RO"/>
        </w:rPr>
        <w:t>întârziate</w:t>
      </w:r>
      <w:r w:rsidRPr="00D12BF1">
        <w:rPr>
          <w:rFonts w:ascii="Times New Roman" w:hAnsi="Times New Roman"/>
          <w:lang w:val="ro-RO"/>
        </w:rPr>
        <w:t xml:space="preserve"> (la 5 zile)</w:t>
      </w:r>
    </w:p>
    <w:p w:rsidR="00D12BF1" w:rsidRPr="00D12BF1" w:rsidRDefault="00D12BF1" w:rsidP="00D12BF1">
      <w:pPr>
        <w:widowControl w:val="0"/>
        <w:tabs>
          <w:tab w:val="center" w:pos="4961"/>
          <w:tab w:val="right" w:pos="9922"/>
        </w:tabs>
        <w:spacing w:after="0" w:line="240" w:lineRule="auto"/>
        <w:rPr>
          <w:rFonts w:ascii="Times New Roman" w:hAnsi="Times New Roman"/>
          <w:lang w:val="ro-RO"/>
        </w:rPr>
      </w:pPr>
      <w:r w:rsidRPr="00D12BF1">
        <w:rPr>
          <w:rFonts w:ascii="Times New Roman" w:hAnsi="Times New Roman"/>
          <w:lang w:val="ro-RO"/>
        </w:rPr>
        <w:tab/>
        <w:t>- medii lunare şi maxime zilnice în luna ianuarie 2019, comparativ cu luna decembrie 2018</w:t>
      </w:r>
    </w:p>
    <w:tbl>
      <w:tblPr>
        <w:tblW w:w="9822" w:type="dxa"/>
        <w:jc w:val="center"/>
        <w:tblLook w:val="01E0"/>
      </w:tblPr>
      <w:tblGrid>
        <w:gridCol w:w="4836"/>
        <w:gridCol w:w="4986"/>
      </w:tblGrid>
      <w:tr w:rsidR="00D12BF1" w:rsidRPr="00D12BF1" w:rsidTr="0072501D">
        <w:trPr>
          <w:trHeight w:val="1390"/>
          <w:jc w:val="center"/>
        </w:trPr>
        <w:tc>
          <w:tcPr>
            <w:tcW w:w="4836" w:type="dxa"/>
            <w:vAlign w:val="center"/>
          </w:tcPr>
          <w:p w:rsidR="00D12BF1" w:rsidRPr="00D12BF1" w:rsidRDefault="00D12BF1" w:rsidP="0072501D">
            <w:pPr>
              <w:widowControl w:val="0"/>
              <w:spacing w:after="0" w:line="240" w:lineRule="auto"/>
              <w:jc w:val="center"/>
              <w:rPr>
                <w:rFonts w:ascii="Times New Roman" w:hAnsi="Times New Roman"/>
                <w:sz w:val="24"/>
                <w:szCs w:val="24"/>
                <w:lang w:val="ro-RO"/>
              </w:rPr>
            </w:pPr>
            <w:r w:rsidRPr="00D12BF1">
              <w:rPr>
                <w:rFonts w:ascii="Times New Roman" w:hAnsi="Times New Roman"/>
                <w:noProof/>
                <w:sz w:val="24"/>
                <w:szCs w:val="24"/>
                <w:lang w:val="ro-RO" w:eastAsia="ro-RO"/>
              </w:rPr>
              <w:drawing>
                <wp:inline distT="0" distB="0" distL="0" distR="0">
                  <wp:extent cx="2854518" cy="1407381"/>
                  <wp:effectExtent l="0" t="0" r="0" b="0"/>
                  <wp:docPr id="26" name="Objec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4986" w:type="dxa"/>
            <w:vAlign w:val="center"/>
          </w:tcPr>
          <w:p w:rsidR="00D12BF1" w:rsidRPr="00D12BF1" w:rsidRDefault="00D12BF1" w:rsidP="0072501D">
            <w:pPr>
              <w:widowControl w:val="0"/>
              <w:spacing w:after="0" w:line="240" w:lineRule="auto"/>
              <w:jc w:val="center"/>
              <w:rPr>
                <w:rFonts w:ascii="Times New Roman" w:hAnsi="Times New Roman"/>
                <w:sz w:val="24"/>
                <w:szCs w:val="24"/>
                <w:lang w:val="ro-RO"/>
              </w:rPr>
            </w:pPr>
            <w:r w:rsidRPr="00D12BF1">
              <w:rPr>
                <w:rFonts w:ascii="Times New Roman" w:hAnsi="Times New Roman"/>
                <w:noProof/>
                <w:sz w:val="24"/>
                <w:szCs w:val="24"/>
                <w:lang w:val="ro-RO" w:eastAsia="ro-RO"/>
              </w:rPr>
              <w:drawing>
                <wp:inline distT="0" distB="0" distL="0" distR="0">
                  <wp:extent cx="2934032" cy="1343770"/>
                  <wp:effectExtent l="0" t="0" r="0" b="0"/>
                  <wp:docPr id="36" name="Objec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D12BF1" w:rsidRPr="00D12BF1" w:rsidTr="0072501D">
        <w:trPr>
          <w:trHeight w:val="281"/>
          <w:jc w:val="center"/>
        </w:trPr>
        <w:tc>
          <w:tcPr>
            <w:tcW w:w="4836" w:type="dxa"/>
          </w:tcPr>
          <w:p w:rsidR="00D12BF1" w:rsidRPr="00D12BF1" w:rsidRDefault="00D12BF1" w:rsidP="0072501D">
            <w:pPr>
              <w:widowControl w:val="0"/>
              <w:spacing w:after="0" w:line="240" w:lineRule="auto"/>
              <w:jc w:val="center"/>
              <w:rPr>
                <w:rFonts w:ascii="Times New Roman" w:hAnsi="Times New Roman"/>
                <w:i/>
                <w:sz w:val="24"/>
                <w:szCs w:val="24"/>
                <w:lang w:val="ro-RO"/>
              </w:rPr>
            </w:pPr>
            <w:r w:rsidRPr="00D12BF1">
              <w:rPr>
                <w:rFonts w:ascii="Times New Roman" w:hAnsi="Times New Roman"/>
                <w:i/>
                <w:sz w:val="24"/>
                <w:szCs w:val="24"/>
                <w:lang w:val="ro-RO"/>
              </w:rPr>
              <w:t xml:space="preserve">a. Măsurători imediate </w:t>
            </w:r>
          </w:p>
        </w:tc>
        <w:tc>
          <w:tcPr>
            <w:tcW w:w="4986" w:type="dxa"/>
          </w:tcPr>
          <w:p w:rsidR="00D12BF1" w:rsidRPr="00D12BF1" w:rsidRDefault="00D12BF1" w:rsidP="0072501D">
            <w:pPr>
              <w:widowControl w:val="0"/>
              <w:spacing w:after="0" w:line="240" w:lineRule="auto"/>
              <w:jc w:val="center"/>
              <w:rPr>
                <w:rFonts w:ascii="Times New Roman" w:hAnsi="Times New Roman"/>
                <w:i/>
                <w:sz w:val="24"/>
                <w:szCs w:val="24"/>
                <w:lang w:val="ro-RO"/>
              </w:rPr>
            </w:pPr>
            <w:r w:rsidRPr="00D12BF1">
              <w:rPr>
                <w:rFonts w:ascii="Times New Roman" w:hAnsi="Times New Roman"/>
                <w:i/>
                <w:sz w:val="24"/>
                <w:szCs w:val="24"/>
                <w:lang w:val="ro-RO"/>
              </w:rPr>
              <w:t>b. Măsurători întârziate (la 5 zile)</w:t>
            </w:r>
          </w:p>
        </w:tc>
      </w:tr>
    </w:tbl>
    <w:p w:rsidR="00D12BF1" w:rsidRPr="00D12BF1" w:rsidRDefault="00D12BF1" w:rsidP="00D12BF1">
      <w:pPr>
        <w:pStyle w:val="Default"/>
        <w:widowControl w:val="0"/>
        <w:jc w:val="both"/>
        <w:rPr>
          <w:rFonts w:ascii="Times New Roman" w:hAnsi="Times New Roman" w:cs="Times New Roman"/>
          <w:i/>
          <w:color w:val="auto"/>
          <w:sz w:val="20"/>
          <w:szCs w:val="20"/>
        </w:rPr>
      </w:pPr>
      <w:r w:rsidRPr="00D12BF1">
        <w:rPr>
          <w:rFonts w:ascii="Times New Roman" w:hAnsi="Times New Roman" w:cs="Times New Roman"/>
          <w:b/>
          <w:i/>
          <w:color w:val="auto"/>
          <w:sz w:val="20"/>
          <w:szCs w:val="20"/>
        </w:rPr>
        <w:t>Note</w:t>
      </w:r>
      <w:r w:rsidRPr="00D12BF1">
        <w:rPr>
          <w:rFonts w:ascii="Times New Roman" w:hAnsi="Times New Roman" w:cs="Times New Roman"/>
          <w:i/>
          <w:color w:val="auto"/>
          <w:sz w:val="20"/>
          <w:szCs w:val="20"/>
        </w:rPr>
        <w:t xml:space="preserve">: </w:t>
      </w:r>
    </w:p>
    <w:p w:rsidR="00D12BF1" w:rsidRPr="00D12BF1" w:rsidRDefault="00D12BF1" w:rsidP="00D12BF1">
      <w:pPr>
        <w:pStyle w:val="Default"/>
        <w:widowControl w:val="0"/>
        <w:jc w:val="both"/>
        <w:rPr>
          <w:rFonts w:ascii="Times New Roman" w:hAnsi="Times New Roman" w:cs="Times New Roman"/>
          <w:i/>
          <w:color w:val="auto"/>
          <w:sz w:val="20"/>
          <w:szCs w:val="20"/>
        </w:rPr>
      </w:pPr>
      <w:r w:rsidRPr="00D12BF1">
        <w:rPr>
          <w:rFonts w:ascii="Times New Roman" w:hAnsi="Times New Roman" w:cs="Times New Roman"/>
          <w:i/>
          <w:color w:val="auto"/>
          <w:sz w:val="20"/>
          <w:szCs w:val="20"/>
        </w:rPr>
        <w:t xml:space="preserve">1. </w:t>
      </w:r>
      <w:r w:rsidRPr="00D12BF1">
        <w:rPr>
          <w:rFonts w:ascii="Times New Roman" w:hAnsi="Times New Roman" w:cs="Times New Roman"/>
          <w:b/>
          <w:i/>
          <w:color w:val="auto"/>
          <w:sz w:val="20"/>
          <w:szCs w:val="20"/>
        </w:rPr>
        <w:t>Limita de avertizare</w:t>
      </w:r>
      <w:r w:rsidRPr="00D12BF1">
        <w:rPr>
          <w:rFonts w:ascii="Times New Roman" w:hAnsi="Times New Roman" w:cs="Times New Roman"/>
          <w:i/>
          <w:color w:val="auto"/>
          <w:sz w:val="20"/>
          <w:szCs w:val="20"/>
        </w:rPr>
        <w:t xml:space="preserve"> pentru depunerile atmosferice totale (umede şi uscate) prin analiza beta globală </w:t>
      </w:r>
      <w:r w:rsidRPr="00D12BF1">
        <w:rPr>
          <w:rFonts w:ascii="Times New Roman" w:hAnsi="Times New Roman" w:cs="Times New Roman"/>
          <w:b/>
          <w:i/>
          <w:color w:val="auto"/>
          <w:sz w:val="20"/>
          <w:szCs w:val="20"/>
        </w:rPr>
        <w:t>imediată</w:t>
      </w:r>
      <w:r w:rsidRPr="00D12BF1">
        <w:rPr>
          <w:rFonts w:ascii="Times New Roman" w:hAnsi="Times New Roman" w:cs="Times New Roman"/>
          <w:i/>
          <w:color w:val="auto"/>
          <w:sz w:val="20"/>
          <w:szCs w:val="20"/>
        </w:rPr>
        <w:t xml:space="preserve"> este de </w:t>
      </w:r>
      <w:r w:rsidRPr="00D12BF1">
        <w:rPr>
          <w:rFonts w:ascii="Times New Roman" w:hAnsi="Times New Roman" w:cs="Times New Roman"/>
          <w:b/>
          <w:i/>
          <w:color w:val="auto"/>
          <w:sz w:val="20"/>
          <w:szCs w:val="20"/>
        </w:rPr>
        <w:t>1000 Bq/m</w:t>
      </w:r>
      <w:r w:rsidRPr="00D12BF1">
        <w:rPr>
          <w:rFonts w:ascii="Times New Roman" w:hAnsi="Times New Roman" w:cs="Times New Roman"/>
          <w:b/>
          <w:i/>
          <w:color w:val="auto"/>
          <w:sz w:val="20"/>
          <w:szCs w:val="20"/>
          <w:vertAlign w:val="superscript"/>
        </w:rPr>
        <w:t>2</w:t>
      </w:r>
      <w:r w:rsidRPr="00D12BF1">
        <w:rPr>
          <w:rFonts w:ascii="Times New Roman" w:hAnsi="Times New Roman" w:cs="Times New Roman"/>
          <w:b/>
          <w:i/>
          <w:color w:val="auto"/>
          <w:sz w:val="20"/>
          <w:szCs w:val="20"/>
        </w:rPr>
        <w:t>zi</w:t>
      </w:r>
      <w:r w:rsidRPr="00D12BF1">
        <w:rPr>
          <w:rFonts w:ascii="Times New Roman" w:hAnsi="Times New Roman" w:cs="Times New Roman"/>
          <w:i/>
          <w:color w:val="auto"/>
          <w:sz w:val="20"/>
          <w:szCs w:val="20"/>
        </w:rPr>
        <w:t xml:space="preserve"> (conform O.M. nr. 1978/2010). </w:t>
      </w:r>
    </w:p>
    <w:p w:rsidR="00D12BF1" w:rsidRPr="00D12BF1" w:rsidRDefault="00D12BF1" w:rsidP="00D12BF1">
      <w:pPr>
        <w:pStyle w:val="Default"/>
        <w:widowControl w:val="0"/>
        <w:jc w:val="both"/>
        <w:rPr>
          <w:rFonts w:ascii="Times New Roman" w:hAnsi="Times New Roman" w:cs="Times New Roman"/>
          <w:i/>
          <w:color w:val="auto"/>
          <w:sz w:val="20"/>
          <w:szCs w:val="20"/>
        </w:rPr>
      </w:pPr>
      <w:r w:rsidRPr="00D12BF1">
        <w:rPr>
          <w:rFonts w:ascii="Times New Roman" w:hAnsi="Times New Roman" w:cs="Times New Roman"/>
          <w:i/>
          <w:color w:val="auto"/>
          <w:sz w:val="20"/>
          <w:szCs w:val="20"/>
        </w:rPr>
        <w:t>2. În cazurile în care valoarea zilnică măsurată a fost sub valoarea minim detectabilă a aparatului, în calculul mediei s-a utilizat valoarea minim detectabilă (limita de detecţie).</w:t>
      </w:r>
    </w:p>
    <w:p w:rsidR="00D12BF1" w:rsidRPr="00D12BF1" w:rsidRDefault="00D12BF1" w:rsidP="00D12BF1">
      <w:pPr>
        <w:widowControl w:val="0"/>
        <w:spacing w:after="0" w:line="240" w:lineRule="auto"/>
        <w:ind w:firstLine="709"/>
        <w:jc w:val="both"/>
        <w:rPr>
          <w:rFonts w:ascii="Times New Roman" w:hAnsi="Times New Roman"/>
          <w:sz w:val="10"/>
          <w:szCs w:val="10"/>
          <w:lang w:val="ro-RO"/>
        </w:rPr>
      </w:pPr>
    </w:p>
    <w:p w:rsidR="00D12BF1" w:rsidRPr="00D12BF1" w:rsidRDefault="00D12BF1" w:rsidP="00D12BF1">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Din fig. 2.3.1 se observă că valorile medii ale activităţii beta globale măsurate imediat şi întârziat la depunerile atmosferice au variat în limite normale față de cele din luna anterioară.</w:t>
      </w:r>
    </w:p>
    <w:p w:rsidR="00D12BF1" w:rsidRPr="00D12BF1" w:rsidRDefault="00D12BF1" w:rsidP="00D12BF1">
      <w:pPr>
        <w:widowControl w:val="0"/>
        <w:spacing w:after="0" w:line="240" w:lineRule="auto"/>
        <w:ind w:firstLine="709"/>
        <w:jc w:val="both"/>
        <w:rPr>
          <w:rFonts w:ascii="Times New Roman" w:hAnsi="Times New Roman"/>
          <w:sz w:val="14"/>
          <w:szCs w:val="14"/>
          <w:lang w:val="ro-RO"/>
        </w:rPr>
      </w:pPr>
    </w:p>
    <w:p w:rsidR="00D12BF1" w:rsidRPr="00D12BF1" w:rsidRDefault="00D12BF1" w:rsidP="00D12BF1">
      <w:pPr>
        <w:pStyle w:val="Default"/>
        <w:widowControl w:val="0"/>
        <w:rPr>
          <w:rFonts w:ascii="Times New Roman" w:hAnsi="Times New Roman" w:cs="Times New Roman"/>
          <w:b/>
          <w:bCs/>
          <w:i/>
          <w:iCs/>
          <w:color w:val="auto"/>
        </w:rPr>
      </w:pPr>
      <w:r w:rsidRPr="00D12BF1">
        <w:rPr>
          <w:rFonts w:ascii="Times New Roman" w:hAnsi="Times New Roman" w:cs="Times New Roman"/>
          <w:b/>
          <w:bCs/>
          <w:i/>
          <w:iCs/>
          <w:color w:val="auto"/>
        </w:rPr>
        <w:t xml:space="preserve">2.4. Radioactivitatea apelor </w:t>
      </w:r>
    </w:p>
    <w:p w:rsidR="00D12BF1" w:rsidRPr="00D12BF1" w:rsidRDefault="00D12BF1" w:rsidP="00D12BF1">
      <w:pPr>
        <w:widowControl w:val="0"/>
        <w:spacing w:after="0" w:line="240" w:lineRule="auto"/>
        <w:rPr>
          <w:rFonts w:ascii="Times New Roman" w:hAnsi="Times New Roman"/>
          <w:i/>
          <w:sz w:val="10"/>
          <w:szCs w:val="10"/>
          <w:lang w:val="ro-RO"/>
        </w:rPr>
      </w:pPr>
    </w:p>
    <w:p w:rsidR="00D12BF1" w:rsidRPr="00D12BF1" w:rsidRDefault="00D12BF1" w:rsidP="00D12BF1">
      <w:pPr>
        <w:pStyle w:val="Default"/>
        <w:widowControl w:val="0"/>
        <w:rPr>
          <w:rFonts w:ascii="Times New Roman" w:hAnsi="Times New Roman" w:cs="Times New Roman"/>
          <w:color w:val="auto"/>
          <w:u w:val="single"/>
        </w:rPr>
      </w:pPr>
      <w:r w:rsidRPr="00D12BF1">
        <w:rPr>
          <w:rFonts w:ascii="Times New Roman" w:hAnsi="Times New Roman" w:cs="Times New Roman"/>
          <w:b/>
          <w:color w:val="auto"/>
        </w:rPr>
        <w:t>2.4.1.</w:t>
      </w:r>
      <w:r w:rsidRPr="00D12BF1">
        <w:rPr>
          <w:rFonts w:ascii="Times New Roman" w:hAnsi="Times New Roman" w:cs="Times New Roman"/>
          <w:color w:val="auto"/>
        </w:rPr>
        <w:t xml:space="preserve"> </w:t>
      </w:r>
      <w:r w:rsidRPr="00D12BF1">
        <w:rPr>
          <w:rFonts w:ascii="Times New Roman" w:hAnsi="Times New Roman" w:cs="Times New Roman"/>
          <w:color w:val="auto"/>
          <w:u w:val="single"/>
        </w:rPr>
        <w:t>Program standard</w:t>
      </w:r>
    </w:p>
    <w:p w:rsidR="00D12BF1" w:rsidRPr="00D12BF1" w:rsidRDefault="00D12BF1" w:rsidP="00D12BF1">
      <w:pPr>
        <w:widowControl w:val="0"/>
        <w:spacing w:after="0" w:line="240" w:lineRule="auto"/>
        <w:rPr>
          <w:rFonts w:ascii="Times New Roman" w:hAnsi="Times New Roman"/>
          <w:i/>
          <w:sz w:val="6"/>
          <w:szCs w:val="6"/>
          <w:lang w:val="ro-RO"/>
        </w:rPr>
      </w:pPr>
    </w:p>
    <w:p w:rsidR="00D12BF1" w:rsidRPr="00D12BF1" w:rsidRDefault="00D12BF1" w:rsidP="00D12BF1">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 xml:space="preserve">Laboratorul de radioactivitate prelevează zilnic şi măsoară imediat şi întârziat (la 5 zile), probe de apă de suprafaţă prelevate din </w:t>
      </w:r>
      <w:r w:rsidRPr="00D12BF1">
        <w:rPr>
          <w:rFonts w:ascii="Times New Roman" w:hAnsi="Times New Roman"/>
          <w:b/>
          <w:sz w:val="24"/>
          <w:szCs w:val="24"/>
          <w:lang w:val="ro-RO"/>
        </w:rPr>
        <w:t>râul Suceava</w:t>
      </w:r>
      <w:r w:rsidRPr="00D12BF1">
        <w:rPr>
          <w:rFonts w:ascii="Times New Roman" w:hAnsi="Times New Roman"/>
          <w:sz w:val="24"/>
          <w:szCs w:val="24"/>
          <w:lang w:val="ro-RO"/>
        </w:rPr>
        <w:t xml:space="preserve">, din secţiunea pod Burdujeni. </w:t>
      </w:r>
    </w:p>
    <w:p w:rsidR="00D12BF1" w:rsidRPr="00D12BF1" w:rsidRDefault="00D12BF1" w:rsidP="00D12BF1">
      <w:pPr>
        <w:widowControl w:val="0"/>
        <w:spacing w:after="0" w:line="240" w:lineRule="auto"/>
        <w:ind w:firstLine="709"/>
        <w:jc w:val="both"/>
        <w:rPr>
          <w:rFonts w:ascii="Times New Roman" w:hAnsi="Times New Roman"/>
          <w:sz w:val="10"/>
          <w:szCs w:val="10"/>
          <w:lang w:val="ro-RO"/>
        </w:rPr>
      </w:pP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Fig. 2.4.1.1. Apă brută (râu Suceava - Burdujeni), activităţi specifice beta globale</w:t>
      </w:r>
      <w:r w:rsidRPr="00D12BF1">
        <w:rPr>
          <w:rFonts w:ascii="Times New Roman" w:hAnsi="Times New Roman"/>
          <w:i/>
          <w:lang w:val="ro-RO"/>
        </w:rPr>
        <w:t xml:space="preserve"> </w:t>
      </w:r>
      <w:r w:rsidRPr="00D12BF1">
        <w:rPr>
          <w:rFonts w:ascii="Times New Roman" w:hAnsi="Times New Roman"/>
          <w:lang w:val="ro-RO"/>
        </w:rPr>
        <w:t>imediate şi întârziate</w:t>
      </w:r>
    </w:p>
    <w:p w:rsidR="00D12BF1" w:rsidRPr="00D12BF1" w:rsidRDefault="00D12BF1" w:rsidP="00D12BF1">
      <w:pPr>
        <w:pStyle w:val="ListParagraph"/>
        <w:widowControl w:val="0"/>
        <w:rPr>
          <w:rFonts w:eastAsia="Calibri"/>
          <w:sz w:val="22"/>
          <w:szCs w:val="22"/>
          <w:lang w:val="ro-RO"/>
        </w:rPr>
      </w:pPr>
      <w:r w:rsidRPr="00D12BF1">
        <w:rPr>
          <w:rFonts w:eastAsia="Calibri"/>
          <w:sz w:val="22"/>
          <w:szCs w:val="22"/>
          <w:lang w:val="ro-RO"/>
        </w:rPr>
        <w:t>- medii lunare şi maxime zilnice în luna ianuarie 2019, comparativ cu luna decembrie 2018</w:t>
      </w:r>
    </w:p>
    <w:p w:rsidR="00D12BF1" w:rsidRPr="00D12BF1" w:rsidRDefault="00D12BF1" w:rsidP="00D12BF1">
      <w:pPr>
        <w:pStyle w:val="ListParagraph"/>
        <w:widowControl w:val="0"/>
        <w:rPr>
          <w:sz w:val="6"/>
          <w:szCs w:val="6"/>
          <w:lang w:val="ro-RO"/>
        </w:rPr>
      </w:pPr>
    </w:p>
    <w:tbl>
      <w:tblPr>
        <w:tblW w:w="0" w:type="auto"/>
        <w:jc w:val="center"/>
        <w:tblInd w:w="292" w:type="dxa"/>
        <w:tblLook w:val="01E0"/>
      </w:tblPr>
      <w:tblGrid>
        <w:gridCol w:w="4637"/>
        <w:gridCol w:w="4857"/>
      </w:tblGrid>
      <w:tr w:rsidR="00D12BF1" w:rsidRPr="00D12BF1" w:rsidTr="0072501D">
        <w:trPr>
          <w:trHeight w:val="1209"/>
          <w:jc w:val="center"/>
        </w:trPr>
        <w:tc>
          <w:tcPr>
            <w:tcW w:w="4637" w:type="dxa"/>
            <w:vAlign w:val="center"/>
          </w:tcPr>
          <w:p w:rsidR="00D12BF1" w:rsidRPr="00D12BF1" w:rsidRDefault="00D12BF1" w:rsidP="0072501D">
            <w:pPr>
              <w:widowControl w:val="0"/>
              <w:spacing w:after="0" w:line="240" w:lineRule="auto"/>
              <w:jc w:val="center"/>
              <w:rPr>
                <w:rFonts w:ascii="Times New Roman" w:hAnsi="Times New Roman"/>
                <w:b/>
                <w:sz w:val="24"/>
                <w:szCs w:val="24"/>
                <w:lang w:val="ro-RO"/>
              </w:rPr>
            </w:pPr>
            <w:r w:rsidRPr="00D12BF1">
              <w:rPr>
                <w:rFonts w:ascii="Times New Roman" w:hAnsi="Times New Roman"/>
                <w:b/>
                <w:noProof/>
                <w:sz w:val="24"/>
                <w:szCs w:val="24"/>
                <w:lang w:val="ro-RO" w:eastAsia="ro-RO"/>
              </w:rPr>
              <w:drawing>
                <wp:inline distT="0" distB="0" distL="0" distR="0">
                  <wp:extent cx="2568271" cy="1121134"/>
                  <wp:effectExtent l="0" t="0" r="0" b="0"/>
                  <wp:docPr id="41"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4857" w:type="dxa"/>
            <w:vAlign w:val="center"/>
          </w:tcPr>
          <w:p w:rsidR="00D12BF1" w:rsidRPr="00D12BF1" w:rsidRDefault="00D12BF1" w:rsidP="0072501D">
            <w:pPr>
              <w:widowControl w:val="0"/>
              <w:spacing w:after="0" w:line="240" w:lineRule="auto"/>
              <w:jc w:val="center"/>
              <w:rPr>
                <w:rFonts w:ascii="Times New Roman" w:hAnsi="Times New Roman"/>
                <w:b/>
                <w:sz w:val="24"/>
                <w:szCs w:val="24"/>
                <w:lang w:val="ro-RO"/>
              </w:rPr>
            </w:pPr>
            <w:r w:rsidRPr="00D12BF1">
              <w:rPr>
                <w:rFonts w:ascii="Times New Roman" w:hAnsi="Times New Roman"/>
                <w:b/>
                <w:noProof/>
                <w:sz w:val="24"/>
                <w:szCs w:val="24"/>
                <w:lang w:val="ro-RO" w:eastAsia="ro-RO"/>
              </w:rPr>
              <w:drawing>
                <wp:inline distT="0" distB="0" distL="0" distR="0">
                  <wp:extent cx="2631881" cy="1081377"/>
                  <wp:effectExtent l="0" t="0" r="0" b="0"/>
                  <wp:docPr id="43"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D12BF1" w:rsidRPr="00D12BF1" w:rsidTr="0072501D">
        <w:trPr>
          <w:trHeight w:val="80"/>
          <w:jc w:val="center"/>
        </w:trPr>
        <w:tc>
          <w:tcPr>
            <w:tcW w:w="4637" w:type="dxa"/>
          </w:tcPr>
          <w:p w:rsidR="00D12BF1" w:rsidRPr="00D12BF1" w:rsidRDefault="00D12BF1" w:rsidP="0072501D">
            <w:pPr>
              <w:widowControl w:val="0"/>
              <w:spacing w:after="0" w:line="240" w:lineRule="auto"/>
              <w:jc w:val="center"/>
              <w:rPr>
                <w:rFonts w:ascii="Times New Roman" w:hAnsi="Times New Roman"/>
                <w:i/>
                <w:sz w:val="24"/>
                <w:szCs w:val="24"/>
                <w:lang w:val="ro-RO"/>
              </w:rPr>
            </w:pPr>
            <w:r w:rsidRPr="00D12BF1">
              <w:rPr>
                <w:rFonts w:ascii="Times New Roman" w:hAnsi="Times New Roman"/>
                <w:i/>
                <w:sz w:val="24"/>
                <w:szCs w:val="24"/>
                <w:lang w:val="ro-RO"/>
              </w:rPr>
              <w:t>a. Măsurători imediate</w:t>
            </w:r>
          </w:p>
        </w:tc>
        <w:tc>
          <w:tcPr>
            <w:tcW w:w="4857" w:type="dxa"/>
          </w:tcPr>
          <w:p w:rsidR="00D12BF1" w:rsidRPr="00D12BF1" w:rsidRDefault="00D12BF1" w:rsidP="0072501D">
            <w:pPr>
              <w:widowControl w:val="0"/>
              <w:spacing w:after="0" w:line="240" w:lineRule="auto"/>
              <w:jc w:val="center"/>
              <w:rPr>
                <w:rFonts w:ascii="Times New Roman" w:hAnsi="Times New Roman"/>
                <w:i/>
                <w:sz w:val="24"/>
                <w:szCs w:val="24"/>
                <w:lang w:val="ro-RO"/>
              </w:rPr>
            </w:pPr>
            <w:r w:rsidRPr="00D12BF1">
              <w:rPr>
                <w:rFonts w:ascii="Times New Roman" w:hAnsi="Times New Roman"/>
                <w:i/>
                <w:sz w:val="24"/>
                <w:szCs w:val="24"/>
                <w:lang w:val="ro-RO"/>
              </w:rPr>
              <w:t>b. Măsurători întârziate (la 5 zile)</w:t>
            </w:r>
          </w:p>
        </w:tc>
      </w:tr>
    </w:tbl>
    <w:p w:rsidR="00D12BF1" w:rsidRPr="00D12BF1" w:rsidRDefault="00D12BF1" w:rsidP="00D12BF1">
      <w:pPr>
        <w:pStyle w:val="Default"/>
        <w:widowControl w:val="0"/>
        <w:jc w:val="both"/>
        <w:rPr>
          <w:rFonts w:ascii="Times New Roman" w:hAnsi="Times New Roman" w:cs="Times New Roman"/>
          <w:i/>
          <w:color w:val="auto"/>
          <w:sz w:val="20"/>
          <w:szCs w:val="20"/>
        </w:rPr>
      </w:pPr>
      <w:r w:rsidRPr="00D12BF1">
        <w:rPr>
          <w:rFonts w:ascii="Times New Roman" w:hAnsi="Times New Roman" w:cs="Times New Roman"/>
          <w:b/>
          <w:i/>
          <w:color w:val="auto"/>
          <w:sz w:val="20"/>
          <w:szCs w:val="20"/>
        </w:rPr>
        <w:t>Note</w:t>
      </w:r>
      <w:r w:rsidRPr="00D12BF1">
        <w:rPr>
          <w:rFonts w:ascii="Times New Roman" w:hAnsi="Times New Roman" w:cs="Times New Roman"/>
          <w:i/>
          <w:color w:val="auto"/>
          <w:sz w:val="20"/>
          <w:szCs w:val="20"/>
        </w:rPr>
        <w:t xml:space="preserve">: </w:t>
      </w:r>
    </w:p>
    <w:p w:rsidR="00D12BF1" w:rsidRPr="00D12BF1" w:rsidRDefault="00D12BF1" w:rsidP="00D12BF1">
      <w:pPr>
        <w:pStyle w:val="Default"/>
        <w:widowControl w:val="0"/>
        <w:jc w:val="both"/>
        <w:rPr>
          <w:rFonts w:ascii="Times New Roman" w:hAnsi="Times New Roman" w:cs="Times New Roman"/>
          <w:i/>
          <w:color w:val="auto"/>
          <w:sz w:val="20"/>
          <w:szCs w:val="20"/>
        </w:rPr>
      </w:pPr>
      <w:r w:rsidRPr="00D12BF1">
        <w:rPr>
          <w:rFonts w:ascii="Times New Roman" w:hAnsi="Times New Roman" w:cs="Times New Roman"/>
          <w:i/>
          <w:color w:val="auto"/>
          <w:sz w:val="20"/>
          <w:szCs w:val="20"/>
        </w:rPr>
        <w:t xml:space="preserve">1. </w:t>
      </w:r>
      <w:r w:rsidRPr="00D12BF1">
        <w:rPr>
          <w:rFonts w:ascii="Times New Roman" w:hAnsi="Times New Roman" w:cs="Times New Roman"/>
          <w:b/>
          <w:i/>
          <w:color w:val="auto"/>
          <w:sz w:val="20"/>
          <w:szCs w:val="20"/>
        </w:rPr>
        <w:t>Limita de avertizare</w:t>
      </w:r>
      <w:r w:rsidRPr="00D12BF1">
        <w:rPr>
          <w:rFonts w:ascii="Times New Roman" w:hAnsi="Times New Roman" w:cs="Times New Roman"/>
          <w:i/>
          <w:color w:val="auto"/>
          <w:sz w:val="20"/>
          <w:szCs w:val="20"/>
        </w:rPr>
        <w:t xml:space="preserve"> pentru apa de suprafaţă prin analiza beta globală </w:t>
      </w:r>
      <w:r w:rsidRPr="00D12BF1">
        <w:rPr>
          <w:rFonts w:ascii="Times New Roman" w:hAnsi="Times New Roman" w:cs="Times New Roman"/>
          <w:b/>
          <w:i/>
          <w:color w:val="auto"/>
          <w:sz w:val="20"/>
          <w:szCs w:val="20"/>
        </w:rPr>
        <w:t>imediată</w:t>
      </w:r>
      <w:r w:rsidRPr="00D12BF1">
        <w:rPr>
          <w:rFonts w:ascii="Times New Roman" w:hAnsi="Times New Roman" w:cs="Times New Roman"/>
          <w:i/>
          <w:color w:val="auto"/>
          <w:sz w:val="20"/>
          <w:szCs w:val="20"/>
        </w:rPr>
        <w:t xml:space="preserve"> este de </w:t>
      </w:r>
      <w:r w:rsidRPr="00D12BF1">
        <w:rPr>
          <w:rFonts w:ascii="Times New Roman" w:hAnsi="Times New Roman" w:cs="Times New Roman"/>
          <w:b/>
          <w:i/>
          <w:color w:val="auto"/>
          <w:sz w:val="20"/>
          <w:szCs w:val="20"/>
        </w:rPr>
        <w:t>5000 Bq/m</w:t>
      </w:r>
      <w:r w:rsidRPr="00D12BF1">
        <w:rPr>
          <w:rFonts w:ascii="Times New Roman" w:hAnsi="Times New Roman" w:cs="Times New Roman"/>
          <w:b/>
          <w:i/>
          <w:color w:val="auto"/>
          <w:sz w:val="20"/>
          <w:szCs w:val="20"/>
          <w:vertAlign w:val="superscript"/>
        </w:rPr>
        <w:t>3</w:t>
      </w:r>
      <w:r w:rsidRPr="00D12BF1">
        <w:rPr>
          <w:rFonts w:ascii="Times New Roman" w:hAnsi="Times New Roman" w:cs="Times New Roman"/>
          <w:i/>
          <w:color w:val="auto"/>
          <w:sz w:val="20"/>
          <w:szCs w:val="20"/>
        </w:rPr>
        <w:t>(conform O.M. nr. 1978/2010)</w:t>
      </w:r>
    </w:p>
    <w:p w:rsidR="00D12BF1" w:rsidRPr="00D12BF1" w:rsidRDefault="00D12BF1" w:rsidP="00D12BF1">
      <w:pPr>
        <w:pStyle w:val="Default"/>
        <w:widowControl w:val="0"/>
        <w:jc w:val="both"/>
        <w:rPr>
          <w:rFonts w:ascii="Times New Roman" w:hAnsi="Times New Roman" w:cs="Times New Roman"/>
          <w:i/>
          <w:color w:val="auto"/>
          <w:sz w:val="20"/>
          <w:szCs w:val="20"/>
        </w:rPr>
      </w:pPr>
      <w:r w:rsidRPr="00D12BF1">
        <w:rPr>
          <w:rFonts w:ascii="Times New Roman" w:hAnsi="Times New Roman" w:cs="Times New Roman"/>
          <w:i/>
          <w:color w:val="auto"/>
          <w:sz w:val="20"/>
          <w:szCs w:val="20"/>
        </w:rPr>
        <w:t>2. Pentru cazurile în care valoarea măsurată a fost sub valoarea minim detectabilă a aparatului, în calculul mediei s-a utilizat valoarea minim detectabilă (limita de detecţie).</w:t>
      </w:r>
    </w:p>
    <w:p w:rsidR="00D12BF1" w:rsidRPr="00D12BF1" w:rsidRDefault="00D12BF1" w:rsidP="00D12BF1">
      <w:pPr>
        <w:widowControl w:val="0"/>
        <w:spacing w:after="0" w:line="240" w:lineRule="auto"/>
        <w:ind w:firstLine="709"/>
        <w:jc w:val="both"/>
        <w:rPr>
          <w:rFonts w:ascii="Times New Roman" w:hAnsi="Times New Roman"/>
          <w:sz w:val="8"/>
          <w:szCs w:val="8"/>
          <w:lang w:val="ro-RO"/>
        </w:rPr>
      </w:pPr>
    </w:p>
    <w:p w:rsidR="00D12BF1" w:rsidRPr="00D12BF1" w:rsidRDefault="00D12BF1" w:rsidP="00D12BF1">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 xml:space="preserve">Din fig. 2.4.1.1. se constată că valorile medii lunare ale activităţii beta globale imediate şi întârziate a apei râului Suceava în luna ianuarie 2019 au variat în limite normale față de cele din decembrie 2018. </w:t>
      </w:r>
    </w:p>
    <w:p w:rsidR="00D12BF1" w:rsidRPr="00D12BF1" w:rsidRDefault="00D12BF1" w:rsidP="00D12BF1">
      <w:pPr>
        <w:widowControl w:val="0"/>
        <w:spacing w:after="0" w:line="240" w:lineRule="auto"/>
        <w:jc w:val="both"/>
        <w:rPr>
          <w:rFonts w:ascii="Times New Roman" w:hAnsi="Times New Roman"/>
          <w:b/>
          <w:sz w:val="6"/>
          <w:szCs w:val="6"/>
          <w:lang w:val="ro-RO"/>
        </w:rPr>
      </w:pPr>
    </w:p>
    <w:p w:rsidR="00D12BF1" w:rsidRPr="00D12BF1" w:rsidRDefault="00D12BF1" w:rsidP="00D12BF1">
      <w:pPr>
        <w:widowControl w:val="0"/>
        <w:spacing w:after="0" w:line="240" w:lineRule="auto"/>
        <w:jc w:val="both"/>
        <w:rPr>
          <w:rFonts w:ascii="Times New Roman" w:hAnsi="Times New Roman"/>
          <w:b/>
          <w:i/>
          <w:sz w:val="14"/>
          <w:szCs w:val="14"/>
          <w:lang w:val="ro-RO"/>
        </w:rPr>
      </w:pPr>
    </w:p>
    <w:p w:rsidR="00D12BF1" w:rsidRPr="00D12BF1" w:rsidRDefault="00D12BF1" w:rsidP="00D12BF1">
      <w:pPr>
        <w:widowControl w:val="0"/>
        <w:spacing w:after="0" w:line="240" w:lineRule="auto"/>
        <w:jc w:val="both"/>
        <w:rPr>
          <w:rFonts w:ascii="Times New Roman" w:hAnsi="Times New Roman"/>
          <w:b/>
          <w:i/>
          <w:sz w:val="24"/>
          <w:szCs w:val="24"/>
          <w:lang w:val="ro-RO"/>
        </w:rPr>
      </w:pPr>
      <w:r w:rsidRPr="00D12BF1">
        <w:rPr>
          <w:rFonts w:ascii="Times New Roman" w:hAnsi="Times New Roman"/>
          <w:b/>
          <w:i/>
          <w:sz w:val="24"/>
          <w:szCs w:val="24"/>
          <w:lang w:val="ro-RO"/>
        </w:rPr>
        <w:t xml:space="preserve">2.5. Radioactivitatea solului </w:t>
      </w:r>
    </w:p>
    <w:p w:rsidR="00D12BF1" w:rsidRPr="00D12BF1" w:rsidRDefault="00D12BF1" w:rsidP="00D12BF1">
      <w:pPr>
        <w:widowControl w:val="0"/>
        <w:spacing w:after="0" w:line="240" w:lineRule="auto"/>
        <w:rPr>
          <w:rFonts w:ascii="Times New Roman" w:hAnsi="Times New Roman"/>
          <w:i/>
          <w:sz w:val="10"/>
          <w:szCs w:val="10"/>
          <w:lang w:val="ro-RO"/>
        </w:rPr>
      </w:pPr>
    </w:p>
    <w:p w:rsidR="00D12BF1" w:rsidRPr="00D12BF1" w:rsidRDefault="00D12BF1" w:rsidP="00D12BF1">
      <w:pPr>
        <w:pStyle w:val="Default"/>
        <w:widowControl w:val="0"/>
        <w:rPr>
          <w:rFonts w:ascii="Times New Roman" w:hAnsi="Times New Roman" w:cs="Times New Roman"/>
          <w:color w:val="auto"/>
          <w:u w:val="single"/>
        </w:rPr>
      </w:pPr>
      <w:r w:rsidRPr="00D12BF1">
        <w:rPr>
          <w:rFonts w:ascii="Times New Roman" w:hAnsi="Times New Roman" w:cs="Times New Roman"/>
          <w:b/>
          <w:color w:val="auto"/>
        </w:rPr>
        <w:t>2.5.1.</w:t>
      </w:r>
      <w:r w:rsidRPr="00D12BF1">
        <w:rPr>
          <w:rFonts w:ascii="Times New Roman" w:hAnsi="Times New Roman" w:cs="Times New Roman"/>
          <w:color w:val="auto"/>
        </w:rPr>
        <w:t xml:space="preserve"> </w:t>
      </w:r>
      <w:r w:rsidRPr="00D12BF1">
        <w:rPr>
          <w:rFonts w:ascii="Times New Roman" w:hAnsi="Times New Roman" w:cs="Times New Roman"/>
          <w:color w:val="auto"/>
          <w:u w:val="single"/>
        </w:rPr>
        <w:t>Program standard</w:t>
      </w:r>
    </w:p>
    <w:p w:rsidR="00D12BF1" w:rsidRPr="00D12BF1" w:rsidRDefault="00D12BF1" w:rsidP="00D12BF1">
      <w:pPr>
        <w:widowControl w:val="0"/>
        <w:spacing w:after="0" w:line="240" w:lineRule="auto"/>
        <w:rPr>
          <w:rFonts w:ascii="Times New Roman" w:hAnsi="Times New Roman"/>
          <w:i/>
          <w:sz w:val="6"/>
          <w:szCs w:val="6"/>
          <w:lang w:val="ro-RO"/>
        </w:rPr>
      </w:pPr>
    </w:p>
    <w:p w:rsidR="00D12BF1" w:rsidRPr="00D12BF1" w:rsidRDefault="00D12BF1" w:rsidP="00D12BF1">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 xml:space="preserve">În cadrul programului standard de supraveghere a radioactivităţii mediului, SSRM Suceava prelevează săptămânal probe de sol necultivat din punctul Sediu A.P.M. Suceava, pe care le măsoară beta global întârziat (la 5 zile). </w:t>
      </w:r>
    </w:p>
    <w:p w:rsidR="00D12BF1" w:rsidRPr="00D12BF1" w:rsidRDefault="00D12BF1" w:rsidP="00D12BF1">
      <w:pPr>
        <w:widowControl w:val="0"/>
        <w:spacing w:after="0" w:line="240" w:lineRule="auto"/>
        <w:jc w:val="center"/>
        <w:rPr>
          <w:rFonts w:ascii="Times New Roman" w:hAnsi="Times New Roman"/>
          <w:sz w:val="10"/>
          <w:szCs w:val="10"/>
          <w:lang w:val="ro-RO"/>
        </w:rPr>
      </w:pP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Fig. 2.5.1.1. Sol necultivat mun. Suceava - activităţi specifice beta globale întârziate</w:t>
      </w:r>
    </w:p>
    <w:p w:rsidR="00D12BF1" w:rsidRPr="00D12BF1" w:rsidRDefault="00D12BF1" w:rsidP="00D12BF1">
      <w:pPr>
        <w:widowControl w:val="0"/>
        <w:spacing w:after="0" w:line="240" w:lineRule="auto"/>
        <w:jc w:val="center"/>
        <w:rPr>
          <w:rFonts w:ascii="Times New Roman" w:hAnsi="Times New Roman"/>
          <w:lang w:val="ro-RO"/>
        </w:rPr>
      </w:pPr>
      <w:r w:rsidRPr="00D12BF1">
        <w:rPr>
          <w:rFonts w:ascii="Times New Roman" w:hAnsi="Times New Roman"/>
          <w:lang w:val="ro-RO"/>
        </w:rPr>
        <w:t>în luna ianuarie 2019, comparativ cu luna decembrie 2018</w:t>
      </w:r>
    </w:p>
    <w:p w:rsidR="00D12BF1" w:rsidRPr="00D12BF1" w:rsidRDefault="00D12BF1" w:rsidP="00D12BF1">
      <w:pPr>
        <w:widowControl w:val="0"/>
        <w:spacing w:after="0" w:line="240" w:lineRule="auto"/>
        <w:jc w:val="center"/>
        <w:rPr>
          <w:rFonts w:ascii="Times New Roman" w:hAnsi="Times New Roman"/>
          <w:sz w:val="10"/>
          <w:szCs w:val="10"/>
          <w:lang w:val="ro-RO"/>
        </w:rPr>
      </w:pPr>
    </w:p>
    <w:p w:rsidR="00D12BF1" w:rsidRPr="00D12BF1" w:rsidRDefault="00D12BF1" w:rsidP="00D12BF1">
      <w:pPr>
        <w:widowControl w:val="0"/>
        <w:spacing w:after="0" w:line="240" w:lineRule="auto"/>
        <w:jc w:val="center"/>
        <w:rPr>
          <w:rFonts w:ascii="Times New Roman" w:hAnsi="Times New Roman"/>
          <w:b/>
          <w:sz w:val="16"/>
          <w:szCs w:val="16"/>
          <w:lang w:val="ro-RO"/>
        </w:rPr>
      </w:pPr>
      <w:r w:rsidRPr="00D12BF1">
        <w:rPr>
          <w:rFonts w:ascii="Times New Roman" w:hAnsi="Times New Roman"/>
          <w:noProof/>
          <w:sz w:val="24"/>
          <w:szCs w:val="24"/>
          <w:lang w:val="ro-RO" w:eastAsia="ro-RO"/>
        </w:rPr>
        <w:drawing>
          <wp:inline distT="0" distB="0" distL="0" distR="0">
            <wp:extent cx="3829050" cy="923925"/>
            <wp:effectExtent l="0" t="0" r="0" b="0"/>
            <wp:docPr id="44"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12BF1" w:rsidRPr="00D12BF1" w:rsidRDefault="00D12BF1" w:rsidP="00D12BF1">
      <w:pPr>
        <w:widowControl w:val="0"/>
        <w:spacing w:after="0" w:line="240" w:lineRule="auto"/>
        <w:jc w:val="center"/>
        <w:rPr>
          <w:rFonts w:ascii="Times New Roman" w:hAnsi="Times New Roman"/>
          <w:sz w:val="6"/>
          <w:szCs w:val="6"/>
          <w:lang w:val="ro-RO"/>
        </w:rPr>
      </w:pPr>
    </w:p>
    <w:p w:rsidR="00D12BF1" w:rsidRPr="00D12BF1" w:rsidRDefault="00D12BF1" w:rsidP="00D12BF1">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lastRenderedPageBreak/>
        <w:t xml:space="preserve">Media lunară a valorilor măsurate </w:t>
      </w:r>
      <w:r w:rsidR="00AD6BED">
        <w:rPr>
          <w:rFonts w:ascii="Times New Roman" w:hAnsi="Times New Roman"/>
          <w:sz w:val="24"/>
          <w:szCs w:val="24"/>
          <w:lang w:val="ro-RO"/>
        </w:rPr>
        <w:t xml:space="preserve">(câte două valori în fiecare lună, solul fiind înghețat în rest) </w:t>
      </w:r>
      <w:r w:rsidRPr="00D12BF1">
        <w:rPr>
          <w:rFonts w:ascii="Times New Roman" w:hAnsi="Times New Roman"/>
          <w:sz w:val="24"/>
          <w:szCs w:val="24"/>
          <w:lang w:val="ro-RO"/>
        </w:rPr>
        <w:t xml:space="preserve">a variat în limite normale faţă de cea din luna anterioară, aşa cum se constată din fig. 2.5.1.1. </w:t>
      </w:r>
    </w:p>
    <w:p w:rsidR="00890268" w:rsidRPr="00D12BF1" w:rsidRDefault="00890268" w:rsidP="00FA20FC">
      <w:pPr>
        <w:widowControl w:val="0"/>
        <w:spacing w:after="0" w:line="240" w:lineRule="auto"/>
        <w:jc w:val="both"/>
        <w:rPr>
          <w:rFonts w:ascii="Times New Roman" w:hAnsi="Times New Roman"/>
          <w:b/>
          <w:sz w:val="24"/>
          <w:szCs w:val="24"/>
          <w:lang w:val="ro-RO"/>
        </w:rPr>
      </w:pPr>
    </w:p>
    <w:p w:rsidR="00E322DE" w:rsidRPr="00D12BF1" w:rsidRDefault="00E322DE" w:rsidP="00FA20FC">
      <w:pPr>
        <w:widowControl w:val="0"/>
        <w:spacing w:after="0" w:line="240" w:lineRule="auto"/>
        <w:jc w:val="both"/>
        <w:rPr>
          <w:rFonts w:ascii="Times New Roman" w:hAnsi="Times New Roman"/>
          <w:b/>
          <w:sz w:val="10"/>
          <w:szCs w:val="10"/>
          <w:lang w:val="ro-RO"/>
        </w:rPr>
      </w:pPr>
    </w:p>
    <w:p w:rsidR="003A11AE" w:rsidRPr="00D12BF1" w:rsidRDefault="003A11AE" w:rsidP="003A11AE">
      <w:pPr>
        <w:widowControl w:val="0"/>
        <w:spacing w:after="0" w:line="240" w:lineRule="auto"/>
        <w:jc w:val="both"/>
        <w:rPr>
          <w:rFonts w:ascii="Times New Roman" w:hAnsi="Times New Roman"/>
          <w:b/>
          <w:sz w:val="24"/>
          <w:szCs w:val="24"/>
          <w:lang w:val="ro-RO"/>
        </w:rPr>
      </w:pPr>
      <w:r w:rsidRPr="00D12BF1">
        <w:rPr>
          <w:rFonts w:ascii="Times New Roman" w:hAnsi="Times New Roman"/>
          <w:b/>
          <w:sz w:val="24"/>
          <w:szCs w:val="24"/>
          <w:lang w:val="ro-RO"/>
        </w:rPr>
        <w:t>3. NIVEL DE ZGOMOT URBAN</w:t>
      </w:r>
    </w:p>
    <w:p w:rsidR="009A1DBA" w:rsidRPr="00D12BF1" w:rsidRDefault="003A11AE" w:rsidP="009502E8">
      <w:pPr>
        <w:widowControl w:val="0"/>
        <w:spacing w:after="0" w:line="240" w:lineRule="auto"/>
        <w:jc w:val="both"/>
        <w:rPr>
          <w:rFonts w:ascii="Times New Roman" w:hAnsi="Times New Roman"/>
          <w:b/>
          <w:sz w:val="10"/>
          <w:szCs w:val="10"/>
          <w:lang w:val="ro-RO"/>
        </w:rPr>
      </w:pPr>
      <w:r w:rsidRPr="00D12BF1">
        <w:rPr>
          <w:rFonts w:ascii="Times New Roman" w:hAnsi="Times New Roman"/>
          <w:b/>
          <w:color w:val="FF0000"/>
          <w:sz w:val="24"/>
          <w:szCs w:val="24"/>
          <w:lang w:val="ro-RO"/>
        </w:rPr>
        <w:tab/>
      </w:r>
    </w:p>
    <w:p w:rsidR="00FE5073" w:rsidRPr="00D12BF1" w:rsidRDefault="00FE5073" w:rsidP="00D12BF1">
      <w:pPr>
        <w:widowControl w:val="0"/>
        <w:spacing w:after="0" w:line="240" w:lineRule="auto"/>
        <w:ind w:firstLine="720"/>
        <w:jc w:val="both"/>
        <w:rPr>
          <w:rFonts w:ascii="Times New Roman" w:hAnsi="Times New Roman"/>
          <w:sz w:val="24"/>
          <w:szCs w:val="24"/>
          <w:lang w:val="ro-RO"/>
        </w:rPr>
      </w:pPr>
      <w:r w:rsidRPr="00D12BF1">
        <w:rPr>
          <w:rFonts w:ascii="Times New Roman" w:hAnsi="Times New Roman"/>
          <w:sz w:val="24"/>
          <w:szCs w:val="24"/>
          <w:lang w:val="ro-RO"/>
        </w:rPr>
        <w:t xml:space="preserve">Nu au fost efectuate </w:t>
      </w:r>
      <w:r w:rsidR="00117C78" w:rsidRPr="00D12BF1">
        <w:rPr>
          <w:rFonts w:ascii="Times New Roman" w:hAnsi="Times New Roman"/>
          <w:sz w:val="24"/>
          <w:szCs w:val="24"/>
          <w:lang w:val="ro-RO"/>
        </w:rPr>
        <w:t>măsurători de zgomot î</w:t>
      </w:r>
      <w:r w:rsidRPr="00D12BF1">
        <w:rPr>
          <w:rFonts w:ascii="Times New Roman" w:hAnsi="Times New Roman"/>
          <w:sz w:val="24"/>
          <w:szCs w:val="24"/>
          <w:lang w:val="ro-RO"/>
        </w:rPr>
        <w:t xml:space="preserve">n luna </w:t>
      </w:r>
      <w:r w:rsidR="00890268" w:rsidRPr="00D12BF1">
        <w:rPr>
          <w:rFonts w:ascii="Times New Roman" w:hAnsi="Times New Roman"/>
          <w:sz w:val="24"/>
          <w:szCs w:val="24"/>
          <w:lang w:val="ro-RO"/>
        </w:rPr>
        <w:t>ianuarie</w:t>
      </w:r>
      <w:r w:rsidRPr="00D12BF1">
        <w:rPr>
          <w:rFonts w:ascii="Times New Roman" w:hAnsi="Times New Roman"/>
          <w:sz w:val="24"/>
          <w:szCs w:val="24"/>
          <w:lang w:val="ro-RO"/>
        </w:rPr>
        <w:t xml:space="preserve"> 201</w:t>
      </w:r>
      <w:r w:rsidR="00890268" w:rsidRPr="00D12BF1">
        <w:rPr>
          <w:rFonts w:ascii="Times New Roman" w:hAnsi="Times New Roman"/>
          <w:sz w:val="24"/>
          <w:szCs w:val="24"/>
          <w:lang w:val="ro-RO"/>
        </w:rPr>
        <w:t>9</w:t>
      </w:r>
      <w:r w:rsidRPr="00D12BF1">
        <w:rPr>
          <w:rFonts w:ascii="Times New Roman" w:hAnsi="Times New Roman"/>
          <w:sz w:val="24"/>
          <w:szCs w:val="24"/>
          <w:lang w:val="ro-RO"/>
        </w:rPr>
        <w:t>.</w:t>
      </w:r>
    </w:p>
    <w:p w:rsidR="00FE5073" w:rsidRPr="00D12BF1" w:rsidRDefault="00FE5073" w:rsidP="009502E8">
      <w:pPr>
        <w:widowControl w:val="0"/>
        <w:spacing w:after="0" w:line="240" w:lineRule="auto"/>
        <w:jc w:val="both"/>
        <w:rPr>
          <w:rFonts w:ascii="Times New Roman" w:hAnsi="Times New Roman"/>
          <w:sz w:val="24"/>
          <w:szCs w:val="24"/>
          <w:lang w:val="ro-RO"/>
        </w:rPr>
      </w:pPr>
    </w:p>
    <w:p w:rsidR="009502E8" w:rsidRPr="00D12BF1" w:rsidRDefault="009502E8" w:rsidP="009502E8">
      <w:pPr>
        <w:widowControl w:val="0"/>
        <w:spacing w:after="0" w:line="240" w:lineRule="auto"/>
        <w:jc w:val="both"/>
        <w:rPr>
          <w:rFonts w:ascii="Times New Roman" w:hAnsi="Times New Roman"/>
          <w:b/>
          <w:sz w:val="10"/>
          <w:szCs w:val="10"/>
          <w:lang w:val="ro-RO"/>
        </w:rPr>
      </w:pPr>
      <w:r w:rsidRPr="00D12BF1">
        <w:rPr>
          <w:rFonts w:ascii="Times New Roman" w:hAnsi="Times New Roman"/>
          <w:b/>
          <w:sz w:val="24"/>
          <w:szCs w:val="24"/>
          <w:lang w:val="ro-RO"/>
        </w:rPr>
        <w:t>4. PROTECŢIA NATURII</w:t>
      </w:r>
    </w:p>
    <w:p w:rsidR="009502E8" w:rsidRPr="00D12BF1" w:rsidRDefault="009502E8" w:rsidP="009502E8">
      <w:pPr>
        <w:widowControl w:val="0"/>
        <w:spacing w:after="0" w:line="240" w:lineRule="auto"/>
        <w:jc w:val="both"/>
        <w:rPr>
          <w:rFonts w:ascii="Times New Roman" w:hAnsi="Times New Roman"/>
          <w:b/>
          <w:color w:val="FF0000"/>
          <w:sz w:val="10"/>
          <w:szCs w:val="10"/>
          <w:lang w:val="ro-RO"/>
        </w:rPr>
      </w:pPr>
    </w:p>
    <w:p w:rsidR="001B0EC8" w:rsidRPr="00D12BF1" w:rsidRDefault="001B0EC8" w:rsidP="001B0EC8">
      <w:pPr>
        <w:widowControl w:val="0"/>
        <w:spacing w:after="0" w:line="240" w:lineRule="auto"/>
        <w:ind w:firstLine="708"/>
        <w:jc w:val="both"/>
        <w:rPr>
          <w:rFonts w:ascii="Times New Roman" w:hAnsi="Times New Roman"/>
          <w:sz w:val="24"/>
          <w:szCs w:val="24"/>
          <w:lang w:val="ro-RO"/>
        </w:rPr>
      </w:pPr>
      <w:r w:rsidRPr="00D12BF1">
        <w:rPr>
          <w:rFonts w:ascii="Times New Roman" w:hAnsi="Times New Roman"/>
          <w:sz w:val="24"/>
          <w:szCs w:val="24"/>
          <w:lang w:val="ro-RO"/>
        </w:rPr>
        <w:t>Pe teritoriul judeţului Suceava se regăsesc un număr de 28 rezervaţii naturale:</w:t>
      </w:r>
    </w:p>
    <w:p w:rsidR="001B0EC8" w:rsidRPr="00D12BF1" w:rsidRDefault="001B0EC8" w:rsidP="001B0EC8">
      <w:pPr>
        <w:pStyle w:val="ListParagraph"/>
        <w:widowControl w:val="0"/>
        <w:numPr>
          <w:ilvl w:val="0"/>
          <w:numId w:val="38"/>
        </w:numPr>
        <w:jc w:val="both"/>
        <w:rPr>
          <w:sz w:val="24"/>
          <w:szCs w:val="24"/>
          <w:lang w:val="ro-RO"/>
        </w:rPr>
      </w:pPr>
      <w:r w:rsidRPr="00D12BF1">
        <w:rPr>
          <w:sz w:val="24"/>
          <w:szCs w:val="24"/>
          <w:lang w:val="ro-RO"/>
        </w:rPr>
        <w:t>25 declarate prin Legea nr. 5/2000 privind aprobarea Planului de amenajare a teritoriului naţional – secţiunea a III-a – zone protejate;</w:t>
      </w:r>
    </w:p>
    <w:p w:rsidR="001B0EC8" w:rsidRPr="00D12BF1" w:rsidRDefault="001B0EC8" w:rsidP="001B0EC8">
      <w:pPr>
        <w:pStyle w:val="ListParagraph"/>
        <w:widowControl w:val="0"/>
        <w:numPr>
          <w:ilvl w:val="0"/>
          <w:numId w:val="38"/>
        </w:numPr>
        <w:jc w:val="both"/>
        <w:rPr>
          <w:sz w:val="24"/>
          <w:szCs w:val="24"/>
          <w:lang w:val="ro-RO"/>
        </w:rPr>
      </w:pPr>
      <w:r w:rsidRPr="00D12BF1">
        <w:rPr>
          <w:sz w:val="24"/>
          <w:szCs w:val="24"/>
          <w:lang w:val="ro-RO"/>
        </w:rPr>
        <w:t>3 declarate prin H.G. nr. 1143/2007 privind instituirea de noi arii protejate.</w:t>
      </w:r>
    </w:p>
    <w:p w:rsidR="001B0EC8" w:rsidRPr="00D12BF1" w:rsidRDefault="001B0EC8" w:rsidP="001B0EC8">
      <w:pPr>
        <w:widowControl w:val="0"/>
        <w:spacing w:after="0" w:line="240" w:lineRule="auto"/>
        <w:ind w:firstLine="708"/>
        <w:jc w:val="both"/>
        <w:rPr>
          <w:rFonts w:ascii="Times New Roman" w:hAnsi="Times New Roman"/>
          <w:sz w:val="24"/>
          <w:szCs w:val="24"/>
          <w:lang w:val="ro-RO"/>
        </w:rPr>
      </w:pPr>
      <w:r w:rsidRPr="00D12BF1">
        <w:rPr>
          <w:rFonts w:ascii="Times New Roman" w:hAnsi="Times New Roman"/>
          <w:sz w:val="24"/>
          <w:szCs w:val="24"/>
          <w:lang w:val="ro-RO"/>
        </w:rPr>
        <w:t>Pe teritoriul judeţului Suceava se regăsesc şi 10.700 ha din suprafaţa totală de 24.041 ha a Parcului Naţional Călimani.</w:t>
      </w:r>
      <w:bookmarkStart w:id="0" w:name="_GoBack"/>
      <w:bookmarkEnd w:id="0"/>
    </w:p>
    <w:p w:rsidR="001B0EC8" w:rsidRPr="00D12BF1" w:rsidRDefault="001B0EC8" w:rsidP="001B0EC8">
      <w:pPr>
        <w:widowControl w:val="0"/>
        <w:spacing w:after="0" w:line="240" w:lineRule="auto"/>
        <w:ind w:firstLine="708"/>
        <w:jc w:val="both"/>
        <w:rPr>
          <w:rFonts w:ascii="Times New Roman" w:hAnsi="Times New Roman"/>
          <w:sz w:val="24"/>
          <w:szCs w:val="24"/>
          <w:lang w:val="ro-RO"/>
        </w:rPr>
      </w:pPr>
      <w:r w:rsidRPr="00D12BF1">
        <w:rPr>
          <w:rFonts w:ascii="Times New Roman" w:hAnsi="Times New Roman"/>
          <w:sz w:val="24"/>
          <w:szCs w:val="24"/>
          <w:lang w:val="ro-RO"/>
        </w:rPr>
        <w:t xml:space="preserve"> La nivelul judeţului Suceava au fost declarate un număr de 24 situri de importanţă comunitară (SCI), prin O.M. nr. 46/2016 privind instituirea regimului de arie naturală protejată a siturilor de importanţă comunitară ca parte integrantă a reţelei ecologice europene Natura 2000 în România. Pe teritoriul judeţului Suceava se regăsesc şi un nr. de 6 situri de  protecţie avifaunistică (SPA), declarate prin H.G. nr. 663/2016 privind instituirea regimului de arie naturală protejată a ariilor de protecţie specială avifaunistică, ca parte integrantă a reţelei ecologice europene Natura 2000 în România. 16 situri Natura 2000 au Planuri de management aprobare prin ordin de ministru. </w:t>
      </w:r>
    </w:p>
    <w:p w:rsidR="001B0EC8" w:rsidRPr="00D12BF1" w:rsidRDefault="001B0EC8" w:rsidP="001B0EC8">
      <w:pPr>
        <w:widowControl w:val="0"/>
        <w:spacing w:after="0" w:line="240" w:lineRule="auto"/>
        <w:ind w:firstLine="708"/>
        <w:jc w:val="both"/>
        <w:rPr>
          <w:rFonts w:ascii="Times New Roman" w:hAnsi="Times New Roman"/>
          <w:sz w:val="24"/>
          <w:szCs w:val="24"/>
          <w:lang w:val="ro-RO"/>
        </w:rPr>
      </w:pPr>
      <w:r w:rsidRPr="00D12BF1">
        <w:rPr>
          <w:rFonts w:ascii="Times New Roman" w:hAnsi="Times New Roman"/>
          <w:sz w:val="24"/>
          <w:szCs w:val="24"/>
          <w:lang w:val="ro-RO"/>
        </w:rPr>
        <w:t>Începând cu data de 21.11.2018, toate ariile naturale protejate de pe teritoriul judeţului Suceava, cu excepţia Parcului Naţional Călimani, sunt administrate de către Agenţia Naţională pentru Arii Naturale Protejate.</w:t>
      </w:r>
    </w:p>
    <w:p w:rsidR="001B0EC8" w:rsidRPr="00D12BF1" w:rsidRDefault="001B0EC8" w:rsidP="001B0EC8">
      <w:pPr>
        <w:widowControl w:val="0"/>
        <w:spacing w:after="0" w:line="240" w:lineRule="auto"/>
        <w:ind w:firstLine="708"/>
        <w:jc w:val="both"/>
        <w:rPr>
          <w:rFonts w:ascii="Times New Roman" w:hAnsi="Times New Roman"/>
          <w:sz w:val="24"/>
          <w:szCs w:val="24"/>
          <w:lang w:val="ro-RO"/>
        </w:rPr>
      </w:pPr>
      <w:r w:rsidRPr="00D12BF1">
        <w:rPr>
          <w:rFonts w:ascii="Times New Roman" w:hAnsi="Times New Roman"/>
          <w:sz w:val="24"/>
          <w:szCs w:val="24"/>
          <w:lang w:val="ro-RO"/>
        </w:rPr>
        <w:t>Grădinile zoologice din judeţ sunt Parc Zoologic Rădăuţi şi Menajerie Colţ Zoologic Ilişeşti.</w:t>
      </w:r>
    </w:p>
    <w:p w:rsidR="009502E8" w:rsidRPr="00D12BF1" w:rsidRDefault="009502E8" w:rsidP="009502E8">
      <w:pPr>
        <w:widowControl w:val="0"/>
        <w:spacing w:after="0" w:line="240" w:lineRule="auto"/>
        <w:jc w:val="both"/>
        <w:rPr>
          <w:rFonts w:ascii="Times New Roman" w:hAnsi="Times New Roman"/>
          <w:b/>
          <w:color w:val="FF0000"/>
          <w:sz w:val="16"/>
          <w:szCs w:val="16"/>
          <w:lang w:val="ro-RO"/>
        </w:rPr>
      </w:pPr>
    </w:p>
    <w:p w:rsidR="0008356E" w:rsidRPr="00D12BF1" w:rsidRDefault="0008356E" w:rsidP="0008356E">
      <w:pPr>
        <w:widowControl w:val="0"/>
        <w:spacing w:after="0" w:line="240" w:lineRule="auto"/>
        <w:jc w:val="both"/>
        <w:rPr>
          <w:rFonts w:ascii="Times New Roman" w:hAnsi="Times New Roman"/>
          <w:b/>
          <w:sz w:val="24"/>
          <w:szCs w:val="24"/>
          <w:lang w:val="ro-RO"/>
        </w:rPr>
      </w:pPr>
      <w:r w:rsidRPr="00D12BF1">
        <w:rPr>
          <w:rFonts w:ascii="Times New Roman" w:hAnsi="Times New Roman"/>
          <w:b/>
          <w:sz w:val="24"/>
          <w:szCs w:val="24"/>
          <w:lang w:val="ro-RO"/>
        </w:rPr>
        <w:t>5. GESTIUNEA DEŞEURILOR ŞI CHIMICALE</w:t>
      </w:r>
    </w:p>
    <w:p w:rsidR="0008356E" w:rsidRPr="00D12BF1" w:rsidRDefault="0008356E" w:rsidP="0008356E">
      <w:pPr>
        <w:widowControl w:val="0"/>
        <w:spacing w:after="0" w:line="240" w:lineRule="auto"/>
        <w:ind w:firstLine="709"/>
        <w:jc w:val="both"/>
        <w:rPr>
          <w:rFonts w:ascii="Times New Roman" w:hAnsi="Times New Roman"/>
          <w:color w:val="FF0000"/>
          <w:sz w:val="10"/>
          <w:szCs w:val="10"/>
          <w:lang w:val="ro-RO"/>
        </w:rPr>
      </w:pPr>
    </w:p>
    <w:p w:rsidR="00890268" w:rsidRPr="00D12BF1" w:rsidRDefault="00890268" w:rsidP="00890268">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 xml:space="preserve">Faptul că în judeţul Suceava nu funcţionează niciun depozit de deşeuri conform, creează mari dificultăţi în ceea ce priveşte managementul deşeurilor municipale. În prezent, deşeurile colectate de serviciile de salubritate sunt stocate temporar în spaţii special amenajate urmând să fie relocate pe depozitul Moara. </w:t>
      </w:r>
    </w:p>
    <w:p w:rsidR="00890268" w:rsidRPr="00D12BF1" w:rsidRDefault="00890268" w:rsidP="00890268">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Această situaţie este cauzată de întârzierile înregistrate în punerea în funcțiune a obiectivelor proiectului „</w:t>
      </w:r>
      <w:r w:rsidRPr="00D12BF1">
        <w:rPr>
          <w:rFonts w:ascii="Times New Roman" w:hAnsi="Times New Roman"/>
          <w:i/>
          <w:sz w:val="24"/>
          <w:szCs w:val="24"/>
          <w:lang w:val="ro-RO"/>
        </w:rPr>
        <w:t>Sistem de Management Integrat al Deşeurilor în judeţul Suceava</w:t>
      </w:r>
      <w:r w:rsidRPr="00D12BF1">
        <w:rPr>
          <w:rFonts w:ascii="Times New Roman" w:hAnsi="Times New Roman"/>
          <w:sz w:val="24"/>
          <w:szCs w:val="24"/>
          <w:lang w:val="ro-RO"/>
        </w:rPr>
        <w:t>”, implementat de Consiliul Judeţean Suceava.</w:t>
      </w:r>
    </w:p>
    <w:p w:rsidR="00890268" w:rsidRPr="00D12BF1" w:rsidRDefault="00890268" w:rsidP="00890268">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Astfel, deşi prima celulă din depozitul Moara a fost finalizată, aceasta nu este încă operaţională. A fost emisă autorizația integrată de mediu nr.3/14.11.2018 pentru Centrul de Management Integrat al Deşeurilor Moara. A fost finalizată construcția depozitului Pojorâta, PV recepție la trerminarea lucrărilor nr. 22534/28.09.2018.</w:t>
      </w:r>
    </w:p>
    <w:p w:rsidR="00890268" w:rsidRPr="00D12BF1" w:rsidRDefault="00890268" w:rsidP="00890268">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Proiectul „</w:t>
      </w:r>
      <w:r w:rsidRPr="00D12BF1">
        <w:rPr>
          <w:rFonts w:ascii="Times New Roman" w:hAnsi="Times New Roman"/>
          <w:i/>
          <w:sz w:val="24"/>
          <w:szCs w:val="24"/>
          <w:lang w:val="ro-RO"/>
        </w:rPr>
        <w:t>Sistem de Management Integrat al Deşeurilor în Judeţul Suceava</w:t>
      </w:r>
      <w:r w:rsidRPr="00D12BF1">
        <w:rPr>
          <w:rFonts w:ascii="Times New Roman" w:hAnsi="Times New Roman"/>
          <w:sz w:val="24"/>
          <w:szCs w:val="24"/>
          <w:lang w:val="ro-RO"/>
        </w:rPr>
        <w:t>” a fost fazat, urmând să fie finalizat cu fonduri din Programul Operaţional Infrastructură Mare (POIM 2014-2020). Fazarea proiectului de regăseşte pe Axa prioritară 3 - Dezvoltarea infrastructurii de mediu în condiţii de management eficient al resurselor. Urmează să fie realizate: Staţiile de transfer Fălticeni şi Rădăuți.</w:t>
      </w:r>
    </w:p>
    <w:p w:rsidR="00890268" w:rsidRPr="00D12BF1" w:rsidRDefault="00890268" w:rsidP="00890268">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După finalizarea lucrărilor de construcţii fazate va avea loc licitaţia pentru concesionarea serviciului de salubritate de către operatorii zonali, conform prevederilor SMID. Până atunci, serviciile de salubrizare vor fi asigurate de către actualii operatori.</w:t>
      </w:r>
    </w:p>
    <w:p w:rsidR="00890268" w:rsidRPr="00D12BF1" w:rsidRDefault="00890268" w:rsidP="00890268">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Responsabilitatea pentru gestionarea deşeurilor municipale aparţine administraţiilor publice locale care prin mijloace proprii sau prin concesionarea serviciului de salubrizare către un operator autorizat, trebuie să asigure colectarea (inclusiv colectarea separată), transportul, tratarea, valorificarea şi eliminarea finală a acestor deşeuri.</w:t>
      </w:r>
    </w:p>
    <w:p w:rsidR="00890268" w:rsidRPr="00D12BF1" w:rsidRDefault="00890268" w:rsidP="00890268">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Primăriile din judeţul Suceava acţionează în mod individual pentru asigurarea salubrizării, neexistând încă o abordare zonală care să rentabilizeze acest serviciu.</w:t>
      </w:r>
    </w:p>
    <w:p w:rsidR="00890268" w:rsidRPr="00D12BF1" w:rsidRDefault="00890268" w:rsidP="00890268">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Colectarea separată a deşeurilor provenite de la populaţie şi agenţi economici este în curs de implementare, preconizându-se creşterea gradului de colectare selectivă odată cu stabilirea operatorilor zonali conform prevederilor SMID.</w:t>
      </w:r>
    </w:p>
    <w:p w:rsidR="00890268" w:rsidRPr="00D12BF1" w:rsidRDefault="00890268" w:rsidP="00890268">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lastRenderedPageBreak/>
        <w:t>Fracţiunea biodegradabilă din deşeurile menajere nu este colectată separat, în judeţ nefiind încă amenajate facilităţi pentru compostare. În mediul rural se practică într-o oarecare măsură compostarea individuală, în gospodăriile populaţiei. Prin proiectul „</w:t>
      </w:r>
      <w:r w:rsidRPr="00D12BF1">
        <w:rPr>
          <w:rFonts w:ascii="Times New Roman" w:hAnsi="Times New Roman"/>
          <w:i/>
          <w:sz w:val="24"/>
          <w:szCs w:val="24"/>
          <w:lang w:val="ro-RO"/>
        </w:rPr>
        <w:t>Sistem de Management Integrat al Deşeurilor în judeţul Suceava</w:t>
      </w:r>
      <w:r w:rsidRPr="00D12BF1">
        <w:rPr>
          <w:rFonts w:ascii="Times New Roman" w:hAnsi="Times New Roman"/>
          <w:sz w:val="24"/>
          <w:szCs w:val="24"/>
          <w:lang w:val="ro-RO"/>
        </w:rPr>
        <w:t>” s-au achiziţionat 44000 de containere pentru compostarea individuală pentru gospodăriile din mediul rural şi 15 tocătoare pentru compostarea deşeurilor din spaţiile verzi de pe domeniul public din mediul urban, care au fost distribuite unităţilor administrativ teritoriale din judeţul Suceava, dar aceste dotări sunt insuficiente pentru a atinge ţintele prevăzute de legislaţie.</w:t>
      </w:r>
    </w:p>
    <w:p w:rsidR="00890268" w:rsidRPr="00D12BF1" w:rsidRDefault="00890268" w:rsidP="00890268">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Nu este încă soluţionată nici colectarea separată a deşeurilor periculoase din deşeurile menajere direct de la populaţie, prin SMID fiind prevăzute dotări pentru colectarea separată a fluxurilor speciale de deşeuri (voluminoase, periculoase, DEEE) în incinta staţiilor de transfer şi a depozitului conform Moara, de unde vor fi preluate de operatori economici specializaţi.</w:t>
      </w:r>
    </w:p>
    <w:p w:rsidR="00890268" w:rsidRPr="00D12BF1" w:rsidRDefault="00890268" w:rsidP="00890268">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 xml:space="preserve">Pentru colectarea deşeurilor de echipamente electrice şi electronice sunt autorizaţi 23 de agenţi economici. </w:t>
      </w:r>
    </w:p>
    <w:p w:rsidR="00890268" w:rsidRPr="00D12BF1" w:rsidRDefault="00890268" w:rsidP="00890268">
      <w:pPr>
        <w:widowControl w:val="0"/>
        <w:spacing w:after="0" w:line="240" w:lineRule="auto"/>
        <w:ind w:firstLine="709"/>
        <w:jc w:val="both"/>
        <w:rPr>
          <w:rFonts w:ascii="Times New Roman" w:hAnsi="Times New Roman"/>
          <w:sz w:val="24"/>
          <w:szCs w:val="24"/>
          <w:lang w:val="ro-RO"/>
        </w:rPr>
      </w:pPr>
      <w:r w:rsidRPr="00D12BF1">
        <w:rPr>
          <w:rFonts w:ascii="Times New Roman" w:hAnsi="Times New Roman"/>
          <w:sz w:val="24"/>
          <w:szCs w:val="24"/>
          <w:lang w:val="ro-RO"/>
        </w:rPr>
        <w:t>SC AMBRO SA reciclează deşeurile de ambalaje de carton, SC LIDER PLAST SRL reciclează deșeuri de polistiren (inclusiv ambalaje), SC BUCOVINA VERDE SRL reciclează ambalaje de plastic, iar SC EGGER ROMÂNIA SRL şi SC DIASIL SERVICE SRL reciclează deşeuri de ambalaje de lemn.</w:t>
      </w:r>
    </w:p>
    <w:p w:rsidR="00890268" w:rsidRPr="00D12BF1" w:rsidRDefault="00890268" w:rsidP="00890268">
      <w:pPr>
        <w:widowControl w:val="0"/>
        <w:spacing w:after="0" w:line="240" w:lineRule="auto"/>
        <w:ind w:firstLine="708"/>
        <w:jc w:val="both"/>
        <w:rPr>
          <w:rFonts w:ascii="Times New Roman" w:hAnsi="Times New Roman"/>
          <w:sz w:val="24"/>
          <w:szCs w:val="24"/>
          <w:lang w:val="ro-RO"/>
        </w:rPr>
      </w:pPr>
      <w:r w:rsidRPr="00D12BF1">
        <w:rPr>
          <w:rFonts w:ascii="Times New Roman" w:hAnsi="Times New Roman"/>
          <w:sz w:val="24"/>
          <w:szCs w:val="24"/>
          <w:lang w:val="ro-RO"/>
        </w:rPr>
        <w:t xml:space="preserve">Pentru </w:t>
      </w:r>
      <w:r w:rsidRPr="00D12BF1">
        <w:rPr>
          <w:rFonts w:ascii="Times New Roman" w:hAnsi="Times New Roman"/>
          <w:i/>
          <w:sz w:val="24"/>
          <w:szCs w:val="24"/>
          <w:lang w:val="ro-RO"/>
        </w:rPr>
        <w:t>colectare şi dezmembrare vehicule scoase din uz</w:t>
      </w:r>
      <w:r w:rsidRPr="00D12BF1">
        <w:rPr>
          <w:rFonts w:ascii="Times New Roman" w:hAnsi="Times New Roman"/>
          <w:sz w:val="24"/>
          <w:szCs w:val="24"/>
          <w:lang w:val="ro-RO"/>
        </w:rPr>
        <w:t xml:space="preserve"> sunt autorizaţi </w:t>
      </w:r>
      <w:r w:rsidRPr="00D12BF1">
        <w:rPr>
          <w:rFonts w:ascii="Times New Roman" w:hAnsi="Times New Roman"/>
          <w:b/>
          <w:sz w:val="24"/>
          <w:szCs w:val="24"/>
          <w:lang w:val="ro-RO"/>
        </w:rPr>
        <w:t>49 de agenţi economici.</w:t>
      </w:r>
      <w:r w:rsidRPr="00D12BF1">
        <w:rPr>
          <w:rFonts w:ascii="Times New Roman" w:hAnsi="Times New Roman"/>
          <w:sz w:val="24"/>
          <w:szCs w:val="24"/>
          <w:lang w:val="ro-RO"/>
        </w:rPr>
        <w:t xml:space="preserve"> </w:t>
      </w:r>
    </w:p>
    <w:p w:rsidR="00890268" w:rsidRPr="00D12BF1" w:rsidRDefault="00890268" w:rsidP="00890268">
      <w:pPr>
        <w:widowControl w:val="0"/>
        <w:spacing w:after="0" w:line="240" w:lineRule="auto"/>
        <w:ind w:firstLine="708"/>
        <w:jc w:val="both"/>
        <w:rPr>
          <w:rFonts w:ascii="Times New Roman" w:hAnsi="Times New Roman"/>
          <w:sz w:val="24"/>
          <w:szCs w:val="24"/>
          <w:lang w:val="ro-RO"/>
        </w:rPr>
      </w:pPr>
      <w:r w:rsidRPr="00D12BF1">
        <w:rPr>
          <w:rFonts w:ascii="Times New Roman" w:hAnsi="Times New Roman"/>
          <w:sz w:val="24"/>
          <w:szCs w:val="24"/>
          <w:lang w:val="ro-RO"/>
        </w:rPr>
        <w:t xml:space="preserve">Pentru activitatea de colectare </w:t>
      </w:r>
      <w:r w:rsidRPr="00D12BF1">
        <w:rPr>
          <w:rFonts w:ascii="Times New Roman" w:hAnsi="Times New Roman"/>
          <w:i/>
          <w:sz w:val="24"/>
          <w:szCs w:val="24"/>
          <w:lang w:val="ro-RO"/>
        </w:rPr>
        <w:t>deşeuri de baterii şi acumulatori</w:t>
      </w:r>
      <w:r w:rsidRPr="00D12BF1">
        <w:rPr>
          <w:rFonts w:ascii="Times New Roman" w:hAnsi="Times New Roman"/>
          <w:sz w:val="24"/>
          <w:szCs w:val="24"/>
          <w:lang w:val="ro-RO"/>
        </w:rPr>
        <w:t xml:space="preserve"> sunt autorizate 39 de amplasamente ale unor agenţi economici, patru dintre aceştia fiind autorizaţi şi pentru colectarea bateriilor portabile de  mici dimensiuni. Se constată o creştere a numărului de agenţi economici distribuitori de baterii portabile de mici dimensiuni care au amenajat puncte de colectare a acestor deşeuri şi intensificarea campaniilor de informare şi colectare.</w:t>
      </w:r>
    </w:p>
    <w:p w:rsidR="00890268" w:rsidRPr="00D12BF1" w:rsidRDefault="00890268" w:rsidP="00FE5073">
      <w:pPr>
        <w:widowControl w:val="0"/>
        <w:spacing w:after="0" w:line="240" w:lineRule="auto"/>
        <w:ind w:firstLine="708"/>
        <w:jc w:val="both"/>
        <w:rPr>
          <w:rFonts w:ascii="Times New Roman" w:hAnsi="Times New Roman"/>
          <w:sz w:val="24"/>
          <w:szCs w:val="24"/>
          <w:lang w:val="ro-RO"/>
        </w:rPr>
      </w:pPr>
    </w:p>
    <w:p w:rsidR="00D15416" w:rsidRPr="00D12BF1" w:rsidRDefault="00D15416" w:rsidP="009B0692">
      <w:pPr>
        <w:widowControl w:val="0"/>
        <w:spacing w:after="0" w:line="240" w:lineRule="auto"/>
        <w:ind w:firstLine="708"/>
        <w:jc w:val="both"/>
        <w:rPr>
          <w:rFonts w:ascii="Times New Roman" w:hAnsi="Times New Roman"/>
          <w:sz w:val="24"/>
          <w:szCs w:val="24"/>
          <w:lang w:val="ro-RO"/>
        </w:rPr>
      </w:pPr>
    </w:p>
    <w:p w:rsidR="0008356E" w:rsidRPr="00D12BF1" w:rsidRDefault="0008356E" w:rsidP="0008356E">
      <w:pPr>
        <w:widowControl w:val="0"/>
        <w:spacing w:after="0" w:line="240" w:lineRule="auto"/>
        <w:jc w:val="both"/>
        <w:rPr>
          <w:rFonts w:ascii="Times New Roman" w:hAnsi="Times New Roman"/>
          <w:sz w:val="10"/>
          <w:szCs w:val="10"/>
          <w:lang w:val="ro-RO"/>
        </w:rPr>
      </w:pPr>
      <w:r w:rsidRPr="00D12BF1">
        <w:rPr>
          <w:rFonts w:ascii="Times New Roman" w:hAnsi="Times New Roman"/>
          <w:b/>
          <w:sz w:val="24"/>
          <w:szCs w:val="24"/>
          <w:lang w:val="ro-RO"/>
        </w:rPr>
        <w:t>6. POLUĂRI ACCIDENTALE</w:t>
      </w:r>
    </w:p>
    <w:p w:rsidR="0008356E" w:rsidRPr="00D12BF1" w:rsidRDefault="0008356E" w:rsidP="0008356E">
      <w:pPr>
        <w:widowControl w:val="0"/>
        <w:spacing w:after="0" w:line="240" w:lineRule="auto"/>
        <w:jc w:val="both"/>
        <w:rPr>
          <w:rFonts w:ascii="Times New Roman" w:hAnsi="Times New Roman"/>
          <w:color w:val="FF0000"/>
          <w:sz w:val="10"/>
          <w:szCs w:val="10"/>
          <w:lang w:val="ro-RO"/>
        </w:rPr>
      </w:pPr>
      <w:r w:rsidRPr="00D12BF1">
        <w:rPr>
          <w:rFonts w:ascii="Times New Roman" w:hAnsi="Times New Roman"/>
          <w:color w:val="FF0000"/>
          <w:sz w:val="24"/>
          <w:szCs w:val="24"/>
          <w:lang w:val="ro-RO"/>
        </w:rPr>
        <w:tab/>
      </w:r>
    </w:p>
    <w:p w:rsidR="00925603" w:rsidRPr="00D12BF1" w:rsidRDefault="009A1DBA" w:rsidP="00925603">
      <w:pPr>
        <w:spacing w:after="0" w:line="240" w:lineRule="auto"/>
        <w:ind w:firstLine="720"/>
        <w:jc w:val="both"/>
        <w:rPr>
          <w:rFonts w:ascii="Times New Roman" w:hAnsi="Times New Roman"/>
          <w:sz w:val="24"/>
          <w:szCs w:val="24"/>
          <w:lang w:val="ro-RO"/>
        </w:rPr>
      </w:pPr>
      <w:r w:rsidRPr="00D12BF1">
        <w:rPr>
          <w:rFonts w:ascii="Times New Roman" w:hAnsi="Times New Roman"/>
          <w:sz w:val="24"/>
          <w:szCs w:val="24"/>
          <w:lang w:val="ro-RO"/>
        </w:rPr>
        <w:t xml:space="preserve">Nu au fost </w:t>
      </w:r>
      <w:r w:rsidR="00117C78" w:rsidRPr="00D12BF1">
        <w:rPr>
          <w:rFonts w:ascii="Times New Roman" w:hAnsi="Times New Roman"/>
          <w:sz w:val="24"/>
          <w:szCs w:val="24"/>
          <w:lang w:val="ro-RO"/>
        </w:rPr>
        <w:t xml:space="preserve">înregistrate </w:t>
      </w:r>
      <w:r w:rsidRPr="00D12BF1">
        <w:rPr>
          <w:rFonts w:ascii="Times New Roman" w:hAnsi="Times New Roman"/>
          <w:sz w:val="24"/>
          <w:szCs w:val="24"/>
          <w:lang w:val="ro-RO"/>
        </w:rPr>
        <w:t xml:space="preserve">poluări accidentale în luna </w:t>
      </w:r>
      <w:r w:rsidR="00890268" w:rsidRPr="00D12BF1">
        <w:rPr>
          <w:rFonts w:ascii="Times New Roman" w:hAnsi="Times New Roman"/>
          <w:sz w:val="24"/>
          <w:szCs w:val="24"/>
          <w:lang w:val="ro-RO"/>
        </w:rPr>
        <w:t>ianuarie</w:t>
      </w:r>
      <w:r w:rsidRPr="00D12BF1">
        <w:rPr>
          <w:rFonts w:ascii="Times New Roman" w:hAnsi="Times New Roman"/>
          <w:sz w:val="24"/>
          <w:szCs w:val="24"/>
          <w:lang w:val="ro-RO"/>
        </w:rPr>
        <w:t xml:space="preserve"> </w:t>
      </w:r>
      <w:r w:rsidR="00890268" w:rsidRPr="00D12BF1">
        <w:rPr>
          <w:rFonts w:ascii="Times New Roman" w:hAnsi="Times New Roman"/>
          <w:sz w:val="24"/>
          <w:szCs w:val="24"/>
          <w:lang w:val="ro-RO"/>
        </w:rPr>
        <w:t>2019</w:t>
      </w:r>
      <w:r w:rsidRPr="00D12BF1">
        <w:rPr>
          <w:rFonts w:ascii="Times New Roman" w:hAnsi="Times New Roman"/>
          <w:sz w:val="24"/>
          <w:szCs w:val="24"/>
          <w:lang w:val="ro-RO"/>
        </w:rPr>
        <w:t>.</w:t>
      </w:r>
    </w:p>
    <w:p w:rsidR="00925603" w:rsidRPr="00D12BF1" w:rsidRDefault="00925603" w:rsidP="00925603">
      <w:pPr>
        <w:spacing w:after="0" w:line="240" w:lineRule="auto"/>
        <w:ind w:firstLine="720"/>
        <w:jc w:val="both"/>
        <w:rPr>
          <w:rFonts w:ascii="Times New Roman" w:hAnsi="Times New Roman"/>
          <w:sz w:val="10"/>
          <w:szCs w:val="10"/>
          <w:highlight w:val="yellow"/>
          <w:lang w:val="ro-RO"/>
        </w:rPr>
      </w:pPr>
    </w:p>
    <w:p w:rsidR="00712983" w:rsidRPr="00D12BF1" w:rsidRDefault="00712983" w:rsidP="00925603">
      <w:pPr>
        <w:spacing w:after="0" w:line="240" w:lineRule="auto"/>
        <w:ind w:firstLine="720"/>
        <w:jc w:val="both"/>
        <w:rPr>
          <w:rFonts w:ascii="Times New Roman" w:hAnsi="Times New Roman"/>
          <w:sz w:val="10"/>
          <w:szCs w:val="10"/>
          <w:highlight w:val="yellow"/>
          <w:lang w:val="ro-RO"/>
        </w:rPr>
      </w:pPr>
    </w:p>
    <w:p w:rsidR="00117C78" w:rsidRPr="00D12BF1" w:rsidRDefault="00117C78" w:rsidP="00925603">
      <w:pPr>
        <w:spacing w:after="0" w:line="240" w:lineRule="auto"/>
        <w:ind w:firstLine="720"/>
        <w:jc w:val="both"/>
        <w:rPr>
          <w:rFonts w:ascii="Times New Roman" w:hAnsi="Times New Roman"/>
          <w:sz w:val="10"/>
          <w:szCs w:val="10"/>
          <w:highlight w:val="yellow"/>
          <w:lang w:val="ro-RO"/>
        </w:rPr>
      </w:pPr>
    </w:p>
    <w:p w:rsidR="00117C78" w:rsidRPr="00D12BF1" w:rsidRDefault="00117C78" w:rsidP="00925603">
      <w:pPr>
        <w:spacing w:after="0" w:line="240" w:lineRule="auto"/>
        <w:ind w:firstLine="720"/>
        <w:jc w:val="both"/>
        <w:rPr>
          <w:rFonts w:ascii="Times New Roman" w:hAnsi="Times New Roman"/>
          <w:sz w:val="10"/>
          <w:szCs w:val="10"/>
          <w:highlight w:val="yellow"/>
          <w:lang w:val="ro-RO"/>
        </w:rPr>
      </w:pPr>
    </w:p>
    <w:p w:rsidR="009502E8" w:rsidRPr="00D12BF1" w:rsidRDefault="009502E8" w:rsidP="002B6F3D">
      <w:pPr>
        <w:spacing w:after="0" w:line="240" w:lineRule="auto"/>
        <w:jc w:val="center"/>
        <w:outlineLvl w:val="0"/>
        <w:rPr>
          <w:rFonts w:ascii="Times New Roman" w:hAnsi="Times New Roman"/>
          <w:b/>
          <w:sz w:val="28"/>
          <w:szCs w:val="28"/>
          <w:lang w:val="ro-RO"/>
        </w:rPr>
      </w:pPr>
      <w:r w:rsidRPr="00D12BF1">
        <w:rPr>
          <w:rFonts w:ascii="Times New Roman" w:hAnsi="Times New Roman"/>
          <w:b/>
          <w:sz w:val="28"/>
          <w:szCs w:val="28"/>
          <w:lang w:val="ro-RO"/>
        </w:rPr>
        <w:t>Director Executiv</w:t>
      </w:r>
    </w:p>
    <w:p w:rsidR="00265848" w:rsidRPr="00D12BF1" w:rsidRDefault="00044C40" w:rsidP="00CA7512">
      <w:pPr>
        <w:widowControl w:val="0"/>
        <w:spacing w:after="0" w:line="240" w:lineRule="auto"/>
        <w:jc w:val="center"/>
        <w:rPr>
          <w:rFonts w:ascii="Times New Roman" w:hAnsi="Times New Roman"/>
          <w:sz w:val="24"/>
          <w:szCs w:val="24"/>
          <w:lang w:val="ro-RO"/>
        </w:rPr>
      </w:pPr>
      <w:r w:rsidRPr="00D12BF1">
        <w:rPr>
          <w:rFonts w:ascii="Times New Roman" w:hAnsi="Times New Roman"/>
          <w:b/>
          <w:sz w:val="28"/>
          <w:szCs w:val="28"/>
          <w:lang w:val="ro-RO"/>
        </w:rPr>
        <w:t>Vasile OȘEAN</w:t>
      </w:r>
    </w:p>
    <w:sectPr w:rsidR="00265848" w:rsidRPr="00D12BF1" w:rsidSect="003B5B27">
      <w:footerReference w:type="default" r:id="rId34"/>
      <w:pgSz w:w="11907" w:h="16840" w:code="9"/>
      <w:pgMar w:top="425" w:right="851" w:bottom="851" w:left="992" w:header="0"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B84" w:rsidRDefault="00C04B84" w:rsidP="0010560A">
      <w:pPr>
        <w:spacing w:after="0" w:line="240" w:lineRule="auto"/>
      </w:pPr>
      <w:r>
        <w:separator/>
      </w:r>
    </w:p>
  </w:endnote>
  <w:endnote w:type="continuationSeparator" w:id="0">
    <w:p w:rsidR="00C04B84" w:rsidRDefault="00C04B84"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D2A" w:rsidRPr="008F5F96" w:rsidRDefault="001B19A2" w:rsidP="00122FF2">
    <w:pPr>
      <w:pStyle w:val="Header"/>
      <w:tabs>
        <w:tab w:val="clear" w:pos="4680"/>
      </w:tabs>
      <w:jc w:val="center"/>
      <w:rPr>
        <w:rFonts w:ascii="Times New Roman" w:hAnsi="Times New Roman"/>
        <w:b/>
        <w:sz w:val="24"/>
        <w:szCs w:val="24"/>
        <w:lang w:val="ro-RO"/>
      </w:rPr>
    </w:pPr>
    <w:r w:rsidRPr="001B19A2">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85pt;margin-top:.85pt;width:41.9pt;height:34.45pt;z-index:-251656192">
          <v:imagedata r:id="rId1" o:title=""/>
        </v:shape>
        <o:OLEObject Type="Embed" ProgID="CorelDRAW.Graphic.13" ShapeID="_x0000_s2065" DrawAspect="Content" ObjectID="_1611734848" r:id="rId2"/>
      </w:pict>
    </w:r>
    <w:r w:rsidRPr="001B19A2">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6" type="#_x0000_t32" style="position:absolute;left:0;text-align:left;margin-left:-11.25pt;margin-top:-2.75pt;width:492pt;height:.05pt;z-index:251661312" o:connectortype="straight" strokecolor="#00214e" strokeweight="1.5pt"/>
      </w:pict>
    </w:r>
    <w:r w:rsidR="00791D2A" w:rsidRPr="008F5F96">
      <w:rPr>
        <w:rFonts w:ascii="Times New Roman" w:hAnsi="Times New Roman"/>
        <w:b/>
        <w:sz w:val="24"/>
        <w:szCs w:val="24"/>
        <w:lang w:val="it-IT"/>
      </w:rPr>
      <w:t>AGEN</w:t>
    </w:r>
    <w:r w:rsidR="00791D2A" w:rsidRPr="008F5F96">
      <w:rPr>
        <w:rFonts w:ascii="Times New Roman" w:hAnsi="Times New Roman"/>
        <w:b/>
        <w:sz w:val="24"/>
        <w:szCs w:val="24"/>
        <w:lang w:val="ro-RO"/>
      </w:rPr>
      <w:t>ŢIA PENTRU PROTECŢIA MEDIULUI SUCEAVA</w:t>
    </w:r>
  </w:p>
  <w:p w:rsidR="00791D2A" w:rsidRDefault="00791D2A" w:rsidP="00122FF2">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791D2A" w:rsidRPr="008F5F96" w:rsidRDefault="00791D2A" w:rsidP="00122FF2">
    <w:pPr>
      <w:pStyle w:val="Header"/>
      <w:tabs>
        <w:tab w:val="clear" w:pos="4680"/>
      </w:tabs>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p w:rsidR="00791D2A" w:rsidRPr="00122FF2" w:rsidRDefault="00791D2A" w:rsidP="00122FF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B84" w:rsidRDefault="00C04B84" w:rsidP="0010560A">
      <w:pPr>
        <w:spacing w:after="0" w:line="240" w:lineRule="auto"/>
      </w:pPr>
      <w:r>
        <w:separator/>
      </w:r>
    </w:p>
  </w:footnote>
  <w:footnote w:type="continuationSeparator" w:id="0">
    <w:p w:rsidR="00C04B84" w:rsidRDefault="00C04B84"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0D170E0"/>
    <w:multiLevelType w:val="hybridMultilevel"/>
    <w:tmpl w:val="00589F68"/>
    <w:lvl w:ilvl="0" w:tplc="060EB1B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E456DE"/>
    <w:multiLevelType w:val="hybridMultilevel"/>
    <w:tmpl w:val="D2CA3558"/>
    <w:lvl w:ilvl="0" w:tplc="A648ACF6">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875251"/>
    <w:multiLevelType w:val="hybridMultilevel"/>
    <w:tmpl w:val="6FA69B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9105D9"/>
    <w:multiLevelType w:val="hybridMultilevel"/>
    <w:tmpl w:val="5CF8EBC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63C2E47"/>
    <w:multiLevelType w:val="hybridMultilevel"/>
    <w:tmpl w:val="E18EA1DE"/>
    <w:lvl w:ilvl="0" w:tplc="D07CD206">
      <w:start w:val="10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477F21AB"/>
    <w:multiLevelType w:val="singleLevel"/>
    <w:tmpl w:val="BD7249C0"/>
    <w:lvl w:ilvl="0">
      <w:start w:val="8"/>
      <w:numFmt w:val="bullet"/>
      <w:lvlText w:val="-"/>
      <w:lvlJc w:val="left"/>
      <w:pPr>
        <w:tabs>
          <w:tab w:val="num" w:pos="720"/>
        </w:tabs>
        <w:ind w:left="720" w:hanging="360"/>
      </w:pPr>
    </w:lvl>
  </w:abstractNum>
  <w:abstractNum w:abstractNumId="21">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F0A0857"/>
    <w:multiLevelType w:val="hybridMultilevel"/>
    <w:tmpl w:val="37F892BA"/>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4">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5">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C21B17"/>
    <w:multiLevelType w:val="multilevel"/>
    <w:tmpl w:val="66B8F8FA"/>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C42DBF"/>
    <w:multiLevelType w:val="hybridMultilevel"/>
    <w:tmpl w:val="46800FD8"/>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2">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6E0E02"/>
    <w:multiLevelType w:val="hybridMultilevel"/>
    <w:tmpl w:val="27BCAA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88B2DEF"/>
    <w:multiLevelType w:val="hybridMultilevel"/>
    <w:tmpl w:val="27BE2A14"/>
    <w:lvl w:ilvl="0" w:tplc="92F41642">
      <w:start w:val="1"/>
      <w:numFmt w:val="bullet"/>
      <w:lvlText w:val="-"/>
      <w:lvlJc w:val="left"/>
      <w:pPr>
        <w:tabs>
          <w:tab w:val="num" w:pos="360"/>
        </w:tabs>
        <w:ind w:left="360" w:hanging="360"/>
      </w:pPr>
      <w:rPr>
        <w:rFonts w:ascii="Arial" w:eastAsia="Times New Roman" w:hAnsi="Arial" w:cs="Arial" w:hint="default"/>
        <w:color w:val="auto"/>
        <w:sz w:val="24"/>
        <w:szCs w:val="24"/>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6">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0"/>
  </w:num>
  <w:num w:numId="3">
    <w:abstractNumId w:val="17"/>
  </w:num>
  <w:num w:numId="4">
    <w:abstractNumId w:val="8"/>
  </w:num>
  <w:num w:numId="5">
    <w:abstractNumId w:val="3"/>
  </w:num>
  <w:num w:numId="6">
    <w:abstractNumId w:val="7"/>
  </w:num>
  <w:num w:numId="7">
    <w:abstractNumId w:val="12"/>
  </w:num>
  <w:num w:numId="8">
    <w:abstractNumId w:val="0"/>
  </w:num>
  <w:num w:numId="9">
    <w:abstractNumId w:val="22"/>
  </w:num>
  <w:num w:numId="10">
    <w:abstractNumId w:val="24"/>
  </w:num>
  <w:num w:numId="11">
    <w:abstractNumId w:val="36"/>
  </w:num>
  <w:num w:numId="12">
    <w:abstractNumId w:val="27"/>
  </w:num>
  <w:num w:numId="13">
    <w:abstractNumId w:val="16"/>
  </w:num>
  <w:num w:numId="14">
    <w:abstractNumId w:val="37"/>
  </w:num>
  <w:num w:numId="15">
    <w:abstractNumId w:val="29"/>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15"/>
  </w:num>
  <w:num w:numId="22">
    <w:abstractNumId w:val="33"/>
  </w:num>
  <w:num w:numId="23">
    <w:abstractNumId w:val="21"/>
  </w:num>
  <w:num w:numId="24">
    <w:abstractNumId w:val="4"/>
  </w:num>
  <w:num w:numId="25">
    <w:abstractNumId w:val="32"/>
  </w:num>
  <w:num w:numId="26">
    <w:abstractNumId w:val="10"/>
  </w:num>
  <w:num w:numId="27">
    <w:abstractNumId w:val="6"/>
  </w:num>
  <w:num w:numId="28">
    <w:abstractNumId w:val="35"/>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0"/>
  </w:num>
  <w:num w:numId="33">
    <w:abstractNumId w:val="18"/>
  </w:num>
  <w:num w:numId="34">
    <w:abstractNumId w:val="34"/>
  </w:num>
  <w:num w:numId="35">
    <w:abstractNumId w:val="5"/>
  </w:num>
  <w:num w:numId="36">
    <w:abstractNumId w:val="23"/>
  </w:num>
  <w:num w:numId="37">
    <w:abstractNumId w:val="31"/>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6626">
      <o:colormru v:ext="edit" colors="#00214e"/>
    </o:shapedefaults>
    <o:shapelayout v:ext="edit">
      <o:idmap v:ext="edit" data="2"/>
      <o:rules v:ext="edit">
        <o:r id="V:Rule2" type="connector" idref="#_x0000_s2066"/>
      </o:rules>
    </o:shapelayout>
  </w:hdrShapeDefaults>
  <w:footnotePr>
    <w:footnote w:id="-1"/>
    <w:footnote w:id="0"/>
  </w:footnotePr>
  <w:endnotePr>
    <w:endnote w:id="-1"/>
    <w:endnote w:id="0"/>
  </w:endnotePr>
  <w:compat/>
  <w:rsids>
    <w:rsidRoot w:val="0010560A"/>
    <w:rsid w:val="000011F8"/>
    <w:rsid w:val="00002134"/>
    <w:rsid w:val="00002852"/>
    <w:rsid w:val="00002CA1"/>
    <w:rsid w:val="00007EDD"/>
    <w:rsid w:val="000126E7"/>
    <w:rsid w:val="000176FE"/>
    <w:rsid w:val="00023D48"/>
    <w:rsid w:val="000255D1"/>
    <w:rsid w:val="00025D8C"/>
    <w:rsid w:val="000313E5"/>
    <w:rsid w:val="000336A1"/>
    <w:rsid w:val="000431CB"/>
    <w:rsid w:val="00043595"/>
    <w:rsid w:val="00044C40"/>
    <w:rsid w:val="00046049"/>
    <w:rsid w:val="00052B91"/>
    <w:rsid w:val="000567A2"/>
    <w:rsid w:val="00056E51"/>
    <w:rsid w:val="00061E11"/>
    <w:rsid w:val="00062C08"/>
    <w:rsid w:val="00065D2D"/>
    <w:rsid w:val="00065F6C"/>
    <w:rsid w:val="00071A58"/>
    <w:rsid w:val="000734C6"/>
    <w:rsid w:val="0007578C"/>
    <w:rsid w:val="0007594F"/>
    <w:rsid w:val="000805BB"/>
    <w:rsid w:val="000832E2"/>
    <w:rsid w:val="0008356E"/>
    <w:rsid w:val="000866DE"/>
    <w:rsid w:val="00086B9A"/>
    <w:rsid w:val="00087C62"/>
    <w:rsid w:val="00093049"/>
    <w:rsid w:val="00095760"/>
    <w:rsid w:val="000959BF"/>
    <w:rsid w:val="000961A9"/>
    <w:rsid w:val="000A1500"/>
    <w:rsid w:val="000B2020"/>
    <w:rsid w:val="000B4C38"/>
    <w:rsid w:val="000B4E57"/>
    <w:rsid w:val="000C03B8"/>
    <w:rsid w:val="000C4375"/>
    <w:rsid w:val="000C6759"/>
    <w:rsid w:val="000C7DCB"/>
    <w:rsid w:val="000D069F"/>
    <w:rsid w:val="000D0742"/>
    <w:rsid w:val="000D186B"/>
    <w:rsid w:val="000E06A8"/>
    <w:rsid w:val="000F1355"/>
    <w:rsid w:val="000F1366"/>
    <w:rsid w:val="000F4697"/>
    <w:rsid w:val="000F5694"/>
    <w:rsid w:val="000F7804"/>
    <w:rsid w:val="000F7ECD"/>
    <w:rsid w:val="001011CF"/>
    <w:rsid w:val="001013B9"/>
    <w:rsid w:val="001037DB"/>
    <w:rsid w:val="0010560A"/>
    <w:rsid w:val="00105DC0"/>
    <w:rsid w:val="0010729D"/>
    <w:rsid w:val="001134B1"/>
    <w:rsid w:val="0011366A"/>
    <w:rsid w:val="0011597A"/>
    <w:rsid w:val="00116599"/>
    <w:rsid w:val="0011675C"/>
    <w:rsid w:val="00116892"/>
    <w:rsid w:val="00117C78"/>
    <w:rsid w:val="00117CBE"/>
    <w:rsid w:val="001209C8"/>
    <w:rsid w:val="00122219"/>
    <w:rsid w:val="001222CA"/>
    <w:rsid w:val="00122407"/>
    <w:rsid w:val="00122A0F"/>
    <w:rsid w:val="00122FF2"/>
    <w:rsid w:val="00125B0A"/>
    <w:rsid w:val="00125D2A"/>
    <w:rsid w:val="00125FDB"/>
    <w:rsid w:val="001274F0"/>
    <w:rsid w:val="00130798"/>
    <w:rsid w:val="00130855"/>
    <w:rsid w:val="00134CC0"/>
    <w:rsid w:val="00135988"/>
    <w:rsid w:val="00140DBC"/>
    <w:rsid w:val="00141FCA"/>
    <w:rsid w:val="0014364A"/>
    <w:rsid w:val="00145C0D"/>
    <w:rsid w:val="00146F66"/>
    <w:rsid w:val="001509B3"/>
    <w:rsid w:val="00154791"/>
    <w:rsid w:val="00155E01"/>
    <w:rsid w:val="00157FAD"/>
    <w:rsid w:val="001628D8"/>
    <w:rsid w:val="00163FDA"/>
    <w:rsid w:val="0017069E"/>
    <w:rsid w:val="00170C37"/>
    <w:rsid w:val="0017374E"/>
    <w:rsid w:val="00174E01"/>
    <w:rsid w:val="00175AD2"/>
    <w:rsid w:val="001769B1"/>
    <w:rsid w:val="00195599"/>
    <w:rsid w:val="001A2AC1"/>
    <w:rsid w:val="001A64FD"/>
    <w:rsid w:val="001A6892"/>
    <w:rsid w:val="001A6D73"/>
    <w:rsid w:val="001B0834"/>
    <w:rsid w:val="001B0EC8"/>
    <w:rsid w:val="001B1252"/>
    <w:rsid w:val="001B19A2"/>
    <w:rsid w:val="001B3D58"/>
    <w:rsid w:val="001B42C8"/>
    <w:rsid w:val="001B78FC"/>
    <w:rsid w:val="001C1B2F"/>
    <w:rsid w:val="001C2603"/>
    <w:rsid w:val="001D0270"/>
    <w:rsid w:val="001D2441"/>
    <w:rsid w:val="001D6FC6"/>
    <w:rsid w:val="001E0483"/>
    <w:rsid w:val="001E55B2"/>
    <w:rsid w:val="001E613E"/>
    <w:rsid w:val="001E733B"/>
    <w:rsid w:val="001E75B4"/>
    <w:rsid w:val="001F11B7"/>
    <w:rsid w:val="001F4472"/>
    <w:rsid w:val="001F4F25"/>
    <w:rsid w:val="00200646"/>
    <w:rsid w:val="00206333"/>
    <w:rsid w:val="00211649"/>
    <w:rsid w:val="00213754"/>
    <w:rsid w:val="002154D4"/>
    <w:rsid w:val="002168CD"/>
    <w:rsid w:val="002176F5"/>
    <w:rsid w:val="002213A4"/>
    <w:rsid w:val="002249EE"/>
    <w:rsid w:val="002263C7"/>
    <w:rsid w:val="00226598"/>
    <w:rsid w:val="00227DCC"/>
    <w:rsid w:val="00232324"/>
    <w:rsid w:val="002334CB"/>
    <w:rsid w:val="00236C8D"/>
    <w:rsid w:val="00237897"/>
    <w:rsid w:val="00241FC8"/>
    <w:rsid w:val="002516B8"/>
    <w:rsid w:val="002532E7"/>
    <w:rsid w:val="002539C8"/>
    <w:rsid w:val="002555C6"/>
    <w:rsid w:val="00257601"/>
    <w:rsid w:val="0026117D"/>
    <w:rsid w:val="00261825"/>
    <w:rsid w:val="00263504"/>
    <w:rsid w:val="00265848"/>
    <w:rsid w:val="00270A07"/>
    <w:rsid w:val="002713E5"/>
    <w:rsid w:val="00274875"/>
    <w:rsid w:val="0027566D"/>
    <w:rsid w:val="00275D62"/>
    <w:rsid w:val="0028053B"/>
    <w:rsid w:val="00282F5C"/>
    <w:rsid w:val="00283BF1"/>
    <w:rsid w:val="00284C17"/>
    <w:rsid w:val="00284FE2"/>
    <w:rsid w:val="002854BF"/>
    <w:rsid w:val="00285D36"/>
    <w:rsid w:val="00286C08"/>
    <w:rsid w:val="0029170F"/>
    <w:rsid w:val="00292F2B"/>
    <w:rsid w:val="00293FE2"/>
    <w:rsid w:val="0029680D"/>
    <w:rsid w:val="00297A46"/>
    <w:rsid w:val="002A20DD"/>
    <w:rsid w:val="002A27F3"/>
    <w:rsid w:val="002A6A68"/>
    <w:rsid w:val="002B14F1"/>
    <w:rsid w:val="002B3534"/>
    <w:rsid w:val="002B46E4"/>
    <w:rsid w:val="002B6F3D"/>
    <w:rsid w:val="002C3198"/>
    <w:rsid w:val="002C341E"/>
    <w:rsid w:val="002C6092"/>
    <w:rsid w:val="002C7112"/>
    <w:rsid w:val="002D1BF7"/>
    <w:rsid w:val="002D2A72"/>
    <w:rsid w:val="002E68D6"/>
    <w:rsid w:val="002F5291"/>
    <w:rsid w:val="003050AC"/>
    <w:rsid w:val="00312392"/>
    <w:rsid w:val="0031366E"/>
    <w:rsid w:val="00314827"/>
    <w:rsid w:val="00314D8F"/>
    <w:rsid w:val="00314E08"/>
    <w:rsid w:val="00316DF1"/>
    <w:rsid w:val="0031794A"/>
    <w:rsid w:val="00320B7E"/>
    <w:rsid w:val="0032152F"/>
    <w:rsid w:val="003237BB"/>
    <w:rsid w:val="00327C84"/>
    <w:rsid w:val="003306BD"/>
    <w:rsid w:val="003319AB"/>
    <w:rsid w:val="003340D1"/>
    <w:rsid w:val="00334DE6"/>
    <w:rsid w:val="0033682D"/>
    <w:rsid w:val="003404FC"/>
    <w:rsid w:val="00342547"/>
    <w:rsid w:val="00343843"/>
    <w:rsid w:val="00344A6D"/>
    <w:rsid w:val="00344C84"/>
    <w:rsid w:val="00347395"/>
    <w:rsid w:val="00347E65"/>
    <w:rsid w:val="003521A1"/>
    <w:rsid w:val="00363924"/>
    <w:rsid w:val="00365C0C"/>
    <w:rsid w:val="00367457"/>
    <w:rsid w:val="0036765B"/>
    <w:rsid w:val="003732B1"/>
    <w:rsid w:val="00374A17"/>
    <w:rsid w:val="00375B4E"/>
    <w:rsid w:val="00377782"/>
    <w:rsid w:val="00377BE8"/>
    <w:rsid w:val="00381D71"/>
    <w:rsid w:val="00383DC2"/>
    <w:rsid w:val="00383FB8"/>
    <w:rsid w:val="00385697"/>
    <w:rsid w:val="0038701B"/>
    <w:rsid w:val="00391946"/>
    <w:rsid w:val="0039373A"/>
    <w:rsid w:val="00394DE6"/>
    <w:rsid w:val="00394E35"/>
    <w:rsid w:val="003A11AE"/>
    <w:rsid w:val="003A2D3C"/>
    <w:rsid w:val="003A6F3D"/>
    <w:rsid w:val="003B275F"/>
    <w:rsid w:val="003B5B27"/>
    <w:rsid w:val="003C0420"/>
    <w:rsid w:val="003C069F"/>
    <w:rsid w:val="003C14A9"/>
    <w:rsid w:val="003C23EE"/>
    <w:rsid w:val="003C6148"/>
    <w:rsid w:val="003D0948"/>
    <w:rsid w:val="003D1F39"/>
    <w:rsid w:val="003D2559"/>
    <w:rsid w:val="003D25D5"/>
    <w:rsid w:val="003D3452"/>
    <w:rsid w:val="003D3A49"/>
    <w:rsid w:val="003D6F2E"/>
    <w:rsid w:val="003D7B54"/>
    <w:rsid w:val="003E03B9"/>
    <w:rsid w:val="003E2106"/>
    <w:rsid w:val="003E3335"/>
    <w:rsid w:val="003E6903"/>
    <w:rsid w:val="003F19EA"/>
    <w:rsid w:val="003F3DFD"/>
    <w:rsid w:val="003F4A7B"/>
    <w:rsid w:val="003F712D"/>
    <w:rsid w:val="00406F6B"/>
    <w:rsid w:val="004108C0"/>
    <w:rsid w:val="0041758B"/>
    <w:rsid w:val="00421A33"/>
    <w:rsid w:val="00422490"/>
    <w:rsid w:val="00422B76"/>
    <w:rsid w:val="004247D7"/>
    <w:rsid w:val="0044057A"/>
    <w:rsid w:val="00440899"/>
    <w:rsid w:val="00440DDB"/>
    <w:rsid w:val="00445A0D"/>
    <w:rsid w:val="00450CE4"/>
    <w:rsid w:val="00450E53"/>
    <w:rsid w:val="004517C5"/>
    <w:rsid w:val="0045368D"/>
    <w:rsid w:val="004549A8"/>
    <w:rsid w:val="0046173B"/>
    <w:rsid w:val="004628BE"/>
    <w:rsid w:val="00465DC9"/>
    <w:rsid w:val="004662E1"/>
    <w:rsid w:val="00473A03"/>
    <w:rsid w:val="00473C9B"/>
    <w:rsid w:val="004746C4"/>
    <w:rsid w:val="00475201"/>
    <w:rsid w:val="004765EB"/>
    <w:rsid w:val="00476D1C"/>
    <w:rsid w:val="0048293B"/>
    <w:rsid w:val="00485452"/>
    <w:rsid w:val="004861EF"/>
    <w:rsid w:val="00493A08"/>
    <w:rsid w:val="00494469"/>
    <w:rsid w:val="00495C77"/>
    <w:rsid w:val="00496E4E"/>
    <w:rsid w:val="004976D8"/>
    <w:rsid w:val="00497B0D"/>
    <w:rsid w:val="004A1C0E"/>
    <w:rsid w:val="004A1C60"/>
    <w:rsid w:val="004A3A25"/>
    <w:rsid w:val="004A4924"/>
    <w:rsid w:val="004B1124"/>
    <w:rsid w:val="004B1318"/>
    <w:rsid w:val="004B7826"/>
    <w:rsid w:val="004B7C7C"/>
    <w:rsid w:val="004C2372"/>
    <w:rsid w:val="004C257F"/>
    <w:rsid w:val="004C36E6"/>
    <w:rsid w:val="004C4E8D"/>
    <w:rsid w:val="004D67A6"/>
    <w:rsid w:val="004D6809"/>
    <w:rsid w:val="004E4120"/>
    <w:rsid w:val="004E440E"/>
    <w:rsid w:val="004E541B"/>
    <w:rsid w:val="004E5A4A"/>
    <w:rsid w:val="004E5C6F"/>
    <w:rsid w:val="004F1BDE"/>
    <w:rsid w:val="004F3DF5"/>
    <w:rsid w:val="004F4335"/>
    <w:rsid w:val="004F7EDA"/>
    <w:rsid w:val="005000F5"/>
    <w:rsid w:val="00503DD1"/>
    <w:rsid w:val="00505BA1"/>
    <w:rsid w:val="0050643F"/>
    <w:rsid w:val="005109FC"/>
    <w:rsid w:val="00515ED2"/>
    <w:rsid w:val="005205EF"/>
    <w:rsid w:val="0052165E"/>
    <w:rsid w:val="00532353"/>
    <w:rsid w:val="00534822"/>
    <w:rsid w:val="005457DD"/>
    <w:rsid w:val="00545F57"/>
    <w:rsid w:val="00550314"/>
    <w:rsid w:val="00555B18"/>
    <w:rsid w:val="005576B6"/>
    <w:rsid w:val="00564AA4"/>
    <w:rsid w:val="00564FD6"/>
    <w:rsid w:val="00566EEE"/>
    <w:rsid w:val="00571253"/>
    <w:rsid w:val="005726C2"/>
    <w:rsid w:val="00573AA2"/>
    <w:rsid w:val="0057458A"/>
    <w:rsid w:val="00575325"/>
    <w:rsid w:val="0057561F"/>
    <w:rsid w:val="00581E9B"/>
    <w:rsid w:val="00586660"/>
    <w:rsid w:val="00586D0A"/>
    <w:rsid w:val="00587E6B"/>
    <w:rsid w:val="005924DA"/>
    <w:rsid w:val="0059286F"/>
    <w:rsid w:val="005A3E32"/>
    <w:rsid w:val="005A4E97"/>
    <w:rsid w:val="005A57F1"/>
    <w:rsid w:val="005A7F98"/>
    <w:rsid w:val="005B09B7"/>
    <w:rsid w:val="005B1731"/>
    <w:rsid w:val="005B20C8"/>
    <w:rsid w:val="005B3256"/>
    <w:rsid w:val="005C0877"/>
    <w:rsid w:val="005C1E73"/>
    <w:rsid w:val="005C2754"/>
    <w:rsid w:val="005C370C"/>
    <w:rsid w:val="005C716F"/>
    <w:rsid w:val="005D3599"/>
    <w:rsid w:val="005D5D74"/>
    <w:rsid w:val="005E4068"/>
    <w:rsid w:val="005F28FD"/>
    <w:rsid w:val="005F4152"/>
    <w:rsid w:val="005F5D4B"/>
    <w:rsid w:val="00600A77"/>
    <w:rsid w:val="00603C3A"/>
    <w:rsid w:val="00605D87"/>
    <w:rsid w:val="00607615"/>
    <w:rsid w:val="00607F2C"/>
    <w:rsid w:val="00610D4E"/>
    <w:rsid w:val="00615B0C"/>
    <w:rsid w:val="0061677F"/>
    <w:rsid w:val="00617F2C"/>
    <w:rsid w:val="006201D7"/>
    <w:rsid w:val="006241A9"/>
    <w:rsid w:val="006246FE"/>
    <w:rsid w:val="00626F86"/>
    <w:rsid w:val="0062749A"/>
    <w:rsid w:val="00627EC7"/>
    <w:rsid w:val="00627F4E"/>
    <w:rsid w:val="0063208F"/>
    <w:rsid w:val="00632117"/>
    <w:rsid w:val="0063255B"/>
    <w:rsid w:val="00632D95"/>
    <w:rsid w:val="00635530"/>
    <w:rsid w:val="006369CC"/>
    <w:rsid w:val="00637CA2"/>
    <w:rsid w:val="0064599E"/>
    <w:rsid w:val="00647655"/>
    <w:rsid w:val="0065147F"/>
    <w:rsid w:val="00654F2F"/>
    <w:rsid w:val="00660047"/>
    <w:rsid w:val="00662752"/>
    <w:rsid w:val="00667BDA"/>
    <w:rsid w:val="00667F74"/>
    <w:rsid w:val="00673D63"/>
    <w:rsid w:val="0067721E"/>
    <w:rsid w:val="00677AD1"/>
    <w:rsid w:val="00680F00"/>
    <w:rsid w:val="00686B97"/>
    <w:rsid w:val="00696EE3"/>
    <w:rsid w:val="0069777E"/>
    <w:rsid w:val="006A66C0"/>
    <w:rsid w:val="006A7BD0"/>
    <w:rsid w:val="006B1C3A"/>
    <w:rsid w:val="006B1C62"/>
    <w:rsid w:val="006B4C43"/>
    <w:rsid w:val="006C097B"/>
    <w:rsid w:val="006C72C1"/>
    <w:rsid w:val="006D2411"/>
    <w:rsid w:val="006D4904"/>
    <w:rsid w:val="006D49F0"/>
    <w:rsid w:val="006D4E85"/>
    <w:rsid w:val="006D4EF3"/>
    <w:rsid w:val="006D5114"/>
    <w:rsid w:val="006E11E0"/>
    <w:rsid w:val="006E1E1E"/>
    <w:rsid w:val="006E4460"/>
    <w:rsid w:val="006E7B5C"/>
    <w:rsid w:val="006F1C5F"/>
    <w:rsid w:val="006F1ED8"/>
    <w:rsid w:val="006F5D4D"/>
    <w:rsid w:val="0070036F"/>
    <w:rsid w:val="00702379"/>
    <w:rsid w:val="0070444F"/>
    <w:rsid w:val="0070563D"/>
    <w:rsid w:val="00706555"/>
    <w:rsid w:val="00712983"/>
    <w:rsid w:val="007153B4"/>
    <w:rsid w:val="007249BF"/>
    <w:rsid w:val="00726335"/>
    <w:rsid w:val="00726667"/>
    <w:rsid w:val="00731337"/>
    <w:rsid w:val="00731D4A"/>
    <w:rsid w:val="00733713"/>
    <w:rsid w:val="0073453B"/>
    <w:rsid w:val="00736859"/>
    <w:rsid w:val="00740276"/>
    <w:rsid w:val="00747873"/>
    <w:rsid w:val="00747B0C"/>
    <w:rsid w:val="00754343"/>
    <w:rsid w:val="00754756"/>
    <w:rsid w:val="00754767"/>
    <w:rsid w:val="00757F6E"/>
    <w:rsid w:val="00761C40"/>
    <w:rsid w:val="00767B1C"/>
    <w:rsid w:val="00776505"/>
    <w:rsid w:val="00776F4F"/>
    <w:rsid w:val="00776FB2"/>
    <w:rsid w:val="00777451"/>
    <w:rsid w:val="00780237"/>
    <w:rsid w:val="007813E3"/>
    <w:rsid w:val="00781A82"/>
    <w:rsid w:val="007839E2"/>
    <w:rsid w:val="00783B79"/>
    <w:rsid w:val="0078456A"/>
    <w:rsid w:val="00784E6D"/>
    <w:rsid w:val="00786C7E"/>
    <w:rsid w:val="00790AC5"/>
    <w:rsid w:val="00791D2A"/>
    <w:rsid w:val="00796EE8"/>
    <w:rsid w:val="007A07DE"/>
    <w:rsid w:val="007A2496"/>
    <w:rsid w:val="007A5050"/>
    <w:rsid w:val="007C00E3"/>
    <w:rsid w:val="007C1851"/>
    <w:rsid w:val="007C3BF2"/>
    <w:rsid w:val="007C4190"/>
    <w:rsid w:val="007C5139"/>
    <w:rsid w:val="007C6673"/>
    <w:rsid w:val="007D0FF1"/>
    <w:rsid w:val="007D1B5C"/>
    <w:rsid w:val="007D459B"/>
    <w:rsid w:val="007D6520"/>
    <w:rsid w:val="007D6805"/>
    <w:rsid w:val="007E0129"/>
    <w:rsid w:val="007E01DA"/>
    <w:rsid w:val="007E13C8"/>
    <w:rsid w:val="007E604A"/>
    <w:rsid w:val="007E616F"/>
    <w:rsid w:val="007E780C"/>
    <w:rsid w:val="007F3021"/>
    <w:rsid w:val="007F4FD8"/>
    <w:rsid w:val="007F5AE4"/>
    <w:rsid w:val="007F693C"/>
    <w:rsid w:val="007F6AA0"/>
    <w:rsid w:val="00800DBB"/>
    <w:rsid w:val="00801812"/>
    <w:rsid w:val="008018E7"/>
    <w:rsid w:val="00804B48"/>
    <w:rsid w:val="008071FE"/>
    <w:rsid w:val="00807529"/>
    <w:rsid w:val="00807AAC"/>
    <w:rsid w:val="00811026"/>
    <w:rsid w:val="00812743"/>
    <w:rsid w:val="00813506"/>
    <w:rsid w:val="00813C31"/>
    <w:rsid w:val="00827E40"/>
    <w:rsid w:val="00827FD9"/>
    <w:rsid w:val="008315EC"/>
    <w:rsid w:val="0083539B"/>
    <w:rsid w:val="008357C1"/>
    <w:rsid w:val="00836B44"/>
    <w:rsid w:val="00837692"/>
    <w:rsid w:val="00841687"/>
    <w:rsid w:val="0084232D"/>
    <w:rsid w:val="008428EA"/>
    <w:rsid w:val="008429C3"/>
    <w:rsid w:val="008449BF"/>
    <w:rsid w:val="0084548F"/>
    <w:rsid w:val="00851170"/>
    <w:rsid w:val="0085289E"/>
    <w:rsid w:val="00856DAE"/>
    <w:rsid w:val="00856FF9"/>
    <w:rsid w:val="00857A43"/>
    <w:rsid w:val="008622FC"/>
    <w:rsid w:val="008704CA"/>
    <w:rsid w:val="00871596"/>
    <w:rsid w:val="008768DB"/>
    <w:rsid w:val="00881EAF"/>
    <w:rsid w:val="00890268"/>
    <w:rsid w:val="00894587"/>
    <w:rsid w:val="0089789D"/>
    <w:rsid w:val="008A0E83"/>
    <w:rsid w:val="008A1902"/>
    <w:rsid w:val="008A53CF"/>
    <w:rsid w:val="008A5CDC"/>
    <w:rsid w:val="008A5E71"/>
    <w:rsid w:val="008A6C62"/>
    <w:rsid w:val="008B0546"/>
    <w:rsid w:val="008B52E1"/>
    <w:rsid w:val="008B78CD"/>
    <w:rsid w:val="008B7AA3"/>
    <w:rsid w:val="008D073E"/>
    <w:rsid w:val="008D36A7"/>
    <w:rsid w:val="008D3951"/>
    <w:rsid w:val="008D59C2"/>
    <w:rsid w:val="008D7863"/>
    <w:rsid w:val="008D7AD2"/>
    <w:rsid w:val="008E08EB"/>
    <w:rsid w:val="008E659B"/>
    <w:rsid w:val="008F2545"/>
    <w:rsid w:val="008F55AA"/>
    <w:rsid w:val="008F7960"/>
    <w:rsid w:val="009035DB"/>
    <w:rsid w:val="009071FC"/>
    <w:rsid w:val="00911A2D"/>
    <w:rsid w:val="00913520"/>
    <w:rsid w:val="009173A3"/>
    <w:rsid w:val="00920B32"/>
    <w:rsid w:val="009211D1"/>
    <w:rsid w:val="009243C7"/>
    <w:rsid w:val="009247DF"/>
    <w:rsid w:val="00924BA1"/>
    <w:rsid w:val="00924F3B"/>
    <w:rsid w:val="00925603"/>
    <w:rsid w:val="009322AF"/>
    <w:rsid w:val="00933190"/>
    <w:rsid w:val="00933232"/>
    <w:rsid w:val="00943E4D"/>
    <w:rsid w:val="00945CEB"/>
    <w:rsid w:val="009502E8"/>
    <w:rsid w:val="00951587"/>
    <w:rsid w:val="009544FB"/>
    <w:rsid w:val="009564EF"/>
    <w:rsid w:val="009575FD"/>
    <w:rsid w:val="00957825"/>
    <w:rsid w:val="00960FEA"/>
    <w:rsid w:val="0096534B"/>
    <w:rsid w:val="00965673"/>
    <w:rsid w:val="00965E45"/>
    <w:rsid w:val="009660C5"/>
    <w:rsid w:val="00966900"/>
    <w:rsid w:val="00970AD4"/>
    <w:rsid w:val="00974651"/>
    <w:rsid w:val="00983C72"/>
    <w:rsid w:val="00984AD8"/>
    <w:rsid w:val="00985093"/>
    <w:rsid w:val="009855EE"/>
    <w:rsid w:val="00992750"/>
    <w:rsid w:val="009944CD"/>
    <w:rsid w:val="00994DCC"/>
    <w:rsid w:val="0099518F"/>
    <w:rsid w:val="009A0B82"/>
    <w:rsid w:val="009A1DBA"/>
    <w:rsid w:val="009A5F8B"/>
    <w:rsid w:val="009A60B9"/>
    <w:rsid w:val="009B0692"/>
    <w:rsid w:val="009B155E"/>
    <w:rsid w:val="009B1985"/>
    <w:rsid w:val="009B229A"/>
    <w:rsid w:val="009B2AA1"/>
    <w:rsid w:val="009B2EB0"/>
    <w:rsid w:val="009B4193"/>
    <w:rsid w:val="009B648B"/>
    <w:rsid w:val="009C05AA"/>
    <w:rsid w:val="009C061F"/>
    <w:rsid w:val="009C2625"/>
    <w:rsid w:val="009C2B1F"/>
    <w:rsid w:val="009C2EE3"/>
    <w:rsid w:val="009C4ECC"/>
    <w:rsid w:val="009C7028"/>
    <w:rsid w:val="009D07DF"/>
    <w:rsid w:val="009D24B7"/>
    <w:rsid w:val="009D2C2A"/>
    <w:rsid w:val="009D43A5"/>
    <w:rsid w:val="009D7361"/>
    <w:rsid w:val="009E2EA8"/>
    <w:rsid w:val="009E424A"/>
    <w:rsid w:val="009E5578"/>
    <w:rsid w:val="009E69B3"/>
    <w:rsid w:val="009E7036"/>
    <w:rsid w:val="009F1409"/>
    <w:rsid w:val="009F3C8F"/>
    <w:rsid w:val="009F4735"/>
    <w:rsid w:val="009F4F54"/>
    <w:rsid w:val="009F5473"/>
    <w:rsid w:val="009F69FB"/>
    <w:rsid w:val="00A00C3D"/>
    <w:rsid w:val="00A0420B"/>
    <w:rsid w:val="00A0586F"/>
    <w:rsid w:val="00A07BFA"/>
    <w:rsid w:val="00A1056C"/>
    <w:rsid w:val="00A10FB7"/>
    <w:rsid w:val="00A12076"/>
    <w:rsid w:val="00A125E6"/>
    <w:rsid w:val="00A139AC"/>
    <w:rsid w:val="00A15581"/>
    <w:rsid w:val="00A161AA"/>
    <w:rsid w:val="00A16D8A"/>
    <w:rsid w:val="00A17571"/>
    <w:rsid w:val="00A206DB"/>
    <w:rsid w:val="00A2443A"/>
    <w:rsid w:val="00A31B58"/>
    <w:rsid w:val="00A366C2"/>
    <w:rsid w:val="00A37490"/>
    <w:rsid w:val="00A45885"/>
    <w:rsid w:val="00A51F88"/>
    <w:rsid w:val="00A51FB3"/>
    <w:rsid w:val="00A52F3C"/>
    <w:rsid w:val="00A55E6C"/>
    <w:rsid w:val="00A63F2A"/>
    <w:rsid w:val="00A644F4"/>
    <w:rsid w:val="00A651F4"/>
    <w:rsid w:val="00A70A56"/>
    <w:rsid w:val="00A70BE8"/>
    <w:rsid w:val="00A72217"/>
    <w:rsid w:val="00A76158"/>
    <w:rsid w:val="00A77EEC"/>
    <w:rsid w:val="00A86485"/>
    <w:rsid w:val="00A8700A"/>
    <w:rsid w:val="00A9333B"/>
    <w:rsid w:val="00A95E5C"/>
    <w:rsid w:val="00A96D60"/>
    <w:rsid w:val="00AA32C1"/>
    <w:rsid w:val="00AA6971"/>
    <w:rsid w:val="00AA6FF0"/>
    <w:rsid w:val="00AC19A6"/>
    <w:rsid w:val="00AC39FA"/>
    <w:rsid w:val="00AC7D11"/>
    <w:rsid w:val="00AD0392"/>
    <w:rsid w:val="00AD0BBD"/>
    <w:rsid w:val="00AD1C4E"/>
    <w:rsid w:val="00AD669D"/>
    <w:rsid w:val="00AD6BED"/>
    <w:rsid w:val="00AD762E"/>
    <w:rsid w:val="00AE13DC"/>
    <w:rsid w:val="00AF1DBF"/>
    <w:rsid w:val="00AF36B6"/>
    <w:rsid w:val="00AF7984"/>
    <w:rsid w:val="00B00295"/>
    <w:rsid w:val="00B00A49"/>
    <w:rsid w:val="00B03B20"/>
    <w:rsid w:val="00B05E39"/>
    <w:rsid w:val="00B05E7C"/>
    <w:rsid w:val="00B07278"/>
    <w:rsid w:val="00B0734F"/>
    <w:rsid w:val="00B10895"/>
    <w:rsid w:val="00B1445B"/>
    <w:rsid w:val="00B20B4F"/>
    <w:rsid w:val="00B20FCD"/>
    <w:rsid w:val="00B21027"/>
    <w:rsid w:val="00B21B08"/>
    <w:rsid w:val="00B23A18"/>
    <w:rsid w:val="00B27DEB"/>
    <w:rsid w:val="00B30695"/>
    <w:rsid w:val="00B31243"/>
    <w:rsid w:val="00B3263C"/>
    <w:rsid w:val="00B3295C"/>
    <w:rsid w:val="00B3571A"/>
    <w:rsid w:val="00B40691"/>
    <w:rsid w:val="00B41A08"/>
    <w:rsid w:val="00B42606"/>
    <w:rsid w:val="00B51A05"/>
    <w:rsid w:val="00B5291C"/>
    <w:rsid w:val="00B529F3"/>
    <w:rsid w:val="00B53C3D"/>
    <w:rsid w:val="00B5419E"/>
    <w:rsid w:val="00B55564"/>
    <w:rsid w:val="00B555E4"/>
    <w:rsid w:val="00B56F5D"/>
    <w:rsid w:val="00B57B86"/>
    <w:rsid w:val="00B60B22"/>
    <w:rsid w:val="00B63D60"/>
    <w:rsid w:val="00B65646"/>
    <w:rsid w:val="00B71D13"/>
    <w:rsid w:val="00B75725"/>
    <w:rsid w:val="00B75E21"/>
    <w:rsid w:val="00B76D3D"/>
    <w:rsid w:val="00B81996"/>
    <w:rsid w:val="00B81F1A"/>
    <w:rsid w:val="00B82024"/>
    <w:rsid w:val="00B832DC"/>
    <w:rsid w:val="00B8580D"/>
    <w:rsid w:val="00B9114E"/>
    <w:rsid w:val="00B964A4"/>
    <w:rsid w:val="00BA5160"/>
    <w:rsid w:val="00BB0CB3"/>
    <w:rsid w:val="00BB11A2"/>
    <w:rsid w:val="00BB5CA6"/>
    <w:rsid w:val="00BC332A"/>
    <w:rsid w:val="00BC3EEE"/>
    <w:rsid w:val="00BC4CF3"/>
    <w:rsid w:val="00BC70E8"/>
    <w:rsid w:val="00BC7270"/>
    <w:rsid w:val="00BC7383"/>
    <w:rsid w:val="00BD3233"/>
    <w:rsid w:val="00BD3677"/>
    <w:rsid w:val="00BD44BB"/>
    <w:rsid w:val="00BD5E3A"/>
    <w:rsid w:val="00BD74D5"/>
    <w:rsid w:val="00BE228F"/>
    <w:rsid w:val="00BE506B"/>
    <w:rsid w:val="00BE5C6D"/>
    <w:rsid w:val="00BF1F7C"/>
    <w:rsid w:val="00BF7671"/>
    <w:rsid w:val="00C04B84"/>
    <w:rsid w:val="00C051A7"/>
    <w:rsid w:val="00C064E7"/>
    <w:rsid w:val="00C1163E"/>
    <w:rsid w:val="00C11FCF"/>
    <w:rsid w:val="00C12BE1"/>
    <w:rsid w:val="00C1554D"/>
    <w:rsid w:val="00C15D36"/>
    <w:rsid w:val="00C204C6"/>
    <w:rsid w:val="00C20BF0"/>
    <w:rsid w:val="00C278F8"/>
    <w:rsid w:val="00C27BE3"/>
    <w:rsid w:val="00C306FD"/>
    <w:rsid w:val="00C4375F"/>
    <w:rsid w:val="00C4392F"/>
    <w:rsid w:val="00C44F10"/>
    <w:rsid w:val="00C453D0"/>
    <w:rsid w:val="00C47447"/>
    <w:rsid w:val="00C54962"/>
    <w:rsid w:val="00C55119"/>
    <w:rsid w:val="00C55B1E"/>
    <w:rsid w:val="00C57087"/>
    <w:rsid w:val="00C6259D"/>
    <w:rsid w:val="00C639A0"/>
    <w:rsid w:val="00C63F5E"/>
    <w:rsid w:val="00C6462A"/>
    <w:rsid w:val="00C67596"/>
    <w:rsid w:val="00C70496"/>
    <w:rsid w:val="00C810B3"/>
    <w:rsid w:val="00C8151C"/>
    <w:rsid w:val="00C83093"/>
    <w:rsid w:val="00C8466D"/>
    <w:rsid w:val="00C92697"/>
    <w:rsid w:val="00CA4FE9"/>
    <w:rsid w:val="00CA7512"/>
    <w:rsid w:val="00CA7673"/>
    <w:rsid w:val="00CA768B"/>
    <w:rsid w:val="00CB69E3"/>
    <w:rsid w:val="00CC19DB"/>
    <w:rsid w:val="00CC4255"/>
    <w:rsid w:val="00CD2532"/>
    <w:rsid w:val="00CD517A"/>
    <w:rsid w:val="00CD7D98"/>
    <w:rsid w:val="00CE0513"/>
    <w:rsid w:val="00CE2E8D"/>
    <w:rsid w:val="00CE359F"/>
    <w:rsid w:val="00CE4330"/>
    <w:rsid w:val="00CF0557"/>
    <w:rsid w:val="00CF195D"/>
    <w:rsid w:val="00CF1C09"/>
    <w:rsid w:val="00CF7034"/>
    <w:rsid w:val="00D001A8"/>
    <w:rsid w:val="00D02798"/>
    <w:rsid w:val="00D054F6"/>
    <w:rsid w:val="00D058A3"/>
    <w:rsid w:val="00D12BF1"/>
    <w:rsid w:val="00D14AF3"/>
    <w:rsid w:val="00D15416"/>
    <w:rsid w:val="00D16538"/>
    <w:rsid w:val="00D1746E"/>
    <w:rsid w:val="00D176A7"/>
    <w:rsid w:val="00D20556"/>
    <w:rsid w:val="00D243DD"/>
    <w:rsid w:val="00D2602E"/>
    <w:rsid w:val="00D26E25"/>
    <w:rsid w:val="00D274E3"/>
    <w:rsid w:val="00D2779B"/>
    <w:rsid w:val="00D34E36"/>
    <w:rsid w:val="00D351F4"/>
    <w:rsid w:val="00D35994"/>
    <w:rsid w:val="00D35F30"/>
    <w:rsid w:val="00D40C39"/>
    <w:rsid w:val="00D45434"/>
    <w:rsid w:val="00D45BCE"/>
    <w:rsid w:val="00D512B0"/>
    <w:rsid w:val="00D51380"/>
    <w:rsid w:val="00D53937"/>
    <w:rsid w:val="00D61AD0"/>
    <w:rsid w:val="00D62567"/>
    <w:rsid w:val="00D74483"/>
    <w:rsid w:val="00D7450A"/>
    <w:rsid w:val="00D75EBD"/>
    <w:rsid w:val="00D76B41"/>
    <w:rsid w:val="00D80A52"/>
    <w:rsid w:val="00D81442"/>
    <w:rsid w:val="00D84CEB"/>
    <w:rsid w:val="00D84DED"/>
    <w:rsid w:val="00D876AE"/>
    <w:rsid w:val="00D911A7"/>
    <w:rsid w:val="00D920E4"/>
    <w:rsid w:val="00D964DD"/>
    <w:rsid w:val="00DA0E26"/>
    <w:rsid w:val="00DB05D5"/>
    <w:rsid w:val="00DB09C3"/>
    <w:rsid w:val="00DB45CE"/>
    <w:rsid w:val="00DB48F2"/>
    <w:rsid w:val="00DB510F"/>
    <w:rsid w:val="00DB5F76"/>
    <w:rsid w:val="00DB6EE3"/>
    <w:rsid w:val="00DB7D83"/>
    <w:rsid w:val="00DC078A"/>
    <w:rsid w:val="00DC546A"/>
    <w:rsid w:val="00DC58BB"/>
    <w:rsid w:val="00DC679A"/>
    <w:rsid w:val="00DD16F3"/>
    <w:rsid w:val="00DD3536"/>
    <w:rsid w:val="00DD57FE"/>
    <w:rsid w:val="00DE05D6"/>
    <w:rsid w:val="00DE2064"/>
    <w:rsid w:val="00DE30D9"/>
    <w:rsid w:val="00DE334C"/>
    <w:rsid w:val="00DE59EA"/>
    <w:rsid w:val="00DE6C93"/>
    <w:rsid w:val="00DE7A27"/>
    <w:rsid w:val="00DE7D87"/>
    <w:rsid w:val="00DF005E"/>
    <w:rsid w:val="00DF00FD"/>
    <w:rsid w:val="00DF1C71"/>
    <w:rsid w:val="00DF3DA4"/>
    <w:rsid w:val="00DF6EAD"/>
    <w:rsid w:val="00E00197"/>
    <w:rsid w:val="00E01C0B"/>
    <w:rsid w:val="00E03012"/>
    <w:rsid w:val="00E03C18"/>
    <w:rsid w:val="00E03E9E"/>
    <w:rsid w:val="00E03F78"/>
    <w:rsid w:val="00E077AA"/>
    <w:rsid w:val="00E07AC5"/>
    <w:rsid w:val="00E11DE7"/>
    <w:rsid w:val="00E1349F"/>
    <w:rsid w:val="00E145B5"/>
    <w:rsid w:val="00E16AE8"/>
    <w:rsid w:val="00E20CF7"/>
    <w:rsid w:val="00E23904"/>
    <w:rsid w:val="00E301F7"/>
    <w:rsid w:val="00E310A4"/>
    <w:rsid w:val="00E31A60"/>
    <w:rsid w:val="00E321CC"/>
    <w:rsid w:val="00E322DE"/>
    <w:rsid w:val="00E3286F"/>
    <w:rsid w:val="00E33A42"/>
    <w:rsid w:val="00E367C9"/>
    <w:rsid w:val="00E42ACC"/>
    <w:rsid w:val="00E54583"/>
    <w:rsid w:val="00E54D01"/>
    <w:rsid w:val="00E56CA7"/>
    <w:rsid w:val="00E6293F"/>
    <w:rsid w:val="00E65477"/>
    <w:rsid w:val="00E6583A"/>
    <w:rsid w:val="00E658F8"/>
    <w:rsid w:val="00E7499D"/>
    <w:rsid w:val="00E843C2"/>
    <w:rsid w:val="00E84E43"/>
    <w:rsid w:val="00E908FE"/>
    <w:rsid w:val="00E942EB"/>
    <w:rsid w:val="00E97B5C"/>
    <w:rsid w:val="00EA0BBF"/>
    <w:rsid w:val="00EA1E82"/>
    <w:rsid w:val="00EA2722"/>
    <w:rsid w:val="00EA2969"/>
    <w:rsid w:val="00EA7D08"/>
    <w:rsid w:val="00EB2845"/>
    <w:rsid w:val="00EB2ED2"/>
    <w:rsid w:val="00EB30D4"/>
    <w:rsid w:val="00EB355A"/>
    <w:rsid w:val="00EB793E"/>
    <w:rsid w:val="00EC0515"/>
    <w:rsid w:val="00EC1082"/>
    <w:rsid w:val="00EC1D59"/>
    <w:rsid w:val="00EC2689"/>
    <w:rsid w:val="00EC30B2"/>
    <w:rsid w:val="00ED0040"/>
    <w:rsid w:val="00ED052A"/>
    <w:rsid w:val="00ED4800"/>
    <w:rsid w:val="00EE04A4"/>
    <w:rsid w:val="00EE6A45"/>
    <w:rsid w:val="00EE6A98"/>
    <w:rsid w:val="00EF6242"/>
    <w:rsid w:val="00F00D6E"/>
    <w:rsid w:val="00F028E3"/>
    <w:rsid w:val="00F048E2"/>
    <w:rsid w:val="00F11059"/>
    <w:rsid w:val="00F16D1F"/>
    <w:rsid w:val="00F16ECE"/>
    <w:rsid w:val="00F17EA7"/>
    <w:rsid w:val="00F24394"/>
    <w:rsid w:val="00F251AD"/>
    <w:rsid w:val="00F27EDD"/>
    <w:rsid w:val="00F36C6B"/>
    <w:rsid w:val="00F3795C"/>
    <w:rsid w:val="00F40DF3"/>
    <w:rsid w:val="00F41ED7"/>
    <w:rsid w:val="00F45E6E"/>
    <w:rsid w:val="00F50806"/>
    <w:rsid w:val="00F5763D"/>
    <w:rsid w:val="00F639DD"/>
    <w:rsid w:val="00F65A68"/>
    <w:rsid w:val="00F71352"/>
    <w:rsid w:val="00F76DD4"/>
    <w:rsid w:val="00F81AD8"/>
    <w:rsid w:val="00F81B11"/>
    <w:rsid w:val="00F827A9"/>
    <w:rsid w:val="00F846A5"/>
    <w:rsid w:val="00F96156"/>
    <w:rsid w:val="00F964E0"/>
    <w:rsid w:val="00FA16C8"/>
    <w:rsid w:val="00FA20FC"/>
    <w:rsid w:val="00FA4466"/>
    <w:rsid w:val="00FA66C2"/>
    <w:rsid w:val="00FB2461"/>
    <w:rsid w:val="00FB2FE8"/>
    <w:rsid w:val="00FB344A"/>
    <w:rsid w:val="00FB497B"/>
    <w:rsid w:val="00FB5429"/>
    <w:rsid w:val="00FC05F7"/>
    <w:rsid w:val="00FC3255"/>
    <w:rsid w:val="00FC3506"/>
    <w:rsid w:val="00FC40A7"/>
    <w:rsid w:val="00FC48FD"/>
    <w:rsid w:val="00FC4BDA"/>
    <w:rsid w:val="00FC66E5"/>
    <w:rsid w:val="00FD43AB"/>
    <w:rsid w:val="00FD5C5F"/>
    <w:rsid w:val="00FD7FB3"/>
    <w:rsid w:val="00FE092A"/>
    <w:rsid w:val="00FE1033"/>
    <w:rsid w:val="00FE2D51"/>
    <w:rsid w:val="00FE5073"/>
    <w:rsid w:val="00FE675C"/>
    <w:rsid w:val="00FF6391"/>
    <w:rsid w:val="00FF705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6626">
      <o:colormru v:ext="edit" colors="#00214e"/>
    </o:shapedefaults>
    <o:shapelayout v:ext="edit">
      <o:idmap v:ext="edit" data="1"/>
      <o:rules v:ext="edit">
        <o:r id="V:Rule2"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link w:val="Heading1Cha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7">
    <w:name w:val="heading 7"/>
    <w:basedOn w:val="Normal"/>
    <w:next w:val="Normal"/>
    <w:link w:val="Heading7Char"/>
    <w:uiPriority w:val="9"/>
    <w:semiHidden/>
    <w:unhideWhenUsed/>
    <w:qFormat/>
    <w:rsid w:val="003A11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11A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3">
    <w:name w:val="Body Text 3"/>
    <w:basedOn w:val="Normal"/>
    <w:link w:val="BodyText3Char"/>
    <w:uiPriority w:val="99"/>
    <w:semiHidden/>
    <w:unhideWhenUsed/>
    <w:rsid w:val="00757F6E"/>
    <w:pPr>
      <w:spacing w:after="120"/>
    </w:pPr>
    <w:rPr>
      <w:sz w:val="16"/>
      <w:szCs w:val="16"/>
    </w:rPr>
  </w:style>
  <w:style w:type="character" w:customStyle="1" w:styleId="BodyText3Char">
    <w:name w:val="Body Text 3 Char"/>
    <w:link w:val="BodyText3"/>
    <w:uiPriority w:val="99"/>
    <w:semiHidden/>
    <w:rsid w:val="00757F6E"/>
    <w:rPr>
      <w:sz w:val="16"/>
      <w:szCs w:val="16"/>
      <w:lang w:val="en-US" w:eastAsia="en-US"/>
    </w:rPr>
  </w:style>
  <w:style w:type="paragraph" w:styleId="BodyText2">
    <w:name w:val="Body Text 2"/>
    <w:basedOn w:val="Normal"/>
    <w:link w:val="BodyText2Char"/>
    <w:semiHidden/>
    <w:unhideWhenUsed/>
    <w:rsid w:val="00757F6E"/>
    <w:pPr>
      <w:spacing w:after="120" w:line="480" w:lineRule="auto"/>
    </w:pPr>
  </w:style>
  <w:style w:type="character" w:customStyle="1" w:styleId="BodyText2Char">
    <w:name w:val="Body Text 2 Char"/>
    <w:link w:val="Body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Heading1Char">
    <w:name w:val="Heading 1 Char"/>
    <w:link w:val="Heading1"/>
    <w:uiPriority w:val="9"/>
    <w:rsid w:val="001D6FC6"/>
    <w:rPr>
      <w:rFonts w:ascii="Times New Roman" w:eastAsia="Times New Roman" w:hAnsi="Times New Roman"/>
      <w:b/>
      <w:bCs/>
      <w:kern w:val="36"/>
      <w:sz w:val="48"/>
      <w:szCs w:val="48"/>
    </w:rPr>
  </w:style>
  <w:style w:type="paragraph" w:styleId="ListParagraph">
    <w:name w:val="List Paragraph"/>
    <w:basedOn w:val="Normal"/>
    <w:uiPriority w:val="99"/>
    <w:qFormat/>
    <w:rsid w:val="00E16AE8"/>
    <w:pPr>
      <w:overflowPunct w:val="0"/>
      <w:autoSpaceDE w:val="0"/>
      <w:autoSpaceDN w:val="0"/>
      <w:adjustRightInd w:val="0"/>
      <w:spacing w:after="0" w:line="240" w:lineRule="auto"/>
      <w:ind w:left="708"/>
      <w:textAlignment w:val="baseline"/>
    </w:pPr>
    <w:rPr>
      <w:rFonts w:ascii="Times New Roman" w:eastAsia="Times New Roman" w:hAnsi="Times New Roman"/>
      <w:sz w:val="28"/>
      <w:szCs w:val="20"/>
    </w:rPr>
  </w:style>
  <w:style w:type="paragraph" w:customStyle="1" w:styleId="Style1">
    <w:name w:val="Style 1"/>
    <w:rsid w:val="00E16AE8"/>
    <w:pPr>
      <w:widowControl w:val="0"/>
      <w:autoSpaceDE w:val="0"/>
      <w:autoSpaceDN w:val="0"/>
      <w:adjustRightInd w:val="0"/>
    </w:pPr>
    <w:rPr>
      <w:rFonts w:ascii="Times New Roman" w:eastAsia="Times New Roman" w:hAnsi="Times New Roman"/>
    </w:rPr>
  </w:style>
  <w:style w:type="paragraph" w:customStyle="1" w:styleId="Default">
    <w:name w:val="Default"/>
    <w:rsid w:val="00E16AE8"/>
    <w:pPr>
      <w:autoSpaceDE w:val="0"/>
      <w:autoSpaceDN w:val="0"/>
      <w:adjustRightInd w:val="0"/>
    </w:pPr>
    <w:rPr>
      <w:rFonts w:ascii="Arial" w:eastAsiaTheme="minorHAnsi" w:hAnsi="Arial" w:cs="Arial"/>
      <w:color w:val="000000"/>
      <w:sz w:val="24"/>
      <w:szCs w:val="24"/>
      <w:lang w:val="ro-RO"/>
    </w:rPr>
  </w:style>
  <w:style w:type="table" w:styleId="TableGrid">
    <w:name w:val="Table Grid"/>
    <w:basedOn w:val="TableNormal"/>
    <w:uiPriority w:val="59"/>
    <w:rsid w:val="002B1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3A11A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3A11AE"/>
    <w:rPr>
      <w:rFonts w:asciiTheme="majorHAnsi" w:eastAsiaTheme="majorEastAsia" w:hAnsiTheme="majorHAnsi" w:cstheme="majorBidi"/>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1391">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Office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Office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Office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Office_Excel_Worksheet2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lgn="ctr" rtl="0">
              <a:defRPr lang="en-GB"/>
            </a:pPr>
            <a:r>
              <a:rPr lang="ro-RO"/>
              <a:t> µg/m³ </a:t>
            </a:r>
          </a:p>
          <a:p>
            <a:pPr algn="ctr" rtl="0">
              <a:defRPr lang="en-GB"/>
            </a:pPr>
            <a:endParaRPr lang="ro-RO"/>
          </a:p>
        </c:rich>
      </c:tx>
      <c:layout>
        <c:manualLayout>
          <c:xMode val="edge"/>
          <c:yMode val="edge"/>
          <c:x val="2.8723271893496246E-4"/>
          <c:y val="7.4833669047196655E-2"/>
        </c:manualLayout>
      </c:layout>
    </c:title>
    <c:plotArea>
      <c:layout>
        <c:manualLayout>
          <c:layoutTarget val="inner"/>
          <c:xMode val="edge"/>
          <c:yMode val="edge"/>
          <c:x val="0.15461781563018909"/>
          <c:y val="5.7955402633494364E-2"/>
          <c:w val="0.49994010488952412"/>
          <c:h val="0.7472974776459067"/>
        </c:manualLayout>
      </c:layout>
      <c:barChart>
        <c:barDir val="col"/>
        <c:grouping val="clustered"/>
        <c:ser>
          <c:idx val="0"/>
          <c:order val="0"/>
          <c:tx>
            <c:strRef>
              <c:f>Sheet1!$A$2</c:f>
              <c:strCache>
                <c:ptCount val="1"/>
                <c:pt idx="0">
                  <c:v>Concentrații maxime orare</c:v>
                </c:pt>
              </c:strCache>
            </c:strRef>
          </c:tx>
          <c:spPr>
            <a:solidFill>
              <a:schemeClr val="accent3">
                <a:lumMod val="75000"/>
              </a:schemeClr>
            </a:solidFill>
            <a:ln w="12700">
              <a:solidFill>
                <a:srgbClr val="000000"/>
              </a:solidFill>
              <a:prstDash val="solid"/>
            </a:ln>
          </c:spPr>
          <c:dLbls>
            <c:dLbl>
              <c:idx val="1"/>
              <c:layout>
                <c:manualLayout>
                  <c:x val="0"/>
                  <c:y val="2.0997375328085852E-2"/>
                </c:manualLayout>
              </c:layout>
              <c:showVal val="1"/>
            </c:dLbl>
            <c:dLbl>
              <c:idx val="2"/>
              <c:layout>
                <c:manualLayout>
                  <c:x val="0"/>
                  <c:y val="3.1496062992126012E-2"/>
                </c:manualLayout>
              </c:layout>
              <c:showVal val="1"/>
            </c:dLbl>
            <c:dLbl>
              <c:idx val="3"/>
              <c:layout>
                <c:manualLayout>
                  <c:x val="-4.9474335188620912E-2"/>
                  <c:y val="0.10084033613445256"/>
                </c:manualLayout>
              </c:layout>
              <c:showVal val="1"/>
            </c:dLbl>
            <c:numFmt formatCode="#,##0.0" sourceLinked="0"/>
            <c:txPr>
              <a:bodyPr/>
              <a:lstStyle/>
              <a:p>
                <a:pPr>
                  <a:defRPr lang="en-GB"/>
                </a:pPr>
                <a:endParaRPr lang="ro-RO"/>
              </a:p>
            </c:txPr>
            <c:showVal val="1"/>
          </c:dLbls>
          <c:cat>
            <c:strRef>
              <c:f>Sheet1!$B$1:$E$1</c:f>
              <c:strCache>
                <c:ptCount val="4"/>
                <c:pt idx="0">
                  <c:v>EM3</c:v>
                </c:pt>
                <c:pt idx="1">
                  <c:v>SV1</c:v>
                </c:pt>
                <c:pt idx="2">
                  <c:v>SV2</c:v>
                </c:pt>
                <c:pt idx="3">
                  <c:v>SV3</c:v>
                </c:pt>
              </c:strCache>
            </c:strRef>
          </c:cat>
          <c:val>
            <c:numRef>
              <c:f>Sheet1!$B$2:$E$2</c:f>
              <c:numCache>
                <c:formatCode>General</c:formatCode>
                <c:ptCount val="4"/>
                <c:pt idx="1">
                  <c:v>85.9</c:v>
                </c:pt>
                <c:pt idx="3">
                  <c:v>123.22</c:v>
                </c:pt>
              </c:numCache>
            </c:numRef>
          </c:val>
        </c:ser>
        <c:gapWidth val="401"/>
        <c:axId val="210911232"/>
        <c:axId val="210913152"/>
      </c:barChart>
      <c:lineChart>
        <c:grouping val="standard"/>
        <c:ser>
          <c:idx val="2"/>
          <c:order val="1"/>
          <c:tx>
            <c:strRef>
              <c:f>Sheet1!$A$3</c:f>
              <c:strCache>
                <c:ptCount val="1"/>
                <c:pt idx="0">
                  <c:v>Valoare limită orară</c:v>
                </c:pt>
              </c:strCache>
            </c:strRef>
          </c:tx>
          <c:spPr>
            <a:ln w="63500">
              <a:solidFill>
                <a:srgbClr val="FF0000"/>
              </a:solidFill>
              <a:prstDash val="solid"/>
            </a:ln>
          </c:spPr>
          <c:marker>
            <c:symbol val="square"/>
            <c:size val="5"/>
            <c:spPr>
              <a:noFill/>
              <a:ln w="9525">
                <a:noFill/>
              </a:ln>
            </c:spPr>
          </c:marker>
          <c:cat>
            <c:strRef>
              <c:f>Sheet1!$B$1:$E$1</c:f>
              <c:strCache>
                <c:ptCount val="4"/>
                <c:pt idx="0">
                  <c:v>EM3</c:v>
                </c:pt>
                <c:pt idx="1">
                  <c:v>SV1</c:v>
                </c:pt>
                <c:pt idx="2">
                  <c:v>SV2</c:v>
                </c:pt>
                <c:pt idx="3">
                  <c:v>SV3</c:v>
                </c:pt>
              </c:strCache>
            </c:strRef>
          </c:cat>
          <c:val>
            <c:numRef>
              <c:f>Sheet1!$B$3:$E$3</c:f>
              <c:numCache>
                <c:formatCode>0</c:formatCode>
                <c:ptCount val="4"/>
                <c:pt idx="0" formatCode="General">
                  <c:v>200</c:v>
                </c:pt>
                <c:pt idx="1">
                  <c:v>200</c:v>
                </c:pt>
                <c:pt idx="2" formatCode="General">
                  <c:v>200</c:v>
                </c:pt>
                <c:pt idx="3" formatCode="General">
                  <c:v>200</c:v>
                </c:pt>
              </c:numCache>
            </c:numRef>
          </c:val>
        </c:ser>
        <c:marker val="1"/>
        <c:axId val="210911232"/>
        <c:axId val="210913152"/>
      </c:lineChart>
      <c:catAx>
        <c:axId val="210911232"/>
        <c:scaling>
          <c:orientation val="minMax"/>
        </c:scaling>
        <c:axPos val="b"/>
        <c:numFmt formatCode="General" sourceLinked="1"/>
        <c:majorTickMark val="none"/>
        <c:tickLblPos val="nextTo"/>
        <c:spPr>
          <a:ln w="3175">
            <a:solidFill>
              <a:srgbClr val="000000"/>
            </a:solidFill>
            <a:prstDash val="solid"/>
          </a:ln>
        </c:spPr>
        <c:txPr>
          <a:bodyPr rot="0" vert="horz"/>
          <a:lstStyle/>
          <a:p>
            <a:pPr>
              <a:defRPr lang="en-GB"/>
            </a:pPr>
            <a:endParaRPr lang="ro-RO"/>
          </a:p>
        </c:txPr>
        <c:crossAx val="210913152"/>
        <c:crosses val="autoZero"/>
        <c:auto val="1"/>
        <c:lblAlgn val="ctr"/>
        <c:lblOffset val="100"/>
        <c:tickLblSkip val="1"/>
        <c:tickMarkSkip val="1"/>
      </c:catAx>
      <c:valAx>
        <c:axId val="210913152"/>
        <c:scaling>
          <c:orientation val="minMax"/>
          <c:max val="200"/>
          <c:min val="0"/>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lang="en-GB"/>
            </a:pPr>
            <a:endParaRPr lang="ro-RO"/>
          </a:p>
        </c:txPr>
        <c:crossAx val="210911232"/>
        <c:crosses val="autoZero"/>
        <c:crossBetween val="between"/>
        <c:majorUnit val="50"/>
        <c:minorUnit val="0.1"/>
      </c:valAx>
      <c:spPr>
        <a:noFill/>
        <a:ln w="3175">
          <a:solidFill>
            <a:srgbClr val="000000"/>
          </a:solidFill>
          <a:prstDash val="solid"/>
        </a:ln>
      </c:spPr>
    </c:plotArea>
    <c:legend>
      <c:legendPos val="r"/>
      <c:layout>
        <c:manualLayout>
          <c:xMode val="edge"/>
          <c:yMode val="edge"/>
          <c:x val="0.67458256029684549"/>
          <c:y val="0.2933780499660239"/>
          <c:w val="0.32541743970317188"/>
          <c:h val="0.40649850972018331"/>
        </c:manualLayout>
      </c:layout>
      <c:txPr>
        <a:bodyPr/>
        <a:lstStyle/>
        <a:p>
          <a:pPr>
            <a:defRPr lang="en-GB"/>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o-RO"/>
  <c:chart>
    <c:title>
      <c:tx>
        <c:rich>
          <a:bodyPr/>
          <a:lstStyle/>
          <a:p>
            <a:pPr algn="ctr" rtl="0">
              <a:defRPr lang="ro-RO"/>
            </a:pPr>
            <a:r>
              <a:rPr lang="ro-RO"/>
              <a:t> µSv/h </a:t>
            </a:r>
          </a:p>
          <a:p>
            <a:pPr algn="ctr" rtl="0">
              <a:defRPr lang="ro-RO"/>
            </a:pPr>
            <a:endParaRPr lang="ro-RO"/>
          </a:p>
        </c:rich>
      </c:tx>
      <c:layout>
        <c:manualLayout>
          <c:xMode val="edge"/>
          <c:yMode val="edge"/>
          <c:x val="5.2312845222705413E-2"/>
          <c:y val="6.9344721740293713E-3"/>
        </c:manualLayout>
      </c:layout>
    </c:title>
    <c:plotArea>
      <c:layout>
        <c:manualLayout>
          <c:layoutTarget val="inner"/>
          <c:xMode val="edge"/>
          <c:yMode val="edge"/>
          <c:x val="0.23574959846438148"/>
          <c:y val="6.7614636405744194E-2"/>
          <c:w val="0.49651643358013087"/>
          <c:h val="0.56351883980604056"/>
        </c:manualLayout>
      </c:layout>
      <c:barChart>
        <c:barDir val="col"/>
        <c:grouping val="clustered"/>
        <c:ser>
          <c:idx val="0"/>
          <c:order val="0"/>
          <c:tx>
            <c:strRef>
              <c:f>Sheet1!$A$2</c:f>
              <c:strCache>
                <c:ptCount val="1"/>
                <c:pt idx="0">
                  <c:v>Media lunară</c:v>
                </c:pt>
              </c:strCache>
            </c:strRef>
          </c:tx>
          <c:spPr>
            <a:solidFill>
              <a:schemeClr val="accent3">
                <a:lumMod val="75000"/>
              </a:schemeClr>
            </a:solidFill>
            <a:ln w="12700">
              <a:solidFill>
                <a:srgbClr val="000000"/>
              </a:solidFill>
              <a:prstDash val="solid"/>
            </a:ln>
          </c:spPr>
          <c:cat>
            <c:strRef>
              <c:f>Sheet1!$B$1:$C$1</c:f>
              <c:strCache>
                <c:ptCount val="2"/>
                <c:pt idx="0">
                  <c:v>decembrie</c:v>
                </c:pt>
                <c:pt idx="1">
                  <c:v>ianuarie</c:v>
                </c:pt>
              </c:strCache>
            </c:strRef>
          </c:cat>
          <c:val>
            <c:numRef>
              <c:f>Sheet1!$B$2:$C$2</c:f>
              <c:numCache>
                <c:formatCode>General</c:formatCode>
                <c:ptCount val="2"/>
                <c:pt idx="0">
                  <c:v>0.10800000000000001</c:v>
                </c:pt>
                <c:pt idx="1">
                  <c:v>0.10800000000000001</c:v>
                </c:pt>
              </c:numCache>
            </c:numRef>
          </c:val>
        </c:ser>
        <c:ser>
          <c:idx val="1"/>
          <c:order val="1"/>
          <c:tx>
            <c:strRef>
              <c:f>Sheet1!$A$3</c:f>
              <c:strCache>
                <c:ptCount val="1"/>
                <c:pt idx="0">
                  <c:v>Maxima lunară</c:v>
                </c:pt>
              </c:strCache>
            </c:strRef>
          </c:tx>
          <c:spPr>
            <a:solidFill>
              <a:srgbClr val="FFFF99"/>
            </a:solidFill>
            <a:ln w="12700">
              <a:solidFill>
                <a:schemeClr val="tx1"/>
              </a:solidFill>
              <a:prstDash val="solid"/>
            </a:ln>
          </c:spPr>
          <c:cat>
            <c:strRef>
              <c:f>Sheet1!$B$1:$C$1</c:f>
              <c:strCache>
                <c:ptCount val="2"/>
                <c:pt idx="0">
                  <c:v>decembrie</c:v>
                </c:pt>
                <c:pt idx="1">
                  <c:v>ianuarie</c:v>
                </c:pt>
              </c:strCache>
            </c:strRef>
          </c:cat>
          <c:val>
            <c:numRef>
              <c:f>Sheet1!$B$3:$C$3</c:f>
              <c:numCache>
                <c:formatCode>0.000</c:formatCode>
                <c:ptCount val="2"/>
                <c:pt idx="0">
                  <c:v>0.13500000000000001</c:v>
                </c:pt>
                <c:pt idx="1">
                  <c:v>0.14100000000000001</c:v>
                </c:pt>
              </c:numCache>
            </c:numRef>
          </c:val>
        </c:ser>
        <c:gapWidth val="401"/>
        <c:axId val="16710656"/>
        <c:axId val="150807296"/>
      </c:barChart>
      <c:lineChart>
        <c:grouping val="standard"/>
        <c:ser>
          <c:idx val="3"/>
          <c:order val="2"/>
          <c:tx>
            <c:strRef>
              <c:f>Sheet1!$A$4</c:f>
              <c:strCache>
                <c:ptCount val="1"/>
                <c:pt idx="0">
                  <c:v>Limita de avertizare cf. OM 1978/2010</c:v>
                </c:pt>
              </c:strCache>
            </c:strRef>
          </c:tx>
          <c:spPr>
            <a:ln w="63500">
              <a:solidFill>
                <a:srgbClr val="FF0000"/>
              </a:solidFill>
            </a:ln>
          </c:spPr>
          <c:marker>
            <c:symbol val="none"/>
          </c:marker>
          <c:val>
            <c:numRef>
              <c:f>Sheet1!$B$4:$C$4</c:f>
              <c:numCache>
                <c:formatCode>0.000</c:formatCode>
                <c:ptCount val="2"/>
                <c:pt idx="0">
                  <c:v>1</c:v>
                </c:pt>
                <c:pt idx="1">
                  <c:v>1</c:v>
                </c:pt>
              </c:numCache>
            </c:numRef>
          </c:val>
        </c:ser>
        <c:marker val="1"/>
        <c:axId val="16710656"/>
        <c:axId val="150807296"/>
      </c:lineChart>
      <c:catAx>
        <c:axId val="16710656"/>
        <c:scaling>
          <c:orientation val="minMax"/>
        </c:scaling>
        <c:axPos val="b"/>
        <c:numFmt formatCode="mmm/yy" sourceLinked="1"/>
        <c:majorTickMark val="none"/>
        <c:tickLblPos val="nextTo"/>
        <c:spPr>
          <a:ln w="3175">
            <a:solidFill>
              <a:srgbClr val="000000"/>
            </a:solidFill>
            <a:prstDash val="solid"/>
          </a:ln>
        </c:spPr>
        <c:txPr>
          <a:bodyPr rot="0" vert="horz"/>
          <a:lstStyle/>
          <a:p>
            <a:pPr>
              <a:defRPr lang="ro-RO"/>
            </a:pPr>
            <a:endParaRPr lang="ro-RO"/>
          </a:p>
        </c:txPr>
        <c:crossAx val="150807296"/>
        <c:crosses val="autoZero"/>
        <c:auto val="1"/>
        <c:lblAlgn val="ctr"/>
        <c:lblOffset val="100"/>
        <c:tickLblSkip val="1"/>
        <c:tickMarkSkip val="1"/>
      </c:catAx>
      <c:valAx>
        <c:axId val="150807296"/>
        <c:scaling>
          <c:orientation val="minMax"/>
          <c:max val="1"/>
          <c:min val="0"/>
        </c:scaling>
        <c:axPos val="l"/>
        <c:majorGridlines>
          <c:spPr>
            <a:ln w="3175">
              <a:solidFill>
                <a:srgbClr val="000000"/>
              </a:solidFill>
              <a:prstDash val="solid"/>
            </a:ln>
          </c:spPr>
        </c:majorGridlines>
        <c:numFmt formatCode="0.00" sourceLinked="0"/>
        <c:tickLblPos val="nextTo"/>
        <c:spPr>
          <a:ln w="3175">
            <a:solidFill>
              <a:srgbClr val="000000"/>
            </a:solidFill>
            <a:prstDash val="solid"/>
          </a:ln>
        </c:spPr>
        <c:txPr>
          <a:bodyPr rot="0" vert="horz"/>
          <a:lstStyle/>
          <a:p>
            <a:pPr>
              <a:defRPr lang="ro-RO"/>
            </a:pPr>
            <a:endParaRPr lang="ro-RO"/>
          </a:p>
        </c:txPr>
        <c:crossAx val="16710656"/>
        <c:crosses val="autoZero"/>
        <c:crossBetween val="between"/>
        <c:majorUnit val="0.25"/>
        <c:minorUnit val="0.25"/>
      </c:valAx>
      <c:spPr>
        <a:noFill/>
        <a:ln w="3175">
          <a:solidFill>
            <a:srgbClr val="000000"/>
          </a:solidFill>
          <a:prstDash val="solid"/>
        </a:ln>
      </c:spPr>
    </c:plotArea>
    <c:legend>
      <c:legendPos val="b"/>
      <c:layout>
        <c:manualLayout>
          <c:xMode val="edge"/>
          <c:yMode val="edge"/>
          <c:x val="1.1182277588435801E-2"/>
          <c:y val="0.79838693892077051"/>
          <c:w val="0.93183512110613953"/>
          <c:h val="0.19586857198405117"/>
        </c:manualLayout>
      </c:layout>
      <c:txPr>
        <a:bodyPr/>
        <a:lstStyle/>
        <a:p>
          <a:pPr>
            <a:defRPr lang="ro-RO"/>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lgn="l">
              <a:defRPr lang="ro-RO" sz="900"/>
            </a:pPr>
            <a:r>
              <a:rPr lang="ro-RO" sz="900"/>
              <a:t>Bq</a:t>
            </a:r>
            <a:r>
              <a:rPr lang="en-US" sz="900"/>
              <a:t>/m</a:t>
            </a:r>
            <a:r>
              <a:rPr lang="ro-RO" sz="900" baseline="30000"/>
              <a:t>3</a:t>
            </a:r>
          </a:p>
        </c:rich>
      </c:tx>
      <c:layout>
        <c:manualLayout>
          <c:xMode val="edge"/>
          <c:yMode val="edge"/>
          <c:x val="7.7490778768932969E-2"/>
          <c:y val="4.7683783116853982E-3"/>
        </c:manualLayout>
      </c:layout>
    </c:title>
    <c:plotArea>
      <c:layout>
        <c:manualLayout>
          <c:layoutTarget val="inner"/>
          <c:xMode val="edge"/>
          <c:yMode val="edge"/>
          <c:x val="0.12946576414791044"/>
          <c:y val="0.16835431004195342"/>
          <c:w val="0.81755491089929544"/>
          <c:h val="0.43656271312550388"/>
        </c:manualLayout>
      </c:layout>
      <c:barChart>
        <c:barDir val="col"/>
        <c:grouping val="clustered"/>
        <c:ser>
          <c:idx val="0"/>
          <c:order val="0"/>
          <c:tx>
            <c:strRef>
              <c:f>Sheet1!$A$2</c:f>
              <c:strCache>
                <c:ptCount val="1"/>
                <c:pt idx="0">
                  <c:v>Media lunară</c:v>
                </c:pt>
              </c:strCache>
            </c:strRef>
          </c:tx>
          <c:spPr>
            <a:solidFill>
              <a:srgbClr val="9999FF"/>
            </a:solidFill>
            <a:ln w="12700">
              <a:solidFill>
                <a:srgbClr val="000000"/>
              </a:solidFill>
              <a:prstDash val="solid"/>
            </a:ln>
          </c:spPr>
          <c:cat>
            <c:strRef>
              <c:f>Sheet1!$B$1:$C$1</c:f>
              <c:strCache>
                <c:ptCount val="2"/>
                <c:pt idx="0">
                  <c:v>decembrie</c:v>
                </c:pt>
                <c:pt idx="1">
                  <c:v>ianuarie</c:v>
                </c:pt>
              </c:strCache>
            </c:strRef>
          </c:cat>
          <c:val>
            <c:numRef>
              <c:f>Sheet1!$B$2:$C$2</c:f>
              <c:numCache>
                <c:formatCode>0.00</c:formatCode>
                <c:ptCount val="2"/>
                <c:pt idx="0">
                  <c:v>1.5</c:v>
                </c:pt>
                <c:pt idx="1">
                  <c:v>1.2</c:v>
                </c:pt>
              </c:numCache>
            </c:numRef>
          </c:val>
        </c:ser>
        <c:ser>
          <c:idx val="1"/>
          <c:order val="1"/>
          <c:tx>
            <c:strRef>
              <c:f>Sheet1!$A$3</c:f>
              <c:strCache>
                <c:ptCount val="1"/>
                <c:pt idx="0">
                  <c:v>Maxima lunară</c:v>
                </c:pt>
              </c:strCache>
            </c:strRef>
          </c:tx>
          <c:spPr>
            <a:solidFill>
              <a:srgbClr val="99CC00"/>
            </a:solidFill>
            <a:ln w="12700">
              <a:solidFill>
                <a:srgbClr val="000000"/>
              </a:solidFill>
              <a:prstDash val="solid"/>
            </a:ln>
          </c:spPr>
          <c:cat>
            <c:strRef>
              <c:f>Sheet1!$B$1:$C$1</c:f>
              <c:strCache>
                <c:ptCount val="2"/>
                <c:pt idx="0">
                  <c:v>decembrie</c:v>
                </c:pt>
                <c:pt idx="1">
                  <c:v>ianuarie</c:v>
                </c:pt>
              </c:strCache>
            </c:strRef>
          </c:cat>
          <c:val>
            <c:numRef>
              <c:f>Sheet1!$B$3:$C$3</c:f>
              <c:numCache>
                <c:formatCode>General</c:formatCode>
                <c:ptCount val="2"/>
                <c:pt idx="0">
                  <c:v>6.3</c:v>
                </c:pt>
                <c:pt idx="1">
                  <c:v>3.3</c:v>
                </c:pt>
              </c:numCache>
            </c:numRef>
          </c:val>
        </c:ser>
        <c:gapWidth val="399"/>
        <c:axId val="172840832"/>
        <c:axId val="172847104"/>
      </c:barChart>
      <c:lineChart>
        <c:grouping val="standard"/>
        <c:ser>
          <c:idx val="2"/>
          <c:order val="2"/>
          <c:tx>
            <c:strRef>
              <c:f>Sheet1!#REF!</c:f>
              <c:strCache>
                <c:ptCount val="1"/>
                <c:pt idx="0">
                  <c:v>#REF!</c:v>
                </c:pt>
              </c:strCache>
            </c:strRef>
          </c:tx>
          <c:spPr>
            <a:ln w="38101">
              <a:solidFill>
                <a:srgbClr val="FF0000"/>
              </a:solidFill>
              <a:prstDash val="solid"/>
            </a:ln>
          </c:spPr>
          <c:marker>
            <c:symbol val="square"/>
            <c:size val="5"/>
            <c:spPr>
              <a:noFill/>
              <a:ln w="9525">
                <a:noFill/>
              </a:ln>
            </c:spPr>
          </c:marker>
          <c:cat>
            <c:strRef>
              <c:f>Sheet1!$B$1:$C$1</c:f>
              <c:strCache>
                <c:ptCount val="2"/>
                <c:pt idx="0">
                  <c:v>decembrie</c:v>
                </c:pt>
                <c:pt idx="1">
                  <c:v>ianuarie</c:v>
                </c:pt>
              </c:strCache>
            </c:strRef>
          </c:cat>
          <c:val>
            <c:numRef>
              <c:f>Sheet1!#REF!</c:f>
              <c:numCache>
                <c:formatCode>General</c:formatCode>
                <c:ptCount val="1"/>
                <c:pt idx="0">
                  <c:v>1</c:v>
                </c:pt>
              </c:numCache>
            </c:numRef>
          </c:val>
        </c:ser>
        <c:marker val="1"/>
        <c:axId val="172840832"/>
        <c:axId val="172847104"/>
      </c:lineChart>
      <c:catAx>
        <c:axId val="172840832"/>
        <c:scaling>
          <c:orientation val="minMax"/>
        </c:scaling>
        <c:axPos val="b"/>
        <c:numFmt formatCode="mmm\/yy" sourceLinked="1"/>
        <c:majorTickMark val="none"/>
        <c:tickLblPos val="nextTo"/>
        <c:spPr>
          <a:ln w="3175">
            <a:solidFill>
              <a:srgbClr val="000000"/>
            </a:solidFill>
            <a:prstDash val="solid"/>
          </a:ln>
        </c:spPr>
        <c:txPr>
          <a:bodyPr rot="0" vert="horz"/>
          <a:lstStyle/>
          <a:p>
            <a:pPr>
              <a:defRPr lang="ro-RO"/>
            </a:pPr>
            <a:endParaRPr lang="ro-RO"/>
          </a:p>
        </c:txPr>
        <c:crossAx val="172847104"/>
        <c:crosses val="autoZero"/>
        <c:auto val="1"/>
        <c:lblAlgn val="ctr"/>
        <c:lblOffset val="100"/>
        <c:tickLblSkip val="1"/>
        <c:tickMarkSkip val="1"/>
      </c:catAx>
      <c:valAx>
        <c:axId val="172847104"/>
        <c:scaling>
          <c:orientation val="minMax"/>
          <c:max val="12"/>
          <c:min val="0"/>
        </c:scaling>
        <c:axPos val="l"/>
        <c:majorGridlines>
          <c:spPr>
            <a:ln w="3175">
              <a:solidFill>
                <a:srgbClr val="000000"/>
              </a:solidFill>
              <a:prstDash val="solid"/>
            </a:ln>
          </c:spPr>
        </c:majorGridlines>
        <c:numFmt formatCode="0" sourceLinked="0"/>
        <c:majorTickMark val="none"/>
        <c:tickLblPos val="nextTo"/>
        <c:spPr>
          <a:ln w="3175">
            <a:solidFill>
              <a:srgbClr val="000000"/>
            </a:solidFill>
            <a:prstDash val="solid"/>
          </a:ln>
        </c:spPr>
        <c:txPr>
          <a:bodyPr rot="0" vert="horz"/>
          <a:lstStyle/>
          <a:p>
            <a:pPr>
              <a:defRPr lang="ro-RO"/>
            </a:pPr>
            <a:endParaRPr lang="ro-RO"/>
          </a:p>
        </c:txPr>
        <c:crossAx val="172840832"/>
        <c:crosses val="autoZero"/>
        <c:crossBetween val="between"/>
        <c:majorUnit val="4"/>
      </c:valAx>
      <c:spPr>
        <a:noFill/>
        <a:ln w="3175">
          <a:solidFill>
            <a:srgbClr val="000000"/>
          </a:solidFill>
          <a:prstDash val="solid"/>
        </a:ln>
      </c:spPr>
    </c:plotArea>
    <c:legend>
      <c:legendPos val="b"/>
      <c:legendEntry>
        <c:idx val="2"/>
        <c:delete val="1"/>
      </c:legendEntry>
      <c:layout>
        <c:manualLayout>
          <c:xMode val="edge"/>
          <c:yMode val="edge"/>
          <c:x val="1.4246051362197703E-2"/>
          <c:y val="0.80196429674470304"/>
          <c:w val="0.98000033435311062"/>
          <c:h val="0.11753424576946722"/>
        </c:manualLayout>
      </c:layout>
      <c:txPr>
        <a:bodyPr/>
        <a:lstStyle/>
        <a:p>
          <a:pPr>
            <a:defRPr lang="ro-RO"/>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ro-RO" sz="900"/>
            </a:pPr>
            <a:r>
              <a:rPr lang="en-US" sz="900"/>
              <a:t>Bq/m</a:t>
            </a:r>
            <a:r>
              <a:rPr lang="ro-RO" sz="900" baseline="30000"/>
              <a:t>3</a:t>
            </a:r>
          </a:p>
        </c:rich>
      </c:tx>
      <c:layout>
        <c:manualLayout>
          <c:xMode val="edge"/>
          <c:yMode val="edge"/>
          <c:x val="4.5468006154403134E-2"/>
          <c:y val="1.0350416724225259E-2"/>
        </c:manualLayout>
      </c:layout>
    </c:title>
    <c:plotArea>
      <c:layout>
        <c:manualLayout>
          <c:layoutTarget val="inner"/>
          <c:xMode val="edge"/>
          <c:yMode val="edge"/>
          <c:x val="9.8173652287336724E-2"/>
          <c:y val="0.16970750656167979"/>
          <c:w val="0.85031847133757965"/>
          <c:h val="0.43232755905511838"/>
        </c:manualLayout>
      </c:layout>
      <c:barChart>
        <c:barDir val="col"/>
        <c:grouping val="clustered"/>
        <c:ser>
          <c:idx val="0"/>
          <c:order val="0"/>
          <c:tx>
            <c:strRef>
              <c:f>Sheet1!$A$2</c:f>
              <c:strCache>
                <c:ptCount val="1"/>
                <c:pt idx="0">
                  <c:v>Media lunară</c:v>
                </c:pt>
              </c:strCache>
            </c:strRef>
          </c:tx>
          <c:spPr>
            <a:solidFill>
              <a:srgbClr val="9999FF"/>
            </a:solidFill>
            <a:ln w="12700">
              <a:solidFill>
                <a:srgbClr val="000000"/>
              </a:solidFill>
              <a:prstDash val="solid"/>
            </a:ln>
          </c:spPr>
          <c:cat>
            <c:strRef>
              <c:f>Sheet1!$B$1:$C$1</c:f>
              <c:strCache>
                <c:ptCount val="2"/>
                <c:pt idx="0">
                  <c:v>decembrie</c:v>
                </c:pt>
                <c:pt idx="1">
                  <c:v>ianuarie</c:v>
                </c:pt>
              </c:strCache>
            </c:strRef>
          </c:cat>
          <c:val>
            <c:numRef>
              <c:f>Sheet1!$B$2:$C$2</c:f>
              <c:numCache>
                <c:formatCode>0.0</c:formatCode>
                <c:ptCount val="2"/>
                <c:pt idx="0">
                  <c:v>1.7</c:v>
                </c:pt>
                <c:pt idx="1">
                  <c:v>1.4</c:v>
                </c:pt>
              </c:numCache>
            </c:numRef>
          </c:val>
        </c:ser>
        <c:ser>
          <c:idx val="1"/>
          <c:order val="1"/>
          <c:tx>
            <c:strRef>
              <c:f>Sheet1!$A$3</c:f>
              <c:strCache>
                <c:ptCount val="1"/>
                <c:pt idx="0">
                  <c:v>Maxima lunară</c:v>
                </c:pt>
              </c:strCache>
            </c:strRef>
          </c:tx>
          <c:spPr>
            <a:solidFill>
              <a:srgbClr val="99CC00"/>
            </a:solidFill>
            <a:ln w="12700">
              <a:solidFill>
                <a:srgbClr val="000000"/>
              </a:solidFill>
              <a:prstDash val="solid"/>
            </a:ln>
          </c:spPr>
          <c:cat>
            <c:strRef>
              <c:f>Sheet1!$B$1:$C$1</c:f>
              <c:strCache>
                <c:ptCount val="2"/>
                <c:pt idx="0">
                  <c:v>decembrie</c:v>
                </c:pt>
                <c:pt idx="1">
                  <c:v>ianuarie</c:v>
                </c:pt>
              </c:strCache>
            </c:strRef>
          </c:cat>
          <c:val>
            <c:numRef>
              <c:f>Sheet1!$B$3:$C$3</c:f>
              <c:numCache>
                <c:formatCode>General</c:formatCode>
                <c:ptCount val="2"/>
                <c:pt idx="0">
                  <c:v>5</c:v>
                </c:pt>
                <c:pt idx="1">
                  <c:v>3.4</c:v>
                </c:pt>
              </c:numCache>
            </c:numRef>
          </c:val>
        </c:ser>
        <c:gapWidth val="401"/>
        <c:axId val="172877312"/>
        <c:axId val="172879232"/>
      </c:barChart>
      <c:lineChart>
        <c:grouping val="standard"/>
        <c:ser>
          <c:idx val="2"/>
          <c:order val="2"/>
          <c:tx>
            <c:strRef>
              <c:f>Sheet1!#REF!</c:f>
              <c:strCache>
                <c:ptCount val="1"/>
                <c:pt idx="0">
                  <c:v>#REF!</c:v>
                </c:pt>
              </c:strCache>
            </c:strRef>
          </c:tx>
          <c:spPr>
            <a:ln w="38101">
              <a:solidFill>
                <a:srgbClr val="FF0000"/>
              </a:solidFill>
              <a:prstDash val="solid"/>
            </a:ln>
          </c:spPr>
          <c:marker>
            <c:symbol val="square"/>
            <c:size val="5"/>
            <c:spPr>
              <a:noFill/>
              <a:ln w="9525">
                <a:noFill/>
              </a:ln>
            </c:spPr>
          </c:marker>
          <c:cat>
            <c:strRef>
              <c:f>Sheet1!$B$1:$C$1</c:f>
              <c:strCache>
                <c:ptCount val="2"/>
                <c:pt idx="0">
                  <c:v>decembrie</c:v>
                </c:pt>
                <c:pt idx="1">
                  <c:v>ianuarie</c:v>
                </c:pt>
              </c:strCache>
            </c:strRef>
          </c:cat>
          <c:val>
            <c:numRef>
              <c:f>Sheet1!#REF!</c:f>
              <c:numCache>
                <c:formatCode>General</c:formatCode>
                <c:ptCount val="1"/>
                <c:pt idx="0">
                  <c:v>1</c:v>
                </c:pt>
              </c:numCache>
            </c:numRef>
          </c:val>
        </c:ser>
        <c:marker val="1"/>
        <c:axId val="172877312"/>
        <c:axId val="172879232"/>
      </c:lineChart>
      <c:catAx>
        <c:axId val="172877312"/>
        <c:scaling>
          <c:orientation val="minMax"/>
        </c:scaling>
        <c:axPos val="b"/>
        <c:numFmt formatCode="General" sourceLinked="1"/>
        <c:majorTickMark val="none"/>
        <c:tickLblPos val="nextTo"/>
        <c:spPr>
          <a:ln w="3175">
            <a:solidFill>
              <a:srgbClr val="000000"/>
            </a:solidFill>
            <a:prstDash val="solid"/>
          </a:ln>
        </c:spPr>
        <c:txPr>
          <a:bodyPr rot="0" vert="horz"/>
          <a:lstStyle/>
          <a:p>
            <a:pPr>
              <a:defRPr lang="ro-RO"/>
            </a:pPr>
            <a:endParaRPr lang="ro-RO"/>
          </a:p>
        </c:txPr>
        <c:crossAx val="172879232"/>
        <c:crosses val="autoZero"/>
        <c:auto val="1"/>
        <c:lblAlgn val="ctr"/>
        <c:lblOffset val="100"/>
        <c:tickLblSkip val="1"/>
        <c:tickMarkSkip val="1"/>
      </c:catAx>
      <c:valAx>
        <c:axId val="172879232"/>
        <c:scaling>
          <c:orientation val="minMax"/>
          <c:max val="12"/>
          <c:min val="0"/>
        </c:scaling>
        <c:axPos val="l"/>
        <c:majorGridlines>
          <c:spPr>
            <a:ln w="3175">
              <a:solidFill>
                <a:srgbClr val="000000"/>
              </a:solidFill>
              <a:prstDash val="solid"/>
            </a:ln>
          </c:spPr>
        </c:majorGridlines>
        <c:numFmt formatCode="0" sourceLinked="0"/>
        <c:majorTickMark val="none"/>
        <c:tickLblPos val="nextTo"/>
        <c:spPr>
          <a:ln w="3175">
            <a:solidFill>
              <a:srgbClr val="000000"/>
            </a:solidFill>
            <a:prstDash val="solid"/>
          </a:ln>
        </c:spPr>
        <c:txPr>
          <a:bodyPr rot="0" vert="horz"/>
          <a:lstStyle/>
          <a:p>
            <a:pPr>
              <a:defRPr lang="ro-RO"/>
            </a:pPr>
            <a:endParaRPr lang="ro-RO"/>
          </a:p>
        </c:txPr>
        <c:crossAx val="172877312"/>
        <c:crosses val="autoZero"/>
        <c:crossBetween val="between"/>
        <c:majorUnit val="4"/>
      </c:valAx>
      <c:spPr>
        <a:noFill/>
        <a:ln w="3175">
          <a:solidFill>
            <a:srgbClr val="000000"/>
          </a:solidFill>
          <a:prstDash val="solid"/>
        </a:ln>
      </c:spPr>
    </c:plotArea>
    <c:legend>
      <c:legendPos val="b"/>
      <c:legendEntry>
        <c:idx val="2"/>
        <c:delete val="1"/>
      </c:legendEntry>
      <c:layout>
        <c:manualLayout>
          <c:xMode val="edge"/>
          <c:yMode val="edge"/>
          <c:x val="0"/>
          <c:y val="0.78883518870485958"/>
          <c:w val="1"/>
          <c:h val="0.18120282378495792"/>
        </c:manualLayout>
      </c:layout>
      <c:txPr>
        <a:bodyPr/>
        <a:lstStyle/>
        <a:p>
          <a:pPr>
            <a:defRPr lang="ro-RO"/>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ro-RO" sz="900"/>
            </a:pPr>
            <a:r>
              <a:rPr lang="en-US" sz="900"/>
              <a:t>Bq/m</a:t>
            </a:r>
            <a:r>
              <a:rPr lang="ro-RO" sz="900" baseline="30000"/>
              <a:t>3</a:t>
            </a:r>
          </a:p>
        </c:rich>
      </c:tx>
      <c:layout>
        <c:manualLayout>
          <c:xMode val="edge"/>
          <c:yMode val="edge"/>
          <c:x val="3.0856959065111202E-4"/>
          <c:y val="5.5758186196874062E-3"/>
        </c:manualLayout>
      </c:layout>
    </c:title>
    <c:plotArea>
      <c:layout>
        <c:manualLayout>
          <c:layoutTarget val="inner"/>
          <c:xMode val="edge"/>
          <c:yMode val="edge"/>
          <c:x val="0.10756122900269779"/>
          <c:y val="0.1913347520692367"/>
          <c:w val="0.84984025559124265"/>
          <c:h val="0.46472822715342432"/>
        </c:manualLayout>
      </c:layout>
      <c:barChart>
        <c:barDir val="col"/>
        <c:grouping val="clustered"/>
        <c:ser>
          <c:idx val="0"/>
          <c:order val="0"/>
          <c:tx>
            <c:strRef>
              <c:f>Sheet1!$A$2</c:f>
              <c:strCache>
                <c:ptCount val="1"/>
                <c:pt idx="0">
                  <c:v>Media lunară</c:v>
                </c:pt>
              </c:strCache>
            </c:strRef>
          </c:tx>
          <c:spPr>
            <a:solidFill>
              <a:srgbClr val="9999FF"/>
            </a:solidFill>
            <a:ln w="12700">
              <a:solidFill>
                <a:srgbClr val="000000"/>
              </a:solidFill>
              <a:prstDash val="solid"/>
            </a:ln>
          </c:spPr>
          <c:cat>
            <c:strRef>
              <c:f>Sheet1!$B$1:$C$1</c:f>
              <c:strCache>
                <c:ptCount val="2"/>
                <c:pt idx="0">
                  <c:v>decembrie</c:v>
                </c:pt>
                <c:pt idx="1">
                  <c:v>ianuarie</c:v>
                </c:pt>
              </c:strCache>
            </c:strRef>
          </c:cat>
          <c:val>
            <c:numRef>
              <c:f>Sheet1!$B$2:$C$2</c:f>
              <c:numCache>
                <c:formatCode>0.0</c:formatCode>
                <c:ptCount val="2"/>
                <c:pt idx="0">
                  <c:v>4.3</c:v>
                </c:pt>
                <c:pt idx="1">
                  <c:v>3.5</c:v>
                </c:pt>
              </c:numCache>
            </c:numRef>
          </c:val>
        </c:ser>
        <c:ser>
          <c:idx val="1"/>
          <c:order val="1"/>
          <c:tx>
            <c:strRef>
              <c:f>Sheet1!$A$3</c:f>
              <c:strCache>
                <c:ptCount val="1"/>
                <c:pt idx="0">
                  <c:v>Maxima lunară</c:v>
                </c:pt>
              </c:strCache>
            </c:strRef>
          </c:tx>
          <c:spPr>
            <a:solidFill>
              <a:srgbClr val="99CC00"/>
            </a:solidFill>
            <a:ln w="12700">
              <a:solidFill>
                <a:srgbClr val="000000"/>
              </a:solidFill>
              <a:prstDash val="solid"/>
            </a:ln>
          </c:spPr>
          <c:cat>
            <c:strRef>
              <c:f>Sheet1!$B$1:$C$1</c:f>
              <c:strCache>
                <c:ptCount val="2"/>
                <c:pt idx="0">
                  <c:v>decembrie</c:v>
                </c:pt>
                <c:pt idx="1">
                  <c:v>ianuarie</c:v>
                </c:pt>
              </c:strCache>
            </c:strRef>
          </c:cat>
          <c:val>
            <c:numRef>
              <c:f>Sheet1!$B$3:$C$3</c:f>
              <c:numCache>
                <c:formatCode>0.0</c:formatCode>
                <c:ptCount val="2"/>
                <c:pt idx="0">
                  <c:v>19.600000000000001</c:v>
                </c:pt>
                <c:pt idx="1">
                  <c:v>10.1</c:v>
                </c:pt>
              </c:numCache>
            </c:numRef>
          </c:val>
        </c:ser>
        <c:gapWidth val="401"/>
        <c:axId val="172810624"/>
        <c:axId val="172812160"/>
      </c:barChart>
      <c:catAx>
        <c:axId val="172810624"/>
        <c:scaling>
          <c:orientation val="minMax"/>
        </c:scaling>
        <c:axPos val="b"/>
        <c:numFmt formatCode="General" sourceLinked="1"/>
        <c:majorTickMark val="none"/>
        <c:tickLblPos val="nextTo"/>
        <c:spPr>
          <a:ln w="3175">
            <a:solidFill>
              <a:srgbClr val="000000"/>
            </a:solidFill>
            <a:prstDash val="solid"/>
          </a:ln>
        </c:spPr>
        <c:txPr>
          <a:bodyPr rot="0" vert="horz"/>
          <a:lstStyle/>
          <a:p>
            <a:pPr>
              <a:defRPr lang="ro-RO"/>
            </a:pPr>
            <a:endParaRPr lang="ro-RO"/>
          </a:p>
        </c:txPr>
        <c:crossAx val="172812160"/>
        <c:crosses val="autoZero"/>
        <c:auto val="1"/>
        <c:lblAlgn val="ctr"/>
        <c:lblOffset val="100"/>
        <c:tickLblSkip val="1"/>
        <c:tickMarkSkip val="1"/>
      </c:catAx>
      <c:valAx>
        <c:axId val="172812160"/>
        <c:scaling>
          <c:orientation val="minMax"/>
          <c:max val="25"/>
          <c:min val="0"/>
        </c:scaling>
        <c:axPos val="l"/>
        <c:majorGridlines>
          <c:spPr>
            <a:ln w="3175">
              <a:solidFill>
                <a:srgbClr val="000000"/>
              </a:solidFill>
              <a:prstDash val="solid"/>
            </a:ln>
          </c:spPr>
        </c:majorGridlines>
        <c:numFmt formatCode="General" sourceLinked="0"/>
        <c:majorTickMark val="none"/>
        <c:tickLblPos val="nextTo"/>
        <c:spPr>
          <a:ln w="3175">
            <a:solidFill>
              <a:srgbClr val="000000"/>
            </a:solidFill>
            <a:prstDash val="solid"/>
          </a:ln>
        </c:spPr>
        <c:txPr>
          <a:bodyPr rot="0" vert="horz"/>
          <a:lstStyle/>
          <a:p>
            <a:pPr>
              <a:defRPr lang="ro-RO"/>
            </a:pPr>
            <a:endParaRPr lang="ro-RO"/>
          </a:p>
        </c:txPr>
        <c:crossAx val="172810624"/>
        <c:crosses val="autoZero"/>
        <c:crossBetween val="between"/>
        <c:majorUnit val="5"/>
        <c:minorUnit val="5"/>
      </c:valAx>
      <c:spPr>
        <a:solidFill>
          <a:srgbClr val="FFFFFF"/>
        </a:solidFill>
        <a:ln w="12700">
          <a:solidFill>
            <a:srgbClr val="000000"/>
          </a:solidFill>
          <a:prstDash val="solid"/>
        </a:ln>
      </c:spPr>
    </c:plotArea>
    <c:legend>
      <c:legendPos val="b"/>
      <c:layout>
        <c:manualLayout>
          <c:xMode val="edge"/>
          <c:yMode val="edge"/>
          <c:x val="0.16690901050008194"/>
          <c:y val="0.85591903284825765"/>
          <c:w val="0.70022145982564643"/>
          <c:h val="0.14408096715183341"/>
        </c:manualLayout>
      </c:layout>
      <c:txPr>
        <a:bodyPr/>
        <a:lstStyle/>
        <a:p>
          <a:pPr>
            <a:defRPr lang="ro-RO"/>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ro-RO" sz="900"/>
            </a:pPr>
            <a:r>
              <a:rPr lang="en-US" sz="900"/>
              <a:t>Bq/m</a:t>
            </a:r>
            <a:r>
              <a:rPr lang="ro-RO" sz="900" baseline="30000"/>
              <a:t>3</a:t>
            </a:r>
          </a:p>
        </c:rich>
      </c:tx>
      <c:layout>
        <c:manualLayout>
          <c:xMode val="edge"/>
          <c:yMode val="edge"/>
          <c:x val="1.9750420419012867E-2"/>
          <c:y val="0"/>
        </c:manualLayout>
      </c:layout>
    </c:title>
    <c:plotArea>
      <c:layout>
        <c:manualLayout>
          <c:layoutTarget val="inner"/>
          <c:xMode val="edge"/>
          <c:yMode val="edge"/>
          <c:x val="9.2814371257485026E-2"/>
          <c:y val="0.16416905830696393"/>
          <c:w val="0.85928143712576865"/>
          <c:h val="0.47724384919174828"/>
        </c:manualLayout>
      </c:layout>
      <c:barChart>
        <c:barDir val="col"/>
        <c:grouping val="clustered"/>
        <c:ser>
          <c:idx val="0"/>
          <c:order val="0"/>
          <c:tx>
            <c:strRef>
              <c:f>Sheet1!$A$2</c:f>
              <c:strCache>
                <c:ptCount val="1"/>
                <c:pt idx="0">
                  <c:v>Media lunară</c:v>
                </c:pt>
              </c:strCache>
            </c:strRef>
          </c:tx>
          <c:spPr>
            <a:solidFill>
              <a:srgbClr val="9999FF"/>
            </a:solidFill>
            <a:ln w="12699">
              <a:solidFill>
                <a:srgbClr val="000000"/>
              </a:solidFill>
              <a:prstDash val="solid"/>
            </a:ln>
          </c:spPr>
          <c:cat>
            <c:strRef>
              <c:f>Sheet1!$B$1:$C$1</c:f>
              <c:strCache>
                <c:ptCount val="2"/>
                <c:pt idx="0">
                  <c:v>decembrie</c:v>
                </c:pt>
                <c:pt idx="1">
                  <c:v>ianuarie</c:v>
                </c:pt>
              </c:strCache>
            </c:strRef>
          </c:cat>
          <c:val>
            <c:numRef>
              <c:f>Sheet1!$B$2:$C$2</c:f>
              <c:numCache>
                <c:formatCode>0.0</c:formatCode>
                <c:ptCount val="2"/>
                <c:pt idx="0">
                  <c:v>5</c:v>
                </c:pt>
                <c:pt idx="1">
                  <c:v>4.2</c:v>
                </c:pt>
              </c:numCache>
            </c:numRef>
          </c:val>
        </c:ser>
        <c:ser>
          <c:idx val="1"/>
          <c:order val="1"/>
          <c:tx>
            <c:strRef>
              <c:f>Sheet1!$A$3</c:f>
              <c:strCache>
                <c:ptCount val="1"/>
                <c:pt idx="0">
                  <c:v>Maxima lunară</c:v>
                </c:pt>
              </c:strCache>
            </c:strRef>
          </c:tx>
          <c:spPr>
            <a:solidFill>
              <a:srgbClr val="99CC00"/>
            </a:solidFill>
            <a:ln w="12699">
              <a:solidFill>
                <a:srgbClr val="000000"/>
              </a:solidFill>
              <a:prstDash val="solid"/>
            </a:ln>
          </c:spPr>
          <c:cat>
            <c:strRef>
              <c:f>Sheet1!$B$1:$C$1</c:f>
              <c:strCache>
                <c:ptCount val="2"/>
                <c:pt idx="0">
                  <c:v>decembrie</c:v>
                </c:pt>
                <c:pt idx="1">
                  <c:v>ianuarie</c:v>
                </c:pt>
              </c:strCache>
            </c:strRef>
          </c:cat>
          <c:val>
            <c:numRef>
              <c:f>Sheet1!$B$3:$C$3</c:f>
              <c:numCache>
                <c:formatCode>0.0</c:formatCode>
                <c:ptCount val="2"/>
                <c:pt idx="0">
                  <c:v>15.8</c:v>
                </c:pt>
                <c:pt idx="1">
                  <c:v>10.3</c:v>
                </c:pt>
              </c:numCache>
            </c:numRef>
          </c:val>
        </c:ser>
        <c:gapWidth val="400"/>
        <c:axId val="172919040"/>
        <c:axId val="172924928"/>
      </c:barChart>
      <c:catAx>
        <c:axId val="172919040"/>
        <c:scaling>
          <c:orientation val="minMax"/>
        </c:scaling>
        <c:axPos val="b"/>
        <c:numFmt formatCode="General" sourceLinked="1"/>
        <c:majorTickMark val="none"/>
        <c:tickLblPos val="nextTo"/>
        <c:spPr>
          <a:ln w="3175">
            <a:solidFill>
              <a:srgbClr val="000000"/>
            </a:solidFill>
            <a:prstDash val="solid"/>
          </a:ln>
        </c:spPr>
        <c:txPr>
          <a:bodyPr rot="0" vert="horz"/>
          <a:lstStyle/>
          <a:p>
            <a:pPr>
              <a:defRPr lang="ro-RO"/>
            </a:pPr>
            <a:endParaRPr lang="ro-RO"/>
          </a:p>
        </c:txPr>
        <c:crossAx val="172924928"/>
        <c:crosses val="autoZero"/>
        <c:auto val="1"/>
        <c:lblAlgn val="ctr"/>
        <c:lblOffset val="100"/>
        <c:tickLblSkip val="1"/>
        <c:tickMarkSkip val="1"/>
      </c:catAx>
      <c:valAx>
        <c:axId val="172924928"/>
        <c:scaling>
          <c:orientation val="minMax"/>
          <c:max val="25"/>
          <c:min val="0"/>
        </c:scaling>
        <c:axPos val="l"/>
        <c:majorGridlines>
          <c:spPr>
            <a:ln w="3175">
              <a:solidFill>
                <a:srgbClr val="000000"/>
              </a:solidFill>
              <a:prstDash val="solid"/>
            </a:ln>
          </c:spPr>
        </c:majorGridlines>
        <c:numFmt formatCode="General" sourceLinked="0"/>
        <c:majorTickMark val="none"/>
        <c:tickLblPos val="nextTo"/>
        <c:spPr>
          <a:ln w="3175">
            <a:solidFill>
              <a:srgbClr val="000000"/>
            </a:solidFill>
            <a:prstDash val="solid"/>
          </a:ln>
        </c:spPr>
        <c:txPr>
          <a:bodyPr rot="0" vert="horz"/>
          <a:lstStyle/>
          <a:p>
            <a:pPr>
              <a:defRPr lang="ro-RO"/>
            </a:pPr>
            <a:endParaRPr lang="ro-RO"/>
          </a:p>
        </c:txPr>
        <c:crossAx val="172919040"/>
        <c:crosses val="autoZero"/>
        <c:crossBetween val="between"/>
        <c:majorUnit val="5"/>
        <c:minorUnit val="5"/>
      </c:valAx>
      <c:spPr>
        <a:solidFill>
          <a:srgbClr val="FFFFFF"/>
        </a:solidFill>
        <a:ln w="3175">
          <a:solidFill>
            <a:srgbClr val="000000"/>
          </a:solidFill>
          <a:prstDash val="solid"/>
        </a:ln>
      </c:spPr>
    </c:plotArea>
    <c:legend>
      <c:legendPos val="b"/>
      <c:layout>
        <c:manualLayout>
          <c:xMode val="edge"/>
          <c:yMode val="edge"/>
          <c:x val="0.17335262998110787"/>
          <c:y val="0.84300854552725057"/>
          <c:w val="0.71323204791708728"/>
          <c:h val="0.14956211369760194"/>
        </c:manualLayout>
      </c:layout>
      <c:txPr>
        <a:bodyPr/>
        <a:lstStyle/>
        <a:p>
          <a:pPr>
            <a:defRPr lang="ro-RO"/>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ro-RO" sz="900"/>
            </a:pPr>
            <a:r>
              <a:rPr lang="en-US" sz="900"/>
              <a:t>Bq/m</a:t>
            </a:r>
            <a:r>
              <a:rPr lang="ro-RO" sz="900" baseline="30000"/>
              <a:t>3</a:t>
            </a:r>
          </a:p>
        </c:rich>
      </c:tx>
      <c:layout>
        <c:manualLayout>
          <c:xMode val="edge"/>
          <c:yMode val="edge"/>
          <c:x val="4.2562951758682133E-2"/>
          <c:y val="5.0448929505354486E-3"/>
        </c:manualLayout>
      </c:layout>
    </c:title>
    <c:plotArea>
      <c:layout>
        <c:manualLayout>
          <c:layoutTarget val="inner"/>
          <c:xMode val="edge"/>
          <c:yMode val="edge"/>
          <c:x val="0.10521146021795819"/>
          <c:y val="0.18951316569300194"/>
          <c:w val="0.82563412583133156"/>
          <c:h val="0.47418189231202462"/>
        </c:manualLayout>
      </c:layout>
      <c:barChart>
        <c:barDir val="col"/>
        <c:grouping val="clustered"/>
        <c:ser>
          <c:idx val="0"/>
          <c:order val="0"/>
          <c:tx>
            <c:strRef>
              <c:f>Sheet1!$A$2</c:f>
              <c:strCache>
                <c:ptCount val="1"/>
                <c:pt idx="0">
                  <c:v>Media lunară</c:v>
                </c:pt>
              </c:strCache>
            </c:strRef>
          </c:tx>
          <c:spPr>
            <a:solidFill>
              <a:srgbClr val="9999FF"/>
            </a:solidFill>
            <a:ln w="12700">
              <a:solidFill>
                <a:srgbClr val="000000"/>
              </a:solidFill>
              <a:prstDash val="solid"/>
            </a:ln>
          </c:spPr>
          <c:cat>
            <c:strRef>
              <c:f>Sheet1!$B$1:$C$1</c:f>
              <c:strCache>
                <c:ptCount val="2"/>
                <c:pt idx="0">
                  <c:v>decembrie</c:v>
                </c:pt>
                <c:pt idx="1">
                  <c:v>ianuarie</c:v>
                </c:pt>
              </c:strCache>
            </c:strRef>
          </c:cat>
          <c:val>
            <c:numRef>
              <c:f>Sheet1!$B$2:$C$2</c:f>
              <c:numCache>
                <c:formatCode>0.00</c:formatCode>
                <c:ptCount val="2"/>
                <c:pt idx="0">
                  <c:v>0.11</c:v>
                </c:pt>
                <c:pt idx="1">
                  <c:v>8.0000000000000043E-2</c:v>
                </c:pt>
              </c:numCache>
            </c:numRef>
          </c:val>
        </c:ser>
        <c:ser>
          <c:idx val="1"/>
          <c:order val="1"/>
          <c:tx>
            <c:strRef>
              <c:f>Sheet1!$A$3</c:f>
              <c:strCache>
                <c:ptCount val="1"/>
                <c:pt idx="0">
                  <c:v>Maxima lunară</c:v>
                </c:pt>
              </c:strCache>
            </c:strRef>
          </c:tx>
          <c:spPr>
            <a:solidFill>
              <a:srgbClr val="99CC00"/>
            </a:solidFill>
            <a:ln w="12700">
              <a:solidFill>
                <a:srgbClr val="000000"/>
              </a:solidFill>
              <a:prstDash val="solid"/>
            </a:ln>
          </c:spPr>
          <c:cat>
            <c:strRef>
              <c:f>Sheet1!$B$1:$C$1</c:f>
              <c:strCache>
                <c:ptCount val="2"/>
                <c:pt idx="0">
                  <c:v>decembrie</c:v>
                </c:pt>
                <c:pt idx="1">
                  <c:v>ianuarie</c:v>
                </c:pt>
              </c:strCache>
            </c:strRef>
          </c:cat>
          <c:val>
            <c:numRef>
              <c:f>Sheet1!$B$3:$C$3</c:f>
              <c:numCache>
                <c:formatCode>0.00</c:formatCode>
                <c:ptCount val="2"/>
                <c:pt idx="0">
                  <c:v>0.5</c:v>
                </c:pt>
                <c:pt idx="1">
                  <c:v>0.31000000000000066</c:v>
                </c:pt>
              </c:numCache>
            </c:numRef>
          </c:val>
        </c:ser>
        <c:gapWidth val="402"/>
        <c:axId val="172953984"/>
        <c:axId val="172955520"/>
      </c:barChart>
      <c:catAx>
        <c:axId val="172953984"/>
        <c:scaling>
          <c:orientation val="minMax"/>
        </c:scaling>
        <c:axPos val="b"/>
        <c:numFmt formatCode="General" sourceLinked="1"/>
        <c:majorTickMark val="none"/>
        <c:tickLblPos val="nextTo"/>
        <c:spPr>
          <a:ln w="3175">
            <a:solidFill>
              <a:srgbClr val="000000"/>
            </a:solidFill>
            <a:prstDash val="solid"/>
          </a:ln>
        </c:spPr>
        <c:txPr>
          <a:bodyPr rot="0" vert="horz"/>
          <a:lstStyle/>
          <a:p>
            <a:pPr>
              <a:defRPr lang="ro-RO"/>
            </a:pPr>
            <a:endParaRPr lang="ro-RO"/>
          </a:p>
        </c:txPr>
        <c:crossAx val="172955520"/>
        <c:crosses val="autoZero"/>
        <c:auto val="1"/>
        <c:lblAlgn val="ctr"/>
        <c:lblOffset val="100"/>
        <c:tickLblSkip val="1"/>
        <c:tickMarkSkip val="1"/>
      </c:catAx>
      <c:valAx>
        <c:axId val="172955520"/>
        <c:scaling>
          <c:orientation val="minMax"/>
          <c:max val="1"/>
          <c:min val="0"/>
        </c:scaling>
        <c:axPos val="l"/>
        <c:majorGridlines>
          <c:spPr>
            <a:ln>
              <a:solidFill>
                <a:srgbClr val="000000"/>
              </a:solidFill>
            </a:ln>
          </c:spPr>
        </c:majorGridlines>
        <c:numFmt formatCode="0.0" sourceLinked="0"/>
        <c:majorTickMark val="none"/>
        <c:tickLblPos val="nextTo"/>
        <c:spPr>
          <a:ln w="3175">
            <a:solidFill>
              <a:srgbClr val="000000"/>
            </a:solidFill>
            <a:prstDash val="solid"/>
          </a:ln>
        </c:spPr>
        <c:txPr>
          <a:bodyPr rot="0" vert="horz"/>
          <a:lstStyle/>
          <a:p>
            <a:pPr>
              <a:defRPr lang="ro-RO"/>
            </a:pPr>
            <a:endParaRPr lang="ro-RO"/>
          </a:p>
        </c:txPr>
        <c:crossAx val="172953984"/>
        <c:crosses val="autoZero"/>
        <c:crossBetween val="between"/>
        <c:majorUnit val="0.25"/>
        <c:minorUnit val="0.25"/>
      </c:valAx>
      <c:spPr>
        <a:solidFill>
          <a:srgbClr val="FFFFFF"/>
        </a:solidFill>
        <a:ln w="3175">
          <a:solidFill>
            <a:srgbClr val="000000"/>
          </a:solidFill>
          <a:prstDash val="solid"/>
        </a:ln>
      </c:spPr>
    </c:plotArea>
    <c:legend>
      <c:legendPos val="b"/>
      <c:layout>
        <c:manualLayout>
          <c:xMode val="edge"/>
          <c:yMode val="edge"/>
          <c:x val="0.14944735899817999"/>
          <c:y val="0.86348107455266854"/>
          <c:w val="0.73426732999373556"/>
          <c:h val="0.13651892544735394"/>
        </c:manualLayout>
      </c:layout>
      <c:txPr>
        <a:bodyPr/>
        <a:lstStyle/>
        <a:p>
          <a:pPr>
            <a:defRPr lang="ro-RO"/>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ro-RO" sz="900"/>
            </a:pPr>
            <a:r>
              <a:rPr lang="en-US" sz="900"/>
              <a:t>Bq/m</a:t>
            </a:r>
            <a:r>
              <a:rPr lang="ro-RO" sz="900" baseline="30000"/>
              <a:t>3</a:t>
            </a:r>
          </a:p>
        </c:rich>
      </c:tx>
      <c:layout>
        <c:manualLayout>
          <c:xMode val="edge"/>
          <c:yMode val="edge"/>
          <c:x val="6.5920508757309357E-2"/>
          <c:y val="7.4338032739179934E-3"/>
        </c:manualLayout>
      </c:layout>
    </c:title>
    <c:plotArea>
      <c:layout>
        <c:manualLayout>
          <c:layoutTarget val="inner"/>
          <c:xMode val="edge"/>
          <c:yMode val="edge"/>
          <c:x val="0.10873983739837398"/>
          <c:y val="0.22974403428931744"/>
          <c:w val="0.84654471544715471"/>
          <c:h val="0.45193190300753694"/>
        </c:manualLayout>
      </c:layout>
      <c:barChart>
        <c:barDir val="col"/>
        <c:grouping val="clustered"/>
        <c:ser>
          <c:idx val="0"/>
          <c:order val="0"/>
          <c:tx>
            <c:strRef>
              <c:f>Sheet1!$A$2</c:f>
              <c:strCache>
                <c:ptCount val="1"/>
                <c:pt idx="0">
                  <c:v>Media lunară</c:v>
                </c:pt>
              </c:strCache>
            </c:strRef>
          </c:tx>
          <c:spPr>
            <a:solidFill>
              <a:srgbClr val="9999FF"/>
            </a:solidFill>
            <a:ln w="12700">
              <a:solidFill>
                <a:srgbClr val="000000"/>
              </a:solidFill>
              <a:prstDash val="solid"/>
            </a:ln>
          </c:spPr>
          <c:cat>
            <c:strRef>
              <c:f>Sheet1!$B$1:$C$1</c:f>
              <c:strCache>
                <c:ptCount val="2"/>
                <c:pt idx="0">
                  <c:v>decembrie</c:v>
                </c:pt>
                <c:pt idx="1">
                  <c:v>ianuarie</c:v>
                </c:pt>
              </c:strCache>
            </c:strRef>
          </c:cat>
          <c:val>
            <c:numRef>
              <c:f>Sheet1!$B$2:$C$2</c:f>
              <c:numCache>
                <c:formatCode>General</c:formatCode>
                <c:ptCount val="2"/>
                <c:pt idx="0">
                  <c:v>9.6000000000000002E-2</c:v>
                </c:pt>
                <c:pt idx="1">
                  <c:v>6.5000000000000002E-2</c:v>
                </c:pt>
              </c:numCache>
            </c:numRef>
          </c:val>
        </c:ser>
        <c:ser>
          <c:idx val="1"/>
          <c:order val="1"/>
          <c:tx>
            <c:strRef>
              <c:f>Sheet1!$A$3</c:f>
              <c:strCache>
                <c:ptCount val="1"/>
                <c:pt idx="0">
                  <c:v>Maxima lunară</c:v>
                </c:pt>
              </c:strCache>
            </c:strRef>
          </c:tx>
          <c:spPr>
            <a:solidFill>
              <a:srgbClr val="99CC00"/>
            </a:solidFill>
            <a:ln w="12700">
              <a:solidFill>
                <a:srgbClr val="000000"/>
              </a:solidFill>
              <a:prstDash val="solid"/>
            </a:ln>
          </c:spPr>
          <c:cat>
            <c:strRef>
              <c:f>Sheet1!$B$1:$C$1</c:f>
              <c:strCache>
                <c:ptCount val="2"/>
                <c:pt idx="0">
                  <c:v>decembrie</c:v>
                </c:pt>
                <c:pt idx="1">
                  <c:v>ianuarie</c:v>
                </c:pt>
              </c:strCache>
            </c:strRef>
          </c:cat>
          <c:val>
            <c:numRef>
              <c:f>Sheet1!$B$3:$C$3</c:f>
              <c:numCache>
                <c:formatCode>General</c:formatCode>
                <c:ptCount val="2"/>
                <c:pt idx="0">
                  <c:v>0.38000000000000073</c:v>
                </c:pt>
                <c:pt idx="1">
                  <c:v>0.38000000000000073</c:v>
                </c:pt>
              </c:numCache>
            </c:numRef>
          </c:val>
        </c:ser>
        <c:gapWidth val="400"/>
        <c:axId val="173021440"/>
        <c:axId val="173031424"/>
      </c:barChart>
      <c:catAx>
        <c:axId val="173021440"/>
        <c:scaling>
          <c:orientation val="minMax"/>
        </c:scaling>
        <c:axPos val="b"/>
        <c:numFmt formatCode="General" sourceLinked="1"/>
        <c:majorTickMark val="none"/>
        <c:tickLblPos val="nextTo"/>
        <c:spPr>
          <a:ln w="3175">
            <a:solidFill>
              <a:srgbClr val="000000"/>
            </a:solidFill>
            <a:prstDash val="solid"/>
          </a:ln>
        </c:spPr>
        <c:txPr>
          <a:bodyPr rot="0" vert="horz"/>
          <a:lstStyle/>
          <a:p>
            <a:pPr>
              <a:defRPr lang="ro-RO"/>
            </a:pPr>
            <a:endParaRPr lang="ro-RO"/>
          </a:p>
        </c:txPr>
        <c:crossAx val="173031424"/>
        <c:crosses val="autoZero"/>
        <c:auto val="1"/>
        <c:lblAlgn val="ctr"/>
        <c:lblOffset val="100"/>
        <c:tickLblSkip val="1"/>
        <c:tickMarkSkip val="1"/>
      </c:catAx>
      <c:valAx>
        <c:axId val="173031424"/>
        <c:scaling>
          <c:orientation val="minMax"/>
          <c:max val="1"/>
          <c:min val="0"/>
        </c:scaling>
        <c:axPos val="l"/>
        <c:majorGridlines>
          <c:spPr>
            <a:ln w="3175">
              <a:solidFill>
                <a:srgbClr val="000000"/>
              </a:solidFill>
              <a:prstDash val="solid"/>
            </a:ln>
          </c:spPr>
        </c:majorGridlines>
        <c:numFmt formatCode="0.0" sourceLinked="0"/>
        <c:majorTickMark val="none"/>
        <c:tickLblPos val="nextTo"/>
        <c:spPr>
          <a:ln w="3175">
            <a:solidFill>
              <a:srgbClr val="000000"/>
            </a:solidFill>
            <a:prstDash val="solid"/>
          </a:ln>
        </c:spPr>
        <c:txPr>
          <a:bodyPr rot="0" vert="horz"/>
          <a:lstStyle/>
          <a:p>
            <a:pPr>
              <a:defRPr lang="ro-RO"/>
            </a:pPr>
            <a:endParaRPr lang="ro-RO"/>
          </a:p>
        </c:txPr>
        <c:crossAx val="173021440"/>
        <c:crosses val="autoZero"/>
        <c:crossBetween val="between"/>
        <c:majorUnit val="0.25"/>
        <c:minorUnit val="0.25"/>
      </c:valAx>
      <c:spPr>
        <a:solidFill>
          <a:srgbClr val="FFFFFF"/>
        </a:solidFill>
        <a:ln w="3175">
          <a:solidFill>
            <a:srgbClr val="000000"/>
          </a:solidFill>
          <a:prstDash val="solid"/>
        </a:ln>
      </c:spPr>
    </c:plotArea>
    <c:legend>
      <c:legendPos val="b"/>
      <c:layout>
        <c:manualLayout>
          <c:xMode val="edge"/>
          <c:yMode val="edge"/>
          <c:x val="0.16559783246831244"/>
          <c:y val="0.86447108941189565"/>
          <c:w val="0.69096256914774645"/>
          <c:h val="0.13552891058810929"/>
        </c:manualLayout>
      </c:layout>
      <c:txPr>
        <a:bodyPr/>
        <a:lstStyle/>
        <a:p>
          <a:pPr>
            <a:defRPr lang="ro-RO"/>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ro-RO" sz="900"/>
            </a:pPr>
            <a:r>
              <a:rPr lang="en-US" sz="900"/>
              <a:t>mBq/m</a:t>
            </a:r>
            <a:r>
              <a:rPr lang="ro-RO" sz="900" baseline="30000"/>
              <a:t>3</a:t>
            </a:r>
          </a:p>
        </c:rich>
      </c:tx>
      <c:layout>
        <c:manualLayout>
          <c:xMode val="edge"/>
          <c:yMode val="edge"/>
          <c:x val="3.3948556430446197E-2"/>
          <c:y val="0"/>
        </c:manualLayout>
      </c:layout>
    </c:title>
    <c:plotArea>
      <c:layout>
        <c:manualLayout>
          <c:layoutTarget val="inner"/>
          <c:xMode val="edge"/>
          <c:yMode val="edge"/>
          <c:x val="0.11034303638874395"/>
          <c:y val="0.16857128707968108"/>
          <c:w val="0.81801018775089951"/>
          <c:h val="0.51420103211634161"/>
        </c:manualLayout>
      </c:layout>
      <c:barChart>
        <c:barDir val="col"/>
        <c:grouping val="clustered"/>
        <c:ser>
          <c:idx val="0"/>
          <c:order val="0"/>
          <c:tx>
            <c:strRef>
              <c:f>Sheet1!$A$2</c:f>
              <c:strCache>
                <c:ptCount val="1"/>
                <c:pt idx="0">
                  <c:v>Media lunară </c:v>
                </c:pt>
              </c:strCache>
            </c:strRef>
          </c:tx>
          <c:spPr>
            <a:solidFill>
              <a:srgbClr val="9999FF"/>
            </a:solidFill>
            <a:ln w="12699">
              <a:solidFill>
                <a:srgbClr val="000000"/>
              </a:solidFill>
              <a:prstDash val="solid"/>
            </a:ln>
          </c:spPr>
          <c:cat>
            <c:strRef>
              <c:f>Sheet1!$B$1:$C$1</c:f>
              <c:strCache>
                <c:ptCount val="2"/>
                <c:pt idx="0">
                  <c:v>decembrie</c:v>
                </c:pt>
                <c:pt idx="1">
                  <c:v>ianuarie</c:v>
                </c:pt>
              </c:strCache>
            </c:strRef>
          </c:cat>
          <c:val>
            <c:numRef>
              <c:f>Sheet1!$B$2:$C$2</c:f>
              <c:numCache>
                <c:formatCode>0.0</c:formatCode>
                <c:ptCount val="2"/>
                <c:pt idx="0">
                  <c:v>6.5</c:v>
                </c:pt>
                <c:pt idx="1">
                  <c:v>6.6</c:v>
                </c:pt>
              </c:numCache>
            </c:numRef>
          </c:val>
        </c:ser>
        <c:ser>
          <c:idx val="1"/>
          <c:order val="1"/>
          <c:tx>
            <c:strRef>
              <c:f>Sheet1!$A$3</c:f>
              <c:strCache>
                <c:ptCount val="1"/>
                <c:pt idx="0">
                  <c:v>Maxima lunară</c:v>
                </c:pt>
              </c:strCache>
            </c:strRef>
          </c:tx>
          <c:spPr>
            <a:solidFill>
              <a:srgbClr val="99CC00"/>
            </a:solidFill>
            <a:ln w="12699">
              <a:solidFill>
                <a:srgbClr val="000000"/>
              </a:solidFill>
              <a:prstDash val="solid"/>
            </a:ln>
          </c:spPr>
          <c:cat>
            <c:strRef>
              <c:f>Sheet1!$B$1:$C$1</c:f>
              <c:strCache>
                <c:ptCount val="2"/>
                <c:pt idx="0">
                  <c:v>decembrie</c:v>
                </c:pt>
                <c:pt idx="1">
                  <c:v>ianuarie</c:v>
                </c:pt>
              </c:strCache>
            </c:strRef>
          </c:cat>
          <c:val>
            <c:numRef>
              <c:f>Sheet1!$B$3:$C$3</c:f>
              <c:numCache>
                <c:formatCode>0.0</c:formatCode>
                <c:ptCount val="2"/>
                <c:pt idx="0">
                  <c:v>7.5</c:v>
                </c:pt>
                <c:pt idx="1">
                  <c:v>6.9</c:v>
                </c:pt>
              </c:numCache>
            </c:numRef>
          </c:val>
        </c:ser>
        <c:gapWidth val="399"/>
        <c:axId val="173064576"/>
        <c:axId val="173066112"/>
      </c:barChart>
      <c:catAx>
        <c:axId val="17306457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lang="ro-RO"/>
            </a:pPr>
            <a:endParaRPr lang="ro-RO"/>
          </a:p>
        </c:txPr>
        <c:crossAx val="173066112"/>
        <c:crosses val="autoZero"/>
        <c:auto val="1"/>
        <c:lblAlgn val="ctr"/>
        <c:lblOffset val="100"/>
        <c:tickLblSkip val="1"/>
        <c:tickMarkSkip val="1"/>
      </c:catAx>
      <c:valAx>
        <c:axId val="173066112"/>
        <c:scaling>
          <c:orientation val="minMax"/>
          <c:max val="30"/>
          <c:min val="0"/>
        </c:scaling>
        <c:axPos val="l"/>
        <c:majorGridlines>
          <c:spPr>
            <a:ln w="3175">
              <a:solidFill>
                <a:schemeClr val="tx1"/>
              </a:solidFill>
            </a:ln>
          </c:spPr>
        </c:majorGridlines>
        <c:minorGridlines>
          <c:spPr>
            <a:ln>
              <a:solidFill>
                <a:srgbClr val="000000"/>
              </a:solidFill>
            </a:ln>
          </c:spPr>
        </c:minorGridlines>
        <c:numFmt formatCode="0" sourceLinked="0"/>
        <c:majorTickMark val="none"/>
        <c:tickLblPos val="nextTo"/>
        <c:spPr>
          <a:solidFill>
            <a:srgbClr val="FFFFFF"/>
          </a:solidFill>
          <a:ln w="3175">
            <a:solidFill>
              <a:srgbClr val="000000"/>
            </a:solidFill>
            <a:prstDash val="solid"/>
          </a:ln>
        </c:spPr>
        <c:txPr>
          <a:bodyPr rot="0" vert="horz"/>
          <a:lstStyle/>
          <a:p>
            <a:pPr>
              <a:defRPr lang="ro-RO"/>
            </a:pPr>
            <a:endParaRPr lang="ro-RO"/>
          </a:p>
        </c:txPr>
        <c:crossAx val="173064576"/>
        <c:crosses val="autoZero"/>
        <c:crossBetween val="between"/>
        <c:majorUnit val="10"/>
        <c:minorUnit val="10"/>
      </c:valAx>
      <c:spPr>
        <a:solidFill>
          <a:srgbClr val="FFFFFF"/>
        </a:solidFill>
        <a:ln w="6350" cap="flat">
          <a:solidFill>
            <a:sysClr val="windowText" lastClr="000000"/>
          </a:solidFill>
          <a:round/>
        </a:ln>
      </c:spPr>
    </c:plotArea>
    <c:legend>
      <c:legendPos val="b"/>
      <c:layout>
        <c:manualLayout>
          <c:xMode val="edge"/>
          <c:yMode val="edge"/>
          <c:x val="0.16584728447405644"/>
          <c:y val="0.88759254786399056"/>
          <c:w val="0.73007647890167571"/>
          <c:h val="0.11240745213596035"/>
        </c:manualLayout>
      </c:layout>
      <c:txPr>
        <a:bodyPr/>
        <a:lstStyle/>
        <a:p>
          <a:pPr>
            <a:defRPr lang="ro-RO"/>
          </a:pPr>
          <a:endParaRPr lang="ro-RO"/>
        </a:p>
      </c:txPr>
    </c:legend>
    <c:plotVisOnly val="1"/>
    <c:dispBlanksAs val="gap"/>
  </c:chart>
  <c:spPr>
    <a:solidFill>
      <a:srgbClr val="FFFFFF"/>
    </a:solid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ro-RO" sz="900"/>
            </a:pPr>
            <a:r>
              <a:rPr lang="en-US" sz="900"/>
              <a:t>mBq/m</a:t>
            </a:r>
            <a:r>
              <a:rPr lang="ro-RO" sz="900" baseline="30000"/>
              <a:t>3</a:t>
            </a:r>
          </a:p>
        </c:rich>
      </c:tx>
      <c:layout>
        <c:manualLayout>
          <c:xMode val="edge"/>
          <c:yMode val="edge"/>
          <c:x val="4.2443064182194623E-2"/>
          <c:y val="0"/>
        </c:manualLayout>
      </c:layout>
    </c:title>
    <c:plotArea>
      <c:layout>
        <c:manualLayout>
          <c:layoutTarget val="inner"/>
          <c:xMode val="edge"/>
          <c:yMode val="edge"/>
          <c:x val="0.11710468495549479"/>
          <c:y val="0.17800880822100626"/>
          <c:w val="0.83734663601857506"/>
          <c:h val="0.47481916455358336"/>
        </c:manualLayout>
      </c:layout>
      <c:barChart>
        <c:barDir val="col"/>
        <c:grouping val="clustered"/>
        <c:ser>
          <c:idx val="0"/>
          <c:order val="0"/>
          <c:tx>
            <c:strRef>
              <c:f>Sheet1!$A$2</c:f>
              <c:strCache>
                <c:ptCount val="1"/>
                <c:pt idx="0">
                  <c:v>Media lunară </c:v>
                </c:pt>
              </c:strCache>
            </c:strRef>
          </c:tx>
          <c:spPr>
            <a:solidFill>
              <a:srgbClr val="9999FF"/>
            </a:solidFill>
            <a:ln w="12699">
              <a:solidFill>
                <a:srgbClr val="000000"/>
              </a:solidFill>
              <a:prstDash val="solid"/>
            </a:ln>
          </c:spPr>
          <c:cat>
            <c:strRef>
              <c:f>Sheet1!$B$1:$C$1</c:f>
              <c:strCache>
                <c:ptCount val="2"/>
                <c:pt idx="0">
                  <c:v>decembrie</c:v>
                </c:pt>
                <c:pt idx="1">
                  <c:v>ianuarie</c:v>
                </c:pt>
              </c:strCache>
            </c:strRef>
          </c:cat>
          <c:val>
            <c:numRef>
              <c:f>Sheet1!$B$2:$C$2</c:f>
              <c:numCache>
                <c:formatCode>0.0</c:formatCode>
                <c:ptCount val="2"/>
                <c:pt idx="0">
                  <c:v>6.6</c:v>
                </c:pt>
                <c:pt idx="1">
                  <c:v>6.8</c:v>
                </c:pt>
              </c:numCache>
            </c:numRef>
          </c:val>
        </c:ser>
        <c:ser>
          <c:idx val="1"/>
          <c:order val="1"/>
          <c:tx>
            <c:strRef>
              <c:f>Sheet1!$A$3</c:f>
              <c:strCache>
                <c:ptCount val="1"/>
                <c:pt idx="0">
                  <c:v>Maxima lunară </c:v>
                </c:pt>
              </c:strCache>
            </c:strRef>
          </c:tx>
          <c:spPr>
            <a:solidFill>
              <a:srgbClr val="99CC00"/>
            </a:solidFill>
            <a:ln w="12699">
              <a:solidFill>
                <a:srgbClr val="000000"/>
              </a:solidFill>
              <a:prstDash val="solid"/>
            </a:ln>
          </c:spPr>
          <c:cat>
            <c:strRef>
              <c:f>Sheet1!$B$1:$C$1</c:f>
              <c:strCache>
                <c:ptCount val="2"/>
                <c:pt idx="0">
                  <c:v>decembrie</c:v>
                </c:pt>
                <c:pt idx="1">
                  <c:v>ianuarie</c:v>
                </c:pt>
              </c:strCache>
            </c:strRef>
          </c:cat>
          <c:val>
            <c:numRef>
              <c:f>Sheet1!$B$3:$C$3</c:f>
              <c:numCache>
                <c:formatCode>General</c:formatCode>
                <c:ptCount val="2"/>
                <c:pt idx="0">
                  <c:v>7.5</c:v>
                </c:pt>
                <c:pt idx="1">
                  <c:v>9.6</c:v>
                </c:pt>
              </c:numCache>
            </c:numRef>
          </c:val>
        </c:ser>
        <c:gapWidth val="400"/>
        <c:axId val="172787968"/>
        <c:axId val="172978176"/>
      </c:barChart>
      <c:catAx>
        <c:axId val="172787968"/>
        <c:scaling>
          <c:orientation val="minMax"/>
        </c:scaling>
        <c:axPos val="b"/>
        <c:numFmt formatCode="General" sourceLinked="1"/>
        <c:majorTickMark val="none"/>
        <c:tickLblPos val="nextTo"/>
        <c:spPr>
          <a:ln w="3175">
            <a:solidFill>
              <a:srgbClr val="000000"/>
            </a:solidFill>
            <a:prstDash val="solid"/>
          </a:ln>
        </c:spPr>
        <c:txPr>
          <a:bodyPr rot="0" vert="horz"/>
          <a:lstStyle/>
          <a:p>
            <a:pPr>
              <a:defRPr lang="ro-RO"/>
            </a:pPr>
            <a:endParaRPr lang="ro-RO"/>
          </a:p>
        </c:txPr>
        <c:crossAx val="172978176"/>
        <c:crosses val="autoZero"/>
        <c:auto val="1"/>
        <c:lblAlgn val="ctr"/>
        <c:lblOffset val="100"/>
        <c:tickLblSkip val="1"/>
        <c:tickMarkSkip val="1"/>
      </c:catAx>
      <c:valAx>
        <c:axId val="172978176"/>
        <c:scaling>
          <c:orientation val="minMax"/>
          <c:max val="30"/>
          <c:min val="0"/>
        </c:scaling>
        <c:axPos val="l"/>
        <c:majorGridlines>
          <c:spPr>
            <a:ln w="3175">
              <a:solidFill>
                <a:srgbClr val="000000"/>
              </a:solidFill>
              <a:prstDash val="solid"/>
            </a:ln>
          </c:spPr>
        </c:majorGridlines>
        <c:minorGridlines>
          <c:spPr>
            <a:ln>
              <a:solidFill>
                <a:srgbClr val="000000"/>
              </a:solidFill>
            </a:ln>
          </c:spPr>
        </c:minorGridlines>
        <c:numFmt formatCode="0" sourceLinked="0"/>
        <c:majorTickMark val="none"/>
        <c:tickLblPos val="nextTo"/>
        <c:spPr>
          <a:ln w="3175">
            <a:solidFill>
              <a:srgbClr val="000000"/>
            </a:solidFill>
            <a:prstDash val="solid"/>
          </a:ln>
        </c:spPr>
        <c:txPr>
          <a:bodyPr rot="0" vert="horz"/>
          <a:lstStyle/>
          <a:p>
            <a:pPr>
              <a:defRPr lang="ro-RO"/>
            </a:pPr>
            <a:endParaRPr lang="ro-RO"/>
          </a:p>
        </c:txPr>
        <c:crossAx val="172787968"/>
        <c:crosses val="autoZero"/>
        <c:crossBetween val="between"/>
        <c:majorUnit val="10"/>
        <c:minorUnit val="10"/>
      </c:valAx>
      <c:spPr>
        <a:solidFill>
          <a:srgbClr val="FFFFFF"/>
        </a:solidFill>
        <a:ln w="3175">
          <a:solidFill>
            <a:schemeClr val="tx1"/>
          </a:solidFill>
          <a:prstDash val="solid"/>
        </a:ln>
      </c:spPr>
    </c:plotArea>
    <c:legend>
      <c:legendPos val="b"/>
      <c:layout>
        <c:manualLayout>
          <c:xMode val="edge"/>
          <c:yMode val="edge"/>
          <c:x val="0.17531194262988223"/>
          <c:y val="0.8508955187940983"/>
          <c:w val="0.73189071022121077"/>
          <c:h val="0.14910448120590444"/>
        </c:manualLayout>
      </c:layout>
      <c:txPr>
        <a:bodyPr/>
        <a:lstStyle/>
        <a:p>
          <a:pPr>
            <a:defRPr lang="ro-RO"/>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ro-RO" sz="900"/>
            </a:pPr>
            <a:r>
              <a:rPr lang="en-US" sz="900"/>
              <a:t>Bq/m</a:t>
            </a:r>
            <a:r>
              <a:rPr lang="en-US" sz="900" baseline="30000"/>
              <a:t>2</a:t>
            </a:r>
            <a:r>
              <a:rPr lang="ro-RO" sz="900"/>
              <a:t> </a:t>
            </a:r>
            <a:r>
              <a:rPr lang="en-US" sz="900"/>
              <a:t>zi</a:t>
            </a:r>
            <a:endParaRPr lang="ro-RO" sz="900"/>
          </a:p>
        </c:rich>
      </c:tx>
      <c:layout>
        <c:manualLayout>
          <c:xMode val="edge"/>
          <c:yMode val="edge"/>
          <c:x val="1.8967629046371421E-3"/>
          <c:y val="1.1695906432748536E-2"/>
        </c:manualLayout>
      </c:layout>
    </c:title>
    <c:plotArea>
      <c:layout>
        <c:manualLayout>
          <c:layoutTarget val="inner"/>
          <c:xMode val="edge"/>
          <c:yMode val="edge"/>
          <c:x val="0.23486031711790994"/>
          <c:y val="0.11796999827576295"/>
          <c:w val="0.74196203214324263"/>
          <c:h val="0.5103403324585537"/>
        </c:manualLayout>
      </c:layout>
      <c:barChart>
        <c:barDir val="col"/>
        <c:grouping val="clustered"/>
        <c:ser>
          <c:idx val="0"/>
          <c:order val="0"/>
          <c:tx>
            <c:strRef>
              <c:f>Sheet1!$A$2</c:f>
              <c:strCache>
                <c:ptCount val="1"/>
                <c:pt idx="0">
                  <c:v>Media lunară</c:v>
                </c:pt>
              </c:strCache>
            </c:strRef>
          </c:tx>
          <c:spPr>
            <a:solidFill>
              <a:srgbClr val="800080"/>
            </a:solidFill>
            <a:ln w="12699">
              <a:solidFill>
                <a:srgbClr val="000000"/>
              </a:solidFill>
              <a:prstDash val="solid"/>
            </a:ln>
          </c:spPr>
          <c:cat>
            <c:strRef>
              <c:f>Sheet1!$B$1:$C$1</c:f>
              <c:strCache>
                <c:ptCount val="2"/>
                <c:pt idx="0">
                  <c:v>decembrie</c:v>
                </c:pt>
                <c:pt idx="1">
                  <c:v>ianuarie</c:v>
                </c:pt>
              </c:strCache>
            </c:strRef>
          </c:cat>
          <c:val>
            <c:numRef>
              <c:f>Sheet1!$B$2:$C$2</c:f>
              <c:numCache>
                <c:formatCode>0.0</c:formatCode>
                <c:ptCount val="2"/>
                <c:pt idx="0">
                  <c:v>1.01</c:v>
                </c:pt>
                <c:pt idx="1">
                  <c:v>1</c:v>
                </c:pt>
              </c:numCache>
            </c:numRef>
          </c:val>
        </c:ser>
        <c:ser>
          <c:idx val="1"/>
          <c:order val="1"/>
          <c:tx>
            <c:strRef>
              <c:f>Sheet1!$A$3</c:f>
              <c:strCache>
                <c:ptCount val="1"/>
                <c:pt idx="0">
                  <c:v>Maxima lunară</c:v>
                </c:pt>
              </c:strCache>
            </c:strRef>
          </c:tx>
          <c:spPr>
            <a:solidFill>
              <a:srgbClr val="FFCC99"/>
            </a:solidFill>
            <a:ln w="12699">
              <a:solidFill>
                <a:srgbClr val="000000"/>
              </a:solidFill>
              <a:prstDash val="solid"/>
            </a:ln>
          </c:spPr>
          <c:cat>
            <c:strRef>
              <c:f>Sheet1!$B$1:$C$1</c:f>
              <c:strCache>
                <c:ptCount val="2"/>
                <c:pt idx="0">
                  <c:v>decembrie</c:v>
                </c:pt>
                <c:pt idx="1">
                  <c:v>ianuarie</c:v>
                </c:pt>
              </c:strCache>
            </c:strRef>
          </c:cat>
          <c:val>
            <c:numRef>
              <c:f>Sheet1!$B$3:$C$3</c:f>
              <c:numCache>
                <c:formatCode>0.0</c:formatCode>
                <c:ptCount val="2"/>
                <c:pt idx="0">
                  <c:v>1.8</c:v>
                </c:pt>
                <c:pt idx="1">
                  <c:v>3.9</c:v>
                </c:pt>
              </c:numCache>
            </c:numRef>
          </c:val>
        </c:ser>
        <c:gapWidth val="400"/>
        <c:axId val="173240704"/>
        <c:axId val="173242240"/>
      </c:barChart>
      <c:catAx>
        <c:axId val="173240704"/>
        <c:scaling>
          <c:orientation val="minMax"/>
        </c:scaling>
        <c:axPos val="b"/>
        <c:numFmt formatCode="General" sourceLinked="1"/>
        <c:majorTickMark val="none"/>
        <c:tickLblPos val="nextTo"/>
        <c:spPr>
          <a:ln w="3175">
            <a:solidFill>
              <a:srgbClr val="000000"/>
            </a:solidFill>
            <a:prstDash val="solid"/>
          </a:ln>
        </c:spPr>
        <c:txPr>
          <a:bodyPr rot="0" vert="horz"/>
          <a:lstStyle/>
          <a:p>
            <a:pPr>
              <a:defRPr lang="ro-RO"/>
            </a:pPr>
            <a:endParaRPr lang="ro-RO"/>
          </a:p>
        </c:txPr>
        <c:crossAx val="173242240"/>
        <c:crosses val="autoZero"/>
        <c:auto val="1"/>
        <c:lblAlgn val="ctr"/>
        <c:lblOffset val="100"/>
        <c:tickLblSkip val="1"/>
        <c:tickMarkSkip val="1"/>
      </c:catAx>
      <c:valAx>
        <c:axId val="173242240"/>
        <c:scaling>
          <c:orientation val="minMax"/>
          <c:max val="10"/>
          <c:min val="0"/>
        </c:scaling>
        <c:axPos val="l"/>
        <c:majorGridlines>
          <c:spPr>
            <a:ln w="3175">
              <a:solidFill>
                <a:srgbClr val="000000"/>
              </a:solidFill>
              <a:prstDash val="solid"/>
            </a:ln>
          </c:spPr>
        </c:majorGridlines>
        <c:numFmt formatCode="0" sourceLinked="0"/>
        <c:majorTickMark val="none"/>
        <c:tickLblPos val="nextTo"/>
        <c:spPr>
          <a:ln w="3175">
            <a:solidFill>
              <a:srgbClr val="000000"/>
            </a:solidFill>
            <a:prstDash val="solid"/>
          </a:ln>
        </c:spPr>
        <c:txPr>
          <a:bodyPr rot="0" vert="horz"/>
          <a:lstStyle/>
          <a:p>
            <a:pPr>
              <a:defRPr lang="ro-RO"/>
            </a:pPr>
            <a:endParaRPr lang="ro-RO"/>
          </a:p>
        </c:txPr>
        <c:crossAx val="173240704"/>
        <c:crosses val="autoZero"/>
        <c:crossBetween val="between"/>
        <c:majorUnit val="2"/>
        <c:minorUnit val="2"/>
      </c:valAx>
      <c:spPr>
        <a:solidFill>
          <a:srgbClr val="FFFFFF"/>
        </a:solidFill>
        <a:ln w="3175">
          <a:solidFill>
            <a:srgbClr val="000000"/>
          </a:solidFill>
          <a:prstDash val="solid"/>
        </a:ln>
      </c:spPr>
    </c:plotArea>
    <c:legend>
      <c:legendPos val="b"/>
      <c:layout>
        <c:manualLayout>
          <c:xMode val="edge"/>
          <c:yMode val="edge"/>
          <c:x val="0.19692733613783631"/>
          <c:y val="0.86023028143379965"/>
          <c:w val="0.77457627728043565"/>
          <c:h val="0.13976922837683844"/>
        </c:manualLayout>
      </c:layout>
      <c:txPr>
        <a:bodyPr/>
        <a:lstStyle/>
        <a:p>
          <a:pPr>
            <a:defRPr lang="ro-RO"/>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lgn="ctr" rtl="0">
              <a:defRPr lang="en-GB"/>
            </a:pPr>
            <a:r>
              <a:rPr lang="ro-RO"/>
              <a:t> µg/m³ </a:t>
            </a:r>
          </a:p>
          <a:p>
            <a:pPr algn="ctr" rtl="0">
              <a:defRPr lang="en-GB"/>
            </a:pPr>
            <a:endParaRPr lang="ro-RO"/>
          </a:p>
        </c:rich>
      </c:tx>
      <c:layout>
        <c:manualLayout>
          <c:xMode val="edge"/>
          <c:yMode val="edge"/>
          <c:x val="2.8723271893496246E-4"/>
          <c:y val="7.4833669047195517E-2"/>
        </c:manualLayout>
      </c:layout>
    </c:title>
    <c:plotArea>
      <c:layout>
        <c:manualLayout>
          <c:layoutTarget val="inner"/>
          <c:xMode val="edge"/>
          <c:yMode val="edge"/>
          <c:x val="0.14472294859249504"/>
          <c:y val="4.3709332845022424E-2"/>
          <c:w val="0.49994010488952423"/>
          <c:h val="0.77747091315086136"/>
        </c:manualLayout>
      </c:layout>
      <c:barChart>
        <c:barDir val="col"/>
        <c:grouping val="clustered"/>
        <c:ser>
          <c:idx val="0"/>
          <c:order val="0"/>
          <c:tx>
            <c:strRef>
              <c:f>Sheet1!$A$2</c:f>
              <c:strCache>
                <c:ptCount val="1"/>
                <c:pt idx="0">
                  <c:v>Concentrații maxime orare</c:v>
                </c:pt>
              </c:strCache>
            </c:strRef>
          </c:tx>
          <c:spPr>
            <a:solidFill>
              <a:schemeClr val="accent3">
                <a:lumMod val="75000"/>
              </a:schemeClr>
            </a:solidFill>
            <a:ln w="12700">
              <a:solidFill>
                <a:srgbClr val="000000"/>
              </a:solidFill>
              <a:prstDash val="solid"/>
            </a:ln>
          </c:spPr>
          <c:dLbls>
            <c:dLbl>
              <c:idx val="1"/>
              <c:layout>
                <c:manualLayout>
                  <c:x val="-2.4737167594313003E-3"/>
                  <c:y val="-2.005012531328321E-2"/>
                </c:manualLayout>
              </c:layout>
              <c:showVal val="1"/>
            </c:dLbl>
            <c:dLbl>
              <c:idx val="2"/>
              <c:layout>
                <c:manualLayout>
                  <c:x val="0"/>
                  <c:y val="-1.0025062656641598E-2"/>
                </c:manualLayout>
              </c:layout>
              <c:showVal val="1"/>
            </c:dLbl>
            <c:numFmt formatCode="#,##0.0" sourceLinked="0"/>
            <c:txPr>
              <a:bodyPr/>
              <a:lstStyle/>
              <a:p>
                <a:pPr>
                  <a:defRPr lang="en-GB"/>
                </a:pPr>
                <a:endParaRPr lang="ro-RO"/>
              </a:p>
            </c:txPr>
            <c:showVal val="1"/>
          </c:dLbls>
          <c:cat>
            <c:strRef>
              <c:f>Sheet1!$B$1:$E$1</c:f>
              <c:strCache>
                <c:ptCount val="4"/>
                <c:pt idx="0">
                  <c:v>EM3</c:v>
                </c:pt>
                <c:pt idx="1">
                  <c:v>SV1</c:v>
                </c:pt>
                <c:pt idx="2">
                  <c:v>SV2</c:v>
                </c:pt>
                <c:pt idx="3">
                  <c:v>SV3</c:v>
                </c:pt>
              </c:strCache>
            </c:strRef>
          </c:cat>
          <c:val>
            <c:numRef>
              <c:f>Sheet1!$B$2:$E$2</c:f>
              <c:numCache>
                <c:formatCode>General</c:formatCode>
                <c:ptCount val="4"/>
                <c:pt idx="1">
                  <c:v>54.74</c:v>
                </c:pt>
                <c:pt idx="2" formatCode="0.00">
                  <c:v>40.760000000000012</c:v>
                </c:pt>
                <c:pt idx="3">
                  <c:v>53.93</c:v>
                </c:pt>
              </c:numCache>
            </c:numRef>
          </c:val>
        </c:ser>
        <c:gapWidth val="401"/>
        <c:axId val="165964416"/>
        <c:axId val="165982976"/>
      </c:barChart>
      <c:lineChart>
        <c:grouping val="standard"/>
        <c:ser>
          <c:idx val="2"/>
          <c:order val="1"/>
          <c:tx>
            <c:strRef>
              <c:f>Sheet1!$A$3</c:f>
              <c:strCache>
                <c:ptCount val="1"/>
                <c:pt idx="0">
                  <c:v>Valoare limită orară</c:v>
                </c:pt>
              </c:strCache>
            </c:strRef>
          </c:tx>
          <c:spPr>
            <a:ln w="63500">
              <a:solidFill>
                <a:srgbClr val="FF0000"/>
              </a:solidFill>
              <a:prstDash val="solid"/>
            </a:ln>
          </c:spPr>
          <c:marker>
            <c:symbol val="square"/>
            <c:size val="5"/>
            <c:spPr>
              <a:noFill/>
              <a:ln w="9525">
                <a:noFill/>
              </a:ln>
            </c:spPr>
          </c:marker>
          <c:cat>
            <c:strRef>
              <c:f>Sheet1!$B$1:$E$1</c:f>
              <c:strCache>
                <c:ptCount val="4"/>
                <c:pt idx="0">
                  <c:v>EM3</c:v>
                </c:pt>
                <c:pt idx="1">
                  <c:v>SV1</c:v>
                </c:pt>
                <c:pt idx="2">
                  <c:v>SV2</c:v>
                </c:pt>
                <c:pt idx="3">
                  <c:v>SV3</c:v>
                </c:pt>
              </c:strCache>
            </c:strRef>
          </c:cat>
          <c:val>
            <c:numRef>
              <c:f>Sheet1!$B$3:$E$3</c:f>
              <c:numCache>
                <c:formatCode>0</c:formatCode>
                <c:ptCount val="4"/>
                <c:pt idx="0" formatCode="General">
                  <c:v>350</c:v>
                </c:pt>
                <c:pt idx="1">
                  <c:v>350</c:v>
                </c:pt>
                <c:pt idx="2" formatCode="General">
                  <c:v>350</c:v>
                </c:pt>
                <c:pt idx="3" formatCode="General">
                  <c:v>350</c:v>
                </c:pt>
              </c:numCache>
            </c:numRef>
          </c:val>
        </c:ser>
        <c:marker val="1"/>
        <c:axId val="165964416"/>
        <c:axId val="165982976"/>
      </c:lineChart>
      <c:catAx>
        <c:axId val="16596441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lang="en-GB"/>
            </a:pPr>
            <a:endParaRPr lang="ro-RO"/>
          </a:p>
        </c:txPr>
        <c:crossAx val="165982976"/>
        <c:crosses val="autoZero"/>
        <c:auto val="1"/>
        <c:lblAlgn val="ctr"/>
        <c:lblOffset val="100"/>
        <c:tickLblSkip val="1"/>
        <c:tickMarkSkip val="1"/>
      </c:catAx>
      <c:valAx>
        <c:axId val="165982976"/>
        <c:scaling>
          <c:orientation val="minMax"/>
          <c:max val="350"/>
          <c:min val="0"/>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lang="en-GB"/>
            </a:pPr>
            <a:endParaRPr lang="ro-RO"/>
          </a:p>
        </c:txPr>
        <c:crossAx val="165964416"/>
        <c:crosses val="autoZero"/>
        <c:crossBetween val="between"/>
        <c:majorUnit val="50"/>
        <c:minorUnit val="0.1"/>
      </c:valAx>
      <c:spPr>
        <a:noFill/>
        <a:ln w="3175">
          <a:solidFill>
            <a:srgbClr val="000000"/>
          </a:solidFill>
          <a:prstDash val="solid"/>
        </a:ln>
      </c:spPr>
    </c:plotArea>
    <c:legend>
      <c:legendPos val="r"/>
      <c:layout>
        <c:manualLayout>
          <c:xMode val="edge"/>
          <c:yMode val="edge"/>
          <c:x val="0.67458256029684549"/>
          <c:y val="0.29337804996602401"/>
          <c:w val="0.32541743970317188"/>
          <c:h val="0.38372541893801737"/>
        </c:manualLayout>
      </c:layout>
      <c:txPr>
        <a:bodyPr/>
        <a:lstStyle/>
        <a:p>
          <a:pPr>
            <a:defRPr lang="en-GB"/>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ro-RO" sz="900"/>
            </a:pPr>
            <a:r>
              <a:rPr lang="en-US" sz="900"/>
              <a:t>Bq/m</a:t>
            </a:r>
            <a:r>
              <a:rPr lang="en-US" sz="900" baseline="30000"/>
              <a:t>2</a:t>
            </a:r>
            <a:r>
              <a:rPr lang="ro-RO" sz="900"/>
              <a:t> </a:t>
            </a:r>
            <a:r>
              <a:rPr lang="en-US" sz="900"/>
              <a:t>zi</a:t>
            </a:r>
            <a:endParaRPr lang="ro-RO" sz="900"/>
          </a:p>
        </c:rich>
      </c:tx>
      <c:layout>
        <c:manualLayout>
          <c:xMode val="edge"/>
          <c:yMode val="edge"/>
          <c:x val="4.0638102055424886E-3"/>
          <c:y val="9.9460749224528685E-3"/>
        </c:manualLayout>
      </c:layout>
    </c:title>
    <c:plotArea>
      <c:layout>
        <c:manualLayout>
          <c:layoutTarget val="inner"/>
          <c:xMode val="edge"/>
          <c:yMode val="edge"/>
          <c:x val="0.26214711797388962"/>
          <c:y val="0.11261751371987185"/>
          <c:w val="0.70454283378512161"/>
          <c:h val="0.50647196373180559"/>
        </c:manualLayout>
      </c:layout>
      <c:barChart>
        <c:barDir val="col"/>
        <c:grouping val="clustered"/>
        <c:ser>
          <c:idx val="0"/>
          <c:order val="0"/>
          <c:tx>
            <c:strRef>
              <c:f>Sheet1!$A$2</c:f>
              <c:strCache>
                <c:ptCount val="1"/>
                <c:pt idx="0">
                  <c:v>Media lunară</c:v>
                </c:pt>
              </c:strCache>
            </c:strRef>
          </c:tx>
          <c:spPr>
            <a:solidFill>
              <a:srgbClr val="800080"/>
            </a:solidFill>
            <a:ln w="12699">
              <a:solidFill>
                <a:srgbClr val="000000"/>
              </a:solidFill>
              <a:prstDash val="solid"/>
            </a:ln>
          </c:spPr>
          <c:cat>
            <c:strRef>
              <c:f>Sheet1!$B$1:$C$1</c:f>
              <c:strCache>
                <c:ptCount val="2"/>
                <c:pt idx="0">
                  <c:v>decembrie</c:v>
                </c:pt>
                <c:pt idx="1">
                  <c:v>ianuarie</c:v>
                </c:pt>
              </c:strCache>
            </c:strRef>
          </c:cat>
          <c:val>
            <c:numRef>
              <c:f>Sheet1!$B$2:$C$2</c:f>
              <c:numCache>
                <c:formatCode>0.00</c:formatCode>
                <c:ptCount val="2"/>
                <c:pt idx="0">
                  <c:v>0.61000000000000065</c:v>
                </c:pt>
                <c:pt idx="1">
                  <c:v>0.60000000000000064</c:v>
                </c:pt>
              </c:numCache>
            </c:numRef>
          </c:val>
        </c:ser>
        <c:ser>
          <c:idx val="1"/>
          <c:order val="1"/>
          <c:tx>
            <c:strRef>
              <c:f>Sheet1!$A$3</c:f>
              <c:strCache>
                <c:ptCount val="1"/>
                <c:pt idx="0">
                  <c:v>Maxima lunară</c:v>
                </c:pt>
              </c:strCache>
            </c:strRef>
          </c:tx>
          <c:spPr>
            <a:solidFill>
              <a:srgbClr val="FFCC99"/>
            </a:solidFill>
            <a:ln w="12699">
              <a:solidFill>
                <a:srgbClr val="000000"/>
              </a:solidFill>
              <a:prstDash val="solid"/>
            </a:ln>
          </c:spPr>
          <c:cat>
            <c:strRef>
              <c:f>Sheet1!$B$1:$C$1</c:f>
              <c:strCache>
                <c:ptCount val="2"/>
                <c:pt idx="0">
                  <c:v>decembrie</c:v>
                </c:pt>
                <c:pt idx="1">
                  <c:v>ianuarie</c:v>
                </c:pt>
              </c:strCache>
            </c:strRef>
          </c:cat>
          <c:val>
            <c:numRef>
              <c:f>Sheet1!$B$3:$C$3</c:f>
              <c:numCache>
                <c:formatCode>0.0</c:formatCode>
                <c:ptCount val="2"/>
                <c:pt idx="0">
                  <c:v>0.9</c:v>
                </c:pt>
                <c:pt idx="1">
                  <c:v>0.60000000000000064</c:v>
                </c:pt>
              </c:numCache>
            </c:numRef>
          </c:val>
        </c:ser>
        <c:gapWidth val="399"/>
        <c:axId val="173263104"/>
        <c:axId val="173273088"/>
      </c:barChart>
      <c:catAx>
        <c:axId val="173263104"/>
        <c:scaling>
          <c:orientation val="minMax"/>
        </c:scaling>
        <c:axPos val="b"/>
        <c:numFmt formatCode="General" sourceLinked="1"/>
        <c:majorTickMark val="none"/>
        <c:tickLblPos val="nextTo"/>
        <c:spPr>
          <a:ln w="3175">
            <a:solidFill>
              <a:srgbClr val="000000"/>
            </a:solidFill>
            <a:prstDash val="solid"/>
          </a:ln>
        </c:spPr>
        <c:txPr>
          <a:bodyPr rot="0" vert="horz"/>
          <a:lstStyle/>
          <a:p>
            <a:pPr>
              <a:defRPr lang="ro-RO"/>
            </a:pPr>
            <a:endParaRPr lang="ro-RO"/>
          </a:p>
        </c:txPr>
        <c:crossAx val="173273088"/>
        <c:crosses val="autoZero"/>
        <c:auto val="1"/>
        <c:lblAlgn val="ctr"/>
        <c:lblOffset val="100"/>
        <c:tickLblSkip val="1"/>
        <c:tickMarkSkip val="1"/>
      </c:catAx>
      <c:valAx>
        <c:axId val="173273088"/>
        <c:scaling>
          <c:orientation val="minMax"/>
          <c:max val="10"/>
          <c:min val="0"/>
        </c:scaling>
        <c:axPos val="l"/>
        <c:majorGridlines>
          <c:spPr>
            <a:ln w="3175">
              <a:solidFill>
                <a:srgbClr val="000000"/>
              </a:solidFill>
              <a:prstDash val="solid"/>
            </a:ln>
          </c:spPr>
        </c:majorGridlines>
        <c:numFmt formatCode="0" sourceLinked="0"/>
        <c:majorTickMark val="none"/>
        <c:tickLblPos val="nextTo"/>
        <c:spPr>
          <a:ln w="3175">
            <a:solidFill>
              <a:srgbClr val="000000"/>
            </a:solidFill>
            <a:prstDash val="solid"/>
          </a:ln>
        </c:spPr>
        <c:txPr>
          <a:bodyPr rot="0" vert="horz"/>
          <a:lstStyle/>
          <a:p>
            <a:pPr>
              <a:defRPr lang="ro-RO"/>
            </a:pPr>
            <a:endParaRPr lang="ro-RO"/>
          </a:p>
        </c:txPr>
        <c:crossAx val="173263104"/>
        <c:crosses val="autoZero"/>
        <c:crossBetween val="between"/>
        <c:majorUnit val="2"/>
        <c:minorUnit val="1"/>
      </c:valAx>
      <c:spPr>
        <a:solidFill>
          <a:srgbClr val="FFFFFF"/>
        </a:solidFill>
        <a:ln w="3175">
          <a:solidFill>
            <a:srgbClr val="000000"/>
          </a:solidFill>
          <a:prstDash val="solid"/>
        </a:ln>
      </c:spPr>
    </c:plotArea>
    <c:legend>
      <c:legendPos val="b"/>
      <c:layout>
        <c:manualLayout>
          <c:xMode val="edge"/>
          <c:yMode val="edge"/>
          <c:x val="0.19372316165397357"/>
          <c:y val="0.85415428334616073"/>
          <c:w val="0.77845404136769591"/>
          <c:h val="0.14584593165563794"/>
        </c:manualLayout>
      </c:layout>
      <c:txPr>
        <a:bodyPr/>
        <a:lstStyle/>
        <a:p>
          <a:pPr>
            <a:defRPr lang="ro-RO"/>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0.28228793623019344"/>
          <c:y val="6.7623478883321514E-2"/>
          <c:w val="0.69043997278118063"/>
          <c:h val="0.4892081486414121"/>
        </c:manualLayout>
      </c:layout>
      <c:barChart>
        <c:barDir val="col"/>
        <c:grouping val="clustered"/>
        <c:ser>
          <c:idx val="0"/>
          <c:order val="0"/>
          <c:tx>
            <c:strRef>
              <c:f>Sheet1!$A$2</c:f>
              <c:strCache>
                <c:ptCount val="1"/>
                <c:pt idx="0">
                  <c:v>Media lunară </c:v>
                </c:pt>
              </c:strCache>
            </c:strRef>
          </c:tx>
          <c:spPr>
            <a:solidFill>
              <a:schemeClr val="accent4">
                <a:lumMod val="60000"/>
                <a:lumOff val="40000"/>
              </a:schemeClr>
            </a:solidFill>
            <a:ln w="12646">
              <a:solidFill>
                <a:srgbClr val="000000"/>
              </a:solidFill>
              <a:prstDash val="solid"/>
            </a:ln>
          </c:spPr>
          <c:cat>
            <c:strRef>
              <c:f>Sheet1!$B$1:$C$1</c:f>
              <c:strCache>
                <c:ptCount val="2"/>
                <c:pt idx="0">
                  <c:v>decembrie</c:v>
                </c:pt>
                <c:pt idx="1">
                  <c:v>ianuarie</c:v>
                </c:pt>
              </c:strCache>
            </c:strRef>
          </c:cat>
          <c:val>
            <c:numRef>
              <c:f>Sheet1!$B$2:$C$2</c:f>
              <c:numCache>
                <c:formatCode>0.0</c:formatCode>
                <c:ptCount val="2"/>
                <c:pt idx="0">
                  <c:v>235.9</c:v>
                </c:pt>
                <c:pt idx="1">
                  <c:v>235.8</c:v>
                </c:pt>
              </c:numCache>
            </c:numRef>
          </c:val>
        </c:ser>
        <c:ser>
          <c:idx val="1"/>
          <c:order val="1"/>
          <c:tx>
            <c:strRef>
              <c:f>Sheet1!$A$3</c:f>
              <c:strCache>
                <c:ptCount val="1"/>
                <c:pt idx="0">
                  <c:v>Maxima lunară </c:v>
                </c:pt>
              </c:strCache>
            </c:strRef>
          </c:tx>
          <c:spPr>
            <a:solidFill>
              <a:schemeClr val="accent5">
                <a:lumMod val="60000"/>
                <a:lumOff val="40000"/>
              </a:schemeClr>
            </a:solidFill>
            <a:ln w="12646">
              <a:solidFill>
                <a:srgbClr val="000000"/>
              </a:solidFill>
              <a:prstDash val="solid"/>
            </a:ln>
          </c:spPr>
          <c:cat>
            <c:strRef>
              <c:f>Sheet1!$B$1:$C$1</c:f>
              <c:strCache>
                <c:ptCount val="2"/>
                <c:pt idx="0">
                  <c:v>decembrie</c:v>
                </c:pt>
                <c:pt idx="1">
                  <c:v>ianuarie</c:v>
                </c:pt>
              </c:strCache>
            </c:strRef>
          </c:cat>
          <c:val>
            <c:numRef>
              <c:f>Sheet1!$B$3:$C$3</c:f>
              <c:numCache>
                <c:formatCode>0.0</c:formatCode>
                <c:ptCount val="2"/>
                <c:pt idx="0">
                  <c:v>240.3</c:v>
                </c:pt>
                <c:pt idx="1">
                  <c:v>244.6</c:v>
                </c:pt>
              </c:numCache>
            </c:numRef>
          </c:val>
        </c:ser>
        <c:gapWidth val="401"/>
        <c:axId val="173209088"/>
        <c:axId val="173210624"/>
      </c:barChart>
      <c:lineChart>
        <c:grouping val="standard"/>
        <c:ser>
          <c:idx val="2"/>
          <c:order val="2"/>
          <c:tx>
            <c:strRef>
              <c:f>Sheet1!#REF!</c:f>
              <c:strCache>
                <c:ptCount val="1"/>
                <c:pt idx="0">
                  <c:v>#REF!</c:v>
                </c:pt>
              </c:strCache>
            </c:strRef>
          </c:tx>
          <c:spPr>
            <a:ln w="37937">
              <a:solidFill>
                <a:srgbClr val="FF0000"/>
              </a:solidFill>
              <a:prstDash val="solid"/>
            </a:ln>
          </c:spPr>
          <c:marker>
            <c:symbol val="none"/>
          </c:marker>
          <c:cat>
            <c:strRef>
              <c:f>Sheet1!$B$1:$C$1</c:f>
              <c:strCache>
                <c:ptCount val="2"/>
                <c:pt idx="0">
                  <c:v>decembrie</c:v>
                </c:pt>
                <c:pt idx="1">
                  <c:v>ianuarie</c:v>
                </c:pt>
              </c:strCache>
            </c:strRef>
          </c:cat>
          <c:val>
            <c:numRef>
              <c:f>Sheet1!#REF!</c:f>
              <c:numCache>
                <c:formatCode>General</c:formatCode>
                <c:ptCount val="1"/>
                <c:pt idx="0">
                  <c:v>1</c:v>
                </c:pt>
              </c:numCache>
            </c:numRef>
          </c:val>
        </c:ser>
        <c:marker val="1"/>
        <c:axId val="173209088"/>
        <c:axId val="173210624"/>
      </c:lineChart>
      <c:catAx>
        <c:axId val="173209088"/>
        <c:scaling>
          <c:orientation val="minMax"/>
        </c:scaling>
        <c:axPos val="b"/>
        <c:numFmt formatCode="General" sourceLinked="1"/>
        <c:tickLblPos val="nextTo"/>
        <c:spPr>
          <a:ln w="3161">
            <a:solidFill>
              <a:srgbClr val="000000"/>
            </a:solidFill>
            <a:prstDash val="solid"/>
          </a:ln>
        </c:spPr>
        <c:txPr>
          <a:bodyPr rot="0" vert="horz"/>
          <a:lstStyle/>
          <a:p>
            <a:pPr>
              <a:defRPr lang="ro-RO"/>
            </a:pPr>
            <a:endParaRPr lang="ro-RO"/>
          </a:p>
        </c:txPr>
        <c:crossAx val="173210624"/>
        <c:crosses val="autoZero"/>
        <c:auto val="1"/>
        <c:lblAlgn val="ctr"/>
        <c:lblOffset val="100"/>
        <c:tickLblSkip val="1"/>
        <c:tickMarkSkip val="1"/>
      </c:catAx>
      <c:valAx>
        <c:axId val="173210624"/>
        <c:scaling>
          <c:orientation val="minMax"/>
          <c:max val="1000"/>
          <c:min val="0"/>
        </c:scaling>
        <c:axPos val="l"/>
        <c:majorGridlines>
          <c:spPr>
            <a:ln w="3161">
              <a:solidFill>
                <a:srgbClr val="000000"/>
              </a:solidFill>
              <a:prstDash val="solid"/>
            </a:ln>
          </c:spPr>
        </c:majorGridlines>
        <c:title>
          <c:tx>
            <c:rich>
              <a:bodyPr rot="0" vert="horz"/>
              <a:lstStyle/>
              <a:p>
                <a:pPr algn="ctr">
                  <a:defRPr lang="ro-RO"/>
                </a:pPr>
                <a:r>
                  <a:rPr lang="ro-RO"/>
                  <a:t>Bq/m</a:t>
                </a:r>
                <a:r>
                  <a:rPr lang="ro-RO" baseline="30000"/>
                  <a:t>3</a:t>
                </a:r>
              </a:p>
            </c:rich>
          </c:tx>
          <c:layout>
            <c:manualLayout>
              <c:xMode val="edge"/>
              <c:yMode val="edge"/>
              <c:x val="9.2592592592605268E-3"/>
              <c:y val="7.9885468861847123E-2"/>
            </c:manualLayout>
          </c:layout>
          <c:spPr>
            <a:noFill/>
            <a:ln w="25291">
              <a:noFill/>
            </a:ln>
          </c:spPr>
        </c:title>
        <c:numFmt formatCode="0" sourceLinked="0"/>
        <c:tickLblPos val="nextTo"/>
        <c:spPr>
          <a:ln w="3161">
            <a:solidFill>
              <a:srgbClr val="000000"/>
            </a:solidFill>
            <a:prstDash val="solid"/>
          </a:ln>
        </c:spPr>
        <c:txPr>
          <a:bodyPr rot="0" vert="horz"/>
          <a:lstStyle/>
          <a:p>
            <a:pPr>
              <a:defRPr lang="ro-RO"/>
            </a:pPr>
            <a:endParaRPr lang="ro-RO"/>
          </a:p>
        </c:txPr>
        <c:crossAx val="173209088"/>
        <c:crosses val="autoZero"/>
        <c:crossBetween val="between"/>
        <c:majorUnit val="250"/>
        <c:minorUnit val="50"/>
      </c:valAx>
      <c:spPr>
        <a:solidFill>
          <a:srgbClr val="FFFFFF"/>
        </a:solidFill>
        <a:ln w="3161">
          <a:solidFill>
            <a:srgbClr val="000000"/>
          </a:solidFill>
          <a:prstDash val="solid"/>
        </a:ln>
      </c:spPr>
    </c:plotArea>
    <c:legend>
      <c:legendPos val="b"/>
      <c:legendEntry>
        <c:idx val="2"/>
        <c:delete val="1"/>
      </c:legendEntry>
      <c:layout>
        <c:manualLayout>
          <c:xMode val="edge"/>
          <c:yMode val="edge"/>
          <c:x val="0.20284412365121041"/>
          <c:y val="0.81353598242080205"/>
          <c:w val="0.78346128608923848"/>
          <c:h val="0.18646401757926925"/>
        </c:manualLayout>
      </c:layout>
      <c:txPr>
        <a:bodyPr/>
        <a:lstStyle/>
        <a:p>
          <a:pPr>
            <a:defRPr lang="ro-RO"/>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0.27381946821868253"/>
          <c:y val="6.9989569027099491E-2"/>
          <c:w val="0.69847883145043665"/>
          <c:h val="0.51148722199192687"/>
        </c:manualLayout>
      </c:layout>
      <c:barChart>
        <c:barDir val="col"/>
        <c:grouping val="clustered"/>
        <c:ser>
          <c:idx val="0"/>
          <c:order val="0"/>
          <c:tx>
            <c:strRef>
              <c:f>Sheet1!$A$2</c:f>
              <c:strCache>
                <c:ptCount val="1"/>
                <c:pt idx="0">
                  <c:v>Media lunară </c:v>
                </c:pt>
              </c:strCache>
            </c:strRef>
          </c:tx>
          <c:spPr>
            <a:solidFill>
              <a:schemeClr val="accent4">
                <a:lumMod val="40000"/>
                <a:lumOff val="60000"/>
              </a:schemeClr>
            </a:solidFill>
            <a:ln w="12646">
              <a:solidFill>
                <a:srgbClr val="000000"/>
              </a:solidFill>
              <a:prstDash val="solid"/>
            </a:ln>
          </c:spPr>
          <c:cat>
            <c:strRef>
              <c:f>Sheet1!$B$1:$C$1</c:f>
              <c:strCache>
                <c:ptCount val="2"/>
                <c:pt idx="0">
                  <c:v>decembrie</c:v>
                </c:pt>
                <c:pt idx="1">
                  <c:v>ianuarie</c:v>
                </c:pt>
              </c:strCache>
            </c:strRef>
          </c:cat>
          <c:val>
            <c:numRef>
              <c:f>Sheet1!$B$2:$C$2</c:f>
              <c:numCache>
                <c:formatCode>0.0</c:formatCode>
                <c:ptCount val="2"/>
                <c:pt idx="0">
                  <c:v>172.1</c:v>
                </c:pt>
                <c:pt idx="1">
                  <c:v>174</c:v>
                </c:pt>
              </c:numCache>
            </c:numRef>
          </c:val>
        </c:ser>
        <c:ser>
          <c:idx val="1"/>
          <c:order val="1"/>
          <c:tx>
            <c:strRef>
              <c:f>Sheet1!$A$3</c:f>
              <c:strCache>
                <c:ptCount val="1"/>
                <c:pt idx="0">
                  <c:v>Maxima lunară </c:v>
                </c:pt>
              </c:strCache>
            </c:strRef>
          </c:tx>
          <c:spPr>
            <a:solidFill>
              <a:schemeClr val="accent5">
                <a:lumMod val="60000"/>
                <a:lumOff val="40000"/>
              </a:schemeClr>
            </a:solidFill>
            <a:ln w="12646">
              <a:solidFill>
                <a:srgbClr val="000000"/>
              </a:solidFill>
              <a:prstDash val="solid"/>
            </a:ln>
          </c:spPr>
          <c:cat>
            <c:strRef>
              <c:f>Sheet1!$B$1:$C$1</c:f>
              <c:strCache>
                <c:ptCount val="2"/>
                <c:pt idx="0">
                  <c:v>decembrie</c:v>
                </c:pt>
                <c:pt idx="1">
                  <c:v>ianuarie</c:v>
                </c:pt>
              </c:strCache>
            </c:strRef>
          </c:cat>
          <c:val>
            <c:numRef>
              <c:f>Sheet1!$B$3:$C$3</c:f>
              <c:numCache>
                <c:formatCode>0.0</c:formatCode>
                <c:ptCount val="2"/>
                <c:pt idx="0">
                  <c:v>176</c:v>
                </c:pt>
                <c:pt idx="1">
                  <c:v>189.7</c:v>
                </c:pt>
              </c:numCache>
            </c:numRef>
          </c:val>
        </c:ser>
        <c:gapWidth val="399"/>
        <c:axId val="173331584"/>
        <c:axId val="173333120"/>
      </c:barChart>
      <c:lineChart>
        <c:grouping val="standard"/>
        <c:ser>
          <c:idx val="2"/>
          <c:order val="2"/>
          <c:tx>
            <c:strRef>
              <c:f>Sheet1!#REF!</c:f>
              <c:strCache>
                <c:ptCount val="1"/>
                <c:pt idx="0">
                  <c:v>#REF!</c:v>
                </c:pt>
              </c:strCache>
            </c:strRef>
          </c:tx>
          <c:spPr>
            <a:ln w="37937">
              <a:solidFill>
                <a:srgbClr val="FF0000"/>
              </a:solidFill>
              <a:prstDash val="solid"/>
            </a:ln>
          </c:spPr>
          <c:marker>
            <c:symbol val="none"/>
          </c:marker>
          <c:cat>
            <c:strRef>
              <c:f>Sheet1!$B$1:$C$1</c:f>
              <c:strCache>
                <c:ptCount val="2"/>
                <c:pt idx="0">
                  <c:v>decembrie</c:v>
                </c:pt>
                <c:pt idx="1">
                  <c:v>ianuarie</c:v>
                </c:pt>
              </c:strCache>
            </c:strRef>
          </c:cat>
          <c:val>
            <c:numRef>
              <c:f>Sheet1!#REF!</c:f>
              <c:numCache>
                <c:formatCode>General</c:formatCode>
                <c:ptCount val="1"/>
                <c:pt idx="0">
                  <c:v>1</c:v>
                </c:pt>
              </c:numCache>
            </c:numRef>
          </c:val>
        </c:ser>
        <c:marker val="1"/>
        <c:axId val="173331584"/>
        <c:axId val="173333120"/>
      </c:lineChart>
      <c:catAx>
        <c:axId val="173331584"/>
        <c:scaling>
          <c:orientation val="minMax"/>
        </c:scaling>
        <c:axPos val="b"/>
        <c:numFmt formatCode="General" sourceLinked="1"/>
        <c:tickLblPos val="nextTo"/>
        <c:spPr>
          <a:ln w="3161">
            <a:solidFill>
              <a:srgbClr val="000000"/>
            </a:solidFill>
            <a:prstDash val="solid"/>
          </a:ln>
        </c:spPr>
        <c:txPr>
          <a:bodyPr rot="0" vert="horz"/>
          <a:lstStyle/>
          <a:p>
            <a:pPr>
              <a:defRPr lang="ro-RO"/>
            </a:pPr>
            <a:endParaRPr lang="ro-RO"/>
          </a:p>
        </c:txPr>
        <c:crossAx val="173333120"/>
        <c:crosses val="autoZero"/>
        <c:auto val="1"/>
        <c:lblAlgn val="ctr"/>
        <c:lblOffset val="100"/>
        <c:tickLblSkip val="1"/>
        <c:tickMarkSkip val="1"/>
      </c:catAx>
      <c:valAx>
        <c:axId val="173333120"/>
        <c:scaling>
          <c:orientation val="minMax"/>
          <c:max val="1000"/>
          <c:min val="0"/>
        </c:scaling>
        <c:axPos val="l"/>
        <c:majorGridlines>
          <c:spPr>
            <a:ln w="3161">
              <a:solidFill>
                <a:srgbClr val="000000"/>
              </a:solidFill>
              <a:prstDash val="solid"/>
            </a:ln>
          </c:spPr>
        </c:majorGridlines>
        <c:title>
          <c:tx>
            <c:rich>
              <a:bodyPr rot="0" vert="horz"/>
              <a:lstStyle/>
              <a:p>
                <a:pPr algn="ctr">
                  <a:defRPr lang="ro-RO"/>
                </a:pPr>
                <a:r>
                  <a:rPr lang="ro-RO"/>
                  <a:t>Bq/m</a:t>
                </a:r>
                <a:r>
                  <a:rPr lang="ro-RO" baseline="30000"/>
                  <a:t>3</a:t>
                </a:r>
              </a:p>
            </c:rich>
          </c:tx>
          <c:layout>
            <c:manualLayout>
              <c:xMode val="edge"/>
              <c:yMode val="edge"/>
              <c:x val="3.9513979671461892E-3"/>
              <c:y val="6.3927709305677496E-2"/>
            </c:manualLayout>
          </c:layout>
          <c:spPr>
            <a:noFill/>
            <a:ln w="25291">
              <a:noFill/>
            </a:ln>
          </c:spPr>
        </c:title>
        <c:numFmt formatCode="0" sourceLinked="0"/>
        <c:tickLblPos val="nextTo"/>
        <c:spPr>
          <a:ln w="3161">
            <a:solidFill>
              <a:srgbClr val="000000"/>
            </a:solidFill>
            <a:prstDash val="solid"/>
          </a:ln>
        </c:spPr>
        <c:txPr>
          <a:bodyPr rot="0" vert="horz"/>
          <a:lstStyle/>
          <a:p>
            <a:pPr>
              <a:defRPr lang="ro-RO"/>
            </a:pPr>
            <a:endParaRPr lang="ro-RO"/>
          </a:p>
        </c:txPr>
        <c:crossAx val="173331584"/>
        <c:crosses val="autoZero"/>
        <c:crossBetween val="between"/>
        <c:majorUnit val="250"/>
        <c:minorUnit val="250"/>
      </c:valAx>
      <c:spPr>
        <a:solidFill>
          <a:srgbClr val="FFFFFF"/>
        </a:solidFill>
        <a:ln w="3161">
          <a:solidFill>
            <a:srgbClr val="000000"/>
          </a:solidFill>
          <a:prstDash val="solid"/>
        </a:ln>
      </c:spPr>
    </c:plotArea>
    <c:legend>
      <c:legendPos val="b"/>
      <c:legendEntry>
        <c:idx val="2"/>
        <c:delete val="1"/>
      </c:legendEntry>
      <c:layout>
        <c:manualLayout>
          <c:xMode val="edge"/>
          <c:yMode val="edge"/>
          <c:x val="0.22313599376919291"/>
          <c:y val="0.80195288657925268"/>
          <c:w val="0.76062923495585077"/>
          <c:h val="0.1980474066065484"/>
        </c:manualLayout>
      </c:layout>
      <c:txPr>
        <a:bodyPr/>
        <a:lstStyle/>
        <a:p>
          <a:pPr>
            <a:defRPr lang="ro-RO"/>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0.23726067823611588"/>
          <c:y val="5.8716371391077014E-2"/>
          <c:w val="0.59013280056410855"/>
          <c:h val="0.5873879265091867"/>
        </c:manualLayout>
      </c:layout>
      <c:barChart>
        <c:barDir val="col"/>
        <c:grouping val="clustered"/>
        <c:ser>
          <c:idx val="0"/>
          <c:order val="0"/>
          <c:tx>
            <c:strRef>
              <c:f>Sheet1!$A$2</c:f>
              <c:strCache>
                <c:ptCount val="1"/>
                <c:pt idx="0">
                  <c:v>Media lunară </c:v>
                </c:pt>
              </c:strCache>
            </c:strRef>
          </c:tx>
          <c:spPr>
            <a:solidFill>
              <a:srgbClr val="FF9900"/>
            </a:solidFill>
            <a:ln w="12694">
              <a:noFill/>
              <a:prstDash val="solid"/>
            </a:ln>
          </c:spPr>
          <c:cat>
            <c:strRef>
              <c:f>Sheet1!$B$1:$C$1</c:f>
              <c:strCache>
                <c:ptCount val="2"/>
                <c:pt idx="0">
                  <c:v>decembrie</c:v>
                </c:pt>
                <c:pt idx="1">
                  <c:v>ianuarie</c:v>
                </c:pt>
              </c:strCache>
            </c:strRef>
          </c:cat>
          <c:val>
            <c:numRef>
              <c:f>Sheet1!$B$2:$C$2</c:f>
              <c:numCache>
                <c:formatCode>0.0</c:formatCode>
                <c:ptCount val="2"/>
                <c:pt idx="0">
                  <c:v>419.8</c:v>
                </c:pt>
                <c:pt idx="1">
                  <c:v>628</c:v>
                </c:pt>
              </c:numCache>
            </c:numRef>
          </c:val>
        </c:ser>
        <c:ser>
          <c:idx val="1"/>
          <c:order val="1"/>
          <c:tx>
            <c:strRef>
              <c:f>Sheet1!$A$3</c:f>
              <c:strCache>
                <c:ptCount val="1"/>
                <c:pt idx="0">
                  <c:v>Maxima lunară </c:v>
                </c:pt>
              </c:strCache>
            </c:strRef>
          </c:tx>
          <c:spPr>
            <a:solidFill>
              <a:srgbClr val="993300"/>
            </a:solidFill>
            <a:ln w="12694">
              <a:noFill/>
              <a:prstDash val="solid"/>
            </a:ln>
          </c:spPr>
          <c:cat>
            <c:strRef>
              <c:f>Sheet1!$B$1:$C$1</c:f>
              <c:strCache>
                <c:ptCount val="2"/>
                <c:pt idx="0">
                  <c:v>decembrie</c:v>
                </c:pt>
                <c:pt idx="1">
                  <c:v>ianuarie</c:v>
                </c:pt>
              </c:strCache>
            </c:strRef>
          </c:cat>
          <c:val>
            <c:numRef>
              <c:f>Sheet1!$B$3:$C$3</c:f>
              <c:numCache>
                <c:formatCode>General</c:formatCode>
                <c:ptCount val="2"/>
                <c:pt idx="0">
                  <c:v>540.1</c:v>
                </c:pt>
                <c:pt idx="1">
                  <c:v>703.4</c:v>
                </c:pt>
              </c:numCache>
            </c:numRef>
          </c:val>
        </c:ser>
        <c:gapWidth val="500"/>
        <c:axId val="175578496"/>
        <c:axId val="175596672"/>
      </c:barChart>
      <c:catAx>
        <c:axId val="175578496"/>
        <c:scaling>
          <c:orientation val="minMax"/>
        </c:scaling>
        <c:axPos val="b"/>
        <c:numFmt formatCode="General" sourceLinked="1"/>
        <c:tickLblPos val="nextTo"/>
        <c:spPr>
          <a:ln w="3173">
            <a:solidFill>
              <a:schemeClr val="bg1">
                <a:lumMod val="65000"/>
              </a:schemeClr>
            </a:solidFill>
            <a:prstDash val="solid"/>
          </a:ln>
        </c:spPr>
        <c:txPr>
          <a:bodyPr rot="0" vert="horz"/>
          <a:lstStyle/>
          <a:p>
            <a:pPr>
              <a:defRPr lang="ro-RO"/>
            </a:pPr>
            <a:endParaRPr lang="ro-RO"/>
          </a:p>
        </c:txPr>
        <c:crossAx val="175596672"/>
        <c:crosses val="autoZero"/>
        <c:auto val="1"/>
        <c:lblAlgn val="ctr"/>
        <c:lblOffset val="100"/>
        <c:tickLblSkip val="1"/>
        <c:tickMarkSkip val="1"/>
      </c:catAx>
      <c:valAx>
        <c:axId val="175596672"/>
        <c:scaling>
          <c:orientation val="minMax"/>
          <c:max val="1500"/>
          <c:min val="0"/>
        </c:scaling>
        <c:axPos val="l"/>
        <c:majorGridlines>
          <c:spPr>
            <a:ln w="3173">
              <a:solidFill>
                <a:schemeClr val="bg1">
                  <a:lumMod val="65000"/>
                </a:schemeClr>
              </a:solidFill>
              <a:prstDash val="solid"/>
            </a:ln>
          </c:spPr>
        </c:majorGridlines>
        <c:title>
          <c:tx>
            <c:rich>
              <a:bodyPr rot="0" vert="horz"/>
              <a:lstStyle/>
              <a:p>
                <a:pPr algn="ctr">
                  <a:defRPr lang="ro-RO"/>
                </a:pPr>
                <a:r>
                  <a:rPr lang="ro-RO"/>
                  <a:t>Bq/kg m.u.</a:t>
                </a:r>
              </a:p>
            </c:rich>
          </c:tx>
          <c:layout>
            <c:manualLayout>
              <c:xMode val="edge"/>
              <c:yMode val="edge"/>
              <c:x val="1.1520737327189261E-2"/>
              <c:y val="7.0422535211267623E-2"/>
            </c:manualLayout>
          </c:layout>
          <c:spPr>
            <a:noFill/>
            <a:ln w="25387">
              <a:noFill/>
            </a:ln>
          </c:spPr>
        </c:title>
        <c:numFmt formatCode="0" sourceLinked="0"/>
        <c:tickLblPos val="nextTo"/>
        <c:spPr>
          <a:ln>
            <a:solidFill>
              <a:schemeClr val="bg1">
                <a:lumMod val="65000"/>
              </a:schemeClr>
            </a:solidFill>
          </a:ln>
        </c:spPr>
        <c:txPr>
          <a:bodyPr rot="0" vert="horz"/>
          <a:lstStyle/>
          <a:p>
            <a:pPr>
              <a:defRPr lang="ro-RO"/>
            </a:pPr>
            <a:endParaRPr lang="ro-RO"/>
          </a:p>
        </c:txPr>
        <c:crossAx val="175578496"/>
        <c:crosses val="autoZero"/>
        <c:crossBetween val="between"/>
        <c:majorUnit val="500"/>
      </c:valAx>
      <c:spPr>
        <a:solidFill>
          <a:srgbClr val="FFFFFF"/>
        </a:solidFill>
        <a:ln>
          <a:solidFill>
            <a:sysClr val="window" lastClr="FFFFFF">
              <a:lumMod val="65000"/>
            </a:sysClr>
          </a:solidFill>
        </a:ln>
      </c:spPr>
    </c:plotArea>
    <c:legend>
      <c:legendPos val="b"/>
      <c:layout>
        <c:manualLayout>
          <c:xMode val="edge"/>
          <c:yMode val="edge"/>
          <c:x val="0.17017687474380117"/>
          <c:y val="0.81780429790026243"/>
          <c:w val="0.74056103126969264"/>
          <c:h val="0.18219527559055121"/>
        </c:manualLayout>
      </c:layout>
      <c:txPr>
        <a:bodyPr/>
        <a:lstStyle/>
        <a:p>
          <a:pPr>
            <a:defRPr lang="ro-RO"/>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lgn="ctr" rtl="0">
              <a:defRPr lang="en-GB"/>
            </a:pPr>
            <a:r>
              <a:rPr lang="ro-RO"/>
              <a:t> µg/m³ </a:t>
            </a:r>
          </a:p>
          <a:p>
            <a:pPr algn="ctr" rtl="0">
              <a:defRPr lang="en-GB"/>
            </a:pPr>
            <a:endParaRPr lang="ro-RO"/>
          </a:p>
        </c:rich>
      </c:tx>
      <c:layout>
        <c:manualLayout>
          <c:xMode val="edge"/>
          <c:yMode val="edge"/>
          <c:x val="2.8723271893496246E-4"/>
          <c:y val="7.4833669047195545E-2"/>
        </c:manualLayout>
      </c:layout>
    </c:title>
    <c:plotArea>
      <c:layout>
        <c:manualLayout>
          <c:layoutTarget val="inner"/>
          <c:xMode val="edge"/>
          <c:yMode val="edge"/>
          <c:x val="0.14472294859249518"/>
          <c:y val="5.1066419245365133E-2"/>
          <c:w val="0.49994010488952439"/>
          <c:h val="0.75174025469052552"/>
        </c:manualLayout>
      </c:layout>
      <c:barChart>
        <c:barDir val="col"/>
        <c:grouping val="clustered"/>
        <c:ser>
          <c:idx val="0"/>
          <c:order val="0"/>
          <c:tx>
            <c:strRef>
              <c:f>Sheet1!$A$2</c:f>
              <c:strCache>
                <c:ptCount val="1"/>
                <c:pt idx="0">
                  <c:v>Concentrații maxime zilnice</c:v>
                </c:pt>
              </c:strCache>
            </c:strRef>
          </c:tx>
          <c:spPr>
            <a:solidFill>
              <a:schemeClr val="accent3">
                <a:lumMod val="75000"/>
              </a:schemeClr>
            </a:solidFill>
            <a:ln w="12700">
              <a:solidFill>
                <a:srgbClr val="000000"/>
              </a:solidFill>
              <a:prstDash val="solid"/>
            </a:ln>
          </c:spPr>
          <c:dLbls>
            <c:dLbl>
              <c:idx val="1"/>
              <c:layout>
                <c:manualLayout>
                  <c:x val="0"/>
                  <c:y val="-1.8912529550828241E-2"/>
                </c:manualLayout>
              </c:layout>
              <c:showVal val="1"/>
            </c:dLbl>
            <c:numFmt formatCode="#,##0.0" sourceLinked="0"/>
            <c:txPr>
              <a:bodyPr/>
              <a:lstStyle/>
              <a:p>
                <a:pPr>
                  <a:defRPr lang="en-GB"/>
                </a:pPr>
                <a:endParaRPr lang="ro-RO"/>
              </a:p>
            </c:txPr>
            <c:showVal val="1"/>
          </c:dLbls>
          <c:cat>
            <c:strRef>
              <c:f>Sheet1!$B$1:$E$1</c:f>
              <c:strCache>
                <c:ptCount val="4"/>
                <c:pt idx="0">
                  <c:v>EM3</c:v>
                </c:pt>
                <c:pt idx="1">
                  <c:v>SV1</c:v>
                </c:pt>
                <c:pt idx="2">
                  <c:v>SV2</c:v>
                </c:pt>
                <c:pt idx="3">
                  <c:v>SV3</c:v>
                </c:pt>
              </c:strCache>
            </c:strRef>
          </c:cat>
          <c:val>
            <c:numRef>
              <c:f>Sheet1!$B$2:$E$2</c:f>
              <c:numCache>
                <c:formatCode>General</c:formatCode>
                <c:ptCount val="4"/>
                <c:pt idx="1">
                  <c:v>25.3</c:v>
                </c:pt>
                <c:pt idx="2" formatCode="0.00">
                  <c:v>17.04</c:v>
                </c:pt>
                <c:pt idx="3">
                  <c:v>20.479999999999986</c:v>
                </c:pt>
              </c:numCache>
            </c:numRef>
          </c:val>
        </c:ser>
        <c:gapWidth val="401"/>
        <c:axId val="165807616"/>
        <c:axId val="165809536"/>
      </c:barChart>
      <c:lineChart>
        <c:grouping val="standard"/>
        <c:ser>
          <c:idx val="2"/>
          <c:order val="1"/>
          <c:tx>
            <c:strRef>
              <c:f>Sheet1!$A$3</c:f>
              <c:strCache>
                <c:ptCount val="1"/>
                <c:pt idx="0">
                  <c:v>Valoare limită zilnică</c:v>
                </c:pt>
              </c:strCache>
            </c:strRef>
          </c:tx>
          <c:spPr>
            <a:ln w="63500">
              <a:solidFill>
                <a:srgbClr val="FF0000"/>
              </a:solidFill>
              <a:prstDash val="solid"/>
            </a:ln>
          </c:spPr>
          <c:marker>
            <c:symbol val="square"/>
            <c:size val="5"/>
            <c:spPr>
              <a:noFill/>
              <a:ln w="9525">
                <a:noFill/>
              </a:ln>
            </c:spPr>
          </c:marker>
          <c:cat>
            <c:strRef>
              <c:f>Sheet1!$B$1:$E$1</c:f>
              <c:strCache>
                <c:ptCount val="4"/>
                <c:pt idx="0">
                  <c:v>EM3</c:v>
                </c:pt>
                <c:pt idx="1">
                  <c:v>SV1</c:v>
                </c:pt>
                <c:pt idx="2">
                  <c:v>SV2</c:v>
                </c:pt>
                <c:pt idx="3">
                  <c:v>SV3</c:v>
                </c:pt>
              </c:strCache>
            </c:strRef>
          </c:cat>
          <c:val>
            <c:numRef>
              <c:f>Sheet1!$B$3:$E$3</c:f>
              <c:numCache>
                <c:formatCode>0</c:formatCode>
                <c:ptCount val="4"/>
                <c:pt idx="0" formatCode="General">
                  <c:v>125</c:v>
                </c:pt>
                <c:pt idx="1">
                  <c:v>125</c:v>
                </c:pt>
                <c:pt idx="2" formatCode="General">
                  <c:v>125</c:v>
                </c:pt>
                <c:pt idx="3" formatCode="General">
                  <c:v>125</c:v>
                </c:pt>
              </c:numCache>
            </c:numRef>
          </c:val>
        </c:ser>
        <c:marker val="1"/>
        <c:axId val="165807616"/>
        <c:axId val="165809536"/>
      </c:lineChart>
      <c:catAx>
        <c:axId val="16580761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lang="en-GB"/>
            </a:pPr>
            <a:endParaRPr lang="ro-RO"/>
          </a:p>
        </c:txPr>
        <c:crossAx val="165809536"/>
        <c:crosses val="autoZero"/>
        <c:auto val="1"/>
        <c:lblAlgn val="ctr"/>
        <c:lblOffset val="100"/>
        <c:tickLblSkip val="1"/>
        <c:tickMarkSkip val="1"/>
      </c:catAx>
      <c:valAx>
        <c:axId val="165809536"/>
        <c:scaling>
          <c:orientation val="minMax"/>
          <c:max val="125"/>
          <c:min val="0"/>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lang="en-GB"/>
            </a:pPr>
            <a:endParaRPr lang="ro-RO"/>
          </a:p>
        </c:txPr>
        <c:crossAx val="165807616"/>
        <c:crosses val="autoZero"/>
        <c:crossBetween val="between"/>
        <c:majorUnit val="25"/>
        <c:minorUnit val="0.1"/>
      </c:valAx>
      <c:spPr>
        <a:noFill/>
        <a:ln w="3175">
          <a:solidFill>
            <a:srgbClr val="000000"/>
          </a:solidFill>
          <a:prstDash val="solid"/>
        </a:ln>
      </c:spPr>
    </c:plotArea>
    <c:legend>
      <c:legendPos val="r"/>
      <c:layout>
        <c:manualLayout>
          <c:xMode val="edge"/>
          <c:yMode val="edge"/>
          <c:x val="0.67458256029684549"/>
          <c:y val="0.29337804996602412"/>
          <c:w val="0.32541743970317188"/>
          <c:h val="0.36528091883253438"/>
        </c:manualLayout>
      </c:layout>
      <c:txPr>
        <a:bodyPr/>
        <a:lstStyle/>
        <a:p>
          <a:pPr>
            <a:defRPr lang="en-GB"/>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lgn="ctr" rtl="0">
              <a:defRPr lang="en-GB"/>
            </a:pPr>
            <a:r>
              <a:rPr lang="ro-RO"/>
              <a:t> µg/m³ </a:t>
            </a:r>
          </a:p>
          <a:p>
            <a:pPr algn="ctr" rtl="0">
              <a:defRPr lang="en-GB"/>
            </a:pPr>
            <a:endParaRPr lang="ro-RO"/>
          </a:p>
        </c:rich>
      </c:tx>
      <c:layout>
        <c:manualLayout>
          <c:xMode val="edge"/>
          <c:yMode val="edge"/>
          <c:x val="2.8723271893496246E-4"/>
          <c:y val="7.4833669047195586E-2"/>
        </c:manualLayout>
      </c:layout>
    </c:title>
    <c:plotArea>
      <c:layout>
        <c:manualLayout>
          <c:layoutTarget val="inner"/>
          <c:xMode val="edge"/>
          <c:yMode val="edge"/>
          <c:x val="0.14472294859249535"/>
          <c:y val="4.1920336880966802E-2"/>
          <c:w val="0.42694489980567579"/>
          <c:h val="0.81589858959939165"/>
        </c:manualLayout>
      </c:layout>
      <c:barChart>
        <c:barDir val="col"/>
        <c:grouping val="clustered"/>
        <c:ser>
          <c:idx val="0"/>
          <c:order val="0"/>
          <c:tx>
            <c:strRef>
              <c:f>Sheet1!$A$2</c:f>
              <c:strCache>
                <c:ptCount val="1"/>
                <c:pt idx="0">
                  <c:v>Concentrații  maxime orare</c:v>
                </c:pt>
              </c:strCache>
            </c:strRef>
          </c:tx>
          <c:spPr>
            <a:solidFill>
              <a:schemeClr val="accent3">
                <a:lumMod val="75000"/>
              </a:schemeClr>
            </a:solidFill>
            <a:ln w="12700">
              <a:solidFill>
                <a:srgbClr val="000000"/>
              </a:solidFill>
              <a:prstDash val="solid"/>
            </a:ln>
          </c:spPr>
          <c:dLbls>
            <c:numFmt formatCode="#,##0.0" sourceLinked="0"/>
            <c:txPr>
              <a:bodyPr/>
              <a:lstStyle/>
              <a:p>
                <a:pPr>
                  <a:defRPr lang="en-GB"/>
                </a:pPr>
                <a:endParaRPr lang="ro-RO"/>
              </a:p>
            </c:txPr>
            <c:showVal val="1"/>
          </c:dLbls>
          <c:cat>
            <c:strRef>
              <c:f>Sheet1!$B$1:$D$1</c:f>
              <c:strCache>
                <c:ptCount val="3"/>
                <c:pt idx="0">
                  <c:v>EM3</c:v>
                </c:pt>
                <c:pt idx="1">
                  <c:v>SV1</c:v>
                </c:pt>
                <c:pt idx="2">
                  <c:v>SV2</c:v>
                </c:pt>
              </c:strCache>
            </c:strRef>
          </c:cat>
          <c:val>
            <c:numRef>
              <c:f>Sheet1!$B$2:$D$2</c:f>
              <c:numCache>
                <c:formatCode>General</c:formatCode>
                <c:ptCount val="3"/>
                <c:pt idx="0" formatCode="0.00">
                  <c:v>78.48</c:v>
                </c:pt>
              </c:numCache>
            </c:numRef>
          </c:val>
        </c:ser>
        <c:gapWidth val="401"/>
        <c:axId val="167560704"/>
        <c:axId val="167562240"/>
      </c:barChart>
      <c:lineChart>
        <c:grouping val="standard"/>
        <c:ser>
          <c:idx val="2"/>
          <c:order val="1"/>
          <c:tx>
            <c:strRef>
              <c:f>Sheet1!$A$3</c:f>
              <c:strCache>
                <c:ptCount val="1"/>
                <c:pt idx="0">
                  <c:v>Prag informare public</c:v>
                </c:pt>
              </c:strCache>
            </c:strRef>
          </c:tx>
          <c:spPr>
            <a:ln w="38101">
              <a:solidFill>
                <a:srgbClr val="FFC000"/>
              </a:solidFill>
              <a:prstDash val="solid"/>
            </a:ln>
          </c:spPr>
          <c:marker>
            <c:symbol val="square"/>
            <c:size val="5"/>
            <c:spPr>
              <a:noFill/>
              <a:ln w="9525">
                <a:noFill/>
              </a:ln>
            </c:spPr>
          </c:marker>
          <c:cat>
            <c:strRef>
              <c:f>Sheet1!$B$1:$D$1</c:f>
              <c:strCache>
                <c:ptCount val="3"/>
                <c:pt idx="0">
                  <c:v>EM3</c:v>
                </c:pt>
                <c:pt idx="1">
                  <c:v>SV1</c:v>
                </c:pt>
                <c:pt idx="2">
                  <c:v>SV2</c:v>
                </c:pt>
              </c:strCache>
            </c:strRef>
          </c:cat>
          <c:val>
            <c:numRef>
              <c:f>Sheet1!$B$3:$D$3</c:f>
              <c:numCache>
                <c:formatCode>General</c:formatCode>
                <c:ptCount val="3"/>
                <c:pt idx="0">
                  <c:v>180</c:v>
                </c:pt>
                <c:pt idx="1">
                  <c:v>180</c:v>
                </c:pt>
                <c:pt idx="2">
                  <c:v>180</c:v>
                </c:pt>
              </c:numCache>
            </c:numRef>
          </c:val>
        </c:ser>
        <c:ser>
          <c:idx val="1"/>
          <c:order val="2"/>
          <c:tx>
            <c:strRef>
              <c:f>Sheet1!$A$4</c:f>
              <c:strCache>
                <c:ptCount val="1"/>
                <c:pt idx="0">
                  <c:v>Prag de alertă</c:v>
                </c:pt>
              </c:strCache>
            </c:strRef>
          </c:tx>
          <c:spPr>
            <a:ln w="63500">
              <a:solidFill>
                <a:srgbClr val="FF0000"/>
              </a:solidFill>
            </a:ln>
          </c:spPr>
          <c:marker>
            <c:symbol val="none"/>
          </c:marker>
          <c:cat>
            <c:strRef>
              <c:f>Sheet1!$B$1:$D$1</c:f>
              <c:strCache>
                <c:ptCount val="3"/>
                <c:pt idx="0">
                  <c:v>EM3</c:v>
                </c:pt>
                <c:pt idx="1">
                  <c:v>SV1</c:v>
                </c:pt>
                <c:pt idx="2">
                  <c:v>SV2</c:v>
                </c:pt>
              </c:strCache>
            </c:strRef>
          </c:cat>
          <c:val>
            <c:numRef>
              <c:f>Sheet1!$B$4:$D$4</c:f>
              <c:numCache>
                <c:formatCode>General</c:formatCode>
                <c:ptCount val="3"/>
                <c:pt idx="0">
                  <c:v>240</c:v>
                </c:pt>
                <c:pt idx="1">
                  <c:v>240</c:v>
                </c:pt>
                <c:pt idx="2">
                  <c:v>240</c:v>
                </c:pt>
              </c:numCache>
            </c:numRef>
          </c:val>
        </c:ser>
        <c:marker val="1"/>
        <c:axId val="167560704"/>
        <c:axId val="167562240"/>
      </c:lineChart>
      <c:catAx>
        <c:axId val="167560704"/>
        <c:scaling>
          <c:orientation val="minMax"/>
        </c:scaling>
        <c:axPos val="b"/>
        <c:numFmt formatCode="General" sourceLinked="1"/>
        <c:majorTickMark val="none"/>
        <c:tickLblPos val="nextTo"/>
        <c:spPr>
          <a:ln w="3175">
            <a:solidFill>
              <a:srgbClr val="000000"/>
            </a:solidFill>
            <a:prstDash val="solid"/>
          </a:ln>
        </c:spPr>
        <c:txPr>
          <a:bodyPr rot="0" vert="horz"/>
          <a:lstStyle/>
          <a:p>
            <a:pPr>
              <a:defRPr lang="en-GB"/>
            </a:pPr>
            <a:endParaRPr lang="ro-RO"/>
          </a:p>
        </c:txPr>
        <c:crossAx val="167562240"/>
        <c:crosses val="autoZero"/>
        <c:auto val="1"/>
        <c:lblAlgn val="ctr"/>
        <c:lblOffset val="100"/>
        <c:tickLblSkip val="1"/>
        <c:tickMarkSkip val="1"/>
      </c:catAx>
      <c:valAx>
        <c:axId val="167562240"/>
        <c:scaling>
          <c:orientation val="minMax"/>
          <c:max val="240"/>
          <c:min val="0"/>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lang="en-GB"/>
            </a:pPr>
            <a:endParaRPr lang="ro-RO"/>
          </a:p>
        </c:txPr>
        <c:crossAx val="167560704"/>
        <c:crosses val="autoZero"/>
        <c:crossBetween val="between"/>
        <c:majorUnit val="60"/>
        <c:minorUnit val="0.1"/>
      </c:valAx>
      <c:spPr>
        <a:noFill/>
        <a:ln w="3175">
          <a:solidFill>
            <a:srgbClr val="000000"/>
          </a:solidFill>
          <a:prstDash val="solid"/>
        </a:ln>
      </c:spPr>
    </c:plotArea>
    <c:legend>
      <c:legendPos val="r"/>
      <c:layout>
        <c:manualLayout>
          <c:xMode val="edge"/>
          <c:yMode val="edge"/>
          <c:x val="0.65508221892738761"/>
          <c:y val="0.1235267566076646"/>
          <c:w val="0.325783668812474"/>
          <c:h val="0.70359730511393059"/>
        </c:manualLayout>
      </c:layout>
      <c:spPr>
        <a:ln>
          <a:noFill/>
        </a:ln>
      </c:spPr>
      <c:txPr>
        <a:bodyPr/>
        <a:lstStyle/>
        <a:p>
          <a:pPr>
            <a:defRPr lang="en-GB"/>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lgn="ctr" rtl="0">
              <a:defRPr lang="en-GB"/>
            </a:pPr>
            <a:r>
              <a:rPr lang="ro-RO"/>
              <a:t> µg/m³ </a:t>
            </a:r>
          </a:p>
          <a:p>
            <a:pPr algn="ctr" rtl="0">
              <a:defRPr lang="en-GB"/>
            </a:pPr>
            <a:endParaRPr lang="ro-RO"/>
          </a:p>
        </c:rich>
      </c:tx>
      <c:layout>
        <c:manualLayout>
          <c:xMode val="edge"/>
          <c:yMode val="edge"/>
          <c:x val="2.8723271893496246E-4"/>
          <c:y val="7.4833669047195628E-2"/>
        </c:manualLayout>
      </c:layout>
    </c:title>
    <c:plotArea>
      <c:layout>
        <c:manualLayout>
          <c:layoutTarget val="inner"/>
          <c:xMode val="edge"/>
          <c:yMode val="edge"/>
          <c:x val="0.14472294859249549"/>
          <c:y val="5.9558988247488433E-2"/>
          <c:w val="0.42572860210655838"/>
          <c:h val="0.72650565738106265"/>
        </c:manualLayout>
      </c:layout>
      <c:barChart>
        <c:barDir val="col"/>
        <c:grouping val="clustered"/>
        <c:ser>
          <c:idx val="0"/>
          <c:order val="0"/>
          <c:tx>
            <c:strRef>
              <c:f>Sheet1!$A$2</c:f>
              <c:strCache>
                <c:ptCount val="1"/>
                <c:pt idx="0">
                  <c:v>Valoarea max. zilnică a mediilor de 8 ore</c:v>
                </c:pt>
              </c:strCache>
            </c:strRef>
          </c:tx>
          <c:spPr>
            <a:solidFill>
              <a:schemeClr val="accent3">
                <a:lumMod val="75000"/>
              </a:schemeClr>
            </a:solidFill>
            <a:ln w="12700">
              <a:solidFill>
                <a:srgbClr val="000000"/>
              </a:solidFill>
              <a:prstDash val="solid"/>
            </a:ln>
          </c:spPr>
          <c:dLbls>
            <c:dLbl>
              <c:idx val="0"/>
              <c:layout>
                <c:manualLayout>
                  <c:x val="-3.9800995024877862E-2"/>
                  <c:y val="7.124681933842239E-2"/>
                </c:manualLayout>
              </c:layout>
              <c:dLblPos val="outEnd"/>
              <c:showVal val="1"/>
            </c:dLbl>
            <c:dLbl>
              <c:idx val="1"/>
              <c:layout>
                <c:manualLayout>
                  <c:x val="-4.2012161415149941E-2"/>
                  <c:y val="0.14249363867684794"/>
                </c:manualLayout>
              </c:layout>
              <c:dLblPos val="outEnd"/>
              <c:showVal val="1"/>
            </c:dLbl>
            <c:dLbl>
              <c:idx val="2"/>
              <c:layout>
                <c:manualLayout>
                  <c:x val="-4.6434494195688514E-2"/>
                  <c:y val="0.16224800144257595"/>
                </c:manualLayout>
              </c:layout>
              <c:dLblPos val="outEnd"/>
              <c:showVal val="1"/>
            </c:dLbl>
            <c:numFmt formatCode="#,##0.0" sourceLinked="0"/>
            <c:txPr>
              <a:bodyPr/>
              <a:lstStyle/>
              <a:p>
                <a:pPr>
                  <a:defRPr lang="en-GB"/>
                </a:pPr>
                <a:endParaRPr lang="ro-RO"/>
              </a:p>
            </c:txPr>
            <c:dLblPos val="outEnd"/>
            <c:showVal val="1"/>
          </c:dLbls>
          <c:cat>
            <c:strRef>
              <c:f>Sheet1!$B$1:$D$1</c:f>
              <c:strCache>
                <c:ptCount val="3"/>
                <c:pt idx="0">
                  <c:v>EM3</c:v>
                </c:pt>
                <c:pt idx="1">
                  <c:v>SV1</c:v>
                </c:pt>
                <c:pt idx="2">
                  <c:v>SV2</c:v>
                </c:pt>
              </c:strCache>
            </c:strRef>
          </c:cat>
          <c:val>
            <c:numRef>
              <c:f>Sheet1!$B$2:$D$2</c:f>
              <c:numCache>
                <c:formatCode>General</c:formatCode>
                <c:ptCount val="3"/>
                <c:pt idx="0" formatCode="0.00">
                  <c:v>73.86</c:v>
                </c:pt>
              </c:numCache>
            </c:numRef>
          </c:val>
        </c:ser>
        <c:gapWidth val="401"/>
        <c:axId val="166014976"/>
        <c:axId val="166016896"/>
      </c:barChart>
      <c:lineChart>
        <c:grouping val="standard"/>
        <c:ser>
          <c:idx val="2"/>
          <c:order val="1"/>
          <c:tx>
            <c:strRef>
              <c:f>Sheet1!$A$3</c:f>
              <c:strCache>
                <c:ptCount val="1"/>
                <c:pt idx="0">
                  <c:v>Valoarea ţinta zilnică</c:v>
                </c:pt>
              </c:strCache>
            </c:strRef>
          </c:tx>
          <c:spPr>
            <a:ln w="38100">
              <a:solidFill>
                <a:srgbClr val="FF0000"/>
              </a:solidFill>
              <a:prstDash val="solid"/>
            </a:ln>
          </c:spPr>
          <c:marker>
            <c:symbol val="square"/>
            <c:size val="5"/>
            <c:spPr>
              <a:noFill/>
              <a:ln w="9525">
                <a:noFill/>
              </a:ln>
            </c:spPr>
          </c:marker>
          <c:cat>
            <c:strRef>
              <c:f>Sheet1!$B$1:$D$1</c:f>
              <c:strCache>
                <c:ptCount val="3"/>
                <c:pt idx="0">
                  <c:v>EM3</c:v>
                </c:pt>
                <c:pt idx="1">
                  <c:v>SV1</c:v>
                </c:pt>
                <c:pt idx="2">
                  <c:v>SV2</c:v>
                </c:pt>
              </c:strCache>
            </c:strRef>
          </c:cat>
          <c:val>
            <c:numRef>
              <c:f>Sheet1!$B$3:$D$3</c:f>
              <c:numCache>
                <c:formatCode>General</c:formatCode>
                <c:ptCount val="3"/>
                <c:pt idx="0">
                  <c:v>120</c:v>
                </c:pt>
                <c:pt idx="1">
                  <c:v>120</c:v>
                </c:pt>
                <c:pt idx="2">
                  <c:v>120</c:v>
                </c:pt>
              </c:numCache>
            </c:numRef>
          </c:val>
        </c:ser>
        <c:marker val="1"/>
        <c:axId val="166014976"/>
        <c:axId val="166016896"/>
      </c:lineChart>
      <c:catAx>
        <c:axId val="16601497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lang="en-GB"/>
            </a:pPr>
            <a:endParaRPr lang="ro-RO"/>
          </a:p>
        </c:txPr>
        <c:crossAx val="166016896"/>
        <c:crosses val="autoZero"/>
        <c:auto val="1"/>
        <c:lblAlgn val="ctr"/>
        <c:lblOffset val="100"/>
        <c:tickLblSkip val="1"/>
        <c:tickMarkSkip val="1"/>
      </c:catAx>
      <c:valAx>
        <c:axId val="166016896"/>
        <c:scaling>
          <c:orientation val="minMax"/>
          <c:max val="160"/>
          <c:min val="0"/>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lang="en-GB"/>
            </a:pPr>
            <a:endParaRPr lang="ro-RO"/>
          </a:p>
        </c:txPr>
        <c:crossAx val="166014976"/>
        <c:crosses val="autoZero"/>
        <c:crossBetween val="between"/>
        <c:majorUnit val="40"/>
        <c:minorUnit val="0.1"/>
      </c:valAx>
      <c:spPr>
        <a:noFill/>
        <a:ln w="3175">
          <a:solidFill>
            <a:srgbClr val="000000"/>
          </a:solidFill>
          <a:prstDash val="solid"/>
        </a:ln>
      </c:spPr>
    </c:plotArea>
    <c:legend>
      <c:legendPos val="r"/>
      <c:layout>
        <c:manualLayout>
          <c:xMode val="edge"/>
          <c:yMode val="edge"/>
          <c:x val="0.57563388991960418"/>
          <c:y val="0.2933780499660244"/>
          <c:w val="0.42436611008039582"/>
          <c:h val="0.39768188976383512"/>
        </c:manualLayout>
      </c:layout>
      <c:txPr>
        <a:bodyPr/>
        <a:lstStyle/>
        <a:p>
          <a:pPr>
            <a:defRPr lang="en-GB"/>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0.1447229485924956"/>
          <c:y val="5.9558988247488433E-2"/>
          <c:w val="0.43533888895983497"/>
          <c:h val="0.76678756064582865"/>
        </c:manualLayout>
      </c:layout>
      <c:barChart>
        <c:barDir val="col"/>
        <c:grouping val="clustered"/>
        <c:ser>
          <c:idx val="0"/>
          <c:order val="0"/>
          <c:tx>
            <c:strRef>
              <c:f>Sheet1!$A$2</c:f>
              <c:strCache>
                <c:ptCount val="1"/>
                <c:pt idx="0">
                  <c:v>Valoarea max. zilnică a mediilor de 8 ore</c:v>
                </c:pt>
              </c:strCache>
            </c:strRef>
          </c:tx>
          <c:spPr>
            <a:solidFill>
              <a:schemeClr val="accent3">
                <a:lumMod val="75000"/>
              </a:schemeClr>
            </a:solidFill>
            <a:ln w="12700">
              <a:solidFill>
                <a:srgbClr val="000000"/>
              </a:solidFill>
              <a:prstDash val="solid"/>
            </a:ln>
          </c:spPr>
          <c:dLbls>
            <c:dLbl>
              <c:idx val="2"/>
              <c:layout>
                <c:manualLayout>
                  <c:x val="0"/>
                  <c:y val="-2.0833333333333412E-2"/>
                </c:manualLayout>
              </c:layout>
              <c:showVal val="1"/>
            </c:dLbl>
            <c:numFmt formatCode="#,##0.00" sourceLinked="0"/>
            <c:txPr>
              <a:bodyPr/>
              <a:lstStyle/>
              <a:p>
                <a:pPr>
                  <a:defRPr lang="en-GB"/>
                </a:pPr>
                <a:endParaRPr lang="ro-RO"/>
              </a:p>
            </c:txPr>
            <c:showVal val="1"/>
          </c:dLbls>
          <c:cat>
            <c:strRef>
              <c:f>Sheet1!$B$1:$E$1</c:f>
              <c:strCache>
                <c:ptCount val="4"/>
                <c:pt idx="0">
                  <c:v>EM3</c:v>
                </c:pt>
                <c:pt idx="1">
                  <c:v>SV1</c:v>
                </c:pt>
                <c:pt idx="2">
                  <c:v>SV2</c:v>
                </c:pt>
                <c:pt idx="3">
                  <c:v>SV3</c:v>
                </c:pt>
              </c:strCache>
            </c:strRef>
          </c:cat>
          <c:val>
            <c:numRef>
              <c:f>Sheet1!$B$2:$E$2</c:f>
              <c:numCache>
                <c:formatCode>General</c:formatCode>
                <c:ptCount val="4"/>
                <c:pt idx="0" formatCode="0.00">
                  <c:v>1.25</c:v>
                </c:pt>
                <c:pt idx="1">
                  <c:v>0.78</c:v>
                </c:pt>
                <c:pt idx="2" formatCode="0.00">
                  <c:v>3.53</c:v>
                </c:pt>
                <c:pt idx="3">
                  <c:v>3.51</c:v>
                </c:pt>
              </c:numCache>
            </c:numRef>
          </c:val>
        </c:ser>
        <c:gapWidth val="401"/>
        <c:axId val="166681216"/>
        <c:axId val="166683392"/>
      </c:barChart>
      <c:lineChart>
        <c:grouping val="standard"/>
        <c:ser>
          <c:idx val="2"/>
          <c:order val="1"/>
          <c:tx>
            <c:strRef>
              <c:f>Sheet1!$A$3</c:f>
              <c:strCache>
                <c:ptCount val="1"/>
                <c:pt idx="0">
                  <c:v>Valoarea limită zilnică</c:v>
                </c:pt>
              </c:strCache>
            </c:strRef>
          </c:tx>
          <c:spPr>
            <a:ln w="63500">
              <a:solidFill>
                <a:srgbClr val="FF0000"/>
              </a:solidFill>
              <a:prstDash val="solid"/>
            </a:ln>
          </c:spPr>
          <c:marker>
            <c:symbol val="square"/>
            <c:size val="5"/>
            <c:spPr>
              <a:noFill/>
              <a:ln w="9525">
                <a:noFill/>
              </a:ln>
            </c:spPr>
          </c:marker>
          <c:cat>
            <c:strRef>
              <c:f>Sheet1!$B$1:$E$1</c:f>
              <c:strCache>
                <c:ptCount val="4"/>
                <c:pt idx="0">
                  <c:v>EM3</c:v>
                </c:pt>
                <c:pt idx="1">
                  <c:v>SV1</c:v>
                </c:pt>
                <c:pt idx="2">
                  <c:v>SV2</c:v>
                </c:pt>
                <c:pt idx="3">
                  <c:v>SV3</c:v>
                </c:pt>
              </c:strCache>
            </c:strRef>
          </c:cat>
          <c:val>
            <c:numRef>
              <c:f>Sheet1!$B$3:$E$3</c:f>
              <c:numCache>
                <c:formatCode>General</c:formatCode>
                <c:ptCount val="4"/>
                <c:pt idx="0">
                  <c:v>10</c:v>
                </c:pt>
                <c:pt idx="1">
                  <c:v>10</c:v>
                </c:pt>
                <c:pt idx="2">
                  <c:v>10</c:v>
                </c:pt>
                <c:pt idx="3">
                  <c:v>10</c:v>
                </c:pt>
              </c:numCache>
            </c:numRef>
          </c:val>
        </c:ser>
        <c:marker val="1"/>
        <c:axId val="166681216"/>
        <c:axId val="166683392"/>
      </c:lineChart>
      <c:catAx>
        <c:axId val="16668121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lang="en-GB"/>
            </a:pPr>
            <a:endParaRPr lang="ro-RO"/>
          </a:p>
        </c:txPr>
        <c:crossAx val="166683392"/>
        <c:crosses val="autoZero"/>
        <c:auto val="1"/>
        <c:lblAlgn val="ctr"/>
        <c:lblOffset val="100"/>
        <c:tickLblSkip val="1"/>
        <c:tickMarkSkip val="1"/>
      </c:catAx>
      <c:valAx>
        <c:axId val="166683392"/>
        <c:scaling>
          <c:orientation val="minMax"/>
          <c:max val="10"/>
          <c:min val="0"/>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lang="en-GB"/>
            </a:pPr>
            <a:endParaRPr lang="ro-RO"/>
          </a:p>
        </c:txPr>
        <c:crossAx val="166681216"/>
        <c:crosses val="autoZero"/>
        <c:crossBetween val="between"/>
        <c:majorUnit val="2"/>
        <c:minorUnit val="0.1"/>
      </c:valAx>
      <c:spPr>
        <a:noFill/>
        <a:ln w="3175">
          <a:solidFill>
            <a:srgbClr val="000000"/>
          </a:solidFill>
          <a:prstDash val="solid"/>
        </a:ln>
      </c:spPr>
    </c:plotArea>
    <c:legend>
      <c:legendPos val="r"/>
      <c:layout>
        <c:manualLayout>
          <c:xMode val="edge"/>
          <c:yMode val="edge"/>
          <c:x val="0.60533385339216494"/>
          <c:y val="0.18623547056621237"/>
          <c:w val="0.39220779220783514"/>
          <c:h val="0.46870179689077335"/>
        </c:manualLayout>
      </c:layout>
      <c:txPr>
        <a:bodyPr/>
        <a:lstStyle/>
        <a:p>
          <a:pPr>
            <a:defRPr lang="en-GB"/>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lgn="ctr" rtl="0">
              <a:defRPr lang="en-GB"/>
            </a:pPr>
            <a:r>
              <a:rPr lang="ro-RO"/>
              <a:t> µg/m³ </a:t>
            </a:r>
          </a:p>
          <a:p>
            <a:pPr algn="ctr" rtl="0">
              <a:defRPr lang="en-GB"/>
            </a:pPr>
            <a:endParaRPr lang="ro-RO"/>
          </a:p>
        </c:rich>
      </c:tx>
      <c:layout>
        <c:manualLayout>
          <c:xMode val="edge"/>
          <c:yMode val="edge"/>
          <c:x val="2.8723271893496246E-4"/>
          <c:y val="7.4833669047195683E-2"/>
        </c:manualLayout>
      </c:layout>
    </c:title>
    <c:plotArea>
      <c:layout>
        <c:manualLayout>
          <c:layoutTarget val="inner"/>
          <c:xMode val="edge"/>
          <c:yMode val="edge"/>
          <c:x val="0.22756273886816791"/>
          <c:y val="5.9558988247488433E-2"/>
          <c:w val="0.64250541050791365"/>
          <c:h val="0.72650565738106265"/>
        </c:manualLayout>
      </c:layout>
      <c:barChart>
        <c:barDir val="col"/>
        <c:grouping val="clustered"/>
        <c:ser>
          <c:idx val="0"/>
          <c:order val="0"/>
          <c:tx>
            <c:strRef>
              <c:f>Sheet1!$A$2</c:f>
              <c:strCache>
                <c:ptCount val="1"/>
                <c:pt idx="0">
                  <c:v>Valoarea medie lunară</c:v>
                </c:pt>
              </c:strCache>
            </c:strRef>
          </c:tx>
          <c:spPr>
            <a:solidFill>
              <a:schemeClr val="accent3">
                <a:lumMod val="75000"/>
              </a:schemeClr>
            </a:solidFill>
            <a:ln w="12700">
              <a:solidFill>
                <a:srgbClr val="000000"/>
              </a:solidFill>
              <a:prstDash val="solid"/>
            </a:ln>
          </c:spPr>
          <c:dLbls>
            <c:dLbl>
              <c:idx val="1"/>
              <c:layout>
                <c:manualLayout>
                  <c:x val="-2.2111663902709211E-3"/>
                  <c:y val="-4.0712468193384234E-2"/>
                </c:manualLayout>
              </c:layout>
              <c:dLblPos val="outEnd"/>
              <c:showVal val="1"/>
            </c:dLbl>
            <c:dLbl>
              <c:idx val="2"/>
              <c:layout>
                <c:manualLayout>
                  <c:x val="4.3495878804623326E-3"/>
                  <c:y val="-9.7108296245578003E-3"/>
                </c:manualLayout>
              </c:layout>
              <c:dLblPos val="outEnd"/>
              <c:showVal val="1"/>
            </c:dLbl>
            <c:numFmt formatCode="#,##0.00" sourceLinked="0"/>
            <c:txPr>
              <a:bodyPr/>
              <a:lstStyle/>
              <a:p>
                <a:pPr>
                  <a:defRPr lang="en-GB"/>
                </a:pPr>
                <a:endParaRPr lang="ro-RO"/>
              </a:p>
            </c:txPr>
            <c:dLblPos val="outEnd"/>
            <c:showVal val="1"/>
          </c:dLbls>
          <c:cat>
            <c:strRef>
              <c:f>Sheet1!$B$1:$D$1</c:f>
              <c:strCache>
                <c:ptCount val="3"/>
                <c:pt idx="0">
                  <c:v>EM3</c:v>
                </c:pt>
                <c:pt idx="1">
                  <c:v>SV1</c:v>
                </c:pt>
                <c:pt idx="2">
                  <c:v>SV3</c:v>
                </c:pt>
              </c:strCache>
            </c:strRef>
          </c:cat>
          <c:val>
            <c:numRef>
              <c:f>Sheet1!$B$2:$D$2</c:f>
              <c:numCache>
                <c:formatCode>General</c:formatCode>
                <c:ptCount val="3"/>
                <c:pt idx="2" formatCode="0.00">
                  <c:v>3.74</c:v>
                </c:pt>
              </c:numCache>
            </c:numRef>
          </c:val>
        </c:ser>
        <c:gapWidth val="401"/>
        <c:axId val="166712832"/>
        <c:axId val="166714752"/>
      </c:barChart>
      <c:lineChart>
        <c:grouping val="standard"/>
        <c:ser>
          <c:idx val="2"/>
          <c:order val="1"/>
          <c:tx>
            <c:strRef>
              <c:f>Sheet1!#REF!</c:f>
              <c:strCache>
                <c:ptCount val="1"/>
                <c:pt idx="0">
                  <c:v>#REF!</c:v>
                </c:pt>
              </c:strCache>
            </c:strRef>
          </c:tx>
          <c:spPr>
            <a:ln w="38101">
              <a:solidFill>
                <a:srgbClr val="FF0000"/>
              </a:solidFill>
              <a:prstDash val="solid"/>
            </a:ln>
          </c:spPr>
          <c:marker>
            <c:symbol val="square"/>
            <c:size val="5"/>
            <c:spPr>
              <a:noFill/>
              <a:ln w="9525">
                <a:noFill/>
              </a:ln>
            </c:spPr>
          </c:marker>
          <c:cat>
            <c:strRef>
              <c:f>Sheet1!$B$1:$D$1</c:f>
              <c:strCache>
                <c:ptCount val="3"/>
                <c:pt idx="0">
                  <c:v>EM3</c:v>
                </c:pt>
                <c:pt idx="1">
                  <c:v>SV1</c:v>
                </c:pt>
                <c:pt idx="2">
                  <c:v>SV3</c:v>
                </c:pt>
              </c:strCache>
            </c:strRef>
          </c:cat>
          <c:val>
            <c:numRef>
              <c:f>Sheet1!#REF!</c:f>
              <c:numCache>
                <c:formatCode>General</c:formatCode>
                <c:ptCount val="1"/>
                <c:pt idx="0">
                  <c:v>1</c:v>
                </c:pt>
              </c:numCache>
            </c:numRef>
          </c:val>
        </c:ser>
        <c:marker val="1"/>
        <c:axId val="166712832"/>
        <c:axId val="166714752"/>
      </c:lineChart>
      <c:catAx>
        <c:axId val="166712832"/>
        <c:scaling>
          <c:orientation val="minMax"/>
        </c:scaling>
        <c:axPos val="b"/>
        <c:numFmt formatCode="General" sourceLinked="1"/>
        <c:majorTickMark val="none"/>
        <c:tickLblPos val="nextTo"/>
        <c:spPr>
          <a:ln w="3175">
            <a:solidFill>
              <a:srgbClr val="000000"/>
            </a:solidFill>
            <a:prstDash val="solid"/>
          </a:ln>
        </c:spPr>
        <c:txPr>
          <a:bodyPr rot="0" vert="horz"/>
          <a:lstStyle/>
          <a:p>
            <a:pPr>
              <a:defRPr lang="en-GB"/>
            </a:pPr>
            <a:endParaRPr lang="ro-RO"/>
          </a:p>
        </c:txPr>
        <c:crossAx val="166714752"/>
        <c:crosses val="autoZero"/>
        <c:auto val="1"/>
        <c:lblAlgn val="ctr"/>
        <c:lblOffset val="100"/>
        <c:tickLblSkip val="1"/>
        <c:tickMarkSkip val="1"/>
      </c:catAx>
      <c:valAx>
        <c:axId val="166714752"/>
        <c:scaling>
          <c:orientation val="minMax"/>
          <c:max val="6"/>
          <c:min val="0"/>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lang="en-GB"/>
            </a:pPr>
            <a:endParaRPr lang="ro-RO"/>
          </a:p>
        </c:txPr>
        <c:crossAx val="166712832"/>
        <c:crosses val="autoZero"/>
        <c:crossBetween val="between"/>
        <c:majorUnit val="1"/>
        <c:minorUnit val="1"/>
      </c:valAx>
      <c:spPr>
        <a:noFill/>
        <a:ln w="3175">
          <a:solidFill>
            <a:srgbClr val="000000"/>
          </a:solidFill>
          <a:prstDash val="solid"/>
        </a:ln>
      </c:spPr>
    </c:plotArea>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o-RO"/>
  <c:chart>
    <c:plotArea>
      <c:layout>
        <c:manualLayout>
          <c:layoutTarget val="inner"/>
          <c:xMode val="edge"/>
          <c:yMode val="edge"/>
          <c:x val="0.13148838322920794"/>
          <c:y val="4.2813455657492484E-2"/>
          <c:w val="0.83692393872452764"/>
          <c:h val="0.52815585551806365"/>
        </c:manualLayout>
      </c:layout>
      <c:lineChart>
        <c:grouping val="standard"/>
        <c:ser>
          <c:idx val="0"/>
          <c:order val="0"/>
          <c:tx>
            <c:strRef>
              <c:f>Sheet1!$B$1</c:f>
              <c:strCache>
                <c:ptCount val="1"/>
                <c:pt idx="0">
                  <c:v>EM3</c:v>
                </c:pt>
              </c:strCache>
            </c:strRef>
          </c:tx>
          <c:marker>
            <c:symbol val="none"/>
          </c:marker>
          <c:cat>
            <c:strRef>
              <c:f>Sheet1!$A$2:$A$32</c:f>
              <c:strCache>
                <c:ptCount val="31"/>
                <c:pt idx="0">
                  <c:v>1 ian. 2019</c:v>
                </c:pt>
                <c:pt idx="1">
                  <c:v>2 ian. 2019</c:v>
                </c:pt>
                <c:pt idx="2">
                  <c:v>3 ian. 2019</c:v>
                </c:pt>
                <c:pt idx="3">
                  <c:v>4 ian. 2019</c:v>
                </c:pt>
                <c:pt idx="4">
                  <c:v>5 ian. 2019</c:v>
                </c:pt>
                <c:pt idx="5">
                  <c:v>6 ian. 2019</c:v>
                </c:pt>
                <c:pt idx="6">
                  <c:v>7 ian. 2019</c:v>
                </c:pt>
                <c:pt idx="7">
                  <c:v>8 ian. 2019</c:v>
                </c:pt>
                <c:pt idx="8">
                  <c:v>9 ian. 2019</c:v>
                </c:pt>
                <c:pt idx="9">
                  <c:v>10 ian. 2019</c:v>
                </c:pt>
                <c:pt idx="10">
                  <c:v>11 ian. 2019</c:v>
                </c:pt>
                <c:pt idx="11">
                  <c:v>12 ian. 2019</c:v>
                </c:pt>
                <c:pt idx="12">
                  <c:v>13 ian. 2019</c:v>
                </c:pt>
                <c:pt idx="13">
                  <c:v>14 ian. 2019</c:v>
                </c:pt>
                <c:pt idx="14">
                  <c:v>15 ian. 2019</c:v>
                </c:pt>
                <c:pt idx="15">
                  <c:v>16 ian. 2019</c:v>
                </c:pt>
                <c:pt idx="16">
                  <c:v>17 ian. 2019</c:v>
                </c:pt>
                <c:pt idx="17">
                  <c:v>18 ian. 2019</c:v>
                </c:pt>
                <c:pt idx="18">
                  <c:v>19 ian. 2019</c:v>
                </c:pt>
                <c:pt idx="19">
                  <c:v>20 ian. 2019</c:v>
                </c:pt>
                <c:pt idx="20">
                  <c:v>21 ian. 2019</c:v>
                </c:pt>
                <c:pt idx="21">
                  <c:v>22 ian. 2019</c:v>
                </c:pt>
                <c:pt idx="22">
                  <c:v>23 ian. 2019</c:v>
                </c:pt>
                <c:pt idx="23">
                  <c:v>24 ian. 2019</c:v>
                </c:pt>
                <c:pt idx="24">
                  <c:v>25 ian. 2019</c:v>
                </c:pt>
                <c:pt idx="25">
                  <c:v>26 ian. 2019</c:v>
                </c:pt>
                <c:pt idx="26">
                  <c:v>27 ian. 2019</c:v>
                </c:pt>
                <c:pt idx="27">
                  <c:v>28 ian. 2019</c:v>
                </c:pt>
                <c:pt idx="28">
                  <c:v>29 ian. 2019</c:v>
                </c:pt>
                <c:pt idx="29">
                  <c:v>30 ian. 2019</c:v>
                </c:pt>
                <c:pt idx="30">
                  <c:v>31 ian. 2019</c:v>
                </c:pt>
              </c:strCache>
            </c:strRef>
          </c:cat>
          <c:val>
            <c:numRef>
              <c:f>Sheet1!$B$2:$B$32</c:f>
              <c:numCache>
                <c:formatCode>General</c:formatCode>
                <c:ptCount val="31"/>
              </c:numCache>
            </c:numRef>
          </c:val>
        </c:ser>
        <c:ser>
          <c:idx val="1"/>
          <c:order val="1"/>
          <c:tx>
            <c:strRef>
              <c:f>Sheet1!$C$1</c:f>
              <c:strCache>
                <c:ptCount val="1"/>
                <c:pt idx="0">
                  <c:v>SV1</c:v>
                </c:pt>
              </c:strCache>
            </c:strRef>
          </c:tx>
          <c:marker>
            <c:symbol val="none"/>
          </c:marker>
          <c:cat>
            <c:strRef>
              <c:f>Sheet1!$A$2:$A$32</c:f>
              <c:strCache>
                <c:ptCount val="31"/>
                <c:pt idx="0">
                  <c:v>1 ian. 2019</c:v>
                </c:pt>
                <c:pt idx="1">
                  <c:v>2 ian. 2019</c:v>
                </c:pt>
                <c:pt idx="2">
                  <c:v>3 ian. 2019</c:v>
                </c:pt>
                <c:pt idx="3">
                  <c:v>4 ian. 2019</c:v>
                </c:pt>
                <c:pt idx="4">
                  <c:v>5 ian. 2019</c:v>
                </c:pt>
                <c:pt idx="5">
                  <c:v>6 ian. 2019</c:v>
                </c:pt>
                <c:pt idx="6">
                  <c:v>7 ian. 2019</c:v>
                </c:pt>
                <c:pt idx="7">
                  <c:v>8 ian. 2019</c:v>
                </c:pt>
                <c:pt idx="8">
                  <c:v>9 ian. 2019</c:v>
                </c:pt>
                <c:pt idx="9">
                  <c:v>10 ian. 2019</c:v>
                </c:pt>
                <c:pt idx="10">
                  <c:v>11 ian. 2019</c:v>
                </c:pt>
                <c:pt idx="11">
                  <c:v>12 ian. 2019</c:v>
                </c:pt>
                <c:pt idx="12">
                  <c:v>13 ian. 2019</c:v>
                </c:pt>
                <c:pt idx="13">
                  <c:v>14 ian. 2019</c:v>
                </c:pt>
                <c:pt idx="14">
                  <c:v>15 ian. 2019</c:v>
                </c:pt>
                <c:pt idx="15">
                  <c:v>16 ian. 2019</c:v>
                </c:pt>
                <c:pt idx="16">
                  <c:v>17 ian. 2019</c:v>
                </c:pt>
                <c:pt idx="17">
                  <c:v>18 ian. 2019</c:v>
                </c:pt>
                <c:pt idx="18">
                  <c:v>19 ian. 2019</c:v>
                </c:pt>
                <c:pt idx="19">
                  <c:v>20 ian. 2019</c:v>
                </c:pt>
                <c:pt idx="20">
                  <c:v>21 ian. 2019</c:v>
                </c:pt>
                <c:pt idx="21">
                  <c:v>22 ian. 2019</c:v>
                </c:pt>
                <c:pt idx="22">
                  <c:v>23 ian. 2019</c:v>
                </c:pt>
                <c:pt idx="23">
                  <c:v>24 ian. 2019</c:v>
                </c:pt>
                <c:pt idx="24">
                  <c:v>25 ian. 2019</c:v>
                </c:pt>
                <c:pt idx="25">
                  <c:v>26 ian. 2019</c:v>
                </c:pt>
                <c:pt idx="26">
                  <c:v>27 ian. 2019</c:v>
                </c:pt>
                <c:pt idx="27">
                  <c:v>28 ian. 2019</c:v>
                </c:pt>
                <c:pt idx="28">
                  <c:v>29 ian. 2019</c:v>
                </c:pt>
                <c:pt idx="29">
                  <c:v>30 ian. 2019</c:v>
                </c:pt>
                <c:pt idx="30">
                  <c:v>31 ian. 2019</c:v>
                </c:pt>
              </c:strCache>
            </c:strRef>
          </c:cat>
          <c:val>
            <c:numRef>
              <c:f>Sheet1!$C$2:$C$32</c:f>
              <c:numCache>
                <c:formatCode>#,##0.00</c:formatCode>
                <c:ptCount val="31"/>
                <c:pt idx="0">
                  <c:v>12.9</c:v>
                </c:pt>
                <c:pt idx="1">
                  <c:v>16.170000000000005</c:v>
                </c:pt>
                <c:pt idx="3">
                  <c:v>15.81</c:v>
                </c:pt>
                <c:pt idx="4">
                  <c:v>20.350000000000001</c:v>
                </c:pt>
                <c:pt idx="5">
                  <c:v>13.26</c:v>
                </c:pt>
                <c:pt idx="6">
                  <c:v>18.53</c:v>
                </c:pt>
                <c:pt idx="10">
                  <c:v>49.790000000000006</c:v>
                </c:pt>
                <c:pt idx="11">
                  <c:v>35.61</c:v>
                </c:pt>
                <c:pt idx="12">
                  <c:v>13.81</c:v>
                </c:pt>
                <c:pt idx="13">
                  <c:v>14.54</c:v>
                </c:pt>
                <c:pt idx="14">
                  <c:v>10.9</c:v>
                </c:pt>
                <c:pt idx="15">
                  <c:v>13.450000000000001</c:v>
                </c:pt>
                <c:pt idx="16">
                  <c:v>18.170000000000005</c:v>
                </c:pt>
                <c:pt idx="17">
                  <c:v>14.9</c:v>
                </c:pt>
                <c:pt idx="18">
                  <c:v>16.72</c:v>
                </c:pt>
                <c:pt idx="19">
                  <c:v>19.079999999999995</c:v>
                </c:pt>
                <c:pt idx="20">
                  <c:v>27.979999999999997</c:v>
                </c:pt>
                <c:pt idx="21">
                  <c:v>25.8</c:v>
                </c:pt>
                <c:pt idx="22">
                  <c:v>31.8</c:v>
                </c:pt>
                <c:pt idx="23">
                  <c:v>32.339999999999996</c:v>
                </c:pt>
                <c:pt idx="24">
                  <c:v>31.62</c:v>
                </c:pt>
                <c:pt idx="25">
                  <c:v>62.87</c:v>
                </c:pt>
                <c:pt idx="26">
                  <c:v>79.95</c:v>
                </c:pt>
                <c:pt idx="27">
                  <c:v>42.52</c:v>
                </c:pt>
                <c:pt idx="28">
                  <c:v>54.51</c:v>
                </c:pt>
                <c:pt idx="29">
                  <c:v>46.33</c:v>
                </c:pt>
                <c:pt idx="30">
                  <c:v>29.439999999999998</c:v>
                </c:pt>
              </c:numCache>
            </c:numRef>
          </c:val>
        </c:ser>
        <c:ser>
          <c:idx val="2"/>
          <c:order val="2"/>
          <c:tx>
            <c:strRef>
              <c:f>Sheet1!$D$1</c:f>
              <c:strCache>
                <c:ptCount val="1"/>
                <c:pt idx="0">
                  <c:v>SV2</c:v>
                </c:pt>
              </c:strCache>
            </c:strRef>
          </c:tx>
          <c:marker>
            <c:symbol val="none"/>
          </c:marker>
          <c:cat>
            <c:strRef>
              <c:f>Sheet1!$A$2:$A$32</c:f>
              <c:strCache>
                <c:ptCount val="31"/>
                <c:pt idx="0">
                  <c:v>1 ian. 2019</c:v>
                </c:pt>
                <c:pt idx="1">
                  <c:v>2 ian. 2019</c:v>
                </c:pt>
                <c:pt idx="2">
                  <c:v>3 ian. 2019</c:v>
                </c:pt>
                <c:pt idx="3">
                  <c:v>4 ian. 2019</c:v>
                </c:pt>
                <c:pt idx="4">
                  <c:v>5 ian. 2019</c:v>
                </c:pt>
                <c:pt idx="5">
                  <c:v>6 ian. 2019</c:v>
                </c:pt>
                <c:pt idx="6">
                  <c:v>7 ian. 2019</c:v>
                </c:pt>
                <c:pt idx="7">
                  <c:v>8 ian. 2019</c:v>
                </c:pt>
                <c:pt idx="8">
                  <c:v>9 ian. 2019</c:v>
                </c:pt>
                <c:pt idx="9">
                  <c:v>10 ian. 2019</c:v>
                </c:pt>
                <c:pt idx="10">
                  <c:v>11 ian. 2019</c:v>
                </c:pt>
                <c:pt idx="11">
                  <c:v>12 ian. 2019</c:v>
                </c:pt>
                <c:pt idx="12">
                  <c:v>13 ian. 2019</c:v>
                </c:pt>
                <c:pt idx="13">
                  <c:v>14 ian. 2019</c:v>
                </c:pt>
                <c:pt idx="14">
                  <c:v>15 ian. 2019</c:v>
                </c:pt>
                <c:pt idx="15">
                  <c:v>16 ian. 2019</c:v>
                </c:pt>
                <c:pt idx="16">
                  <c:v>17 ian. 2019</c:v>
                </c:pt>
                <c:pt idx="17">
                  <c:v>18 ian. 2019</c:v>
                </c:pt>
                <c:pt idx="18">
                  <c:v>19 ian. 2019</c:v>
                </c:pt>
                <c:pt idx="19">
                  <c:v>20 ian. 2019</c:v>
                </c:pt>
                <c:pt idx="20">
                  <c:v>21 ian. 2019</c:v>
                </c:pt>
                <c:pt idx="21">
                  <c:v>22 ian. 2019</c:v>
                </c:pt>
                <c:pt idx="22">
                  <c:v>23 ian. 2019</c:v>
                </c:pt>
                <c:pt idx="23">
                  <c:v>24 ian. 2019</c:v>
                </c:pt>
                <c:pt idx="24">
                  <c:v>25 ian. 2019</c:v>
                </c:pt>
                <c:pt idx="25">
                  <c:v>26 ian. 2019</c:v>
                </c:pt>
                <c:pt idx="26">
                  <c:v>27 ian. 2019</c:v>
                </c:pt>
                <c:pt idx="27">
                  <c:v>28 ian. 2019</c:v>
                </c:pt>
                <c:pt idx="28">
                  <c:v>29 ian. 2019</c:v>
                </c:pt>
                <c:pt idx="29">
                  <c:v>30 ian. 2019</c:v>
                </c:pt>
                <c:pt idx="30">
                  <c:v>31 ian. 2019</c:v>
                </c:pt>
              </c:strCache>
            </c:strRef>
          </c:cat>
          <c:val>
            <c:numRef>
              <c:f>Sheet1!$D$2:$D$32</c:f>
              <c:numCache>
                <c:formatCode>#,##0.00</c:formatCode>
                <c:ptCount val="31"/>
                <c:pt idx="0">
                  <c:v>5.63</c:v>
                </c:pt>
                <c:pt idx="1">
                  <c:v>19.62</c:v>
                </c:pt>
                <c:pt idx="2">
                  <c:v>10.54</c:v>
                </c:pt>
                <c:pt idx="3">
                  <c:v>23.439999999999998</c:v>
                </c:pt>
                <c:pt idx="4">
                  <c:v>35.43</c:v>
                </c:pt>
                <c:pt idx="5">
                  <c:v>11.08</c:v>
                </c:pt>
                <c:pt idx="6">
                  <c:v>37.61</c:v>
                </c:pt>
                <c:pt idx="7">
                  <c:v>80.669999999999987</c:v>
                </c:pt>
                <c:pt idx="8">
                  <c:v>68.5</c:v>
                </c:pt>
                <c:pt idx="9">
                  <c:v>70.13</c:v>
                </c:pt>
                <c:pt idx="10">
                  <c:v>49.96</c:v>
                </c:pt>
                <c:pt idx="11">
                  <c:v>78.31</c:v>
                </c:pt>
                <c:pt idx="12">
                  <c:v>49.96</c:v>
                </c:pt>
                <c:pt idx="13">
                  <c:v>29.979999999999997</c:v>
                </c:pt>
                <c:pt idx="14">
                  <c:v>33.790000000000006</c:v>
                </c:pt>
                <c:pt idx="15">
                  <c:v>22.35</c:v>
                </c:pt>
                <c:pt idx="16">
                  <c:v>49.96</c:v>
                </c:pt>
                <c:pt idx="17">
                  <c:v>27.62</c:v>
                </c:pt>
                <c:pt idx="18">
                  <c:v>23.62</c:v>
                </c:pt>
                <c:pt idx="19">
                  <c:v>17.809999999999999</c:v>
                </c:pt>
                <c:pt idx="20">
                  <c:v>28.71</c:v>
                </c:pt>
                <c:pt idx="21">
                  <c:v>29.25</c:v>
                </c:pt>
                <c:pt idx="22">
                  <c:v>34.879999999999995</c:v>
                </c:pt>
                <c:pt idx="23">
                  <c:v>49.96</c:v>
                </c:pt>
                <c:pt idx="24">
                  <c:v>40.700000000000003</c:v>
                </c:pt>
                <c:pt idx="25">
                  <c:v>72.86</c:v>
                </c:pt>
                <c:pt idx="26">
                  <c:v>133.54</c:v>
                </c:pt>
                <c:pt idx="27">
                  <c:v>64.14</c:v>
                </c:pt>
                <c:pt idx="28">
                  <c:v>75.95</c:v>
                </c:pt>
                <c:pt idx="29">
                  <c:v>48.879999999999995</c:v>
                </c:pt>
                <c:pt idx="30">
                  <c:v>46.51</c:v>
                </c:pt>
              </c:numCache>
            </c:numRef>
          </c:val>
        </c:ser>
        <c:ser>
          <c:idx val="3"/>
          <c:order val="3"/>
          <c:tx>
            <c:strRef>
              <c:f>Sheet1!$E$1</c:f>
              <c:strCache>
                <c:ptCount val="1"/>
                <c:pt idx="0">
                  <c:v>SV3</c:v>
                </c:pt>
              </c:strCache>
            </c:strRef>
          </c:tx>
          <c:marker>
            <c:symbol val="none"/>
          </c:marker>
          <c:cat>
            <c:strRef>
              <c:f>Sheet1!$A$2:$A$32</c:f>
              <c:strCache>
                <c:ptCount val="31"/>
                <c:pt idx="0">
                  <c:v>1 ian. 2019</c:v>
                </c:pt>
                <c:pt idx="1">
                  <c:v>2 ian. 2019</c:v>
                </c:pt>
                <c:pt idx="2">
                  <c:v>3 ian. 2019</c:v>
                </c:pt>
                <c:pt idx="3">
                  <c:v>4 ian. 2019</c:v>
                </c:pt>
                <c:pt idx="4">
                  <c:v>5 ian. 2019</c:v>
                </c:pt>
                <c:pt idx="5">
                  <c:v>6 ian. 2019</c:v>
                </c:pt>
                <c:pt idx="6">
                  <c:v>7 ian. 2019</c:v>
                </c:pt>
                <c:pt idx="7">
                  <c:v>8 ian. 2019</c:v>
                </c:pt>
                <c:pt idx="8">
                  <c:v>9 ian. 2019</c:v>
                </c:pt>
                <c:pt idx="9">
                  <c:v>10 ian. 2019</c:v>
                </c:pt>
                <c:pt idx="10">
                  <c:v>11 ian. 2019</c:v>
                </c:pt>
                <c:pt idx="11">
                  <c:v>12 ian. 2019</c:v>
                </c:pt>
                <c:pt idx="12">
                  <c:v>13 ian. 2019</c:v>
                </c:pt>
                <c:pt idx="13">
                  <c:v>14 ian. 2019</c:v>
                </c:pt>
                <c:pt idx="14">
                  <c:v>15 ian. 2019</c:v>
                </c:pt>
                <c:pt idx="15">
                  <c:v>16 ian. 2019</c:v>
                </c:pt>
                <c:pt idx="16">
                  <c:v>17 ian. 2019</c:v>
                </c:pt>
                <c:pt idx="17">
                  <c:v>18 ian. 2019</c:v>
                </c:pt>
                <c:pt idx="18">
                  <c:v>19 ian. 2019</c:v>
                </c:pt>
                <c:pt idx="19">
                  <c:v>20 ian. 2019</c:v>
                </c:pt>
                <c:pt idx="20">
                  <c:v>21 ian. 2019</c:v>
                </c:pt>
                <c:pt idx="21">
                  <c:v>22 ian. 2019</c:v>
                </c:pt>
                <c:pt idx="22">
                  <c:v>23 ian. 2019</c:v>
                </c:pt>
                <c:pt idx="23">
                  <c:v>24 ian. 2019</c:v>
                </c:pt>
                <c:pt idx="24">
                  <c:v>25 ian. 2019</c:v>
                </c:pt>
                <c:pt idx="25">
                  <c:v>26 ian. 2019</c:v>
                </c:pt>
                <c:pt idx="26">
                  <c:v>27 ian. 2019</c:v>
                </c:pt>
                <c:pt idx="27">
                  <c:v>28 ian. 2019</c:v>
                </c:pt>
                <c:pt idx="28">
                  <c:v>29 ian. 2019</c:v>
                </c:pt>
                <c:pt idx="29">
                  <c:v>30 ian. 2019</c:v>
                </c:pt>
                <c:pt idx="30">
                  <c:v>31 ian. 2019</c:v>
                </c:pt>
              </c:strCache>
            </c:strRef>
          </c:cat>
          <c:val>
            <c:numRef>
              <c:f>Sheet1!$E$2:$E$32</c:f>
              <c:numCache>
                <c:formatCode>#,##0.00</c:formatCode>
                <c:ptCount val="31"/>
                <c:pt idx="0">
                  <c:v>13.44</c:v>
                </c:pt>
                <c:pt idx="1">
                  <c:v>11.26</c:v>
                </c:pt>
                <c:pt idx="2">
                  <c:v>6.18</c:v>
                </c:pt>
                <c:pt idx="3">
                  <c:v>20.170000000000005</c:v>
                </c:pt>
                <c:pt idx="4">
                  <c:v>29.979999999999997</c:v>
                </c:pt>
                <c:pt idx="5">
                  <c:v>14.350000000000001</c:v>
                </c:pt>
                <c:pt idx="6">
                  <c:v>33.25</c:v>
                </c:pt>
                <c:pt idx="7">
                  <c:v>71.05</c:v>
                </c:pt>
                <c:pt idx="8">
                  <c:v>64.86999999999999</c:v>
                </c:pt>
                <c:pt idx="9">
                  <c:v>57.6</c:v>
                </c:pt>
                <c:pt idx="10">
                  <c:v>49.42</c:v>
                </c:pt>
                <c:pt idx="11">
                  <c:v>49.97</c:v>
                </c:pt>
                <c:pt idx="12">
                  <c:v>23.439999999999998</c:v>
                </c:pt>
                <c:pt idx="13">
                  <c:v>19.260000000000002</c:v>
                </c:pt>
                <c:pt idx="14">
                  <c:v>15.99</c:v>
                </c:pt>
                <c:pt idx="15">
                  <c:v>18.71</c:v>
                </c:pt>
                <c:pt idx="16">
                  <c:v>32.71</c:v>
                </c:pt>
                <c:pt idx="17">
                  <c:v>19.260000000000002</c:v>
                </c:pt>
                <c:pt idx="18">
                  <c:v>22.35</c:v>
                </c:pt>
                <c:pt idx="19">
                  <c:v>20.53</c:v>
                </c:pt>
                <c:pt idx="20">
                  <c:v>31.07</c:v>
                </c:pt>
                <c:pt idx="21">
                  <c:v>27.439999999999998</c:v>
                </c:pt>
                <c:pt idx="22">
                  <c:v>33.43</c:v>
                </c:pt>
                <c:pt idx="23">
                  <c:v>47.790000000000006</c:v>
                </c:pt>
                <c:pt idx="24">
                  <c:v>29.62</c:v>
                </c:pt>
                <c:pt idx="25">
                  <c:v>64.679999999999993</c:v>
                </c:pt>
                <c:pt idx="26">
                  <c:v>88.490000000000009</c:v>
                </c:pt>
                <c:pt idx="27">
                  <c:v>62.690000000000005</c:v>
                </c:pt>
                <c:pt idx="28">
                  <c:v>68.319999999999993</c:v>
                </c:pt>
                <c:pt idx="29">
                  <c:v>45.61</c:v>
                </c:pt>
                <c:pt idx="30">
                  <c:v>24.89</c:v>
                </c:pt>
              </c:numCache>
            </c:numRef>
          </c:val>
        </c:ser>
        <c:ser>
          <c:idx val="4"/>
          <c:order val="4"/>
          <c:tx>
            <c:strRef>
              <c:f>Sheet1!$F$1</c:f>
              <c:strCache>
                <c:ptCount val="1"/>
                <c:pt idx="0">
                  <c:v>Val. limită zilnică</c:v>
                </c:pt>
              </c:strCache>
            </c:strRef>
          </c:tx>
          <c:spPr>
            <a:ln w="38100">
              <a:solidFill>
                <a:srgbClr val="FF0000"/>
              </a:solidFill>
            </a:ln>
          </c:spPr>
          <c:marker>
            <c:symbol val="none"/>
          </c:marker>
          <c:cat>
            <c:strRef>
              <c:f>Sheet1!$A$2:$A$32</c:f>
              <c:strCache>
                <c:ptCount val="31"/>
                <c:pt idx="0">
                  <c:v>1 ian. 2019</c:v>
                </c:pt>
                <c:pt idx="1">
                  <c:v>2 ian. 2019</c:v>
                </c:pt>
                <c:pt idx="2">
                  <c:v>3 ian. 2019</c:v>
                </c:pt>
                <c:pt idx="3">
                  <c:v>4 ian. 2019</c:v>
                </c:pt>
                <c:pt idx="4">
                  <c:v>5 ian. 2019</c:v>
                </c:pt>
                <c:pt idx="5">
                  <c:v>6 ian. 2019</c:v>
                </c:pt>
                <c:pt idx="6">
                  <c:v>7 ian. 2019</c:v>
                </c:pt>
                <c:pt idx="7">
                  <c:v>8 ian. 2019</c:v>
                </c:pt>
                <c:pt idx="8">
                  <c:v>9 ian. 2019</c:v>
                </c:pt>
                <c:pt idx="9">
                  <c:v>10 ian. 2019</c:v>
                </c:pt>
                <c:pt idx="10">
                  <c:v>11 ian. 2019</c:v>
                </c:pt>
                <c:pt idx="11">
                  <c:v>12 ian. 2019</c:v>
                </c:pt>
                <c:pt idx="12">
                  <c:v>13 ian. 2019</c:v>
                </c:pt>
                <c:pt idx="13">
                  <c:v>14 ian. 2019</c:v>
                </c:pt>
                <c:pt idx="14">
                  <c:v>15 ian. 2019</c:v>
                </c:pt>
                <c:pt idx="15">
                  <c:v>16 ian. 2019</c:v>
                </c:pt>
                <c:pt idx="16">
                  <c:v>17 ian. 2019</c:v>
                </c:pt>
                <c:pt idx="17">
                  <c:v>18 ian. 2019</c:v>
                </c:pt>
                <c:pt idx="18">
                  <c:v>19 ian. 2019</c:v>
                </c:pt>
                <c:pt idx="19">
                  <c:v>20 ian. 2019</c:v>
                </c:pt>
                <c:pt idx="20">
                  <c:v>21 ian. 2019</c:v>
                </c:pt>
                <c:pt idx="21">
                  <c:v>22 ian. 2019</c:v>
                </c:pt>
                <c:pt idx="22">
                  <c:v>23 ian. 2019</c:v>
                </c:pt>
                <c:pt idx="23">
                  <c:v>24 ian. 2019</c:v>
                </c:pt>
                <c:pt idx="24">
                  <c:v>25 ian. 2019</c:v>
                </c:pt>
                <c:pt idx="25">
                  <c:v>26 ian. 2019</c:v>
                </c:pt>
                <c:pt idx="26">
                  <c:v>27 ian. 2019</c:v>
                </c:pt>
                <c:pt idx="27">
                  <c:v>28 ian. 2019</c:v>
                </c:pt>
                <c:pt idx="28">
                  <c:v>29 ian. 2019</c:v>
                </c:pt>
                <c:pt idx="29">
                  <c:v>30 ian. 2019</c:v>
                </c:pt>
                <c:pt idx="30">
                  <c:v>31 ian. 2019</c:v>
                </c:pt>
              </c:strCache>
            </c:strRef>
          </c:cat>
          <c:val>
            <c:numRef>
              <c:f>Sheet1!$F$2:$F$32</c:f>
              <c:numCache>
                <c:formatCode>General</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16596992"/>
        <c:axId val="16598528"/>
      </c:lineChart>
      <c:catAx>
        <c:axId val="16596992"/>
        <c:scaling>
          <c:orientation val="minMax"/>
        </c:scaling>
        <c:axPos val="b"/>
        <c:tickLblPos val="nextTo"/>
        <c:spPr>
          <a:ln>
            <a:solidFill>
              <a:sysClr val="windowText" lastClr="000000"/>
            </a:solidFill>
          </a:ln>
        </c:spPr>
        <c:txPr>
          <a:bodyPr rot="-2040000" vert="horz"/>
          <a:lstStyle/>
          <a:p>
            <a:pPr>
              <a:defRPr lang="en-GB" sz="800"/>
            </a:pPr>
            <a:endParaRPr lang="ro-RO"/>
          </a:p>
        </c:txPr>
        <c:crossAx val="16598528"/>
        <c:crosses val="autoZero"/>
        <c:auto val="1"/>
        <c:lblAlgn val="ctr"/>
        <c:lblOffset val="100"/>
      </c:catAx>
      <c:valAx>
        <c:axId val="16598528"/>
        <c:scaling>
          <c:orientation val="minMax"/>
          <c:max val="140"/>
          <c:min val="0"/>
        </c:scaling>
        <c:axPos val="l"/>
        <c:majorGridlines/>
        <c:numFmt formatCode="0" sourceLinked="0"/>
        <c:tickLblPos val="nextTo"/>
        <c:spPr>
          <a:ln>
            <a:solidFill>
              <a:sysClr val="windowText" lastClr="000000"/>
            </a:solidFill>
          </a:ln>
        </c:spPr>
        <c:txPr>
          <a:bodyPr/>
          <a:lstStyle/>
          <a:p>
            <a:pPr>
              <a:defRPr lang="en-GB"/>
            </a:pPr>
            <a:endParaRPr lang="ro-RO"/>
          </a:p>
        </c:txPr>
        <c:crossAx val="16596992"/>
        <c:crosses val="autoZero"/>
        <c:crossBetween val="between"/>
        <c:majorUnit val="20"/>
      </c:valAx>
      <c:spPr>
        <a:ln>
          <a:solidFill>
            <a:schemeClr val="tx1"/>
          </a:solidFill>
        </a:ln>
      </c:spPr>
    </c:plotArea>
    <c:legend>
      <c:legendPos val="b"/>
      <c:layout>
        <c:manualLayout>
          <c:xMode val="edge"/>
          <c:yMode val="edge"/>
          <c:x val="6.5879536142319575E-2"/>
          <c:y val="0.83969163540430491"/>
          <c:w val="0.89739999367555245"/>
          <c:h val="0.16030830292554887"/>
        </c:manualLayout>
      </c:layout>
      <c:txPr>
        <a:bodyPr/>
        <a:lstStyle/>
        <a:p>
          <a:pPr>
            <a:defRPr lang="en-GB"/>
          </a:pPr>
          <a:endParaRPr lang="ro-RO"/>
        </a:p>
      </c:txPr>
    </c:legend>
    <c:plotVisOnly val="1"/>
  </c:chart>
  <c:spPr>
    <a:ln>
      <a:noFill/>
    </a:ln>
  </c:spPr>
  <c:txPr>
    <a:bodyPr/>
    <a:lstStyle/>
    <a:p>
      <a:pPr>
        <a:defRPr>
          <a:latin typeface="Times New Roman" pitchFamily="18" charset="0"/>
          <a:cs typeface="Times New Roman" pitchFamily="18" charset="0"/>
        </a:defRPr>
      </a:pPr>
      <a:endParaRPr lang="ro-RO"/>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lang val="ro-RO"/>
  <c:chart>
    <c:autoTitleDeleted val="1"/>
    <c:plotArea>
      <c:layout>
        <c:manualLayout>
          <c:layoutTarget val="inner"/>
          <c:xMode val="edge"/>
          <c:yMode val="edge"/>
          <c:x val="0.11504567110458352"/>
          <c:y val="5.3880413385826914E-2"/>
          <c:w val="0.47719799570508231"/>
          <c:h val="0.76703986220478226"/>
        </c:manualLayout>
      </c:layout>
      <c:barChart>
        <c:barDir val="col"/>
        <c:grouping val="clustered"/>
        <c:ser>
          <c:idx val="0"/>
          <c:order val="0"/>
          <c:tx>
            <c:strRef>
              <c:f>Sheet1!$A$2</c:f>
              <c:strCache>
                <c:ptCount val="1"/>
                <c:pt idx="0">
                  <c:v>Nr. depăşiri cumulat an 2019</c:v>
                </c:pt>
              </c:strCache>
            </c:strRef>
          </c:tx>
          <c:spPr>
            <a:solidFill>
              <a:schemeClr val="accent3">
                <a:lumMod val="75000"/>
              </a:schemeClr>
            </a:solidFill>
            <a:ln w="12700">
              <a:solidFill>
                <a:srgbClr val="000000"/>
              </a:solidFill>
              <a:prstDash val="solid"/>
            </a:ln>
          </c:spPr>
          <c:dLbls>
            <c:dLbl>
              <c:idx val="3"/>
              <c:layout>
                <c:manualLayout>
                  <c:x val="0"/>
                  <c:y val="3.7037037037037056E-2"/>
                </c:manualLayout>
              </c:layout>
              <c:showVal val="1"/>
            </c:dLbl>
            <c:showVal val="1"/>
          </c:dLbls>
          <c:cat>
            <c:strRef>
              <c:f>Sheet1!$B$1:$E$1</c:f>
              <c:strCache>
                <c:ptCount val="4"/>
                <c:pt idx="0">
                  <c:v>EM3</c:v>
                </c:pt>
                <c:pt idx="1">
                  <c:v>SV1</c:v>
                </c:pt>
                <c:pt idx="2">
                  <c:v>SV2</c:v>
                </c:pt>
                <c:pt idx="3">
                  <c:v>SV3</c:v>
                </c:pt>
              </c:strCache>
            </c:strRef>
          </c:cat>
          <c:val>
            <c:numRef>
              <c:f>Sheet1!$B$2:$E$2</c:f>
              <c:numCache>
                <c:formatCode>0</c:formatCode>
                <c:ptCount val="4"/>
                <c:pt idx="1">
                  <c:v>3</c:v>
                </c:pt>
                <c:pt idx="2" formatCode="General">
                  <c:v>8</c:v>
                </c:pt>
                <c:pt idx="3" formatCode="General">
                  <c:v>7</c:v>
                </c:pt>
              </c:numCache>
            </c:numRef>
          </c:val>
        </c:ser>
        <c:gapWidth val="285"/>
        <c:axId val="166821888"/>
        <c:axId val="166823808"/>
      </c:barChart>
      <c:lineChart>
        <c:grouping val="standard"/>
        <c:ser>
          <c:idx val="2"/>
          <c:order val="1"/>
          <c:tx>
            <c:strRef>
              <c:f>Sheet1!$A$3</c:f>
              <c:strCache>
                <c:ptCount val="1"/>
                <c:pt idx="0">
                  <c:v>Nr. max. admis/an depăşiri VL zilnică</c:v>
                </c:pt>
              </c:strCache>
            </c:strRef>
          </c:tx>
          <c:spPr>
            <a:ln w="41275">
              <a:solidFill>
                <a:srgbClr val="FF0000"/>
              </a:solidFill>
              <a:prstDash val="solid"/>
            </a:ln>
          </c:spPr>
          <c:marker>
            <c:symbol val="square"/>
            <c:size val="5"/>
            <c:spPr>
              <a:noFill/>
              <a:ln w="9525">
                <a:noFill/>
              </a:ln>
            </c:spPr>
          </c:marker>
          <c:cat>
            <c:strRef>
              <c:f>Sheet1!$B$1:$E$1</c:f>
              <c:strCache>
                <c:ptCount val="4"/>
                <c:pt idx="0">
                  <c:v>EM3</c:v>
                </c:pt>
                <c:pt idx="1">
                  <c:v>SV1</c:v>
                </c:pt>
                <c:pt idx="2">
                  <c:v>SV2</c:v>
                </c:pt>
                <c:pt idx="3">
                  <c:v>SV3</c:v>
                </c:pt>
              </c:strCache>
            </c:strRef>
          </c:cat>
          <c:val>
            <c:numRef>
              <c:f>Sheet1!$B$3:$E$3</c:f>
              <c:numCache>
                <c:formatCode>General</c:formatCode>
                <c:ptCount val="4"/>
                <c:pt idx="0">
                  <c:v>35</c:v>
                </c:pt>
                <c:pt idx="1">
                  <c:v>35</c:v>
                </c:pt>
                <c:pt idx="2">
                  <c:v>35</c:v>
                </c:pt>
                <c:pt idx="3">
                  <c:v>35</c:v>
                </c:pt>
              </c:numCache>
            </c:numRef>
          </c:val>
        </c:ser>
        <c:marker val="1"/>
        <c:axId val="166821888"/>
        <c:axId val="166823808"/>
      </c:lineChart>
      <c:catAx>
        <c:axId val="166821888"/>
        <c:scaling>
          <c:orientation val="minMax"/>
        </c:scaling>
        <c:axPos val="b"/>
        <c:numFmt formatCode="General" sourceLinked="1"/>
        <c:majorTickMark val="none"/>
        <c:tickLblPos val="nextTo"/>
        <c:spPr>
          <a:ln w="3175">
            <a:solidFill>
              <a:srgbClr val="000000"/>
            </a:solidFill>
            <a:prstDash val="solid"/>
          </a:ln>
        </c:spPr>
        <c:txPr>
          <a:bodyPr rot="0" vert="horz"/>
          <a:lstStyle/>
          <a:p>
            <a:pPr>
              <a:defRPr lang="en-GB"/>
            </a:pPr>
            <a:endParaRPr lang="ro-RO"/>
          </a:p>
        </c:txPr>
        <c:crossAx val="166823808"/>
        <c:crosses val="autoZero"/>
        <c:auto val="1"/>
        <c:lblAlgn val="ctr"/>
        <c:lblOffset val="100"/>
        <c:tickLblSkip val="1"/>
        <c:tickMarkSkip val="1"/>
      </c:catAx>
      <c:valAx>
        <c:axId val="166823808"/>
        <c:scaling>
          <c:orientation val="minMax"/>
          <c:max val="40"/>
          <c:min val="0"/>
        </c:scaling>
        <c:axPos val="l"/>
        <c:majorGridlines>
          <c:spPr>
            <a:ln w="3175">
              <a:solidFill>
                <a:srgbClr val="000000"/>
              </a:solidFill>
              <a:prstDash val="solid"/>
            </a:ln>
          </c:spPr>
        </c:majorGridlines>
        <c:numFmt formatCode="0" sourceLinked="0"/>
        <c:majorTickMark val="none"/>
        <c:tickLblPos val="nextTo"/>
        <c:spPr>
          <a:ln w="3175">
            <a:solidFill>
              <a:srgbClr val="000000"/>
            </a:solidFill>
            <a:prstDash val="solid"/>
          </a:ln>
        </c:spPr>
        <c:txPr>
          <a:bodyPr rot="0" vert="horz"/>
          <a:lstStyle/>
          <a:p>
            <a:pPr>
              <a:defRPr lang="en-GB"/>
            </a:pPr>
            <a:endParaRPr lang="ro-RO"/>
          </a:p>
        </c:txPr>
        <c:crossAx val="166821888"/>
        <c:crosses val="autoZero"/>
        <c:crossBetween val="between"/>
        <c:majorUnit val="5"/>
        <c:minorUnit val="0.1"/>
      </c:valAx>
      <c:spPr>
        <a:noFill/>
        <a:ln w="3175">
          <a:solidFill>
            <a:srgbClr val="000000"/>
          </a:solidFill>
          <a:prstDash val="solid"/>
        </a:ln>
      </c:spPr>
    </c:plotArea>
    <c:legend>
      <c:legendPos val="r"/>
      <c:layout>
        <c:manualLayout>
          <c:xMode val="edge"/>
          <c:yMode val="edge"/>
          <c:x val="0.59951640759930858"/>
          <c:y val="0.22332571331809317"/>
          <c:w val="0.38593810488717978"/>
          <c:h val="0.49958513250359826"/>
        </c:manualLayout>
      </c:layout>
      <c:spPr>
        <a:ln>
          <a:solidFill>
            <a:schemeClr val="accent1"/>
          </a:solidFill>
        </a:ln>
      </c:spPr>
      <c:txPr>
        <a:bodyPr/>
        <a:lstStyle/>
        <a:p>
          <a:pPr>
            <a:defRPr lang="en-GB"/>
          </a:pPr>
          <a:endParaRPr lang="ro-RO"/>
        </a:p>
      </c:txPr>
    </c:legend>
    <c:plotVisOnly val="1"/>
    <c:dispBlanksAs val="gap"/>
  </c:chart>
  <c:spPr>
    <a:noFill/>
    <a:ln>
      <a:noFill/>
    </a:ln>
  </c:spPr>
  <c:txPr>
    <a:bodyPr/>
    <a:lstStyle/>
    <a:p>
      <a:pPr>
        <a:defRPr sz="900" b="0" i="0" u="none" strike="noStrike" baseline="0">
          <a:solidFill>
            <a:srgbClr val="000000"/>
          </a:solidFill>
          <a:latin typeface="Times New Roman" pitchFamily="18" charset="0"/>
          <a:ea typeface="Arial"/>
          <a:cs typeface="Times New Roman" pitchFamily="18" charset="0"/>
        </a:defRPr>
      </a:pPr>
      <a:endParaRPr lang="ro-RO"/>
    </a:p>
  </c:txPr>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cdr:x>
      <cdr:y>8.89719E-7</cdr:y>
    </cdr:from>
    <cdr:to>
      <cdr:x>0.10211</cdr:x>
      <cdr:y>0.22034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1"/>
          <a:ext cx="600093" cy="24765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0.02294</cdr:y>
    </cdr:from>
    <cdr:to>
      <cdr:x>0.10926</cdr:x>
      <cdr:y>0.19796</cdr:y>
    </cdr:to>
    <cdr:sp macro="" textlink="">
      <cdr:nvSpPr>
        <cdr:cNvPr id="2" name="TextBox 1"/>
        <cdr:cNvSpPr txBox="1"/>
      </cdr:nvSpPr>
      <cdr:spPr>
        <a:xfrm xmlns:a="http://schemas.openxmlformats.org/drawingml/2006/main">
          <a:off x="-333375" y="47625"/>
          <a:ext cx="546369" cy="3634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o-RO" sz="900">
              <a:latin typeface="Times New Roman" pitchFamily="18" charset="0"/>
              <a:cs typeface="Times New Roman" pitchFamily="18" charset="0"/>
            </a:rPr>
            <a:t>µg/m</a:t>
          </a:r>
          <a:r>
            <a:rPr lang="ro-RO" sz="900" baseline="30000">
              <a:latin typeface="Times New Roman" pitchFamily="18" charset="0"/>
              <a:cs typeface="Times New Roman" pitchFamily="18" charset="0"/>
            </a:rPr>
            <a:t>3</a:t>
          </a:r>
          <a:endParaRPr lang="ro-RO" sz="9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9A0D1-5F1A-425D-AED6-F0C0B67E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9</Pages>
  <Words>3322</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22546</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gina.ursul</cp:lastModifiedBy>
  <cp:revision>13</cp:revision>
  <cp:lastPrinted>2018-06-15T06:48:00Z</cp:lastPrinted>
  <dcterms:created xsi:type="dcterms:W3CDTF">2019-01-14T06:21:00Z</dcterms:created>
  <dcterms:modified xsi:type="dcterms:W3CDTF">2019-02-15T09:21:00Z</dcterms:modified>
</cp:coreProperties>
</file>