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8C7C2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F5779E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F5779E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F5779E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F5779E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PlaceholderTex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F5779E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8C7C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8C7C2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F5779E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8C7C28">
            <w:rPr>
              <w:rFonts w:ascii="Arial" w:hAnsi="Arial" w:cs="Arial"/>
              <w:b/>
              <w:sz w:val="24"/>
              <w:szCs w:val="24"/>
              <w:lang w:val="ro-RO"/>
            </w:rPr>
            <w:t>COMUNA CEAMURLIA DE JOS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8C7C28">
            <w:rPr>
              <w:rFonts w:ascii="Arial" w:hAnsi="Arial" w:cs="Arial"/>
              <w:sz w:val="24"/>
              <w:szCs w:val="24"/>
              <w:lang w:val="ro-RO"/>
            </w:rPr>
            <w:t>Str. Principala, Nr. 58, Ceamurlia de Jos, Judetul Tulcea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  <w:showingPlcHdr/>
        </w:sdtPr>
        <w:sdtEndPr/>
        <w:sdtContent>
          <w:r w:rsidR="000A138C" w:rsidRPr="0041381C">
            <w:rPr>
              <w:rStyle w:val="PlaceholderText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8C7C28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8C7C28">
            <w:rPr>
              <w:rFonts w:ascii="Arial" w:hAnsi="Arial" w:cs="Arial"/>
              <w:sz w:val="24"/>
              <w:szCs w:val="24"/>
              <w:lang w:val="ro-RO"/>
            </w:rPr>
            <w:t>14596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2-0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C7C28">
            <w:rPr>
              <w:rFonts w:ascii="Arial" w:hAnsi="Arial" w:cs="Arial"/>
              <w:spacing w:val="-6"/>
              <w:sz w:val="24"/>
              <w:szCs w:val="24"/>
              <w:lang w:val="ro-RO"/>
            </w:rPr>
            <w:t>08.12.2015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F5779E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0A138C" w:rsidRDefault="00F5779E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F5779E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0A138C">
            <w:rPr>
              <w:rFonts w:ascii="Arial" w:hAnsi="Arial" w:cs="Arial"/>
              <w:sz w:val="24"/>
              <w:szCs w:val="24"/>
              <w:lang w:val="ro-RO"/>
            </w:rPr>
            <w:t>APM Tulcea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r w:rsidR="000A138C">
            <w:rPr>
              <w:rFonts w:ascii="Arial" w:hAnsi="Arial" w:cs="Arial"/>
              <w:sz w:val="24"/>
              <w:szCs w:val="24"/>
              <w:lang w:val="ro-RO"/>
            </w:rPr>
            <w:t>29.12.2015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A138C">
            <w:rPr>
              <w:rFonts w:ascii="Arial" w:hAnsi="Arial" w:cs="Arial"/>
              <w:sz w:val="24"/>
              <w:szCs w:val="24"/>
            </w:rPr>
            <w:t>“</w:t>
          </w:r>
          <w:r w:rsidR="000A138C" w:rsidRPr="000A138C">
            <w:rPr>
              <w:rFonts w:ascii="Arial" w:hAnsi="Arial" w:cs="Arial"/>
              <w:b/>
              <w:sz w:val="24"/>
              <w:szCs w:val="24"/>
              <w:lang w:val="ro-RO"/>
            </w:rPr>
            <w:t>Extindere canalizare in localitatea Lunca, comuna Ceamurlia de Jos judetul Tulcea</w:t>
          </w:r>
          <w:r w:rsidR="000A138C">
            <w:rPr>
              <w:rFonts w:ascii="Arial" w:hAnsi="Arial" w:cs="Arial"/>
              <w:sz w:val="24"/>
              <w:szCs w:val="24"/>
              <w:lang w:val="ro-RO"/>
            </w:rPr>
            <w:t>”,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0A138C" w:rsidRPr="000A138C">
            <w:rPr>
              <w:rFonts w:ascii="Arial" w:hAnsi="Arial" w:cs="Arial"/>
              <w:sz w:val="24"/>
              <w:szCs w:val="24"/>
              <w:lang w:val="ro-RO"/>
            </w:rPr>
            <w:t>intravilanul localitatii Lunca, jud.Tulcea</w:t>
          </w:r>
          <w:r w:rsidR="000A138C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F5779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6D7424" w:rsidRDefault="00F5779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53675" w:rsidRPr="009A13B2" w:rsidRDefault="00F5779E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9A13B2">
            <w:rPr>
              <w:rFonts w:ascii="Arial" w:hAnsi="Arial" w:cs="Arial"/>
              <w:b/>
              <w:sz w:val="24"/>
              <w:szCs w:val="24"/>
            </w:rPr>
            <w:t xml:space="preserve"> I. Motivele care au stat la baza luării deciziei etapei de încadrare în procedura de evaluare a impactului asupra mediului sunt următoarele: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1) Proiectul se încadrează în prevederile Hotărârii Guvernului nr. 445/2009, anexa nr.2, la punctul 13 lit. a ) orice modificari sau extinderi, altele decat cele prevazute la pct.22 din anexa nr.1, ale proiectelor prevazute in anexa nr.1 sau in prezenta anexa, deja autorizate, executate sau in curs de a fi executate, care pot avea efecte semnificative negative asupra mediului  </w:t>
          </w:r>
          <w:r>
            <w:rPr>
              <w:rFonts w:ascii="Arial" w:hAnsi="Arial" w:cs="Arial"/>
              <w:sz w:val="24"/>
              <w:szCs w:val="24"/>
            </w:rPr>
            <w:t>.</w:t>
          </w:r>
          <w:r w:rsidRPr="000A138C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2) Caracteristicile proiectului: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a)Mărimea proiectului:     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Amplasamentul proiectului se afla în intravilanul localitatii </w:t>
          </w:r>
          <w:r>
            <w:rPr>
              <w:rFonts w:ascii="Arial" w:hAnsi="Arial" w:cs="Arial"/>
              <w:sz w:val="24"/>
              <w:szCs w:val="24"/>
            </w:rPr>
            <w:t xml:space="preserve">Lunca </w:t>
          </w:r>
          <w:r w:rsidRPr="000A138C">
            <w:rPr>
              <w:rFonts w:ascii="Arial" w:hAnsi="Arial" w:cs="Arial"/>
              <w:sz w:val="24"/>
              <w:szCs w:val="24"/>
            </w:rPr>
            <w:t xml:space="preserve">, pe un teren apartinand domeniului public </w:t>
          </w:r>
          <w:r>
            <w:rPr>
              <w:rFonts w:ascii="Arial" w:hAnsi="Arial" w:cs="Arial"/>
              <w:sz w:val="24"/>
              <w:szCs w:val="24"/>
            </w:rPr>
            <w:t>de interes local</w:t>
          </w:r>
          <w:r w:rsidRPr="000A138C">
            <w:rPr>
              <w:rFonts w:ascii="Arial" w:hAnsi="Arial" w:cs="Arial"/>
              <w:sz w:val="24"/>
              <w:szCs w:val="24"/>
            </w:rPr>
            <w:t xml:space="preserve">, cu folosinta actuala a terenului- drum </w:t>
          </w:r>
          <w:r>
            <w:rPr>
              <w:rFonts w:ascii="Arial" w:hAnsi="Arial" w:cs="Arial"/>
              <w:sz w:val="24"/>
              <w:szCs w:val="24"/>
            </w:rPr>
            <w:t>stradale</w:t>
          </w:r>
          <w:r w:rsidRPr="000A138C">
            <w:rPr>
              <w:rFonts w:ascii="Arial" w:hAnsi="Arial" w:cs="Arial"/>
              <w:sz w:val="24"/>
              <w:szCs w:val="24"/>
            </w:rPr>
            <w:t xml:space="preserve"> . </w:t>
          </w:r>
        </w:p>
        <w:p w:rsid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Proiectul consta in </w:t>
          </w:r>
          <w:r w:rsidRPr="000A138C">
            <w:rPr>
              <w:rFonts w:ascii="Arial" w:hAnsi="Arial" w:cs="Arial"/>
              <w:sz w:val="24"/>
              <w:szCs w:val="24"/>
            </w:rPr>
            <w:t>extinderea reţ</w:t>
          </w:r>
          <w:r>
            <w:rPr>
              <w:rFonts w:ascii="Arial" w:hAnsi="Arial" w:cs="Arial"/>
              <w:sz w:val="24"/>
              <w:szCs w:val="24"/>
            </w:rPr>
            <w:t xml:space="preserve">elelor de canalizare menajeră, </w:t>
          </w:r>
          <w:r w:rsidRPr="000A138C">
            <w:rPr>
              <w:rFonts w:ascii="Arial" w:hAnsi="Arial" w:cs="Arial"/>
              <w:sz w:val="24"/>
              <w:szCs w:val="24"/>
            </w:rPr>
            <w:t xml:space="preserve">din tuburi de PVC dur pentru canalizare menajeră, pentru o lungime de 8 604 ml.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Proiectul prevede: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 realizarea de colectoare de canalizare a apelor uzate menajere pe o lungime de  8.604 m, colectoare realizate din tubulatură de PVC dur pentru canalizare având diametrul de 250 mm;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- realizarea unui număr de 210 cămine de vizitare;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 realizarea a 2 staţii de pompare ape uzate menajere din PEHD tip cămin subteran şi a conductelor de refulare aferente;</w:t>
          </w:r>
        </w:p>
        <w:p w:rsid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 realizarea unor conducte de refulare având Dext 63 mm PEHD PN 4 L = 189 metri</w:t>
          </w:r>
          <w:r w:rsidR="00F03504">
            <w:rPr>
              <w:rFonts w:ascii="Arial" w:hAnsi="Arial" w:cs="Arial"/>
              <w:sz w:val="24"/>
              <w:szCs w:val="24"/>
            </w:rPr>
            <w:t>;</w:t>
          </w:r>
        </w:p>
        <w:p w:rsidR="00F03504" w:rsidRDefault="00F0350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- realizarea unui numar de 550 racorduri la limita proprietatii, fiecare racord fiind format din conducta PVC 200 mm in lungime mediu de 6 m pentru fiecare racord si camin polietilena D 600mm</w:t>
          </w:r>
          <w:r w:rsidR="0043199C">
            <w:rPr>
              <w:rFonts w:ascii="Arial" w:hAnsi="Arial" w:cs="Arial"/>
              <w:sz w:val="24"/>
              <w:szCs w:val="24"/>
            </w:rPr>
            <w:t>.</w:t>
          </w:r>
        </w:p>
        <w:p w:rsidR="00F03504" w:rsidRPr="00F03504" w:rsidRDefault="00F03504" w:rsidP="00F035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03504">
            <w:rPr>
              <w:rFonts w:ascii="Arial" w:hAnsi="Arial" w:cs="Arial"/>
              <w:sz w:val="24"/>
              <w:szCs w:val="24"/>
            </w:rPr>
            <w:t>Evacuarea apelor epurate se face în resursa de apă de suprafaţă – canal ce are legătură cu lacul Goloviţa.</w:t>
          </w:r>
        </w:p>
        <w:p w:rsidR="00F03504" w:rsidRPr="00F03504" w:rsidRDefault="00F03504" w:rsidP="00F035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03504">
            <w:rPr>
              <w:rFonts w:ascii="Arial" w:hAnsi="Arial" w:cs="Arial"/>
              <w:sz w:val="24"/>
              <w:szCs w:val="24"/>
            </w:rPr>
            <w:t>Investiţia propusă va permite extinderea colectării, transportului, epurării şi evacuării apelor uzate rezultate.</w:t>
          </w:r>
        </w:p>
        <w:p w:rsidR="00F03504" w:rsidRDefault="00F03504" w:rsidP="00F0350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F03504">
            <w:rPr>
              <w:rFonts w:ascii="Arial" w:hAnsi="Arial" w:cs="Arial"/>
              <w:sz w:val="24"/>
              <w:szCs w:val="24"/>
            </w:rPr>
            <w:t>Procedeul de canalizare ales este de tip separativ (divizor) şi colectează numai apele uzate menajere provenite din gospodării, instituţii publice, unităţi  agroalimentare şi de mică industrie.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Se interzice depozitarea materialelor şi circulaţia autovehiculelor sau utilajelor de şantier pe terenurile arabile adiacente.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b)cumularea cu alte proiecte- nu are impact semnificativ.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c)utilizarea resurselor naturale-nu este cazul.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d) producția de deșeuri: deșeurile rezultate în timpul construcției sunt depozitate in locuri special amenajate.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e)emisiile poluante, inclusiv zgomotul și alte surse de disconfort: emisiile vor rezulta în perioada de execuție a lucrărilor, din surse mobile ( mijloacele folosite la transportul materialelor), din lucrările efective realizate pentru executarea proiectului.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Nivelul de zgomot nu va depași nivelul prevazut de STAS 10009/88 - “Acustica în constructii. Acustica urbana” – limitele admisibile ale nivelului de zgomot;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f) riscul de accident, ținându-se seama în special de substanțele și de tehnologiile utilizate –minor.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3)Localizarea proiectului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a) Utilizarea existentă a terenului: Amplasamentul proiectului este în intravilanul localitatii </w:t>
          </w:r>
          <w:r w:rsidR="0043199C">
            <w:rPr>
              <w:rFonts w:ascii="Arial" w:hAnsi="Arial" w:cs="Arial"/>
              <w:sz w:val="24"/>
              <w:szCs w:val="24"/>
            </w:rPr>
            <w:t>Lunca</w:t>
          </w:r>
          <w:r w:rsidRPr="000A138C">
            <w:rPr>
              <w:rFonts w:ascii="Arial" w:hAnsi="Arial" w:cs="Arial"/>
              <w:sz w:val="24"/>
              <w:szCs w:val="24"/>
            </w:rPr>
            <w:t>, pe un teren cu folosinta actuala de drum</w:t>
          </w:r>
          <w:r w:rsidR="0043199C">
            <w:rPr>
              <w:rFonts w:ascii="Arial" w:hAnsi="Arial" w:cs="Arial"/>
              <w:sz w:val="24"/>
              <w:szCs w:val="24"/>
            </w:rPr>
            <w:t>uri stradale</w:t>
          </w:r>
          <w:r w:rsidRPr="000A138C">
            <w:rPr>
              <w:rFonts w:ascii="Arial" w:hAnsi="Arial" w:cs="Arial"/>
              <w:sz w:val="24"/>
              <w:szCs w:val="24"/>
            </w:rPr>
            <w:t xml:space="preserve">, conform prevederilor </w:t>
          </w:r>
          <w:r w:rsidR="0043199C">
            <w:rPr>
              <w:rFonts w:ascii="Arial" w:hAnsi="Arial" w:cs="Arial"/>
              <w:sz w:val="24"/>
              <w:szCs w:val="24"/>
            </w:rPr>
            <w:t xml:space="preserve">Certificatului de Urbanism nr. 28/5129 din </w:t>
          </w:r>
          <w:r w:rsidRPr="000A138C">
            <w:rPr>
              <w:rFonts w:ascii="Arial" w:hAnsi="Arial" w:cs="Arial"/>
              <w:sz w:val="24"/>
              <w:szCs w:val="24"/>
            </w:rPr>
            <w:t>0</w:t>
          </w:r>
          <w:r w:rsidR="0043199C">
            <w:rPr>
              <w:rFonts w:ascii="Arial" w:hAnsi="Arial" w:cs="Arial"/>
              <w:sz w:val="24"/>
              <w:szCs w:val="24"/>
            </w:rPr>
            <w:t>2</w:t>
          </w:r>
          <w:r w:rsidRPr="000A138C">
            <w:rPr>
              <w:rFonts w:ascii="Arial" w:hAnsi="Arial" w:cs="Arial"/>
              <w:sz w:val="24"/>
              <w:szCs w:val="24"/>
            </w:rPr>
            <w:t>.</w:t>
          </w:r>
          <w:r w:rsidR="0043199C">
            <w:rPr>
              <w:rFonts w:ascii="Arial" w:hAnsi="Arial" w:cs="Arial"/>
              <w:sz w:val="24"/>
              <w:szCs w:val="24"/>
            </w:rPr>
            <w:t>12</w:t>
          </w:r>
          <w:r w:rsidRPr="000A138C">
            <w:rPr>
              <w:rFonts w:ascii="Arial" w:hAnsi="Arial" w:cs="Arial"/>
              <w:sz w:val="24"/>
              <w:szCs w:val="24"/>
            </w:rPr>
            <w:t>.2015, emis de Comuna</w:t>
          </w:r>
          <w:r w:rsidR="0043199C">
            <w:rPr>
              <w:rFonts w:ascii="Arial" w:hAnsi="Arial" w:cs="Arial"/>
              <w:sz w:val="24"/>
              <w:szCs w:val="24"/>
            </w:rPr>
            <w:t xml:space="preserve"> Ceamurlia de Jos</w:t>
          </w:r>
          <w:r w:rsidRPr="000A138C">
            <w:rPr>
              <w:rFonts w:ascii="Arial" w:hAnsi="Arial" w:cs="Arial"/>
              <w:sz w:val="24"/>
              <w:szCs w:val="24"/>
            </w:rPr>
            <w:t>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b)relativa abundență a resurselor naturale din zonă, calitatea și capacitatea regenerativă a acestora-nu este cazul.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c)capacitatea de absorbție a mediului, cu atenție deosebită pentru: 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-zone umede-nu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-zone costiere- 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-zone montane si cele împădurite-nu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-parcurile și rezervațiile naturale- 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-ariile clasificate sau zonele protejate prin legislatia în vigoare, cum sunt: zone                                                                   de protecție a faunei piscicole, bazine piscicole naturale și bazine piscicole                                                                 amenajate, etc.- 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-zone de protecție specială , mai ales cele desemnate prin OUG nr.57/2007, cu modificările și completările ulterioare, zonele prevăzute prin Legea nr.5/2000, zonele de protecție instituite conform prevederilor Legii apelor nr.107/1996 cu modificările și completările ulterioare și HG. nr.930/2005-  nu este cazul.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 ariile în care standardele de calitate a mediului stabilite de legislație au fost deja depășite- 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 ariile dens populate-nu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>-peisajele cu semnificație istorică, culturală și arheologică.- nu este cazul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 4) Caracteristicile impactului potențial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        - extinderea impactului: local ( influențează o arie limitată)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        - natura transfrontalieră a impactului- nu este cazul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lastRenderedPageBreak/>
            <w:t xml:space="preserve">        -mărimea și complexitatea impactului:În perioada de execuție a proiectului impactul asupra factorilor de  mediu va fi  de scurtă durată ( temporar), redus, sursele de poluare fiind lucrările propuse prin proiect.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       - probabilitatea impactului: redusă în cazul în care sunt respectate prevederile  proiectului.</w:t>
          </w:r>
        </w:p>
        <w:p w:rsidR="000A138C" w:rsidRPr="000A138C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      - durata, frecvența și reversibilitatea impactului: în perioada de execuție a proiectului impactul asupra factorilor de mediu va fi de scurtă durată ( temporar), în perioada de exploatare va fi un impact redus .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6D7424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A138C">
            <w:rPr>
              <w:rFonts w:ascii="Arial" w:hAnsi="Arial" w:cs="Arial"/>
              <w:sz w:val="24"/>
              <w:szCs w:val="24"/>
            </w:rPr>
            <w:t xml:space="preserve">5) Pe parcursul procedurii nu au fost înregistrate observaţii/comentarii din partea publicului.        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3199C" w:rsidRPr="009A13B2" w:rsidRDefault="000A138C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i/>
              <w:sz w:val="24"/>
              <w:szCs w:val="24"/>
            </w:rPr>
          </w:pPr>
          <w:r w:rsidRPr="009A13B2">
            <w:rPr>
              <w:rFonts w:ascii="Arial" w:hAnsi="Arial" w:cs="Arial"/>
              <w:b/>
              <w:i/>
              <w:sz w:val="24"/>
              <w:szCs w:val="24"/>
            </w:rPr>
            <w:t>II. Motivele care au stat la baza luării deciziei etapei de încadrare în procedura de evaluare adecvată sunt următoarele: nu este cazul.</w:t>
          </w:r>
        </w:p>
        <w:p w:rsidR="006D7424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EA2AD9" w:rsidRPr="009A13B2" w:rsidRDefault="00F5779E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9A13B2">
            <w:rPr>
              <w:rFonts w:ascii="Arial" w:hAnsi="Arial" w:cs="Arial"/>
              <w:b/>
              <w:sz w:val="24"/>
              <w:szCs w:val="24"/>
              <w:u w:val="single"/>
            </w:rPr>
            <w:t>Condiţiile de realizare a proiectului:</w:t>
          </w:r>
        </w:p>
        <w:p w:rsidR="006D7424" w:rsidRPr="0043199C" w:rsidRDefault="006D7424" w:rsidP="000A138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 xml:space="preserve">   - proiectul se va realiza conform documentaţiilor prezentate, cu respectarea prevederilor legislaţiei de protecţia mediului,în vigoare si a prevederilor actelor emise de celelalte autoritati </w:t>
          </w:r>
        </w:p>
        <w:p w:rsid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lucrările se vor executa strict în perimetrul destinat prin proiect și nu se vor deteriora zonele învecinate perimetrului de desfǎşurare a lucrǎrilor;</w:t>
          </w:r>
        </w:p>
        <w:p w:rsidR="006D7424" w:rsidRPr="0043199C" w:rsidRDefault="006D7424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D7424">
            <w:rPr>
              <w:rFonts w:ascii="Arial" w:hAnsi="Arial" w:cs="Arial"/>
              <w:sz w:val="24"/>
              <w:szCs w:val="24"/>
            </w:rPr>
            <w:t>- respectarea conditiilor impuse prin notificarea pentru inceperea executiei a investitiei, emisa de catre SGA  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după finalizarea investiţiei, terenul afectat temporar se va readuce la starea iniţială;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 xml:space="preserve">- eliminarea oricăror tipuri de deşeuri care ar putea afecta calitatea solului; 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deşeurile menajere  şi din construcţii, rezultate în timpul executării lucrărilor , vor fi colectate selectiv și preluate de o societate autorizată în acest sens;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nu se vor evacua nici un fel de deşeuri în alte locuri, decât în spaţiile special amenajate;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utilajele utilizate pe durata de realizare a lucrǎrilor, precum şi mijloacele de transport, vor avea o stare tehnicǎ corespunzǎtoare, astfel încât sǎ fie exclusǎ orice posibilitate de poluare a mediului înconjurator cu combustibil ori material lubrifiant direct sau indirect;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este interzisă parasirea incintei organizării de şantier cu mijloacele de transport cu rotile/ caroseria autovehiculelor încărcate de noroi, în vederea evitării antrenării acestuia pe drumurile publice;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beneficiarul răspunde de realizarea corectă a lucrărilor propuse, respectând condiţiile  prezentate în memoriul de prezentare;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beneficiarul va respecta condiţiile impuse prin Certificatul de Urbanism nr.</w:t>
          </w:r>
          <w:r>
            <w:rPr>
              <w:rFonts w:ascii="Arial" w:hAnsi="Arial" w:cs="Arial"/>
              <w:sz w:val="24"/>
              <w:szCs w:val="24"/>
            </w:rPr>
            <w:t xml:space="preserve">28/5129 din </w:t>
          </w:r>
          <w:r w:rsidRPr="0043199C">
            <w:rPr>
              <w:rFonts w:ascii="Arial" w:hAnsi="Arial" w:cs="Arial"/>
              <w:sz w:val="24"/>
              <w:szCs w:val="24"/>
            </w:rPr>
            <w:t>0</w:t>
          </w:r>
          <w:r>
            <w:rPr>
              <w:rFonts w:ascii="Arial" w:hAnsi="Arial" w:cs="Arial"/>
              <w:sz w:val="24"/>
              <w:szCs w:val="24"/>
            </w:rPr>
            <w:t>2</w:t>
          </w:r>
          <w:r w:rsidRPr="0043199C"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hAnsi="Arial" w:cs="Arial"/>
              <w:sz w:val="24"/>
              <w:szCs w:val="24"/>
            </w:rPr>
            <w:t>12</w:t>
          </w:r>
          <w:r w:rsidRPr="0043199C">
            <w:rPr>
              <w:rFonts w:ascii="Arial" w:hAnsi="Arial" w:cs="Arial"/>
              <w:sz w:val="24"/>
              <w:szCs w:val="24"/>
            </w:rPr>
            <w:t xml:space="preserve">.2015, emis de </w:t>
          </w:r>
          <w:r>
            <w:rPr>
              <w:rFonts w:ascii="Arial" w:hAnsi="Arial" w:cs="Arial"/>
              <w:sz w:val="24"/>
              <w:szCs w:val="24"/>
            </w:rPr>
            <w:t>Comun</w:t>
          </w:r>
          <w:r w:rsidRPr="0043199C">
            <w:rPr>
              <w:rFonts w:ascii="Arial" w:hAnsi="Arial" w:cs="Arial"/>
              <w:sz w:val="24"/>
              <w:szCs w:val="24"/>
            </w:rPr>
            <w:t>a</w:t>
          </w:r>
          <w:r>
            <w:rPr>
              <w:rFonts w:ascii="Arial" w:hAnsi="Arial" w:cs="Arial"/>
              <w:sz w:val="24"/>
              <w:szCs w:val="24"/>
            </w:rPr>
            <w:t xml:space="preserve"> Ceamurlia de Jos</w:t>
          </w:r>
          <w:r w:rsidRPr="0043199C">
            <w:rPr>
              <w:rFonts w:ascii="Arial" w:hAnsi="Arial" w:cs="Arial"/>
              <w:sz w:val="24"/>
              <w:szCs w:val="24"/>
            </w:rPr>
            <w:t>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>- titularul proiectului are obligaţia de a notifica în scris APM Tulcea despre orice modificare sau extindere a proiectului survenită după emiterea deciziei etapei de încadrare, înainte de realizarea modificării;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 xml:space="preserve">- la finalizarea lucrărilor se va notifica în scris APM Tulcea şi GNM - Comisariatul Județean Tulcea în vederea efectuării controlului de specialitate pentru verificarea respectării prevederilor prezentei decizii şi a întocmirii procesului verbal care se anexează şi face parte integrantă din procesul verbal de recepţie la terminarea lucrărilor.    </w:t>
          </w:r>
        </w:p>
        <w:p w:rsidR="0043199C" w:rsidRPr="0043199C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 xml:space="preserve">     Prezenta decizie a etapei de incadrare este valabila pe toata perioada punerii in aplicare a proiectului.   </w:t>
          </w:r>
        </w:p>
        <w:p w:rsidR="00753675" w:rsidRPr="00522DB9" w:rsidRDefault="0043199C" w:rsidP="0043199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3199C">
            <w:rPr>
              <w:rFonts w:ascii="Arial" w:hAnsi="Arial" w:cs="Arial"/>
              <w:sz w:val="24"/>
              <w:szCs w:val="24"/>
            </w:rPr>
            <w:t xml:space="preserve">     Răspunderea pentru corectitudinea informaţiilor puse la dispoziţia autorităţilor competente pentru protecţia mediului şi a publicului revine titularului planului, programului, proiectului sau al activităţii.      </w:t>
          </w:r>
          <w:r w:rsidR="00F5779E"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F5779E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F5779E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8C7C2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-1361501062"/>
            <w:placeholder>
              <w:docPart w:val="E46A692E04E84D31B407EC58895CC99A"/>
            </w:placeholder>
          </w:sdtPr>
          <w:sdtEndPr>
            <w:rPr>
              <w:b w:val="0"/>
            </w:rPr>
          </w:sdtEndPr>
          <w:sdtContent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D7424" w:rsidRPr="007722DE" w:rsidRDefault="006D7424" w:rsidP="006D7424">
              <w:pPr>
                <w:spacing w:after="0" w:line="360" w:lineRule="auto"/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</w:pPr>
              <w:r w:rsidRPr="007722DE"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  <w:t xml:space="preserve">DIRECTOR EXECUTIV,                                                                                                                 </w:t>
              </w:r>
            </w:p>
            <w:p w:rsidR="006D7424" w:rsidRPr="007722DE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</w:pPr>
              <w:r w:rsidRPr="007722DE">
                <w:rPr>
                  <w:rFonts w:ascii="Times New Roman" w:hAnsi="Times New Roman"/>
                  <w:b/>
                  <w:sz w:val="26"/>
                  <w:szCs w:val="26"/>
                  <w:lang w:val="ro-RO"/>
                </w:rPr>
                <w:t xml:space="preserve">Geog. LAURA DANIELA MATETOVICI                                 </w:t>
              </w: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</w:p>
            <w:p w:rsidR="006D7424" w:rsidRPr="007722DE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  <w:r w:rsidRPr="007722DE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SEF SERVICIU</w:t>
              </w:r>
            </w:p>
            <w:p w:rsidR="006D7424" w:rsidRPr="007722DE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  <w:r w:rsidRPr="007722DE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AVIZE,ACORDURI,AUTORIZATII</w:t>
              </w:r>
            </w:p>
            <w:p w:rsidR="006D7424" w:rsidRPr="007722DE" w:rsidRDefault="006D7424" w:rsidP="006D7424">
              <w:pPr>
                <w:spacing w:after="0" w:line="240" w:lineRule="auto"/>
                <w:ind w:left="4956" w:firstLine="708"/>
                <w:jc w:val="center"/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</w:pPr>
              <w:r w:rsidRPr="007722DE">
                <w:rPr>
                  <w:rFonts w:ascii="Times New Roman" w:hAnsi="Times New Roman"/>
                  <w:b/>
                  <w:sz w:val="24"/>
                  <w:szCs w:val="24"/>
                  <w:lang w:val="ro-RO"/>
                </w:rPr>
                <w:t>Ing.CAMELIA MICU</w:t>
              </w: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Pr="007722DE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 w:rsidRPr="007722DE">
                <w:rPr>
                  <w:rFonts w:ascii="Times New Roman" w:hAnsi="Times New Roman"/>
                  <w:sz w:val="24"/>
                  <w:szCs w:val="24"/>
                  <w:lang w:val="ro-RO"/>
                </w:rPr>
                <w:t>Intocmit,Consilier asistent</w:t>
              </w: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>
                <w:rPr>
                  <w:rFonts w:ascii="Times New Roman" w:hAnsi="Times New Roman"/>
                  <w:sz w:val="24"/>
                  <w:szCs w:val="24"/>
                  <w:lang w:val="ro-RO"/>
                </w:rPr>
                <w:t>Ing. E</w:t>
              </w:r>
              <w:r w:rsidR="008C7C28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lizabeth </w:t>
              </w:r>
              <w:r w:rsidRPr="007722DE">
                <w:rPr>
                  <w:rFonts w:ascii="Times New Roman" w:hAnsi="Times New Roman"/>
                  <w:sz w:val="24"/>
                  <w:szCs w:val="24"/>
                  <w:lang w:val="ro-RO"/>
                </w:rPr>
                <w:t>V</w:t>
              </w:r>
              <w:r w:rsidR="008C7C28">
                <w:rPr>
                  <w:rFonts w:ascii="Times New Roman" w:hAnsi="Times New Roman"/>
                  <w:sz w:val="24"/>
                  <w:szCs w:val="24"/>
                  <w:lang w:val="ro-RO"/>
                </w:rPr>
                <w:t>ARZARU</w:t>
              </w:r>
              <w:bookmarkStart w:id="0" w:name="_GoBack"/>
              <w:bookmarkEnd w:id="0"/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Pr="007722DE" w:rsidRDefault="006D7424" w:rsidP="006D7424">
              <w:pPr>
                <w:spacing w:after="0" w:line="240" w:lineRule="auto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</w:p>
            <w:p w:rsidR="006D7424" w:rsidRPr="007722DE" w:rsidRDefault="006D7424" w:rsidP="006D7424">
              <w:pPr>
                <w:spacing w:after="0"/>
                <w:jc w:val="both"/>
                <w:rPr>
                  <w:rFonts w:ascii="Times New Roman" w:hAnsi="Times New Roman"/>
                  <w:sz w:val="24"/>
                  <w:szCs w:val="24"/>
                  <w:lang w:val="ro-RO"/>
                </w:rPr>
              </w:pPr>
              <w:r>
                <w:rPr>
                  <w:rFonts w:ascii="Times New Roman" w:hAnsi="Times New Roman"/>
                  <w:sz w:val="24"/>
                  <w:szCs w:val="24"/>
                  <w:lang w:val="ro-RO"/>
                </w:rPr>
                <w:t>Nr.A.A.A……..…../ ……...............</w:t>
              </w:r>
              <w:r w:rsidRPr="007722DE">
                <w:rPr>
                  <w:rFonts w:ascii="Times New Roman" w:hAnsi="Times New Roman"/>
                  <w:sz w:val="24"/>
                  <w:szCs w:val="24"/>
                  <w:lang w:val="ro-RO"/>
                </w:rPr>
                <w:t xml:space="preserve"> </w:t>
              </w:r>
            </w:p>
            <w:p w:rsidR="0071693D" w:rsidRDefault="008C7C28" w:rsidP="007B1968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</w:sdtContent>
    </w:sdt>
    <w:p w:rsidR="00522DB9" w:rsidRPr="00447422" w:rsidRDefault="008C7C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7C2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C7C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7C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7C2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8C7C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8C7C2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32" w:rsidRDefault="00F5779E">
      <w:pPr>
        <w:spacing w:after="0" w:line="240" w:lineRule="auto"/>
      </w:pPr>
      <w:r>
        <w:separator/>
      </w:r>
    </w:p>
  </w:endnote>
  <w:endnote w:type="continuationSeparator" w:id="0">
    <w:p w:rsidR="00300432" w:rsidRDefault="00F5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5779E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C7C28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0A138C" w:rsidRPr="000B759E" w:rsidRDefault="00F5779E" w:rsidP="000A138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0A138C" w:rsidRPr="000A13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38C" w:rsidRPr="000B759E">
              <w:rPr>
                <w:rFonts w:ascii="Arial" w:hAnsi="Arial" w:cs="Arial"/>
                <w:b/>
                <w:sz w:val="20"/>
                <w:szCs w:val="20"/>
              </w:rPr>
              <w:t>TULCEA</w:t>
            </w:r>
          </w:p>
          <w:p w:rsidR="000A138C" w:rsidRPr="000B759E" w:rsidRDefault="000A138C" w:rsidP="000A138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59E">
              <w:rPr>
                <w:rFonts w:ascii="Arial" w:hAnsi="Arial" w:cs="Arial"/>
                <w:sz w:val="20"/>
                <w:szCs w:val="20"/>
              </w:rPr>
              <w:t>Adresa: Tulcea , Str. 14 Noiembrie nr. 5, e-mail : office@apmtl.anpm.ro</w:t>
            </w:r>
          </w:p>
          <w:p w:rsidR="00992A14" w:rsidRPr="007A4C64" w:rsidRDefault="000A138C" w:rsidP="000A138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0B759E">
              <w:rPr>
                <w:rFonts w:ascii="Arial" w:hAnsi="Arial" w:cs="Arial"/>
                <w:sz w:val="20"/>
                <w:szCs w:val="20"/>
              </w:rPr>
              <w:t>Tel : 0240510620, 0240510622, 0240510623,  Fax : 0240510621</w:t>
            </w:r>
          </w:p>
        </w:sdtContent>
      </w:sdt>
      <w:p w:rsidR="00B72680" w:rsidRPr="00C44321" w:rsidRDefault="00F5779E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C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0A138C" w:rsidRPr="000B759E" w:rsidRDefault="00F5779E" w:rsidP="000A138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0A138C" w:rsidRPr="000A138C">
          <w:rPr>
            <w:rFonts w:ascii="Arial" w:hAnsi="Arial" w:cs="Arial"/>
            <w:b/>
            <w:sz w:val="20"/>
            <w:szCs w:val="20"/>
          </w:rPr>
          <w:t xml:space="preserve"> </w:t>
        </w:r>
        <w:r w:rsidR="000A138C" w:rsidRPr="000B759E">
          <w:rPr>
            <w:rFonts w:ascii="Arial" w:hAnsi="Arial" w:cs="Arial"/>
            <w:b/>
            <w:sz w:val="20"/>
            <w:szCs w:val="20"/>
          </w:rPr>
          <w:t>TULCEA</w:t>
        </w:r>
      </w:p>
      <w:p w:rsidR="000A138C" w:rsidRPr="000B759E" w:rsidRDefault="000A138C" w:rsidP="000A138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  <w:r w:rsidRPr="000B759E">
          <w:rPr>
            <w:rFonts w:ascii="Arial" w:hAnsi="Arial" w:cs="Arial"/>
            <w:sz w:val="20"/>
            <w:szCs w:val="20"/>
          </w:rPr>
          <w:t>Adresa: Tulcea , Str. 14 Noiembrie nr. 5, e-mail : office@apmtl.anpm.ro</w:t>
        </w:r>
      </w:p>
      <w:p w:rsidR="00B72680" w:rsidRPr="00992A14" w:rsidRDefault="000A138C" w:rsidP="000A138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  <w:r w:rsidRPr="000B759E">
          <w:rPr>
            <w:rFonts w:ascii="Arial" w:hAnsi="Arial" w:cs="Arial"/>
            <w:sz w:val="20"/>
            <w:szCs w:val="20"/>
          </w:rPr>
          <w:t>Tel : 0240510620, 0240510622, 0240510623,  Fax : 0240510621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32" w:rsidRDefault="00F5779E">
      <w:pPr>
        <w:spacing w:after="0" w:line="240" w:lineRule="auto"/>
      </w:pPr>
      <w:r>
        <w:separator/>
      </w:r>
    </w:p>
  </w:footnote>
  <w:footnote w:type="continuationSeparator" w:id="0">
    <w:p w:rsidR="00300432" w:rsidRDefault="00F57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8C7C28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4110424" r:id="rId2"/>
      </w:pict>
    </w:r>
    <w:r w:rsidR="00F5779E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5779E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5779E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8C7C28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5779E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5779E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C7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C7C2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C7C28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5779E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0A138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TULCEA</w:t>
              </w:r>
            </w:sdtContent>
          </w:sdt>
        </w:p>
      </w:tc>
    </w:tr>
  </w:tbl>
  <w:p w:rsidR="00B72680" w:rsidRPr="0090788F" w:rsidRDefault="008C7C2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JaAwDgrtiweX/sYOivgSTLfI6M=" w:salt="eFcVd93ag+KOqV/xYZPdnA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138C"/>
    <w:rsid w:val="000A138C"/>
    <w:rsid w:val="00300432"/>
    <w:rsid w:val="0043199C"/>
    <w:rsid w:val="006D7424"/>
    <w:rsid w:val="008C7C28"/>
    <w:rsid w:val="009A13B2"/>
    <w:rsid w:val="00F03504"/>
    <w:rsid w:val="00F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E46A692E04E84D31B407EC58895C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6F886-EC52-4879-A32E-83B2C17C0123}"/>
      </w:docPartPr>
      <w:docPartBody>
        <w:p w:rsidR="00B53F1A" w:rsidRDefault="001F6C80" w:rsidP="001F6C80">
          <w:pPr>
            <w:pStyle w:val="E46A692E04E84D31B407EC58895CC99A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F6C80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53F1A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6C8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E46A692E04E84D31B407EC58895CC99A">
    <w:name w:val="E46A692E04E84D31B407EC58895CC99A"/>
    <w:rsid w:val="001F6C80"/>
    <w:rPr>
      <w:lang w:val="ro-RO" w:eastAsia="ro-RO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f030ee5-9b79-4efa-b23d-09e01a4e282b","Numar":null,"Data":null,"NumarActReglementareInitial":null,"DataActReglementareInitial":null,"DataInceput":null,"DataSfarsit":null,"Durata":null,"PunctLucruId":264009.0,"TipActId":4.0,"NumarCerere":null,"DataCerere":null,"NumarCerereScriptic":"14596","DataCerereScriptic":"2015-12-08T00:00:00","CodFiscal":null,"SordId":"(9DE39CF4-31B9-0E57-D367-9F5B0DD9D5C5)","SablonSordId":"(8B66777B-56B9-65A9-2773-1FA4A6BC21FB)","DosarSordId":"3009753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58, Ceamurlia de Jos, Judetul Tulcea","AdresaPunctLucru":null,"DenumireObiectiv":null,"DomeniuActivitate":null,"DomeniuSpecific":null,"ApmEmitere":null,"ApmRaportare":null,"AnpmApm":"APM Tulcea","NotificareApm":"APM Tulce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A370FEA-BE0C-4C21-BBE9-B19F6D64299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F34828A1-E2C0-4FB8-AB57-8B91F95BFF8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0764ADF7-6520-4473-AB1E-47A135959778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058C235C-ED83-4A67-B5D6-3E4DE54F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1426</Words>
  <Characters>8272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9679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Eliza Varzaru</cp:lastModifiedBy>
  <cp:revision>8</cp:revision>
  <cp:lastPrinted>2014-04-25T12:16:00Z</cp:lastPrinted>
  <dcterms:created xsi:type="dcterms:W3CDTF">2015-10-26T07:49:00Z</dcterms:created>
  <dcterms:modified xsi:type="dcterms:W3CDTF">2016-01-12T11:27:00Z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CEAMURLIA DE JOS - EXTINDERE CANALIZARE - LUNCA</vt:lpwstr>
  </property>
  <property fmtid="{D5CDD505-2E9C-101B-9397-08002B2CF9AE}" pid="5" name="SordId">
    <vt:lpwstr>(9DE39CF4-31B9-0E57-D367-9F5B0DD9D5C5)</vt:lpwstr>
  </property>
  <property fmtid="{D5CDD505-2E9C-101B-9397-08002B2CF9AE}" pid="6" name="VersiuneDocument">
    <vt:lpwstr>6</vt:lpwstr>
  </property>
  <property fmtid="{D5CDD505-2E9C-101B-9397-08002B2CF9AE}" pid="7" name="RuntimeGuid">
    <vt:lpwstr>e1b71591-7d28-44f5-9a18-61ef39f00819</vt:lpwstr>
  </property>
  <property fmtid="{D5CDD505-2E9C-101B-9397-08002B2CF9AE}" pid="8" name="PunctLucruId">
    <vt:lpwstr>264009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3009753</vt:lpwstr>
  </property>
  <property fmtid="{D5CDD505-2E9C-101B-9397-08002B2CF9AE}" pid="11" name="DosarCerereSordId">
    <vt:lpwstr>2964008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9f030ee5-9b79-4efa-b23d-09e01a4e282b</vt:lpwstr>
  </property>
  <property fmtid="{D5CDD505-2E9C-101B-9397-08002B2CF9AE}" pid="16" name="CommitRoles">
    <vt:lpwstr>false</vt:lpwstr>
  </property>
</Properties>
</file>