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57" w:rsidRPr="00064581" w:rsidRDefault="008C3B57" w:rsidP="008C3B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8C3B57" w:rsidRPr="00EA2AD9" w:rsidRDefault="008C3B57" w:rsidP="008C3B57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C3B57" w:rsidRPr="00074A9F" w:rsidRDefault="008C3B57" w:rsidP="008C3B5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din 03.07.2018</w:t>
      </w:r>
      <w:r>
        <w:rPr>
          <w:lang w:val="ro-RO"/>
        </w:rPr>
        <w:t xml:space="preserve"> </w:t>
      </w:r>
    </w:p>
    <w:p w:rsidR="008C3B57" w:rsidRDefault="008C3B57" w:rsidP="008C3B5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C3B57" w:rsidRDefault="008C3B57" w:rsidP="008C3B57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S.C. Cezar Auto Center S.R.L.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com. Fântâna Mare, sat Fântâna Mare, str. La Temelie, nr. 28, judeţul Suceava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>cu nr.</w:t>
      </w:r>
      <w:r>
        <w:rPr>
          <w:rFonts w:ascii="Arial" w:hAnsi="Arial" w:cs="Arial"/>
          <w:sz w:val="24"/>
          <w:szCs w:val="24"/>
          <w:lang w:val="ro-RO"/>
        </w:rPr>
        <w:t>1472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15.02.2018,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8C3B57" w:rsidRPr="00313E08" w:rsidRDefault="008C3B57" w:rsidP="008C3B57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8C3B57" w:rsidRDefault="008C3B57" w:rsidP="008C3B57">
      <w:pPr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8C3B57" w:rsidRPr="0001311F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27.06.2018</w:t>
      </w:r>
      <w:r w:rsidRPr="0001311F">
        <w:rPr>
          <w:rFonts w:ascii="Arial" w:hAnsi="Arial" w:cs="Arial"/>
          <w:sz w:val="24"/>
          <w:szCs w:val="24"/>
          <w:lang w:val="ro-RO"/>
        </w:rPr>
        <w:t>, că proiectul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ro-RO"/>
        </w:rPr>
        <w:t>Schimbare destinaţia din hală în service auto şi din şopron în atelier dezmembrări auto; construire platforme, separator de produse petroliere şi bazin vidanjabil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Fonts w:ascii="Arial" w:hAnsi="Arial" w:cs="Arial"/>
          <w:sz w:val="24"/>
          <w:szCs w:val="24"/>
          <w:lang w:val="ro-RO"/>
        </w:rPr>
        <w:t>com. Fântâna Mare, sat Fântâna Mare, str. La Temelie, nr. 28, jud.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8C3B57" w:rsidRPr="00447422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p w:rsidR="008C3B57" w:rsidRPr="00522DB9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Motivele care au stat la baza luării deciziei etapei de încadrare în procedura de evaluare a impactului asupra mediului sunt următoarele:</w:t>
      </w:r>
    </w:p>
    <w:p w:rsidR="008C3B57" w:rsidRPr="00522DB9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a) proiectul se încadrează în prevederile </w:t>
      </w:r>
      <w:r w:rsidRPr="00EB548E">
        <w:rPr>
          <w:rFonts w:ascii="Arial" w:hAnsi="Arial" w:cs="Arial"/>
          <w:sz w:val="24"/>
          <w:szCs w:val="24"/>
        </w:rPr>
        <w:t>Hotărârii Guvernului nr. 445/2009</w:t>
      </w:r>
      <w:r w:rsidRPr="00522DB9">
        <w:rPr>
          <w:rFonts w:ascii="Arial" w:hAnsi="Arial" w:cs="Arial"/>
          <w:sz w:val="24"/>
          <w:szCs w:val="24"/>
        </w:rPr>
        <w:t>, anexa nr.</w:t>
      </w:r>
      <w:r>
        <w:rPr>
          <w:rFonts w:ascii="Arial" w:hAnsi="Arial" w:cs="Arial"/>
          <w:sz w:val="24"/>
          <w:szCs w:val="24"/>
        </w:rPr>
        <w:t xml:space="preserve"> 2</w:t>
      </w:r>
      <w:r w:rsidRPr="00522DB9">
        <w:rPr>
          <w:rFonts w:ascii="Arial" w:hAnsi="Arial" w:cs="Arial"/>
          <w:sz w:val="24"/>
          <w:szCs w:val="24"/>
        </w:rPr>
        <w:t xml:space="preserve">, pct. </w:t>
      </w:r>
      <w:r>
        <w:rPr>
          <w:rFonts w:ascii="Arial" w:hAnsi="Arial" w:cs="Arial"/>
          <w:sz w:val="24"/>
          <w:szCs w:val="24"/>
        </w:rPr>
        <w:t>11, lit. b</w:t>
      </w:r>
      <w:r w:rsidRPr="00522DB9">
        <w:rPr>
          <w:rFonts w:ascii="Arial" w:hAnsi="Arial" w:cs="Arial"/>
          <w:sz w:val="24"/>
          <w:szCs w:val="24"/>
        </w:rPr>
        <w:t>;</w:t>
      </w:r>
    </w:p>
    <w:p w:rsidR="008C3B57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b) </w:t>
      </w:r>
      <w:r>
        <w:rPr>
          <w:rFonts w:ascii="Arial" w:hAnsi="Arial" w:cs="Arial"/>
          <w:sz w:val="24"/>
          <w:szCs w:val="24"/>
        </w:rPr>
        <w:t>Lucrările propuse constau în:</w:t>
      </w:r>
    </w:p>
    <w:p w:rsidR="008C3B57" w:rsidRDefault="008C3B57" w:rsidP="008C3B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Suprafaţa de teren aferentă obiectivului de investiţie este de 8455 mp.</w:t>
      </w:r>
    </w:p>
    <w:p w:rsidR="008C3B57" w:rsidRDefault="008C3B57" w:rsidP="008C3B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662D">
        <w:rPr>
          <w:rFonts w:ascii="Arial" w:hAnsi="Arial" w:cs="Arial"/>
          <w:sz w:val="24"/>
          <w:szCs w:val="24"/>
        </w:rPr>
        <w:t xml:space="preserve"> Pe terenul mai sus mentionat </w:t>
      </w:r>
      <w:r>
        <w:rPr>
          <w:rFonts w:ascii="Arial" w:hAnsi="Arial" w:cs="Arial"/>
          <w:sz w:val="24"/>
          <w:szCs w:val="24"/>
        </w:rPr>
        <w:t>există</w:t>
      </w:r>
      <w:r w:rsidRPr="00F2662D">
        <w:rPr>
          <w:rFonts w:ascii="Arial" w:hAnsi="Arial" w:cs="Arial"/>
          <w:sz w:val="24"/>
          <w:szCs w:val="24"/>
        </w:rPr>
        <w:t xml:space="preserve"> construite urm</w:t>
      </w:r>
      <w:r>
        <w:rPr>
          <w:rFonts w:ascii="Arial" w:hAnsi="Arial" w:cs="Arial"/>
          <w:sz w:val="24"/>
          <w:szCs w:val="24"/>
        </w:rPr>
        <w:t>ă</w:t>
      </w:r>
      <w:r w:rsidRPr="00F2662D">
        <w:rPr>
          <w:rFonts w:ascii="Arial" w:hAnsi="Arial" w:cs="Arial"/>
          <w:sz w:val="24"/>
          <w:szCs w:val="24"/>
        </w:rPr>
        <w:t>toarele cl</w:t>
      </w:r>
      <w:r>
        <w:rPr>
          <w:rFonts w:ascii="Arial" w:hAnsi="Arial" w:cs="Arial"/>
          <w:sz w:val="24"/>
          <w:szCs w:val="24"/>
        </w:rPr>
        <w:t>ă</w:t>
      </w:r>
      <w:r w:rsidRPr="00F2662D">
        <w:rPr>
          <w:rFonts w:ascii="Arial" w:hAnsi="Arial" w:cs="Arial"/>
          <w:sz w:val="24"/>
          <w:szCs w:val="24"/>
        </w:rPr>
        <w:t>diri</w:t>
      </w:r>
      <w:r>
        <w:rPr>
          <w:rFonts w:ascii="Arial" w:hAnsi="Arial" w:cs="Arial"/>
          <w:sz w:val="24"/>
          <w:szCs w:val="24"/>
        </w:rPr>
        <w:t>:</w:t>
      </w:r>
    </w:p>
    <w:p w:rsidR="008C3B57" w:rsidRDefault="008C3B57" w:rsidP="008C3B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Pr="00F2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clădire 1- construcţie tip parter, care ocupă o suprafaţă de 353,80 mp, care va fi amenajată ca atelier service auto. Spaţiul interior va fi compartimentat în staţie ITP, atelier  service auto, cameră compresor, vestiar, cameră centrală termică.</w:t>
      </w:r>
    </w:p>
    <w:p w:rsidR="008C3B57" w:rsidRDefault="008C3B57" w:rsidP="008C3B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Atât pardoseala interioară cât şi platformele exterioare vor fi betonate.</w:t>
      </w:r>
    </w:p>
    <w:p w:rsidR="008C3B57" w:rsidRDefault="008C3B57" w:rsidP="008C3B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clădire 2- construcţie tip parter( şopron ), care ocupă o suprafaţă de 375,85 mp, care va fi amenajată ca atelier dezmembrări auto. </w:t>
      </w:r>
    </w:p>
    <w:p w:rsidR="008C3B57" w:rsidRPr="00F2662D" w:rsidRDefault="008C3B57" w:rsidP="008C3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2662D">
        <w:rPr>
          <w:rFonts w:ascii="Arial" w:hAnsi="Arial" w:cs="Arial"/>
          <w:sz w:val="24"/>
          <w:szCs w:val="24"/>
        </w:rPr>
        <w:t>Pentru realizarea proiectului propus se va organiza activitatea atelierului,</w:t>
      </w:r>
      <w:r>
        <w:rPr>
          <w:rFonts w:ascii="Arial" w:hAnsi="Arial" w:cs="Arial"/>
          <w:sz w:val="24"/>
          <w:szCs w:val="24"/>
        </w:rPr>
        <w:t>de dezmembrări auto î</w:t>
      </w:r>
      <w:r w:rsidRPr="00F2662D">
        <w:rPr>
          <w:rFonts w:ascii="Arial" w:hAnsi="Arial" w:cs="Arial"/>
          <w:sz w:val="24"/>
          <w:szCs w:val="24"/>
        </w:rPr>
        <w:t>ntr-un spa</w:t>
      </w:r>
      <w:r>
        <w:rPr>
          <w:rFonts w:ascii="Arial" w:hAnsi="Arial" w:cs="Arial"/>
          <w:sz w:val="24"/>
          <w:szCs w:val="24"/>
        </w:rPr>
        <w:t>ţ</w:t>
      </w:r>
      <w:r w:rsidRPr="00F2662D">
        <w:rPr>
          <w:rFonts w:ascii="Arial" w:hAnsi="Arial" w:cs="Arial"/>
          <w:sz w:val="24"/>
          <w:szCs w:val="24"/>
        </w:rPr>
        <w:t xml:space="preserve">iu de lucru, </w:t>
      </w:r>
      <w:r>
        <w:rPr>
          <w:rFonts w:ascii="Arial" w:hAnsi="Arial" w:cs="Arial"/>
          <w:sz w:val="24"/>
          <w:szCs w:val="24"/>
        </w:rPr>
        <w:t>î</w:t>
      </w:r>
      <w:r w:rsidRPr="00F2662D">
        <w:rPr>
          <w:rFonts w:ascii="Arial" w:hAnsi="Arial" w:cs="Arial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ă</w:t>
      </w:r>
      <w:r w:rsidRPr="00F2662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ţ</w:t>
      </w:r>
      <w:r w:rsidRPr="00F2662D">
        <w:rPr>
          <w:rFonts w:ascii="Arial" w:hAnsi="Arial" w:cs="Arial"/>
          <w:sz w:val="24"/>
          <w:szCs w:val="24"/>
        </w:rPr>
        <w:t>it pe zone de activit</w:t>
      </w:r>
      <w:r>
        <w:rPr>
          <w:rFonts w:ascii="Arial" w:hAnsi="Arial" w:cs="Arial"/>
          <w:sz w:val="24"/>
          <w:szCs w:val="24"/>
        </w:rPr>
        <w:t>ăţ</w:t>
      </w:r>
      <w:r w:rsidRPr="00F2662D">
        <w:rPr>
          <w:rFonts w:ascii="Arial" w:hAnsi="Arial" w:cs="Arial"/>
          <w:sz w:val="24"/>
          <w:szCs w:val="24"/>
        </w:rPr>
        <w:t xml:space="preserve">i, distincte </w:t>
      </w:r>
      <w:r>
        <w:rPr>
          <w:rFonts w:ascii="Arial" w:hAnsi="Arial" w:cs="Arial"/>
          <w:sz w:val="24"/>
          <w:szCs w:val="24"/>
        </w:rPr>
        <w:t>ş</w:t>
      </w:r>
      <w:r w:rsidRPr="00F2662D">
        <w:rPr>
          <w:rFonts w:ascii="Arial" w:hAnsi="Arial" w:cs="Arial"/>
          <w:sz w:val="24"/>
          <w:szCs w:val="24"/>
        </w:rPr>
        <w:t>i amenajate corespunz</w:t>
      </w:r>
      <w:r>
        <w:rPr>
          <w:rFonts w:ascii="Arial" w:hAnsi="Arial" w:cs="Arial"/>
          <w:sz w:val="24"/>
          <w:szCs w:val="24"/>
        </w:rPr>
        <w:t>ă</w:t>
      </w:r>
      <w:r w:rsidRPr="00F2662D">
        <w:rPr>
          <w:rFonts w:ascii="Arial" w:hAnsi="Arial" w:cs="Arial"/>
          <w:sz w:val="24"/>
          <w:szCs w:val="24"/>
        </w:rPr>
        <w:t>tor. Aceste zone sunt reprezentate dup</w:t>
      </w:r>
      <w:r>
        <w:rPr>
          <w:rFonts w:ascii="Arial" w:hAnsi="Arial" w:cs="Arial"/>
          <w:sz w:val="24"/>
          <w:szCs w:val="24"/>
        </w:rPr>
        <w:t>ă</w:t>
      </w:r>
      <w:r w:rsidRPr="00F2662D">
        <w:rPr>
          <w:rFonts w:ascii="Arial" w:hAnsi="Arial" w:cs="Arial"/>
          <w:sz w:val="24"/>
          <w:szCs w:val="24"/>
        </w:rPr>
        <w:t xml:space="preserve"> cum urmeaz</w:t>
      </w:r>
      <w:r>
        <w:rPr>
          <w:rFonts w:ascii="Arial" w:hAnsi="Arial" w:cs="Arial"/>
          <w:sz w:val="24"/>
          <w:szCs w:val="24"/>
        </w:rPr>
        <w:t>ă</w:t>
      </w:r>
      <w:r w:rsidRPr="00F2662D">
        <w:rPr>
          <w:rFonts w:ascii="Arial" w:hAnsi="Arial" w:cs="Arial"/>
          <w:sz w:val="24"/>
          <w:szCs w:val="24"/>
        </w:rPr>
        <w:t>:</w:t>
      </w:r>
    </w:p>
    <w:p w:rsidR="008C3B57" w:rsidRPr="00F2662D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F2662D">
        <w:rPr>
          <w:rFonts w:ascii="Arial" w:hAnsi="Arial" w:cs="Arial"/>
          <w:sz w:val="24"/>
          <w:szCs w:val="24"/>
        </w:rPr>
        <w:t xml:space="preserve">Zona de livrare, respectiv zona de primire </w:t>
      </w:r>
      <w:r>
        <w:rPr>
          <w:rFonts w:ascii="Arial" w:hAnsi="Arial" w:cs="Arial"/>
          <w:sz w:val="24"/>
          <w:szCs w:val="24"/>
        </w:rPr>
        <w:t>ş</w:t>
      </w:r>
      <w:r w:rsidRPr="00F2662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înregistrare</w:t>
      </w:r>
      <w:r w:rsidRPr="00F2662D">
        <w:rPr>
          <w:rFonts w:ascii="Arial" w:hAnsi="Arial" w:cs="Arial"/>
          <w:sz w:val="24"/>
          <w:szCs w:val="24"/>
        </w:rPr>
        <w:t>.</w:t>
      </w:r>
    </w:p>
    <w:p w:rsidR="008C3B57" w:rsidRPr="00F2662D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F2662D">
        <w:rPr>
          <w:rFonts w:ascii="Arial" w:hAnsi="Arial" w:cs="Arial"/>
          <w:sz w:val="24"/>
          <w:szCs w:val="24"/>
        </w:rPr>
        <w:t>Zona de depozitare preliminar</w:t>
      </w:r>
      <w:r>
        <w:rPr>
          <w:rFonts w:ascii="Arial" w:hAnsi="Arial" w:cs="Arial"/>
          <w:sz w:val="24"/>
          <w:szCs w:val="24"/>
        </w:rPr>
        <w:t>ă</w:t>
      </w:r>
      <w:r w:rsidRPr="00F2662D">
        <w:rPr>
          <w:rFonts w:ascii="Arial" w:hAnsi="Arial" w:cs="Arial"/>
          <w:sz w:val="24"/>
          <w:szCs w:val="24"/>
        </w:rPr>
        <w:t xml:space="preserve"> a autovehicolelor care nu au fost tratate prealabil</w:t>
      </w:r>
      <w:r>
        <w:rPr>
          <w:rFonts w:ascii="Arial" w:hAnsi="Arial" w:cs="Arial"/>
          <w:sz w:val="24"/>
          <w:szCs w:val="24"/>
        </w:rPr>
        <w:t>.</w:t>
      </w:r>
    </w:p>
    <w:p w:rsidR="008C3B57" w:rsidRPr="00F2662D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F2662D">
        <w:rPr>
          <w:rFonts w:ascii="Arial" w:hAnsi="Arial" w:cs="Arial"/>
          <w:sz w:val="24"/>
          <w:szCs w:val="24"/>
        </w:rPr>
        <w:t>Zona de depoluare a autovehicolelor scoase din uz.</w:t>
      </w:r>
    </w:p>
    <w:p w:rsidR="008C3B57" w:rsidRPr="00F2662D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F2662D">
        <w:rPr>
          <w:rFonts w:ascii="Arial" w:hAnsi="Arial" w:cs="Arial"/>
          <w:sz w:val="24"/>
          <w:szCs w:val="24"/>
        </w:rPr>
        <w:t>Zona de depozitare a vehicolelor depoluate.</w:t>
      </w:r>
    </w:p>
    <w:p w:rsidR="008C3B57" w:rsidRPr="00F2662D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F2662D">
        <w:rPr>
          <w:rFonts w:ascii="Arial" w:hAnsi="Arial" w:cs="Arial"/>
          <w:sz w:val="24"/>
          <w:szCs w:val="24"/>
        </w:rPr>
        <w:t>Zona de dezmembrare</w:t>
      </w:r>
      <w:r>
        <w:rPr>
          <w:rFonts w:ascii="Arial" w:hAnsi="Arial" w:cs="Arial"/>
          <w:sz w:val="24"/>
          <w:szCs w:val="24"/>
        </w:rPr>
        <w:t>.</w:t>
      </w:r>
      <w:r w:rsidRPr="00F2662D">
        <w:rPr>
          <w:rFonts w:ascii="Arial" w:hAnsi="Arial" w:cs="Arial"/>
          <w:sz w:val="24"/>
          <w:szCs w:val="24"/>
        </w:rPr>
        <w:t xml:space="preserve"> </w:t>
      </w:r>
    </w:p>
    <w:p w:rsidR="008C3B57" w:rsidRPr="00F2662D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F2662D">
        <w:rPr>
          <w:rFonts w:ascii="Arial" w:hAnsi="Arial" w:cs="Arial"/>
          <w:sz w:val="24"/>
          <w:szCs w:val="24"/>
        </w:rPr>
        <w:lastRenderedPageBreak/>
        <w:t>Zona de stocare a p</w:t>
      </w:r>
      <w:r>
        <w:rPr>
          <w:rFonts w:ascii="Arial" w:hAnsi="Arial" w:cs="Arial"/>
          <w:sz w:val="24"/>
          <w:szCs w:val="24"/>
        </w:rPr>
        <w:t>ă</w:t>
      </w:r>
      <w:r w:rsidRPr="00F2662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ţ</w:t>
      </w:r>
      <w:r w:rsidRPr="00F2662D">
        <w:rPr>
          <w:rFonts w:ascii="Arial" w:hAnsi="Arial" w:cs="Arial"/>
          <w:sz w:val="24"/>
          <w:szCs w:val="24"/>
        </w:rPr>
        <w:t>ilor reutilizabile care nu con</w:t>
      </w:r>
      <w:r>
        <w:rPr>
          <w:rFonts w:ascii="Arial" w:hAnsi="Arial" w:cs="Arial"/>
          <w:sz w:val="24"/>
          <w:szCs w:val="24"/>
        </w:rPr>
        <w:t>ţ</w:t>
      </w:r>
      <w:r w:rsidRPr="00F2662D">
        <w:rPr>
          <w:rFonts w:ascii="Arial" w:hAnsi="Arial" w:cs="Arial"/>
          <w:sz w:val="24"/>
          <w:szCs w:val="24"/>
        </w:rPr>
        <w:t>in fluide.</w:t>
      </w:r>
    </w:p>
    <w:p w:rsidR="008C3B57" w:rsidRPr="00F2662D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F2662D">
        <w:rPr>
          <w:rFonts w:ascii="Arial" w:hAnsi="Arial" w:cs="Arial"/>
          <w:sz w:val="24"/>
          <w:szCs w:val="24"/>
        </w:rPr>
        <w:t>Zona de stocare a p</w:t>
      </w:r>
      <w:r>
        <w:rPr>
          <w:rFonts w:ascii="Arial" w:hAnsi="Arial" w:cs="Arial"/>
          <w:sz w:val="24"/>
          <w:szCs w:val="24"/>
        </w:rPr>
        <w:t>ă</w:t>
      </w:r>
      <w:r w:rsidRPr="00F2662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ţ</w:t>
      </w:r>
      <w:r w:rsidRPr="00F2662D">
        <w:rPr>
          <w:rFonts w:ascii="Arial" w:hAnsi="Arial" w:cs="Arial"/>
          <w:sz w:val="24"/>
          <w:szCs w:val="24"/>
        </w:rPr>
        <w:t>ilor reutilizabile care con</w:t>
      </w:r>
      <w:r>
        <w:rPr>
          <w:rFonts w:ascii="Arial" w:hAnsi="Arial" w:cs="Arial"/>
          <w:sz w:val="24"/>
          <w:szCs w:val="24"/>
        </w:rPr>
        <w:t>ţ</w:t>
      </w:r>
      <w:r w:rsidRPr="00F2662D">
        <w:rPr>
          <w:rFonts w:ascii="Arial" w:hAnsi="Arial" w:cs="Arial"/>
          <w:sz w:val="24"/>
          <w:szCs w:val="24"/>
        </w:rPr>
        <w:t>in fluide.</w:t>
      </w:r>
    </w:p>
    <w:p w:rsidR="008C3B57" w:rsidRPr="00F2662D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F2662D">
        <w:rPr>
          <w:rFonts w:ascii="Arial" w:hAnsi="Arial" w:cs="Arial"/>
          <w:sz w:val="24"/>
          <w:szCs w:val="24"/>
        </w:rPr>
        <w:t>Zona de stocare a de</w:t>
      </w:r>
      <w:r>
        <w:rPr>
          <w:rFonts w:ascii="Arial" w:hAnsi="Arial" w:cs="Arial"/>
          <w:sz w:val="24"/>
          <w:szCs w:val="24"/>
        </w:rPr>
        <w:t>ş</w:t>
      </w:r>
      <w:r w:rsidRPr="00F2662D">
        <w:rPr>
          <w:rFonts w:ascii="Arial" w:hAnsi="Arial" w:cs="Arial"/>
          <w:sz w:val="24"/>
          <w:szCs w:val="24"/>
        </w:rPr>
        <w:t>eurilor solide pentru reciclare.</w:t>
      </w:r>
    </w:p>
    <w:p w:rsidR="008C3B57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F2662D">
        <w:rPr>
          <w:rFonts w:ascii="Arial" w:hAnsi="Arial" w:cs="Arial"/>
          <w:sz w:val="24"/>
          <w:szCs w:val="24"/>
        </w:rPr>
        <w:t>Zona de stocare a de</w:t>
      </w:r>
      <w:r>
        <w:rPr>
          <w:rFonts w:ascii="Arial" w:hAnsi="Arial" w:cs="Arial"/>
          <w:sz w:val="24"/>
          <w:szCs w:val="24"/>
        </w:rPr>
        <w:t>ş</w:t>
      </w:r>
      <w:r w:rsidRPr="00F2662D">
        <w:rPr>
          <w:rFonts w:ascii="Arial" w:hAnsi="Arial" w:cs="Arial"/>
          <w:sz w:val="24"/>
          <w:szCs w:val="24"/>
        </w:rPr>
        <w:t>eurilor flui</w:t>
      </w:r>
      <w:r>
        <w:rPr>
          <w:rFonts w:ascii="Arial" w:hAnsi="Arial" w:cs="Arial"/>
          <w:sz w:val="24"/>
          <w:szCs w:val="24"/>
        </w:rPr>
        <w:t>d</w:t>
      </w:r>
      <w:r w:rsidRPr="00F2662D">
        <w:rPr>
          <w:rFonts w:ascii="Arial" w:hAnsi="Arial" w:cs="Arial"/>
          <w:sz w:val="24"/>
          <w:szCs w:val="24"/>
        </w:rPr>
        <w:t>e pentru reciclare.</w:t>
      </w:r>
    </w:p>
    <w:p w:rsidR="008C3B57" w:rsidRDefault="008C3B57" w:rsidP="008C3B57">
      <w:pPr>
        <w:numPr>
          <w:ilvl w:val="0"/>
          <w:numId w:val="2"/>
        </w:numPr>
        <w:spacing w:after="0" w:line="240" w:lineRule="auto"/>
        <w:ind w:left="1769" w:hanging="709"/>
        <w:jc w:val="both"/>
        <w:rPr>
          <w:rFonts w:ascii="Arial" w:hAnsi="Arial" w:cs="Arial"/>
          <w:sz w:val="24"/>
          <w:szCs w:val="24"/>
        </w:rPr>
      </w:pPr>
      <w:r w:rsidRPr="00B453E2">
        <w:rPr>
          <w:rFonts w:ascii="Arial" w:hAnsi="Arial" w:cs="Arial"/>
          <w:sz w:val="24"/>
          <w:szCs w:val="24"/>
        </w:rPr>
        <w:t xml:space="preserve">Zona de stocare a vehicolelor dezmembrate. </w:t>
      </w:r>
    </w:p>
    <w:p w:rsidR="008C3B57" w:rsidRPr="00B453E2" w:rsidRDefault="008C3B57" w:rsidP="008C3B57">
      <w:pPr>
        <w:spacing w:after="0" w:line="240" w:lineRule="auto"/>
        <w:ind w:left="1769"/>
        <w:jc w:val="both"/>
        <w:rPr>
          <w:rFonts w:ascii="Arial" w:hAnsi="Arial" w:cs="Arial"/>
          <w:sz w:val="24"/>
          <w:szCs w:val="24"/>
        </w:rPr>
      </w:pPr>
    </w:p>
    <w:p w:rsidR="008C3B57" w:rsidRPr="00BF2756" w:rsidRDefault="008C3B57" w:rsidP="008C3B57">
      <w:pPr>
        <w:jc w:val="both"/>
        <w:rPr>
          <w:rFonts w:ascii="Arial" w:hAnsi="Arial" w:cs="Arial"/>
          <w:sz w:val="24"/>
          <w:szCs w:val="24"/>
        </w:rPr>
      </w:pPr>
      <w:r w:rsidRPr="00044558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BF2756">
        <w:rPr>
          <w:rFonts w:ascii="Arial" w:hAnsi="Arial" w:cs="Arial"/>
          <w:sz w:val="24"/>
          <w:szCs w:val="24"/>
        </w:rPr>
        <w:t>În exteriorul construcţiilor vor fi amenajate platforme betonate cu suprafaţa totală de 977 mp.</w:t>
      </w:r>
    </w:p>
    <w:p w:rsidR="008C3B57" w:rsidRDefault="008C3B57" w:rsidP="008C3B57">
      <w:pPr>
        <w:jc w:val="both"/>
        <w:rPr>
          <w:rFonts w:ascii="Arial" w:hAnsi="Arial" w:cs="Arial"/>
          <w:sz w:val="24"/>
          <w:szCs w:val="24"/>
        </w:rPr>
      </w:pPr>
      <w:r w:rsidRPr="00BF2756">
        <w:rPr>
          <w:rFonts w:ascii="Arial" w:hAnsi="Arial" w:cs="Arial"/>
          <w:sz w:val="24"/>
          <w:szCs w:val="24"/>
        </w:rPr>
        <w:t xml:space="preserve">   </w:t>
      </w:r>
      <w:r w:rsidRPr="00F2662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Utilităţi sunt asigurate după cum urmează:</w:t>
      </w:r>
    </w:p>
    <w:p w:rsidR="008C3B57" w:rsidRDefault="008C3B57" w:rsidP="008C3B57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Alimentarea cu apă se asigură din sursă proprie-puţ săpat echipat cu instalaţie hidrofor.</w:t>
      </w:r>
    </w:p>
    <w:p w:rsidR="008C3B57" w:rsidRDefault="008C3B57" w:rsidP="008C3B57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Apele uzate menajere vor fi colectate într-un bazin betonat vidanjabil cu capacitatea de 30 mc. Apele pluviale colectate de pe platformele betonate prin intermediul unei rigole sunt trecute printr-un separator de produse petroliere şi apoi colectate în acelaşi bazin vidanjabil de 30 mc. Apele colectate în bazin vor fi periodic vidanjate de o firmă specializată şi autorizată, pe bază de contract.</w:t>
      </w:r>
    </w:p>
    <w:p w:rsidR="008C3B57" w:rsidRDefault="008C3B57" w:rsidP="008C3B57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Energia electrică este asigurată prin branşamentul existent la reţeaua de distribuţie a localităţii.</w:t>
      </w:r>
    </w:p>
    <w:p w:rsidR="008C3B57" w:rsidRDefault="008C3B57" w:rsidP="008C3B57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Energia termică va fi asigurată cu ajutorul unei centrale termice cu funcţionare pe combustibil lemnos. Gazele arse vor fi evacuate printr-un coş cu înălţimea de 6,0 m şi diametrul de 025 m.</w:t>
      </w:r>
    </w:p>
    <w:p w:rsidR="008C3B57" w:rsidRPr="00044558" w:rsidRDefault="008C3B57" w:rsidP="008C3B57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8C3B57" w:rsidRPr="00C66AA8" w:rsidRDefault="008C3B57" w:rsidP="008C3B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66AA8">
        <w:rPr>
          <w:rFonts w:ascii="Arial" w:hAnsi="Arial" w:cs="Arial"/>
          <w:sz w:val="24"/>
          <w:szCs w:val="24"/>
          <w:lang w:val="ro-RO"/>
        </w:rPr>
        <w:t>Gestiunea deşeurilor</w:t>
      </w:r>
    </w:p>
    <w:p w:rsidR="008C3B57" w:rsidRPr="00BF2756" w:rsidRDefault="008C3B57" w:rsidP="008C3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F2756">
        <w:rPr>
          <w:rFonts w:ascii="Arial" w:hAnsi="Arial" w:cs="Arial"/>
          <w:sz w:val="24"/>
          <w:szCs w:val="24"/>
          <w:lang w:val="ro-RO"/>
        </w:rPr>
        <w:t>Sursa de deşeuri este activitatea de dezmembrare VSU şi cea de service auto.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7850"/>
      </w:tblGrid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b/>
                <w:sz w:val="24"/>
                <w:szCs w:val="24"/>
                <w:lang w:val="ro-RO"/>
              </w:rPr>
              <w:t>Cod deșeu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deșeu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13 02 06*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uleiuri sintetice de motor, de transmisie si de ungere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16 01 03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anvelope scoase din uz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07*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filtre de ulei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16 01 12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placute de frâna, altele decât cele specificate la. 16 01 11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13*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lichide de frâna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16 01 15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fluide antigel, altele decât cele specificate la 16 01 14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16 01 17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metale feroase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16 01 18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metale neferoase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16 01 19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materiale plastice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16 01 20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sticla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16 06 01*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baterii cu plumb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16 07 99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alte deseuri nespecificate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20 03 01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deseuri municipale amestecate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09*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componente cu continut de PCB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10*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componente explozive (de ex. perne de protectie (air bags))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21*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componente periculoase, altele decât cele specificate de la 16 01 07 la 16 01 11 si 16 01 13 si 16 01 14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16 01 16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rezervoare pentru gaz lichefiat</w:t>
            </w:r>
          </w:p>
        </w:tc>
      </w:tr>
      <w:tr w:rsidR="008C3B57" w:rsidRPr="00F2662D" w:rsidTr="001550D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16 08 01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57" w:rsidRPr="00F2662D" w:rsidRDefault="008C3B57" w:rsidP="001550D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2662D">
              <w:rPr>
                <w:rFonts w:ascii="Arial" w:hAnsi="Arial" w:cs="Arial"/>
                <w:sz w:val="24"/>
                <w:szCs w:val="24"/>
                <w:lang w:val="ro-RO"/>
              </w:rPr>
              <w:t>catalizatori uzati cu continut de aur, argint, reniu, rodiu, paladiu, iridiu sau platina (cu exceptia 16 08 07)</w:t>
            </w:r>
          </w:p>
        </w:tc>
      </w:tr>
    </w:tbl>
    <w:p w:rsidR="008C3B57" w:rsidRDefault="008C3B57" w:rsidP="008C3B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Toate categoriile de deşeuri rezultate vor fi valorificate către firme specializate, pe bază de contract.</w:t>
      </w:r>
    </w:p>
    <w:p w:rsidR="008C3B57" w:rsidRPr="00C66AA8" w:rsidRDefault="008C3B57" w:rsidP="008C3B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B57" w:rsidRPr="00522DB9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II. Motivele care au stat la baza luării deciziei etapei de încadrare în procedura de evaluare adecvată sunt următoarele:</w:t>
      </w:r>
    </w:p>
    <w:p w:rsidR="008C3B57" w:rsidRPr="00522DB9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- nu este cazul.</w:t>
      </w:r>
    </w:p>
    <w:p w:rsidR="008C3B57" w:rsidRPr="00522DB9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3B57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>Condiţiile de realizare a proiectului:</w:t>
      </w:r>
    </w:p>
    <w:p w:rsidR="008C3B57" w:rsidRPr="00522DB9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la solicitarea reprezentantului Sectorului de Gospodărire a Apelor Suceava din şedinţa CAT din data de 27.06.2018, titularul are obligaţia de a obţine avizul de gospodărire a apelor.</w:t>
      </w:r>
    </w:p>
    <w:p w:rsidR="008C3B57" w:rsidRPr="00522DB9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b</w:t>
      </w:r>
      <w:r w:rsidRPr="00522D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La finalizarea lucrărilor de amenajare titularul are obligaţia de a solicita la APM Suceava eliberarea autorizaţiei de mediu pentru funcţionare</w:t>
      </w:r>
      <w:r w:rsidRPr="00522DB9">
        <w:rPr>
          <w:rFonts w:ascii="Arial" w:hAnsi="Arial" w:cs="Arial"/>
          <w:sz w:val="24"/>
          <w:szCs w:val="24"/>
        </w:rPr>
        <w:t>;</w:t>
      </w:r>
    </w:p>
    <w:p w:rsidR="008C3B57" w:rsidRPr="00522DB9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B57" w:rsidRPr="00522DB9" w:rsidRDefault="008C3B57" w:rsidP="008C3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</w:r>
      <w:r w:rsidRPr="00522DB9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8C3B57" w:rsidRPr="00447422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8C3B57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r w:rsidRPr="00EB548E">
        <w:rPr>
          <w:rFonts w:ascii="Arial" w:hAnsi="Arial" w:cs="Arial"/>
          <w:sz w:val="24"/>
          <w:szCs w:val="24"/>
        </w:rPr>
        <w:t>Hotărârii Guvernului nr. 445/2009 şi ale Legii contenciosului administrativ nr. 554/2004,</w:t>
      </w:r>
      <w:r w:rsidRPr="00522DB9">
        <w:rPr>
          <w:rFonts w:ascii="Arial" w:hAnsi="Arial" w:cs="Arial"/>
          <w:sz w:val="24"/>
          <w:szCs w:val="24"/>
        </w:rPr>
        <w:t xml:space="preserve"> cu modificările şi completările ulterioare.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3B57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B57" w:rsidRPr="00B453E2" w:rsidRDefault="008C3B57" w:rsidP="008C3B57">
      <w:pPr>
        <w:spacing w:after="0"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  <w:r w:rsidRPr="00B453E2">
        <w:rPr>
          <w:rFonts w:ascii="Arial" w:hAnsi="Arial" w:cs="Arial"/>
          <w:b/>
          <w:sz w:val="24"/>
          <w:szCs w:val="24"/>
        </w:rPr>
        <w:t>DIRECTOR EXECUTIV,</w:t>
      </w:r>
    </w:p>
    <w:p w:rsidR="008C3B57" w:rsidRDefault="008C3B57" w:rsidP="008C3B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Gheorghe Aldea</w:t>
      </w:r>
    </w:p>
    <w:p w:rsidR="008C3B57" w:rsidRPr="00B453E2" w:rsidRDefault="008C3B57" w:rsidP="008C3B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3B57" w:rsidRPr="00B453E2" w:rsidRDefault="008C3B57" w:rsidP="008C3B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C3B57" w:rsidRPr="00B453E2" w:rsidRDefault="008C3B57" w:rsidP="008C3B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53E2">
        <w:rPr>
          <w:rFonts w:ascii="Arial" w:hAnsi="Arial" w:cs="Arial"/>
          <w:b/>
          <w:sz w:val="24"/>
          <w:szCs w:val="24"/>
        </w:rPr>
        <w:t xml:space="preserve">Şef Serviciu Avize, Acorduri, Autorizaţii,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B453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B453E2">
        <w:rPr>
          <w:rFonts w:ascii="Arial" w:hAnsi="Arial" w:cs="Arial"/>
          <w:b/>
          <w:sz w:val="24"/>
          <w:szCs w:val="24"/>
        </w:rPr>
        <w:t xml:space="preserve">    Întocmit,</w:t>
      </w:r>
    </w:p>
    <w:p w:rsidR="008C3B57" w:rsidRPr="00B453E2" w:rsidRDefault="008C3B57" w:rsidP="008C3B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53E2">
        <w:rPr>
          <w:rFonts w:ascii="Arial" w:hAnsi="Arial" w:cs="Arial"/>
          <w:b/>
          <w:sz w:val="24"/>
          <w:szCs w:val="24"/>
        </w:rPr>
        <w:t xml:space="preserve">             ing. Constantin Burciu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B453E2">
        <w:rPr>
          <w:rFonts w:ascii="Arial" w:hAnsi="Arial" w:cs="Arial"/>
          <w:b/>
          <w:sz w:val="24"/>
          <w:szCs w:val="24"/>
        </w:rPr>
        <w:t xml:space="preserve">  ing. Doru Cojocaru          </w:t>
      </w:r>
    </w:p>
    <w:p w:rsidR="008C3B57" w:rsidRDefault="008C3B57" w:rsidP="008C3B5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C3B57" w:rsidRDefault="008C3B57" w:rsidP="008C3B5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8C3B57" w:rsidRPr="00447422" w:rsidRDefault="008C3B57" w:rsidP="008C3B5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C3B57" w:rsidRPr="00447422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B57" w:rsidRPr="00447422" w:rsidRDefault="008C3B57" w:rsidP="008C3B5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C3B57" w:rsidRPr="00447422" w:rsidRDefault="008C3B57" w:rsidP="008C3B5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C3B57" w:rsidRPr="00447422" w:rsidRDefault="008C3B57" w:rsidP="008C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B57" w:rsidRPr="00447422" w:rsidRDefault="008C3B57" w:rsidP="008C3B5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C3B57" w:rsidRPr="00447422" w:rsidRDefault="008C3B57" w:rsidP="008C3B5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C3B57" w:rsidRDefault="008C3B57" w:rsidP="008C3B57"/>
    <w:p w:rsidR="006B7817" w:rsidRDefault="006B7817"/>
    <w:sectPr w:rsidR="006B7817" w:rsidSect="00BC0461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C3B5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C3B5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62D" w:rsidRDefault="008C3B57" w:rsidP="00F2662D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F2662D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2489458"/>
        </w:sdtPr>
        <w:sdtEndPr>
          <w:rPr>
            <w:sz w:val="22"/>
            <w:szCs w:val="22"/>
          </w:rPr>
        </w:sdtEndPr>
        <w:sdtContent>
          <w:p w:rsidR="00F2662D" w:rsidRPr="007A4C64" w:rsidRDefault="008C3B57" w:rsidP="00F2662D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F2662D" w:rsidRPr="007A4C64" w:rsidRDefault="008C3B57" w:rsidP="00F2662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F2662D" w:rsidRDefault="008C3B57" w:rsidP="00F2662D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0230514059</w:t>
            </w:r>
          </w:p>
        </w:sdtContent>
      </w:sdt>
      <w:p w:rsidR="00992A14" w:rsidRPr="007A4C64" w:rsidRDefault="008C3B57" w:rsidP="00F2662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8C3B57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8C3B57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8C3B5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C3B5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C3B5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9678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91686979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C3B5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C3B5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C3B5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C3B57" w:rsidP="00F2662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8C3B5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66B"/>
    <w:multiLevelType w:val="hybridMultilevel"/>
    <w:tmpl w:val="DC66C910"/>
    <w:lvl w:ilvl="0" w:tplc="A664F3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3482"/>
    <w:multiLevelType w:val="multilevel"/>
    <w:tmpl w:val="2C30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5B0820"/>
    <w:multiLevelType w:val="hybridMultilevel"/>
    <w:tmpl w:val="A9E8D1F2"/>
    <w:lvl w:ilvl="0" w:tplc="CFAC8AFE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C3B57"/>
    <w:rsid w:val="00043203"/>
    <w:rsid w:val="000B649E"/>
    <w:rsid w:val="000F1136"/>
    <w:rsid w:val="00120CFD"/>
    <w:rsid w:val="001C18DB"/>
    <w:rsid w:val="00243780"/>
    <w:rsid w:val="00251B67"/>
    <w:rsid w:val="002B0764"/>
    <w:rsid w:val="002F37F4"/>
    <w:rsid w:val="00305712"/>
    <w:rsid w:val="00376D54"/>
    <w:rsid w:val="00376F20"/>
    <w:rsid w:val="003C024A"/>
    <w:rsid w:val="003D0C8D"/>
    <w:rsid w:val="00463343"/>
    <w:rsid w:val="004905C2"/>
    <w:rsid w:val="004973A2"/>
    <w:rsid w:val="004E141E"/>
    <w:rsid w:val="004E3A41"/>
    <w:rsid w:val="005177C2"/>
    <w:rsid w:val="00530A83"/>
    <w:rsid w:val="005702B4"/>
    <w:rsid w:val="005B042F"/>
    <w:rsid w:val="005C5183"/>
    <w:rsid w:val="005E62C5"/>
    <w:rsid w:val="006073FB"/>
    <w:rsid w:val="00623775"/>
    <w:rsid w:val="006546D4"/>
    <w:rsid w:val="006637A2"/>
    <w:rsid w:val="006B2531"/>
    <w:rsid w:val="006B7817"/>
    <w:rsid w:val="006E011D"/>
    <w:rsid w:val="00703FC2"/>
    <w:rsid w:val="007635C4"/>
    <w:rsid w:val="00794A6C"/>
    <w:rsid w:val="007D7299"/>
    <w:rsid w:val="007E3C6A"/>
    <w:rsid w:val="008350A1"/>
    <w:rsid w:val="00864DB2"/>
    <w:rsid w:val="008C3B57"/>
    <w:rsid w:val="009C235F"/>
    <w:rsid w:val="009E0B75"/>
    <w:rsid w:val="00A00CA7"/>
    <w:rsid w:val="00AA0FB9"/>
    <w:rsid w:val="00AE541B"/>
    <w:rsid w:val="00AF7C4C"/>
    <w:rsid w:val="00B12BCF"/>
    <w:rsid w:val="00B14975"/>
    <w:rsid w:val="00B52AA3"/>
    <w:rsid w:val="00BD2749"/>
    <w:rsid w:val="00C118C3"/>
    <w:rsid w:val="00C11CA7"/>
    <w:rsid w:val="00C458CE"/>
    <w:rsid w:val="00C507B4"/>
    <w:rsid w:val="00CC1365"/>
    <w:rsid w:val="00D10111"/>
    <w:rsid w:val="00D5399C"/>
    <w:rsid w:val="00D56AF3"/>
    <w:rsid w:val="00D75DA5"/>
    <w:rsid w:val="00D971D7"/>
    <w:rsid w:val="00E224B4"/>
    <w:rsid w:val="00E3524E"/>
    <w:rsid w:val="00E433A0"/>
    <w:rsid w:val="00E60536"/>
    <w:rsid w:val="00E6390B"/>
    <w:rsid w:val="00E66518"/>
    <w:rsid w:val="00E955B0"/>
    <w:rsid w:val="00EA5145"/>
    <w:rsid w:val="00F32465"/>
    <w:rsid w:val="00F34D1B"/>
    <w:rsid w:val="00F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5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3B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C3B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B5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C3B5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C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C3B5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C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C3B5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8C3B57"/>
  </w:style>
  <w:style w:type="paragraph" w:styleId="ListParagraph">
    <w:name w:val="List Paragraph"/>
    <w:basedOn w:val="Normal"/>
    <w:uiPriority w:val="34"/>
    <w:qFormat/>
    <w:rsid w:val="008C3B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5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2018-06-28T07:29:00Z</dcterms:created>
  <dcterms:modified xsi:type="dcterms:W3CDTF">2018-06-28T07:30:00Z</dcterms:modified>
</cp:coreProperties>
</file>