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Calibri" w:hAnsi="Calibri"/>
          <w:b/>
          <w:b/>
          <w:bCs/>
          <w:sz w:val="30"/>
          <w:szCs w:val="30"/>
        </w:rPr>
      </w:pPr>
      <w:r>
        <w:rPr/>
      </w:r>
    </w:p>
    <w:p>
      <w:pPr>
        <w:pStyle w:val="TextBody"/>
        <w:jc w:val="center"/>
        <w:rPr>
          <w:rFonts w:ascii="Calibri" w:hAnsi="Calibri"/>
          <w:b/>
          <w:b/>
          <w:bCs/>
          <w:sz w:val="30"/>
          <w:szCs w:val="30"/>
        </w:rPr>
      </w:pPr>
      <w:r>
        <w:rPr>
          <w:rFonts w:ascii="Calibri" w:hAnsi="Calibri"/>
          <w:b/>
          <w:bCs/>
          <w:sz w:val="30"/>
          <w:szCs w:val="30"/>
          <w:u w:val="single"/>
        </w:rPr>
        <w:t>Memoriul tehnic</w:t>
      </w:r>
    </w:p>
    <w:p>
      <w:pPr>
        <w:pStyle w:val="TextBody"/>
        <w:jc w:val="center"/>
        <w:rPr>
          <w:rFonts w:ascii="Arial" w:hAnsi="Arial"/>
          <w:b/>
          <w:b/>
          <w:bCs/>
          <w:sz w:val="28"/>
          <w:szCs w:val="28"/>
        </w:rPr>
      </w:pPr>
      <w:r>
        <w:rPr>
          <w:rFonts w:ascii="Calibri" w:hAnsi="Calibri"/>
          <w:b/>
          <w:bCs/>
          <w:sz w:val="30"/>
          <w:szCs w:val="30"/>
        </w:rPr>
        <w:tab/>
      </w:r>
      <w:r>
        <w:rPr>
          <w:rFonts w:ascii="Calibri" w:hAnsi="Calibri"/>
          <w:b/>
          <w:bCs/>
          <w:sz w:val="30"/>
          <w:szCs w:val="30"/>
          <w:u w:val="single"/>
        </w:rPr>
        <w:t>Aviz Agentia de Protectia Mediului</w:t>
      </w:r>
    </w:p>
    <w:p>
      <w:pPr>
        <w:pStyle w:val="TextBody"/>
        <w:jc w:val="center"/>
        <w:rPr>
          <w:rFonts w:ascii="Calibri" w:hAnsi="Calibri"/>
          <w:b/>
          <w:b/>
          <w:bCs/>
          <w:sz w:val="26"/>
          <w:szCs w:val="26"/>
        </w:rPr>
      </w:pPr>
      <w:r>
        <w:rPr>
          <w:rFonts w:ascii="Calibri" w:hAnsi="Calibri"/>
          <w:b/>
          <w:bCs/>
          <w:sz w:val="26"/>
          <w:szCs w:val="26"/>
        </w:rPr>
      </w:r>
    </w:p>
    <w:p>
      <w:pPr>
        <w:pStyle w:val="TextBody"/>
        <w:rPr>
          <w:rFonts w:ascii="Arial" w:hAnsi="Arial"/>
          <w:b/>
          <w:b/>
          <w:bCs/>
          <w:sz w:val="24"/>
          <w:szCs w:val="24"/>
        </w:rPr>
      </w:pPr>
      <w:r>
        <w:rPr>
          <w:rFonts w:ascii="Calibri" w:hAnsi="Calibri"/>
          <w:b/>
          <w:bCs/>
          <w:sz w:val="26"/>
          <w:szCs w:val="26"/>
        </w:rPr>
        <w:t>a) Date Generale</w:t>
      </w:r>
    </w:p>
    <w:p>
      <w:pPr>
        <w:pStyle w:val="TextBody"/>
        <w:rPr>
          <w:rFonts w:ascii="Calibri" w:hAnsi="Calibri"/>
          <w:sz w:val="26"/>
          <w:szCs w:val="26"/>
        </w:rPr>
      </w:pPr>
      <w:r>
        <w:rPr>
          <w:rFonts w:ascii="Calibri" w:hAnsi="Calibri"/>
          <w:b/>
          <w:bCs/>
          <w:sz w:val="26"/>
          <w:szCs w:val="26"/>
        </w:rPr>
        <w:t xml:space="preserve">- Denumire lucrare </w:t>
      </w:r>
      <w:r>
        <w:rPr>
          <w:rFonts w:ascii="Calibri" w:hAnsi="Calibri"/>
          <w:sz w:val="26"/>
          <w:szCs w:val="26"/>
        </w:rPr>
        <w:t>:</w:t>
      </w:r>
      <w:bookmarkStart w:id="0" w:name="__DdeLink__1207_717815287"/>
      <w:bookmarkEnd w:id="0"/>
      <w:r>
        <w:rPr>
          <w:rFonts w:eastAsia="Times New Roman" w:cs="Arial" w:ascii="Calibri" w:hAnsi="Calibri"/>
          <w:b w:val="false"/>
          <w:bCs w:val="false"/>
          <w:i/>
          <w:iCs/>
          <w:color w:val="000000"/>
          <w:sz w:val="26"/>
          <w:szCs w:val="26"/>
          <w:lang w:val="en-US" w:eastAsia="ro-RO" w:bidi="ar-SA"/>
        </w:rPr>
        <w:t xml:space="preserve">ELABORARE PLAN URBANISTIC ZONAL- STABILIRE INDICATORI URBANISTICI/REGLEMENTARI, ZONA DELIMITATA DE UTR E6 SI STR. NICOLAE TONITZA , DE 236 LA EST, LIMITA INTRAVILAN LA SUD SI LINIE CF LA VEST, ZONA CUPRINSA IN ZONA DE REGLEMENTARE P2 DIN PUG TUZLA, IN VEDEREA CONSTRUIRII UNUI COMPLEX SPORTIV, SITUAT PE STR. NICOLAE TONITZA, ZONA CASTEL APA SUD, COMUNA TUZLA, JUD. CONSTANTA,  </w:t>
      </w:r>
    </w:p>
    <w:p>
      <w:pPr>
        <w:pStyle w:val="TextBody"/>
        <w:rPr>
          <w:rFonts w:ascii="Calibri" w:hAnsi="Calibri"/>
          <w:sz w:val="26"/>
          <w:szCs w:val="26"/>
        </w:rPr>
      </w:pPr>
      <w:r>
        <w:rPr>
          <w:rFonts w:ascii="Calibri" w:hAnsi="Calibri"/>
          <w:b/>
          <w:bCs/>
          <w:sz w:val="26"/>
          <w:szCs w:val="26"/>
        </w:rPr>
        <w:t>-Amplasament obiectiv</w:t>
      </w:r>
      <w:r>
        <w:rPr>
          <w:rFonts w:ascii="Calibri" w:hAnsi="Calibri"/>
          <w:sz w:val="26"/>
          <w:szCs w:val="26"/>
        </w:rPr>
        <w:t>:</w:t>
      </w:r>
      <w:r>
        <w:rPr>
          <w:rFonts w:cs="Times New Roman" w:ascii="Calibri" w:hAnsi="Calibri"/>
          <w:i/>
          <w:iCs/>
          <w:sz w:val="26"/>
          <w:szCs w:val="26"/>
        </w:rPr>
        <w:t xml:space="preserve"> </w:t>
      </w:r>
      <w:r>
        <w:rPr>
          <w:rFonts w:cs="Arial" w:ascii="Calibri" w:hAnsi="Calibri"/>
          <w:b w:val="false"/>
          <w:bCs w:val="false"/>
          <w:i/>
          <w:iCs/>
          <w:color w:val="000000"/>
          <w:sz w:val="26"/>
          <w:szCs w:val="26"/>
          <w:lang w:val="en-US"/>
        </w:rPr>
        <w:t>comuna Tuzla, str. Nicolae Tonitza</w:t>
      </w:r>
      <w:r>
        <w:rPr>
          <w:rFonts w:cs="Arial" w:ascii="Calibri" w:hAnsi="Calibri"/>
          <w:b w:val="false"/>
          <w:bCs w:val="false"/>
          <w:i/>
          <w:iCs/>
          <w:color w:val="000000"/>
          <w:sz w:val="26"/>
          <w:szCs w:val="26"/>
          <w:lang w:val="fr-FR"/>
        </w:rPr>
        <w:t xml:space="preserve">  </w:t>
      </w:r>
    </w:p>
    <w:p>
      <w:pPr>
        <w:pStyle w:val="TextBody"/>
        <w:rPr>
          <w:rFonts w:ascii="Calibri" w:hAnsi="Calibri"/>
          <w:sz w:val="26"/>
          <w:szCs w:val="26"/>
        </w:rPr>
      </w:pPr>
      <w:r>
        <w:rPr>
          <w:rFonts w:ascii="Calibri" w:hAnsi="Calibri"/>
          <w:b/>
          <w:bCs/>
          <w:sz w:val="26"/>
          <w:szCs w:val="26"/>
        </w:rPr>
        <w:t>-Proiectant general:</w:t>
      </w:r>
      <w:r>
        <w:rPr>
          <w:rFonts w:ascii="Calibri" w:hAnsi="Calibri"/>
          <w:sz w:val="26"/>
          <w:szCs w:val="26"/>
        </w:rPr>
        <w:t xml:space="preserve"> B.I.A. NICUSOR PAUL PETRESCU </w:t>
      </w:r>
    </w:p>
    <w:p>
      <w:pPr>
        <w:pStyle w:val="TextBody"/>
        <w:rPr>
          <w:rFonts w:ascii="Calibri" w:hAnsi="Calibri"/>
          <w:sz w:val="26"/>
          <w:szCs w:val="26"/>
        </w:rPr>
      </w:pPr>
      <w:r>
        <w:rPr>
          <w:rFonts w:ascii="Calibri" w:hAnsi="Calibri"/>
          <w:b/>
          <w:bCs/>
          <w:sz w:val="26"/>
          <w:szCs w:val="26"/>
        </w:rPr>
        <w:t>-Proiectant de specialitate:</w:t>
      </w:r>
      <w:r>
        <w:rPr>
          <w:rFonts w:ascii="Calibri" w:hAnsi="Calibri"/>
          <w:sz w:val="26"/>
          <w:szCs w:val="26"/>
        </w:rPr>
        <w:t xml:space="preserve"> Arh. Nicusor Paul Petrescu </w:t>
      </w:r>
    </w:p>
    <w:p>
      <w:pPr>
        <w:pStyle w:val="TextBody"/>
        <w:rPr>
          <w:rFonts w:ascii="Calibri" w:hAnsi="Calibri"/>
          <w:sz w:val="26"/>
          <w:szCs w:val="26"/>
        </w:rPr>
      </w:pPr>
      <w:r>
        <w:rPr>
          <w:rFonts w:ascii="Calibri" w:hAnsi="Calibri"/>
          <w:b/>
          <w:bCs/>
          <w:sz w:val="26"/>
          <w:szCs w:val="26"/>
        </w:rPr>
        <w:t xml:space="preserve">-Beneficiarul lucrarilor: </w:t>
      </w:r>
      <w:r>
        <w:rPr>
          <w:rFonts w:eastAsia="Lucida Sans Unicode" w:cs="Arial" w:ascii="Calibri" w:hAnsi="Calibri"/>
          <w:b w:val="false"/>
          <w:bCs w:val="false"/>
          <w:i/>
          <w:iCs/>
          <w:sz w:val="26"/>
          <w:szCs w:val="26"/>
          <w:lang w:val="fr-FR" w:eastAsia="en-US" w:bidi="ar-SA"/>
        </w:rPr>
        <w:t xml:space="preserve"> </w:t>
      </w:r>
      <w:r>
        <w:rPr>
          <w:rFonts w:eastAsia="Lucida Sans Unicode" w:cs="Arial" w:ascii="Calibri" w:hAnsi="Calibri"/>
          <w:b w:val="false"/>
          <w:bCs w:val="false"/>
          <w:i/>
          <w:iCs/>
          <w:color w:val="000000"/>
          <w:sz w:val="26"/>
          <w:szCs w:val="26"/>
          <w:lang w:val="fr-FR" w:eastAsia="en-US" w:bidi="ar-SA"/>
        </w:rPr>
        <w:t xml:space="preserve">PRIMARIA COMUNEI TUZLA </w:t>
      </w:r>
    </w:p>
    <w:p>
      <w:pPr>
        <w:pStyle w:val="TextBody"/>
        <w:rPr>
          <w:rFonts w:ascii="Arial" w:hAnsi="Arial"/>
          <w:sz w:val="24"/>
          <w:szCs w:val="24"/>
        </w:rPr>
      </w:pPr>
      <w:r>
        <w:rPr>
          <w:rFonts w:ascii="Calibri" w:hAnsi="Calibri"/>
          <w:b/>
          <w:bCs/>
          <w:sz w:val="26"/>
          <w:szCs w:val="26"/>
        </w:rPr>
        <w:t>-Cadrul legislativ privind protectia mediului:</w:t>
      </w:r>
      <w:r>
        <w:rPr>
          <w:rFonts w:ascii="Calibri" w:hAnsi="Calibri"/>
          <w:sz w:val="26"/>
          <w:szCs w:val="26"/>
        </w:rPr>
        <w:t xml:space="preserve"> a</w:t>
      </w:r>
      <w:r>
        <w:rPr>
          <w:rFonts w:ascii="Calibri" w:hAnsi="Calibri"/>
          <w:sz w:val="26"/>
          <w:szCs w:val="26"/>
          <w:lang w:val="it-IT"/>
        </w:rPr>
        <w:t>naliza situaţiei existente şi formularea propunerilor şi a reglementărilor au avut la bază următoarele acte normative şi documentaţii de urbanism:</w:t>
      </w:r>
    </w:p>
    <w:p>
      <w:pPr>
        <w:pStyle w:val="TextBody"/>
        <w:rPr/>
      </w:pPr>
      <w:r>
        <w:rPr>
          <w:rFonts w:ascii="Calibri" w:hAnsi="Calibri"/>
          <w:b w:val="false"/>
          <w:bCs w:val="false"/>
          <w:sz w:val="26"/>
          <w:szCs w:val="26"/>
        </w:rPr>
        <w:t>-</w:t>
      </w:r>
      <w:r>
        <w:rPr>
          <w:rStyle w:val="Strong"/>
          <w:rFonts w:ascii="Calibri" w:hAnsi="Calibri"/>
          <w:b w:val="false"/>
          <w:bCs w:val="false"/>
          <w:sz w:val="26"/>
          <w:szCs w:val="26"/>
        </w:rPr>
        <w:t>HG 1076/2004 privind procedura evaluarii de mediu pentru planuri si programe, in vederea obtinerii avizului de mediu pentru PUZ,PUD</w:t>
      </w:r>
    </w:p>
    <w:p>
      <w:pPr>
        <w:pStyle w:val="TextBody"/>
        <w:rPr>
          <w:rFonts w:ascii="Arial" w:hAnsi="Arial"/>
          <w:sz w:val="24"/>
          <w:szCs w:val="24"/>
        </w:rPr>
      </w:pPr>
      <w:r>
        <w:rPr>
          <w:rFonts w:ascii="Calibri" w:hAnsi="Calibri"/>
          <w:sz w:val="26"/>
          <w:szCs w:val="26"/>
        </w:rPr>
        <w:t>-OUG nr. 195/2005, actualizată, privind protecţia mediulu</w:t>
      </w:r>
    </w:p>
    <w:p>
      <w:pPr>
        <w:pStyle w:val="TextBody"/>
        <w:rPr>
          <w:rFonts w:ascii="Arial" w:hAnsi="Arial"/>
          <w:sz w:val="24"/>
          <w:szCs w:val="24"/>
        </w:rPr>
      </w:pPr>
      <w:r>
        <w:rPr>
          <w:rFonts w:ascii="Calibri" w:hAnsi="Calibri"/>
          <w:sz w:val="26"/>
          <w:szCs w:val="26"/>
        </w:rPr>
        <w:t>-</w:t>
      </w:r>
      <w:r>
        <w:rPr>
          <w:rFonts w:ascii="Calibri" w:hAnsi="Calibri"/>
          <w:sz w:val="26"/>
          <w:szCs w:val="26"/>
          <w:lang w:val="it-IT"/>
        </w:rPr>
        <w:t>Ordinul Ministerului Sănătăţii nr. 119/2014 pentru aprobarea Normelor de igienă şi sănătate publică privind mediul de viaţă al populaţiei</w:t>
      </w:r>
    </w:p>
    <w:p>
      <w:pPr>
        <w:pStyle w:val="TextBody"/>
        <w:rPr>
          <w:rFonts w:ascii="Arial" w:hAnsi="Arial"/>
          <w:sz w:val="24"/>
          <w:szCs w:val="24"/>
        </w:rPr>
      </w:pPr>
      <w:r>
        <w:rPr>
          <w:rFonts w:ascii="Calibri" w:hAnsi="Calibri"/>
          <w:sz w:val="26"/>
          <w:szCs w:val="26"/>
        </w:rPr>
        <w:t>- DIRECTIVA 2014/52/UE A PARLAMENTULUI EUROPEAN ȘI A CONSILIULUI din 16 aprilie 2014 de modificare a Directivei 2011/92/UE privind evaluarea efectelor anumitor proiecte publice și private asupra mediului</w:t>
      </w:r>
    </w:p>
    <w:p>
      <w:pPr>
        <w:pStyle w:val="TextBody"/>
        <w:rPr>
          <w:rFonts w:ascii="Arial" w:hAnsi="Arial"/>
          <w:sz w:val="24"/>
          <w:szCs w:val="24"/>
        </w:rPr>
      </w:pPr>
      <w:r>
        <w:rPr>
          <w:rFonts w:ascii="Calibri" w:hAnsi="Calibri"/>
          <w:sz w:val="26"/>
          <w:szCs w:val="26"/>
          <w:lang w:val="it-IT"/>
        </w:rPr>
        <w:t>-</w:t>
      </w:r>
      <w:r>
        <w:rPr>
          <w:rFonts w:ascii="Calibri" w:hAnsi="Calibri"/>
          <w:sz w:val="26"/>
          <w:szCs w:val="26"/>
        </w:rPr>
        <w:t xml:space="preserve">Legea nr. 350/2001, privind amenajarea teritoriului şi urbanismul, </w:t>
      </w:r>
      <w:r>
        <w:rPr>
          <w:rFonts w:ascii="Calibri" w:hAnsi="Calibri"/>
          <w:sz w:val="26"/>
          <w:szCs w:val="26"/>
          <w:lang w:val="it-IT"/>
        </w:rPr>
        <w:t>cu modificările ulterioare</w:t>
      </w:r>
    </w:p>
    <w:p>
      <w:pPr>
        <w:pStyle w:val="TextBody"/>
        <w:rPr>
          <w:rFonts w:ascii="Arial" w:hAnsi="Arial"/>
          <w:sz w:val="24"/>
          <w:szCs w:val="24"/>
        </w:rPr>
      </w:pPr>
      <w:r>
        <w:rPr>
          <w:rFonts w:ascii="Calibri" w:hAnsi="Calibri"/>
          <w:sz w:val="26"/>
          <w:szCs w:val="26"/>
          <w:lang w:val="it-IT"/>
        </w:rPr>
        <w:t xml:space="preserve">- Regulamentul general de urbanism aprobat prin HGR nr. 525/1996, cu modificările ulterioare, precum şi </w:t>
      </w:r>
      <w:r>
        <w:rPr>
          <w:rFonts w:ascii="Calibri" w:hAnsi="Calibri"/>
          <w:sz w:val="26"/>
          <w:szCs w:val="26"/>
          <w:lang w:val="fr-FR"/>
        </w:rPr>
        <w:t xml:space="preserve">Ordinul MLPAT nr. 21/N/2000 – </w:t>
      </w:r>
      <w:r>
        <w:rPr>
          <w:rFonts w:ascii="Calibri" w:hAnsi="Calibri"/>
          <w:sz w:val="26"/>
          <w:szCs w:val="26"/>
          <w:lang w:val="it-IT"/>
        </w:rPr>
        <w:t>Ghid privind elaborarea şi aprobarea regulamentelor locale de urbanism</w:t>
      </w:r>
    </w:p>
    <w:p>
      <w:pPr>
        <w:pStyle w:val="TextBody"/>
        <w:rPr>
          <w:rFonts w:ascii="Arial" w:hAnsi="Arial"/>
          <w:sz w:val="24"/>
          <w:szCs w:val="24"/>
        </w:rPr>
      </w:pPr>
      <w:r>
        <w:rPr>
          <w:rFonts w:ascii="Calibri" w:hAnsi="Calibri"/>
          <w:sz w:val="26"/>
          <w:szCs w:val="26"/>
          <w:lang w:val="it-IT"/>
        </w:rPr>
        <w:t xml:space="preserve">- </w:t>
      </w:r>
      <w:r>
        <w:rPr>
          <w:rFonts w:ascii="Calibri" w:hAnsi="Calibri"/>
          <w:sz w:val="26"/>
          <w:szCs w:val="26"/>
        </w:rPr>
        <w:t>Legea nr. 50/1991, privind autorizarea executării lucrărilor de construcţii,</w:t>
      </w:r>
      <w:r>
        <w:rPr>
          <w:rFonts w:ascii="Calibri" w:hAnsi="Calibri"/>
          <w:sz w:val="26"/>
          <w:szCs w:val="26"/>
          <w:lang w:val="it-IT"/>
        </w:rPr>
        <w:t>cu modific</w:t>
      </w:r>
      <w:r>
        <w:rPr>
          <w:rFonts w:ascii="Calibri" w:hAnsi="Calibri"/>
          <w:sz w:val="26"/>
          <w:szCs w:val="26"/>
        </w:rPr>
        <w:t>ă</w:t>
      </w:r>
      <w:r>
        <w:rPr>
          <w:rFonts w:ascii="Calibri" w:hAnsi="Calibri"/>
          <w:sz w:val="26"/>
          <w:szCs w:val="26"/>
          <w:lang w:val="it-IT"/>
        </w:rPr>
        <w:t>rile ulterioare</w:t>
      </w:r>
    </w:p>
    <w:p>
      <w:pPr>
        <w:pStyle w:val="TextBody"/>
        <w:rPr>
          <w:rFonts w:ascii="Arial" w:hAnsi="Arial"/>
          <w:sz w:val="24"/>
          <w:szCs w:val="24"/>
        </w:rPr>
      </w:pPr>
      <w:r>
        <w:rPr>
          <w:rFonts w:ascii="Calibri" w:hAnsi="Calibri"/>
          <w:sz w:val="26"/>
          <w:szCs w:val="26"/>
        </w:rPr>
        <w:t>- Legea nr. 287/2009 privind Codul Civil</w:t>
      </w:r>
    </w:p>
    <w:p>
      <w:pPr>
        <w:pStyle w:val="TextBody"/>
        <w:rPr>
          <w:rFonts w:ascii="Arial" w:hAnsi="Arial"/>
          <w:sz w:val="24"/>
          <w:szCs w:val="24"/>
        </w:rPr>
      </w:pPr>
      <w:r>
        <w:rPr>
          <w:rFonts w:ascii="Calibri" w:hAnsi="Calibri"/>
          <w:sz w:val="26"/>
          <w:szCs w:val="26"/>
          <w:lang w:val="it-IT"/>
        </w:rPr>
        <w:t>- Legea nr. 7</w:t>
      </w:r>
      <w:r>
        <w:rPr>
          <w:rFonts w:ascii="Calibri" w:hAnsi="Calibri"/>
          <w:sz w:val="26"/>
          <w:szCs w:val="26"/>
        </w:rPr>
        <w:t>/1996</w:t>
      </w:r>
      <w:r>
        <w:rPr>
          <w:rFonts w:ascii="Calibri" w:hAnsi="Calibri"/>
          <w:sz w:val="26"/>
          <w:szCs w:val="26"/>
          <w:lang w:val="it-IT"/>
        </w:rPr>
        <w:t>, privind cadastrul şi publicitatea imobiliară, actualizată</w:t>
      </w:r>
    </w:p>
    <w:p>
      <w:pPr>
        <w:pStyle w:val="TextBody"/>
        <w:rPr>
          <w:rFonts w:ascii="Arial" w:hAnsi="Arial"/>
          <w:sz w:val="24"/>
          <w:szCs w:val="24"/>
        </w:rPr>
      </w:pPr>
      <w:r>
        <w:rPr>
          <w:rFonts w:ascii="Calibri" w:hAnsi="Calibri"/>
          <w:sz w:val="26"/>
          <w:szCs w:val="26"/>
        </w:rPr>
        <w:t>- ORDIN MT 49/1998 - Norme tehnice privind proiectarea si realizarea strazilor in localitatile urbane</w:t>
      </w:r>
    </w:p>
    <w:p>
      <w:pPr>
        <w:pStyle w:val="TextBody"/>
        <w:rPr>
          <w:rFonts w:ascii="Calibri" w:hAnsi="Calibri"/>
          <w:sz w:val="26"/>
          <w:szCs w:val="26"/>
          <w:lang w:val="it-IT"/>
        </w:rPr>
      </w:pPr>
      <w:r>
        <w:rPr/>
      </w:r>
    </w:p>
    <w:p>
      <w:pPr>
        <w:pStyle w:val="TextBody"/>
        <w:rPr>
          <w:rFonts w:ascii="Arial" w:hAnsi="Arial"/>
          <w:sz w:val="24"/>
          <w:szCs w:val="24"/>
        </w:rPr>
      </w:pPr>
      <w:r>
        <w:rPr>
          <w:rFonts w:ascii="Calibri" w:hAnsi="Calibri"/>
          <w:sz w:val="26"/>
          <w:szCs w:val="26"/>
          <w:lang w:val="it-IT"/>
        </w:rPr>
        <w:t>- ORDIN MLPAT 176</w:t>
      </w:r>
      <w:r>
        <w:rPr>
          <w:rFonts w:ascii="Calibri" w:hAnsi="Calibri"/>
          <w:sz w:val="26"/>
          <w:szCs w:val="26"/>
        </w:rPr>
        <w:t>/N/2000 – Reglementare tehnică “Ghid privind metodologia de elaborare şi conţinutul cadru al planului urbanistic zonal”</w:t>
      </w:r>
    </w:p>
    <w:p>
      <w:pPr>
        <w:pStyle w:val="TextBody"/>
        <w:rPr>
          <w:rFonts w:ascii="Arial" w:hAnsi="Arial"/>
          <w:sz w:val="24"/>
          <w:szCs w:val="24"/>
        </w:rPr>
      </w:pPr>
      <w:r>
        <w:rPr>
          <w:rFonts w:ascii="Calibri" w:hAnsi="Calibri"/>
          <w:sz w:val="26"/>
          <w:szCs w:val="26"/>
          <w:lang w:val="it-IT"/>
        </w:rPr>
        <w:t>- ORDIN MLPAT 10</w:t>
      </w:r>
      <w:r>
        <w:rPr>
          <w:rFonts w:ascii="Calibri" w:hAnsi="Calibri"/>
          <w:sz w:val="26"/>
          <w:szCs w:val="26"/>
        </w:rPr>
        <w:t>/</w:t>
      </w:r>
      <w:r>
        <w:rPr>
          <w:rFonts w:ascii="Calibri" w:hAnsi="Calibri"/>
          <w:sz w:val="26"/>
          <w:szCs w:val="26"/>
          <w:lang w:val="it-IT"/>
        </w:rPr>
        <w:t>N/1993 - Normativ pentru proiectarea parcajelor de auturisme in localitati urbane</w:t>
      </w:r>
    </w:p>
    <w:p>
      <w:pPr>
        <w:pStyle w:val="TextBody"/>
        <w:rPr>
          <w:rFonts w:ascii="Calibri" w:hAnsi="Calibri"/>
          <w:sz w:val="26"/>
          <w:szCs w:val="26"/>
        </w:rPr>
      </w:pPr>
      <w:r>
        <w:rPr>
          <w:rFonts w:ascii="Calibri" w:hAnsi="Calibri"/>
          <w:sz w:val="26"/>
          <w:szCs w:val="26"/>
          <w:lang w:val="it-IT"/>
        </w:rPr>
        <w:t xml:space="preserve">- PLANUL URBANISTIC GENERALL </w:t>
      </w:r>
      <w:r>
        <w:rPr>
          <w:rFonts w:eastAsia="Times New Roman" w:cs="Times New Roman" w:ascii="Calibri" w:hAnsi="Calibri"/>
          <w:i/>
          <w:iCs/>
          <w:sz w:val="26"/>
          <w:szCs w:val="26"/>
          <w:lang w:val="en-US" w:bidi="ar-SA"/>
        </w:rPr>
        <w:t>aprobat cu HCL nr. 141/2008</w:t>
      </w:r>
    </w:p>
    <w:p>
      <w:pPr>
        <w:pStyle w:val="TextBody"/>
        <w:rPr>
          <w:rFonts w:ascii="Calibri" w:hAnsi="Calibri"/>
          <w:sz w:val="26"/>
          <w:szCs w:val="26"/>
        </w:rPr>
      </w:pPr>
      <w:r>
        <w:rPr>
          <w:rFonts w:eastAsia="Times New Roman" w:cs="Times New Roman" w:ascii="Calibri" w:hAnsi="Calibri"/>
          <w:i/>
          <w:iCs/>
          <w:sz w:val="26"/>
          <w:szCs w:val="26"/>
          <w:lang w:val="en-US" w:bidi="ar-SA"/>
        </w:rPr>
        <w:t>Certificatul de Urbanism nr. 59/13.06.2017</w:t>
      </w:r>
    </w:p>
    <w:p>
      <w:pPr>
        <w:pStyle w:val="TextBody"/>
        <w:rPr>
          <w:rFonts w:ascii="Arial" w:hAnsi="Arial"/>
          <w:sz w:val="24"/>
          <w:szCs w:val="24"/>
        </w:rPr>
      </w:pPr>
      <w:r>
        <w:rPr>
          <w:rFonts w:ascii="Calibri" w:hAnsi="Calibri"/>
          <w:sz w:val="26"/>
          <w:szCs w:val="26"/>
        </w:rPr>
        <w:t>- Regulamentul general de urbanism HGR 525/1996</w:t>
      </w:r>
    </w:p>
    <w:p>
      <w:pPr>
        <w:pStyle w:val="TextBody"/>
        <w:rPr>
          <w:rFonts w:ascii="Arial" w:hAnsi="Arial"/>
          <w:sz w:val="24"/>
          <w:szCs w:val="24"/>
        </w:rPr>
      </w:pPr>
      <w:r>
        <w:rPr>
          <w:rFonts w:ascii="Calibri" w:hAnsi="Calibri"/>
          <w:sz w:val="26"/>
          <w:szCs w:val="26"/>
          <w:lang w:val="it-IT"/>
        </w:rPr>
        <w:t xml:space="preserve">- </w:t>
      </w:r>
      <w:r>
        <w:rPr>
          <w:rFonts w:ascii="Calibri" w:hAnsi="Calibri"/>
          <w:sz w:val="26"/>
          <w:szCs w:val="26"/>
        </w:rPr>
        <w:t>Ortofoto planul zonei</w:t>
      </w:r>
    </w:p>
    <w:p>
      <w:pPr>
        <w:pStyle w:val="TextBody"/>
        <w:rPr>
          <w:rFonts w:ascii="Calibri" w:hAnsi="Calibri"/>
          <w:sz w:val="26"/>
          <w:szCs w:val="26"/>
        </w:rPr>
      </w:pPr>
      <w:r>
        <w:rPr>
          <w:rFonts w:ascii="Calibri" w:hAnsi="Calibri"/>
          <w:sz w:val="26"/>
          <w:szCs w:val="26"/>
        </w:rPr>
        <w:t>- HCJC 152/2013,privind stabilirea suprafetelor minime de spatii verzi si a numarului minim de arbusti,arbori,plante decorative si flori aferente constructiilor realizate pe teritoriul administrativ al judetului Constanta</w:t>
      </w:r>
    </w:p>
    <w:p>
      <w:pPr>
        <w:pStyle w:val="TextBody"/>
        <w:rPr>
          <w:b/>
          <w:b/>
          <w:bCs/>
        </w:rPr>
      </w:pPr>
      <w:r>
        <w:rPr>
          <w:b/>
          <w:bCs/>
        </w:rPr>
      </w:r>
    </w:p>
    <w:p>
      <w:pPr>
        <w:pStyle w:val="TextBody"/>
        <w:rPr>
          <w:rFonts w:ascii="Arial" w:hAnsi="Arial"/>
          <w:b/>
          <w:b/>
          <w:bCs/>
          <w:sz w:val="24"/>
          <w:szCs w:val="24"/>
        </w:rPr>
      </w:pPr>
      <w:r>
        <w:rPr>
          <w:rFonts w:ascii="Calibri" w:hAnsi="Calibri"/>
          <w:b/>
          <w:bCs/>
          <w:sz w:val="26"/>
          <w:szCs w:val="26"/>
        </w:rPr>
        <w:t xml:space="preserve">b) Necesitatea si oportunitatea planului :  </w:t>
      </w:r>
    </w:p>
    <w:p>
      <w:pPr>
        <w:pStyle w:val="TextBody"/>
        <w:rPr>
          <w:rFonts w:ascii="Arial" w:hAnsi="Arial"/>
          <w:sz w:val="24"/>
          <w:szCs w:val="24"/>
        </w:rPr>
      </w:pPr>
      <w:r>
        <w:rPr>
          <w:rFonts w:ascii="Calibri" w:hAnsi="Calibri"/>
          <w:sz w:val="26"/>
          <w:szCs w:val="26"/>
        </w:rPr>
        <w:t xml:space="preserve">-Obiectivul Planului Urbanistic Zonal consta in studierea, reglementarea si modificarea reglementarilor urbanistice aprobate in limitele zonei studiate, </w:t>
      </w:r>
    </w:p>
    <w:p>
      <w:pPr>
        <w:pStyle w:val="TextBody"/>
        <w:rPr>
          <w:rFonts w:ascii="Calibri" w:hAnsi="Calibri"/>
          <w:sz w:val="26"/>
          <w:szCs w:val="26"/>
        </w:rPr>
      </w:pPr>
      <w:r>
        <w:rPr>
          <w:rFonts w:ascii="Calibri" w:hAnsi="Calibri"/>
          <w:sz w:val="26"/>
          <w:szCs w:val="26"/>
        </w:rPr>
        <w:t>-</w:t>
      </w:r>
      <w:r>
        <w:rPr>
          <w:rFonts w:eastAsia="Times New Roman" w:cs="Arial" w:ascii="Calibri" w:hAnsi="Calibri"/>
          <w:b w:val="false"/>
          <w:bCs w:val="false"/>
          <w:i/>
          <w:iCs/>
          <w:color w:val="000000"/>
          <w:sz w:val="26"/>
          <w:szCs w:val="26"/>
          <w:lang w:val="en-US" w:eastAsia="ro-RO" w:bidi="ar-SA"/>
        </w:rPr>
        <w:t xml:space="preserve">elaborare Plan Urbanistic Zonal- stabilire indicatori urbanistici/reglementari, zona delimitata de UTR  E6 si str. Nicolae Tonitza , DE 236 la est, limita intravilan la sud si linie CF la vest, zona cuprinsa in zona de reglementare P2 din PUG Tuzla, in vederea construirii unui complex sportiv, situat pe str. Nicolae Tonitza, zona castel apa sud, comuna Tuzla, jud. Constanta,  </w:t>
      </w:r>
    </w:p>
    <w:p>
      <w:pPr>
        <w:pStyle w:val="TextBody"/>
        <w:rPr>
          <w:rFonts w:ascii="Calibri" w:hAnsi="Calibri"/>
          <w:sz w:val="26"/>
          <w:szCs w:val="26"/>
        </w:rPr>
      </w:pPr>
      <w:r>
        <w:rPr>
          <w:rFonts w:ascii="Calibri" w:hAnsi="Calibri"/>
          <w:sz w:val="26"/>
          <w:szCs w:val="26"/>
        </w:rPr>
        <w:t xml:space="preserve">-Amplasamentul studiat prin PUZ este liber de constructii. </w:t>
      </w:r>
    </w:p>
    <w:p>
      <w:pPr>
        <w:pStyle w:val="TextBody"/>
        <w:rPr>
          <w:rFonts w:ascii="Arial" w:hAnsi="Arial"/>
          <w:sz w:val="24"/>
          <w:szCs w:val="24"/>
          <w:u w:val="single"/>
        </w:rPr>
      </w:pPr>
      <w:r>
        <w:rPr>
          <w:rFonts w:ascii="Calibri" w:hAnsi="Calibri"/>
          <w:sz w:val="26"/>
          <w:szCs w:val="26"/>
          <w:u w:val="single"/>
        </w:rPr>
        <w:t>Documentatia prezenta isi propune urmatoarele:</w:t>
      </w:r>
    </w:p>
    <w:p>
      <w:pPr>
        <w:pStyle w:val="TextBody"/>
        <w:rPr>
          <w:rFonts w:ascii="Calibri" w:hAnsi="Calibri"/>
          <w:sz w:val="26"/>
          <w:szCs w:val="26"/>
        </w:rPr>
      </w:pPr>
      <w:r>
        <w:rPr>
          <w:rFonts w:ascii="Calibri" w:hAnsi="Calibri"/>
          <w:sz w:val="26"/>
          <w:szCs w:val="26"/>
        </w:rPr>
        <w:t>- Modificarea reglementarilor aprobate prin:</w:t>
      </w:r>
      <w:r>
        <w:rPr>
          <w:rFonts w:cs="Times New Roman" w:ascii="Calibri" w:hAnsi="Calibri"/>
          <w:i/>
          <w:iCs/>
          <w:sz w:val="26"/>
          <w:szCs w:val="26"/>
        </w:rPr>
        <w:t xml:space="preserve"> </w:t>
      </w:r>
      <w:r>
        <w:rPr>
          <w:rFonts w:eastAsia="Times New Roman" w:cs="Times New Roman" w:ascii="Calibri" w:hAnsi="Calibri"/>
          <w:i/>
          <w:iCs/>
          <w:sz w:val="26"/>
          <w:szCs w:val="26"/>
          <w:lang w:val="it-IT" w:bidi="ar-SA"/>
        </w:rPr>
        <w:t xml:space="preserve"> PLANUL URBANISTIC GENERAL comuna Tuzla ,  </w:t>
      </w:r>
      <w:r>
        <w:rPr>
          <w:rFonts w:eastAsia="Times New Roman" w:cs="Times New Roman" w:ascii="Calibri" w:hAnsi="Calibri"/>
          <w:i/>
          <w:iCs/>
          <w:sz w:val="26"/>
          <w:szCs w:val="26"/>
          <w:lang w:val="en-US" w:bidi="ar-SA"/>
        </w:rPr>
        <w:t>aprobat cu HCL nr. 141/2008</w:t>
      </w:r>
    </w:p>
    <w:p>
      <w:pPr>
        <w:pStyle w:val="TextBody"/>
        <w:rPr>
          <w:rFonts w:ascii="Calibri" w:hAnsi="Calibri"/>
          <w:sz w:val="26"/>
          <w:szCs w:val="26"/>
        </w:rPr>
      </w:pPr>
      <w:r>
        <w:rPr>
          <w:rFonts w:ascii="Calibri" w:hAnsi="Calibri"/>
          <w:sz w:val="26"/>
          <w:szCs w:val="26"/>
        </w:rPr>
        <w:t xml:space="preserve">-Majorare  coeficienti urbanistici, POT si CUT in limita a maxim 20% </w:t>
      </w:r>
    </w:p>
    <w:p>
      <w:pPr>
        <w:pStyle w:val="TextBody"/>
        <w:rPr>
          <w:rFonts w:ascii="Arial" w:hAnsi="Arial"/>
          <w:sz w:val="24"/>
          <w:szCs w:val="24"/>
        </w:rPr>
      </w:pPr>
      <w:r>
        <w:rPr>
          <w:rFonts w:ascii="Calibri" w:hAnsi="Calibri"/>
          <w:sz w:val="26"/>
          <w:szCs w:val="26"/>
        </w:rPr>
        <w:t>-Diversificarea functiunilor admise.</w:t>
      </w:r>
    </w:p>
    <w:p>
      <w:pPr>
        <w:pStyle w:val="TextBody"/>
        <w:rPr>
          <w:rFonts w:ascii="Calibri" w:hAnsi="Calibri"/>
          <w:sz w:val="26"/>
          <w:szCs w:val="26"/>
        </w:rPr>
      </w:pPr>
      <w:r>
        <w:rPr>
          <w:rFonts w:ascii="Calibri" w:hAnsi="Calibri"/>
          <w:sz w:val="26"/>
          <w:szCs w:val="26"/>
        </w:rPr>
        <w:t xml:space="preserve">-Modificarea cu R.H. maxim aprobat . </w:t>
      </w:r>
    </w:p>
    <w:p>
      <w:pPr>
        <w:pStyle w:val="TextBody"/>
        <w:rPr>
          <w:rFonts w:ascii="Arial" w:hAnsi="Arial"/>
          <w:sz w:val="24"/>
          <w:szCs w:val="24"/>
          <w:u w:val="single"/>
        </w:rPr>
      </w:pPr>
      <w:r>
        <w:rPr>
          <w:rFonts w:ascii="Calibri" w:hAnsi="Calibri"/>
          <w:sz w:val="26"/>
          <w:szCs w:val="26"/>
          <w:u w:val="single"/>
        </w:rPr>
        <w:t xml:space="preserve">Studii de fundamentare P.U.Z. </w:t>
      </w:r>
    </w:p>
    <w:p>
      <w:pPr>
        <w:pStyle w:val="TextBody"/>
        <w:rPr>
          <w:rFonts w:ascii="Arial" w:hAnsi="Arial"/>
          <w:sz w:val="24"/>
          <w:szCs w:val="24"/>
        </w:rPr>
      </w:pPr>
      <w:r>
        <w:rPr>
          <w:rFonts w:ascii="Calibri" w:hAnsi="Calibri"/>
          <w:sz w:val="26"/>
          <w:szCs w:val="26"/>
        </w:rPr>
        <w:t xml:space="preserve">-Studiu geotehnic </w:t>
      </w:r>
    </w:p>
    <w:p>
      <w:pPr>
        <w:pStyle w:val="TextBody"/>
        <w:rPr>
          <w:rFonts w:ascii="Calibri" w:hAnsi="Calibri"/>
          <w:sz w:val="26"/>
          <w:szCs w:val="26"/>
        </w:rPr>
      </w:pPr>
      <w:r>
        <w:rPr>
          <w:rFonts w:ascii="Calibri" w:hAnsi="Calibri"/>
          <w:sz w:val="26"/>
          <w:szCs w:val="26"/>
        </w:rPr>
        <w:t>- Planuri topografice şi cadastrale scara 1/500 şi 1/2000 ale zonei</w:t>
      </w:r>
    </w:p>
    <w:p>
      <w:pPr>
        <w:pStyle w:val="TextBody"/>
        <w:rPr>
          <w:b/>
          <w:b/>
          <w:bCs/>
        </w:rPr>
      </w:pPr>
      <w:r>
        <w:rPr>
          <w:b/>
          <w:bCs/>
        </w:rPr>
      </w:r>
    </w:p>
    <w:p>
      <w:pPr>
        <w:pStyle w:val="TextBody"/>
        <w:rPr>
          <w:rFonts w:ascii="Arial" w:hAnsi="Arial"/>
          <w:b/>
          <w:b/>
          <w:bCs/>
          <w:sz w:val="24"/>
          <w:szCs w:val="24"/>
        </w:rPr>
      </w:pPr>
      <w:r>
        <w:rPr>
          <w:rFonts w:ascii="Calibri" w:hAnsi="Calibri"/>
          <w:b/>
          <w:bCs/>
          <w:sz w:val="26"/>
          <w:szCs w:val="26"/>
        </w:rPr>
        <w:t>c) Descrierea  lucrarilor existente</w:t>
      </w:r>
    </w:p>
    <w:p>
      <w:pPr>
        <w:pStyle w:val="TextBody"/>
        <w:rPr>
          <w:rFonts w:ascii="Calibri" w:hAnsi="Calibri"/>
          <w:sz w:val="26"/>
          <w:szCs w:val="26"/>
        </w:rPr>
      </w:pPr>
      <w:r>
        <w:rPr>
          <w:rFonts w:eastAsia="Times New Roman" w:cs="Times New Roman" w:ascii="Calibri" w:hAnsi="Calibri"/>
          <w:i/>
          <w:iCs/>
          <w:sz w:val="26"/>
          <w:szCs w:val="26"/>
          <w:lang w:val="it-IT" w:bidi="ar-SA"/>
        </w:rPr>
        <w:t xml:space="preserve"> </w:t>
      </w:r>
      <w:r>
        <w:rPr>
          <w:rFonts w:eastAsia="Times New Roman" w:cs="Times New Roman" w:ascii="Calibri" w:hAnsi="Calibri"/>
          <w:i/>
          <w:iCs/>
          <w:sz w:val="26"/>
          <w:szCs w:val="26"/>
          <w:lang w:val="it-IT" w:bidi="ar-SA"/>
        </w:rPr>
        <w:t xml:space="preserve">PLANUL URBANISTIC GENERAL comuna Tuzla ,  </w:t>
      </w:r>
      <w:r>
        <w:rPr>
          <w:rFonts w:eastAsia="Times New Roman" w:cs="Times New Roman" w:ascii="Calibri" w:hAnsi="Calibri"/>
          <w:i/>
          <w:iCs/>
          <w:sz w:val="26"/>
          <w:szCs w:val="26"/>
          <w:lang w:val="en-US" w:bidi="ar-SA"/>
        </w:rPr>
        <w:t>aprobat cu HCL nr. 141/2008</w:t>
      </w:r>
    </w:p>
    <w:p>
      <w:pPr>
        <w:pStyle w:val="TextBody"/>
        <w:rPr>
          <w:rFonts w:ascii="Calibri" w:hAnsi="Calibri"/>
          <w:sz w:val="26"/>
          <w:szCs w:val="26"/>
        </w:rPr>
      </w:pPr>
      <w:r>
        <w:rPr>
          <w:rFonts w:ascii="Calibri" w:hAnsi="Calibri"/>
          <w:sz w:val="26"/>
          <w:szCs w:val="26"/>
        </w:rPr>
        <w:t xml:space="preserve"> </w:t>
      </w:r>
      <w:r>
        <w:rPr>
          <w:rFonts w:ascii="Calibri" w:hAnsi="Calibri"/>
          <w:sz w:val="26"/>
          <w:szCs w:val="26"/>
        </w:rPr>
        <w:t>Amplasamentul care genereaza  studiul PUZ, este situat in zona de est a comunei Tuzla</w:t>
      </w:r>
    </w:p>
    <w:p>
      <w:pPr>
        <w:pStyle w:val="TextBody"/>
        <w:rPr>
          <w:rFonts w:ascii="Calibri" w:hAnsi="Calibri"/>
          <w:sz w:val="26"/>
          <w:szCs w:val="26"/>
        </w:rPr>
      </w:pPr>
      <w:r>
        <w:rPr/>
      </w:r>
    </w:p>
    <w:p>
      <w:pPr>
        <w:pStyle w:val="TextBody"/>
        <w:rPr>
          <w:rFonts w:ascii="Calibri" w:hAnsi="Calibri"/>
          <w:sz w:val="26"/>
          <w:szCs w:val="26"/>
        </w:rPr>
      </w:pPr>
      <w:r>
        <w:rPr/>
      </w:r>
    </w:p>
    <w:p>
      <w:pPr>
        <w:pStyle w:val="TextBody"/>
        <w:rPr>
          <w:rFonts w:ascii="Calibri" w:hAnsi="Calibri"/>
          <w:sz w:val="26"/>
          <w:szCs w:val="26"/>
        </w:rPr>
      </w:pPr>
      <w:r>
        <w:rPr>
          <w:rFonts w:ascii="Calibri" w:hAnsi="Calibri"/>
          <w:sz w:val="26"/>
          <w:szCs w:val="26"/>
        </w:rPr>
        <w:t xml:space="preserve"> </w:t>
      </w:r>
      <w:r>
        <w:rPr>
          <w:rFonts w:ascii="Calibri" w:hAnsi="Calibri"/>
          <w:b/>
          <w:bCs/>
          <w:sz w:val="26"/>
          <w:szCs w:val="26"/>
        </w:rPr>
        <w:t xml:space="preserve">-Etape de dezvoltare : </w:t>
      </w:r>
      <w:r>
        <w:rPr>
          <w:rFonts w:ascii="Calibri" w:hAnsi="Calibri"/>
          <w:sz w:val="26"/>
          <w:szCs w:val="26"/>
          <w:lang w:val="ro-RO" w:eastAsia="ro-RO"/>
        </w:rPr>
        <w:t xml:space="preserve">Amplasamentul propus pentru </w:t>
      </w:r>
      <w:r>
        <w:rPr>
          <w:rFonts w:ascii="Calibri" w:hAnsi="Calibri"/>
          <w:sz w:val="26"/>
          <w:szCs w:val="26"/>
        </w:rPr>
        <w:t xml:space="preserve">elaborare plan urbanistic zonal  este cuprins in zona de </w:t>
      </w:r>
      <w:r>
        <w:rPr>
          <w:rFonts w:ascii="Calibri" w:hAnsi="Calibri"/>
          <w:sz w:val="26"/>
          <w:szCs w:val="26"/>
          <w:lang w:val="en-US"/>
        </w:rPr>
        <w:t xml:space="preserve"> reglementare P2  din PUG Tuzla. </w:t>
      </w:r>
    </w:p>
    <w:p>
      <w:pPr>
        <w:pStyle w:val="TextBody"/>
        <w:rPr>
          <w:rFonts w:ascii="Calibri" w:hAnsi="Calibri"/>
          <w:sz w:val="26"/>
          <w:szCs w:val="26"/>
        </w:rPr>
      </w:pPr>
      <w:r>
        <w:rPr>
          <w:rFonts w:eastAsia="Times New Roman" w:cs="Times New Roman" w:ascii="Calibri" w:hAnsi="Calibri"/>
          <w:i w:val="false"/>
          <w:iCs w:val="false"/>
          <w:sz w:val="26"/>
          <w:szCs w:val="26"/>
          <w:lang w:val="en-US" w:bidi="ar-SA"/>
        </w:rPr>
        <w:t xml:space="preserve">Teritoriul ce urmeaza a fi studiat prin PUZ ,  este </w:t>
      </w:r>
      <w:r>
        <w:rPr>
          <w:rFonts w:eastAsia="Times New Roman" w:cs="Arial" w:ascii="Calibri" w:hAnsi="Calibri"/>
          <w:b w:val="false"/>
          <w:bCs w:val="false"/>
          <w:i/>
          <w:iCs/>
          <w:color w:val="000000"/>
          <w:sz w:val="26"/>
          <w:szCs w:val="26"/>
          <w:lang w:val="en-US" w:eastAsia="ro-RO" w:bidi="ar-SA"/>
        </w:rPr>
        <w:t>delimitata de UTR  E6 si str. Nicolae Tonitza , DE 236 la est, limita intravilan la sud si linie CF la vest,</w:t>
      </w:r>
    </w:p>
    <w:p>
      <w:pPr>
        <w:pStyle w:val="TextBody"/>
        <w:rPr>
          <w:rFonts w:ascii="Arial" w:hAnsi="Arial"/>
          <w:sz w:val="24"/>
          <w:szCs w:val="24"/>
        </w:rPr>
      </w:pPr>
      <w:r>
        <w:rPr>
          <w:rFonts w:ascii="Calibri" w:hAnsi="Calibri"/>
          <w:b/>
          <w:bCs/>
          <w:sz w:val="26"/>
          <w:szCs w:val="26"/>
        </w:rPr>
        <w:t xml:space="preserve">-Constructii hidrotehnice : </w:t>
      </w:r>
      <w:r>
        <w:rPr>
          <w:rFonts w:ascii="Calibri" w:hAnsi="Calibri"/>
          <w:sz w:val="26"/>
          <w:szCs w:val="26"/>
        </w:rPr>
        <w:t xml:space="preserve">nu este cazul </w:t>
      </w:r>
    </w:p>
    <w:p>
      <w:pPr>
        <w:pStyle w:val="TextBody"/>
        <w:rPr>
          <w:rFonts w:ascii="Calibri" w:hAnsi="Calibri"/>
          <w:sz w:val="26"/>
          <w:szCs w:val="26"/>
        </w:rPr>
      </w:pPr>
      <w:r>
        <w:rPr>
          <w:rFonts w:ascii="Calibri" w:hAnsi="Calibri"/>
          <w:b/>
          <w:bCs/>
          <w:sz w:val="26"/>
          <w:szCs w:val="26"/>
        </w:rPr>
        <w:t xml:space="preserve">-activitati desfasurate : </w:t>
      </w:r>
      <w:r>
        <w:rPr>
          <w:rFonts w:ascii="Calibri" w:hAnsi="Calibri"/>
          <w:sz w:val="26"/>
          <w:szCs w:val="26"/>
        </w:rPr>
        <w:t xml:space="preserve">teren liber situat in  intravilanul comuna Tuzla cu  destinatia construire. </w:t>
      </w:r>
    </w:p>
    <w:p>
      <w:pPr>
        <w:pStyle w:val="TextBody"/>
        <w:rPr>
          <w:rFonts w:ascii="Calibri" w:hAnsi="Calibri"/>
          <w:sz w:val="26"/>
          <w:szCs w:val="26"/>
        </w:rPr>
      </w:pPr>
      <w:r>
        <w:rPr>
          <w:rFonts w:ascii="Calibri" w:hAnsi="Calibri"/>
          <w:b/>
          <w:bCs/>
          <w:sz w:val="26"/>
          <w:szCs w:val="26"/>
        </w:rPr>
        <w:t>- managementul deseurilor</w:t>
      </w:r>
      <w:r>
        <w:rPr>
          <w:rFonts w:ascii="Calibri" w:hAnsi="Calibri"/>
          <w:sz w:val="26"/>
          <w:szCs w:val="26"/>
        </w:rPr>
        <w:t>: colectarea selectiva a deseurilor, pe platforme si incinte special amenajate si ridicarea lor periodic de catre firmele de specialitate.</w:t>
      </w:r>
    </w:p>
    <w:p>
      <w:pPr>
        <w:pStyle w:val="TextBody"/>
        <w:rPr>
          <w:rFonts w:ascii="Arial" w:hAnsi="Arial"/>
          <w:b/>
          <w:b/>
          <w:bCs/>
          <w:sz w:val="24"/>
          <w:szCs w:val="24"/>
        </w:rPr>
      </w:pPr>
      <w:r>
        <w:rPr>
          <w:rFonts w:ascii="Calibri" w:hAnsi="Calibri"/>
          <w:b/>
          <w:bCs/>
          <w:sz w:val="26"/>
          <w:szCs w:val="26"/>
        </w:rPr>
        <w:t>d) Disfunctionalitati :</w:t>
      </w:r>
    </w:p>
    <w:p>
      <w:pPr>
        <w:pStyle w:val="TextBody"/>
        <w:rPr>
          <w:rFonts w:ascii="Calibri" w:hAnsi="Calibri"/>
          <w:sz w:val="26"/>
          <w:szCs w:val="26"/>
        </w:rPr>
      </w:pPr>
      <w:r>
        <w:rPr>
          <w:rFonts w:ascii="Calibri" w:hAnsi="Calibri"/>
          <w:b/>
          <w:bCs/>
          <w:sz w:val="26"/>
          <w:szCs w:val="26"/>
        </w:rPr>
        <w:t>- accesul auto:</w:t>
      </w:r>
      <w:r>
        <w:rPr>
          <w:rFonts w:ascii="Calibri" w:hAnsi="Calibri"/>
          <w:sz w:val="26"/>
          <w:szCs w:val="26"/>
        </w:rPr>
        <w:t xml:space="preserve">  catre cartierele imendiat apropiate, pe stazi existente  , Nicolae Tonitza, str. Farului., str. Cantonului. </w:t>
      </w:r>
    </w:p>
    <w:p>
      <w:pPr>
        <w:pStyle w:val="TextBody"/>
        <w:rPr>
          <w:rFonts w:ascii="Calibri" w:hAnsi="Calibri"/>
          <w:sz w:val="26"/>
          <w:szCs w:val="26"/>
        </w:rPr>
      </w:pPr>
      <w:r>
        <w:rPr>
          <w:rFonts w:ascii="Calibri" w:hAnsi="Calibri"/>
          <w:b/>
          <w:bCs/>
          <w:sz w:val="26"/>
          <w:szCs w:val="26"/>
        </w:rPr>
        <w:t xml:space="preserve">- drumurile interioare: </w:t>
      </w:r>
      <w:r>
        <w:rPr>
          <w:rFonts w:ascii="Calibri" w:hAnsi="Calibri"/>
          <w:b w:val="false"/>
          <w:bCs w:val="false"/>
          <w:sz w:val="26"/>
          <w:szCs w:val="26"/>
        </w:rPr>
        <w:t>in limita terenului studiat nu exista drumuri interioare</w:t>
      </w:r>
    </w:p>
    <w:p>
      <w:pPr>
        <w:pStyle w:val="TextBody"/>
        <w:rPr>
          <w:rFonts w:ascii="Calibri" w:hAnsi="Calibri"/>
          <w:sz w:val="26"/>
          <w:szCs w:val="26"/>
        </w:rPr>
      </w:pPr>
      <w:r>
        <w:rPr>
          <w:rFonts w:ascii="Calibri" w:hAnsi="Calibri"/>
          <w:b/>
          <w:bCs/>
          <w:sz w:val="26"/>
          <w:szCs w:val="26"/>
        </w:rPr>
        <w:t>-reteaua de cai ferate:</w:t>
      </w:r>
      <w:r>
        <w:rPr>
          <w:rFonts w:ascii="Calibri" w:hAnsi="Calibri"/>
          <w:sz w:val="26"/>
          <w:szCs w:val="26"/>
        </w:rPr>
        <w:t xml:space="preserve"> la limita de sud a zonei studiate exista linia CF. Constanta, Mangalia. Traversarea liniei CF se face prin pasajul amenajat si semnalizat corespunzator pe strada Farului. </w:t>
      </w:r>
    </w:p>
    <w:p>
      <w:pPr>
        <w:pStyle w:val="TextBody"/>
        <w:rPr>
          <w:rFonts w:ascii="Arial" w:hAnsi="Arial"/>
          <w:sz w:val="24"/>
          <w:szCs w:val="24"/>
        </w:rPr>
      </w:pPr>
      <w:r>
        <w:rPr>
          <w:rFonts w:ascii="Calibri" w:hAnsi="Calibri"/>
          <w:b/>
          <w:bCs/>
          <w:sz w:val="26"/>
          <w:szCs w:val="26"/>
        </w:rPr>
        <w:t>-retele de utilitati,</w:t>
      </w:r>
      <w:r>
        <w:rPr>
          <w:rFonts w:ascii="Calibri" w:hAnsi="Calibri"/>
          <w:sz w:val="26"/>
          <w:szCs w:val="26"/>
        </w:rPr>
        <w:t xml:space="preserve">  pe terenul studiat nu exista retele edilitare </w:t>
      </w:r>
    </w:p>
    <w:p>
      <w:pPr>
        <w:pStyle w:val="TextBody"/>
        <w:rPr>
          <w:rFonts w:ascii="Arial" w:hAnsi="Arial"/>
          <w:sz w:val="24"/>
          <w:szCs w:val="24"/>
        </w:rPr>
      </w:pPr>
      <w:r>
        <w:rPr>
          <w:rFonts w:ascii="Calibri" w:hAnsi="Calibri"/>
          <w:b/>
          <w:bCs/>
          <w:sz w:val="26"/>
          <w:szCs w:val="26"/>
        </w:rPr>
        <w:t>-tehnologii de operare:</w:t>
      </w:r>
      <w:r>
        <w:rPr>
          <w:rFonts w:ascii="Calibri" w:hAnsi="Calibri"/>
          <w:sz w:val="26"/>
          <w:szCs w:val="26"/>
        </w:rPr>
        <w:t xml:space="preserve"> nu este cazul</w:t>
      </w:r>
    </w:p>
    <w:p>
      <w:pPr>
        <w:pStyle w:val="TextBody"/>
        <w:rPr>
          <w:rFonts w:ascii="Arial" w:hAnsi="Arial"/>
          <w:sz w:val="24"/>
          <w:szCs w:val="24"/>
        </w:rPr>
      </w:pPr>
      <w:r>
        <w:rPr>
          <w:rFonts w:ascii="Calibri" w:hAnsi="Calibri"/>
          <w:b/>
          <w:bCs/>
          <w:sz w:val="26"/>
          <w:szCs w:val="26"/>
        </w:rPr>
        <w:t>-amplasarea unor constructii si terminale:</w:t>
      </w:r>
      <w:r>
        <w:rPr>
          <w:rFonts w:ascii="Calibri" w:hAnsi="Calibri"/>
          <w:sz w:val="26"/>
          <w:szCs w:val="26"/>
        </w:rPr>
        <w:t xml:space="preserve"> nu este cazul</w:t>
      </w:r>
    </w:p>
    <w:p>
      <w:pPr>
        <w:pStyle w:val="TextBody"/>
        <w:rPr>
          <w:rFonts w:ascii="Arial" w:hAnsi="Arial"/>
          <w:sz w:val="24"/>
          <w:szCs w:val="24"/>
        </w:rPr>
      </w:pPr>
      <w:r>
        <w:rPr>
          <w:rFonts w:ascii="Calibri" w:hAnsi="Calibri"/>
          <w:b/>
          <w:bCs/>
          <w:sz w:val="26"/>
          <w:szCs w:val="26"/>
        </w:rPr>
        <w:t>-managementul deseurilor</w:t>
      </w:r>
      <w:r>
        <w:rPr>
          <w:rFonts w:ascii="Calibri" w:hAnsi="Calibri"/>
          <w:sz w:val="26"/>
          <w:szCs w:val="26"/>
        </w:rPr>
        <w:t xml:space="preserve">: nu este cazul  </w:t>
      </w:r>
    </w:p>
    <w:p>
      <w:pPr>
        <w:pStyle w:val="TextBody"/>
        <w:rPr>
          <w:rFonts w:ascii="Calibri" w:hAnsi="Calibri"/>
          <w:sz w:val="26"/>
          <w:szCs w:val="26"/>
        </w:rPr>
      </w:pPr>
      <w:r>
        <w:rPr>
          <w:rFonts w:ascii="Calibri" w:hAnsi="Calibri"/>
          <w:b/>
          <w:bCs/>
          <w:sz w:val="26"/>
          <w:szCs w:val="26"/>
        </w:rPr>
        <w:t xml:space="preserve">- trafic de pasageri si siguranta acestuia; </w:t>
      </w:r>
      <w:r>
        <w:rPr>
          <w:rFonts w:ascii="Calibri" w:hAnsi="Calibri"/>
          <w:sz w:val="26"/>
          <w:szCs w:val="26"/>
        </w:rPr>
        <w:t>se efectueaza cu autoturismele particulare .</w:t>
      </w:r>
    </w:p>
    <w:p>
      <w:pPr>
        <w:pStyle w:val="TextBody"/>
        <w:rPr>
          <w:b/>
          <w:b/>
          <w:bCs/>
        </w:rPr>
      </w:pPr>
      <w:r>
        <w:rPr>
          <w:b/>
          <w:bCs/>
        </w:rPr>
      </w:r>
    </w:p>
    <w:p>
      <w:pPr>
        <w:pStyle w:val="TextBody"/>
        <w:rPr>
          <w:rFonts w:ascii="Calibri" w:hAnsi="Calibri"/>
          <w:sz w:val="26"/>
          <w:szCs w:val="26"/>
        </w:rPr>
      </w:pPr>
      <w:r>
        <w:rPr>
          <w:rFonts w:ascii="Calibri" w:hAnsi="Calibri"/>
          <w:b/>
          <w:bCs/>
          <w:sz w:val="26"/>
          <w:szCs w:val="26"/>
        </w:rPr>
        <w:t>e) Proiecte aprobate</w:t>
      </w:r>
      <w:r>
        <w:rPr>
          <w:rFonts w:ascii="Calibri" w:hAnsi="Calibri"/>
          <w:b/>
          <w:bCs/>
          <w:i w:val="false"/>
          <w:iCs w:val="false"/>
          <w:sz w:val="26"/>
          <w:szCs w:val="26"/>
        </w:rPr>
        <w:t xml:space="preserve"> </w:t>
      </w:r>
      <w:r>
        <w:rPr>
          <w:rFonts w:ascii="Calibri" w:hAnsi="Calibri"/>
          <w:i w:val="false"/>
          <w:iCs w:val="false"/>
          <w:sz w:val="26"/>
          <w:szCs w:val="26"/>
        </w:rPr>
        <w:t>:</w:t>
      </w:r>
      <w:r>
        <w:rPr>
          <w:rFonts w:eastAsia="Times New Roman" w:cs="Times New Roman" w:ascii="Calibri" w:hAnsi="Calibri"/>
          <w:i/>
          <w:iCs/>
          <w:sz w:val="26"/>
          <w:szCs w:val="26"/>
          <w:lang w:val="it-IT" w:bidi="ar-SA"/>
        </w:rPr>
        <w:t xml:space="preserve"> PLANUL URBANISTIC GENERAL comuna Tuzla ,  </w:t>
      </w:r>
      <w:r>
        <w:rPr>
          <w:rFonts w:eastAsia="Times New Roman" w:cs="Times New Roman" w:ascii="Calibri" w:hAnsi="Calibri"/>
          <w:i/>
          <w:iCs/>
          <w:sz w:val="26"/>
          <w:szCs w:val="26"/>
          <w:lang w:val="en-US" w:bidi="ar-SA"/>
        </w:rPr>
        <w:t>aprobat cu HCL nr. 141/2008</w:t>
      </w:r>
    </w:p>
    <w:p>
      <w:pPr>
        <w:pStyle w:val="TextBody"/>
        <w:rPr>
          <w:rFonts w:ascii="Arial" w:hAnsi="Arial"/>
          <w:sz w:val="24"/>
          <w:szCs w:val="24"/>
        </w:rPr>
      </w:pPr>
      <w:r>
        <w:rPr>
          <w:rFonts w:ascii="Calibri" w:hAnsi="Calibri"/>
          <w:b/>
          <w:bCs/>
          <w:sz w:val="26"/>
          <w:szCs w:val="26"/>
        </w:rPr>
        <w:t>-lucrari in curs de realizare:</w:t>
      </w:r>
      <w:r>
        <w:rPr>
          <w:rFonts w:ascii="Calibri" w:hAnsi="Calibri"/>
          <w:sz w:val="26"/>
          <w:szCs w:val="26"/>
        </w:rPr>
        <w:t xml:space="preserve"> cartier de locuinte cu dotarile si mobilarea urbana aferente. </w:t>
      </w:r>
    </w:p>
    <w:p>
      <w:pPr>
        <w:pStyle w:val="TextBody"/>
        <w:rPr>
          <w:rFonts w:ascii="Calibri" w:hAnsi="Calibri"/>
          <w:sz w:val="26"/>
          <w:szCs w:val="26"/>
        </w:rPr>
      </w:pPr>
      <w:r>
        <w:rPr>
          <w:rFonts w:ascii="Calibri" w:hAnsi="Calibri"/>
          <w:b/>
          <w:bCs/>
          <w:sz w:val="26"/>
          <w:szCs w:val="26"/>
        </w:rPr>
        <w:t>-lucrari pentru protectia mediului:</w:t>
      </w:r>
      <w:r>
        <w:rPr>
          <w:rFonts w:ascii="Calibri" w:hAnsi="Calibri"/>
          <w:sz w:val="26"/>
          <w:szCs w:val="26"/>
        </w:rPr>
        <w:t xml:space="preserve"> nu este cazul </w:t>
      </w:r>
    </w:p>
    <w:p>
      <w:pPr>
        <w:pStyle w:val="TextBody"/>
        <w:rPr>
          <w:b/>
          <w:b/>
          <w:bCs/>
        </w:rPr>
      </w:pPr>
      <w:r>
        <w:rPr>
          <w:b/>
          <w:bCs/>
        </w:rPr>
      </w:r>
    </w:p>
    <w:p>
      <w:pPr>
        <w:pStyle w:val="TextBody"/>
        <w:rPr>
          <w:rFonts w:ascii="Arial" w:hAnsi="Arial"/>
          <w:b/>
          <w:b/>
          <w:bCs/>
          <w:sz w:val="24"/>
          <w:szCs w:val="24"/>
        </w:rPr>
      </w:pPr>
      <w:r>
        <w:rPr>
          <w:rFonts w:ascii="Calibri" w:hAnsi="Calibri"/>
          <w:b/>
          <w:bCs/>
          <w:sz w:val="26"/>
          <w:szCs w:val="26"/>
        </w:rPr>
        <w:t xml:space="preserve">f) Continutul si obiectivele planului de urbanism </w:t>
      </w:r>
    </w:p>
    <w:p>
      <w:pPr>
        <w:pStyle w:val="TextBody"/>
        <w:rPr>
          <w:rFonts w:ascii="Calibri" w:hAnsi="Calibri"/>
          <w:sz w:val="26"/>
          <w:szCs w:val="26"/>
        </w:rPr>
      </w:pPr>
      <w:r>
        <w:rPr>
          <w:rFonts w:ascii="Calibri" w:hAnsi="Calibri"/>
          <w:b/>
          <w:bCs/>
          <w:sz w:val="26"/>
          <w:szCs w:val="26"/>
        </w:rPr>
        <w:t>- Principii avute in vedere la elaborarea planului :</w:t>
      </w:r>
    </w:p>
    <w:p>
      <w:pPr>
        <w:pStyle w:val="TextBody"/>
        <w:rPr>
          <w:rFonts w:ascii="Calibri" w:hAnsi="Calibri"/>
          <w:sz w:val="26"/>
          <w:szCs w:val="26"/>
        </w:rPr>
      </w:pPr>
      <w:r>
        <w:drawing>
          <wp:anchor behindDoc="0" distT="0" distB="0" distL="0" distR="0" simplePos="0" locked="0" layoutInCell="1" allowOverlap="1" relativeHeight="2">
            <wp:simplePos x="0" y="0"/>
            <wp:positionH relativeFrom="column">
              <wp:posOffset>2195830</wp:posOffset>
            </wp:positionH>
            <wp:positionV relativeFrom="paragraph">
              <wp:posOffset>41275</wp:posOffset>
            </wp:positionV>
            <wp:extent cx="3865880" cy="23298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65880" cy="2329815"/>
                    </a:xfrm>
                    <a:prstGeom prst="rect">
                      <a:avLst/>
                    </a:prstGeom>
                  </pic:spPr>
                </pic:pic>
              </a:graphicData>
            </a:graphic>
          </wp:anchor>
        </w:drawing>
      </w:r>
      <w:r>
        <w:rPr>
          <w:rFonts w:ascii="Calibri" w:hAnsi="Calibri"/>
          <w:b/>
          <w:bCs/>
          <w:sz w:val="26"/>
          <w:szCs w:val="26"/>
          <w:u w:val="none"/>
          <w:lang w:val="en-US"/>
        </w:rPr>
        <w:tab/>
      </w:r>
      <w:r>
        <w:rPr>
          <w:rFonts w:ascii="Calibri" w:hAnsi="Calibri"/>
          <w:b/>
          <w:bCs/>
          <w:sz w:val="26"/>
          <w:szCs w:val="26"/>
          <w:u w:val="none"/>
          <w:lang w:val="en-US"/>
        </w:rPr>
        <w:tab/>
      </w:r>
      <w:r>
        <w:rPr>
          <w:rFonts w:ascii="Calibri" w:hAnsi="Calibri"/>
          <w:b/>
          <w:bCs/>
          <w:sz w:val="26"/>
          <w:szCs w:val="26"/>
          <w:u w:val="single"/>
          <w:lang w:val="en-US"/>
        </w:rPr>
        <w:t xml:space="preserve">Situatia existenta </w:t>
      </w:r>
      <w:r>
        <w:rPr>
          <w:rFonts w:ascii="Calibri" w:hAnsi="Calibri"/>
          <w:b/>
          <w:bCs/>
          <w:sz w:val="26"/>
          <w:szCs w:val="26"/>
          <w:u w:val="single"/>
          <w:lang w:val="fr-FR"/>
        </w:rPr>
        <w:t xml:space="preserve"> </w:t>
      </w:r>
    </w:p>
    <w:p>
      <w:pPr>
        <w:pStyle w:val="Normal"/>
        <w:spacing w:lineRule="auto" w:line="276"/>
        <w:ind w:left="0" w:right="0" w:hanging="0"/>
        <w:jc w:val="left"/>
        <w:rPr>
          <w:rFonts w:ascii="Calibri" w:hAnsi="Calibri"/>
          <w:sz w:val="26"/>
          <w:szCs w:val="26"/>
        </w:rPr>
      </w:pPr>
      <w:r>
        <w:rPr>
          <w:rFonts w:cs="Calibri" w:ascii="Calibri" w:hAnsi="Calibri"/>
          <w:color w:val="000000"/>
          <w:sz w:val="26"/>
          <w:szCs w:val="26"/>
          <w:lang w:val="ro-RO" w:eastAsia="ro-RO"/>
        </w:rPr>
        <w:t xml:space="preserve">Amplasamentul propus pentru </w:t>
      </w:r>
      <w:r>
        <w:rPr>
          <w:rFonts w:cs="Calibri" w:ascii="Calibri" w:hAnsi="Calibri"/>
          <w:color w:val="000000"/>
          <w:sz w:val="26"/>
          <w:szCs w:val="26"/>
        </w:rPr>
        <w:t>elaborare plan urbanistic zonal</w:t>
      </w:r>
      <w:r>
        <w:rPr>
          <w:rFonts w:cs="Calibri" w:ascii="Calibri" w:hAnsi="Calibri"/>
          <w:b w:val="false"/>
          <w:bCs w:val="false"/>
          <w:color w:val="000000"/>
          <w:sz w:val="26"/>
          <w:szCs w:val="26"/>
        </w:rPr>
        <w:t>-</w:t>
      </w:r>
      <w:r>
        <w:rPr>
          <w:rFonts w:cs="Calibri" w:ascii="Calibri" w:hAnsi="Calibri"/>
          <w:b w:val="false"/>
          <w:bCs w:val="false"/>
          <w:color w:val="000000"/>
          <w:sz w:val="26"/>
          <w:szCs w:val="26"/>
          <w:lang w:val="en-US"/>
        </w:rPr>
        <w:t xml:space="preserve"> este proprietatea comunei Tuzla. </w:t>
      </w:r>
    </w:p>
    <w:p>
      <w:pPr>
        <w:pStyle w:val="Normal"/>
        <w:spacing w:lineRule="auto" w:line="276"/>
        <w:jc w:val="both"/>
        <w:rPr>
          <w:rFonts w:ascii="Calibri" w:hAnsi="Calibri" w:cs="Calibri"/>
          <w:b/>
          <w:b/>
          <w:bCs/>
          <w:sz w:val="26"/>
          <w:szCs w:val="26"/>
          <w:u w:val="single"/>
        </w:rPr>
      </w:pPr>
      <w:r>
        <w:rPr/>
      </w:r>
    </w:p>
    <w:p>
      <w:pPr>
        <w:pStyle w:val="Normal"/>
        <w:spacing w:lineRule="auto" w:line="276"/>
        <w:jc w:val="both"/>
        <w:rPr>
          <w:rFonts w:ascii="Calibri" w:hAnsi="Calibri" w:cs="Calibri"/>
          <w:b/>
          <w:b/>
          <w:bCs/>
          <w:sz w:val="26"/>
          <w:szCs w:val="26"/>
          <w:u w:val="single"/>
        </w:rPr>
      </w:pPr>
      <w:r>
        <w:rPr>
          <w:rFonts w:cs="Calibri" w:ascii="Calibri" w:hAnsi="Calibri"/>
          <w:b/>
          <w:bCs/>
          <w:sz w:val="26"/>
          <w:szCs w:val="26"/>
          <w:u w:val="single"/>
        </w:rPr>
        <w:t>2. Reglementări urbanistice aprobate pentru amplasamentul studiat:</w:t>
      </w:r>
    </w:p>
    <w:p>
      <w:pPr>
        <w:pStyle w:val="Hregulament"/>
        <w:numPr>
          <w:ilvl w:val="0"/>
          <w:numId w:val="0"/>
        </w:numPr>
        <w:spacing w:lineRule="auto" w:line="276"/>
        <w:ind w:left="120" w:right="0" w:hanging="0"/>
        <w:rPr>
          <w:rFonts w:ascii="Calibri" w:hAnsi="Calibri" w:cs="Calibri"/>
          <w:color w:val="000000"/>
          <w:sz w:val="26"/>
          <w:szCs w:val="26"/>
        </w:rPr>
      </w:pPr>
      <w:r>
        <w:rPr>
          <w:rFonts w:cs="Calibri" w:ascii="Calibri" w:hAnsi="Calibri"/>
          <w:color w:val="000000"/>
          <w:sz w:val="26"/>
          <w:szCs w:val="26"/>
        </w:rPr>
        <w:t>Conform HCLM 141/2008 privind aprobarearea ,,ACTUALIZARE PLAN URBANISTIC GENERALAL COMUNEI TUZLA JUDET CONSTANTA”</w:t>
      </w:r>
    </w:p>
    <w:p>
      <w:pPr>
        <w:pStyle w:val="Normal"/>
        <w:numPr>
          <w:ilvl w:val="0"/>
          <w:numId w:val="0"/>
        </w:numPr>
        <w:spacing w:lineRule="auto" w:line="276"/>
        <w:ind w:left="120" w:right="0" w:hanging="0"/>
        <w:rPr>
          <w:rFonts w:ascii="Calibri" w:hAnsi="Calibri" w:cs="Calibri"/>
          <w:color w:val="000000"/>
          <w:sz w:val="26"/>
          <w:szCs w:val="26"/>
        </w:rPr>
      </w:pPr>
      <w:r>
        <w:rPr>
          <w:rFonts w:cs="Calibri" w:ascii="Calibri" w:hAnsi="Calibri"/>
          <w:color w:val="000000"/>
          <w:sz w:val="26"/>
          <w:szCs w:val="26"/>
        </w:rPr>
        <w:t>-Regim de inaltime P-P+2E</w:t>
      </w:r>
    </w:p>
    <w:p>
      <w:pPr>
        <w:pStyle w:val="Normal"/>
        <w:numPr>
          <w:ilvl w:val="0"/>
          <w:numId w:val="0"/>
        </w:numPr>
        <w:spacing w:lineRule="auto" w:line="276"/>
        <w:ind w:left="0" w:right="0" w:hanging="0"/>
        <w:rPr>
          <w:rFonts w:ascii="Calibri" w:hAnsi="Calibri"/>
          <w:sz w:val="26"/>
          <w:szCs w:val="26"/>
        </w:rPr>
      </w:pPr>
      <w:r>
        <w:rPr>
          <w:rFonts w:eastAsia="Symbol" w:cs="Calibri" w:ascii="Calibri" w:hAnsi="Calibri"/>
          <w:sz w:val="26"/>
          <w:szCs w:val="26"/>
        </w:rPr>
        <w:t xml:space="preserve"> </w:t>
      </w:r>
      <w:r>
        <w:rPr>
          <w:rFonts w:eastAsia="Symbol" w:cs="Calibri" w:ascii="Calibri" w:hAnsi="Calibri"/>
          <w:sz w:val="26"/>
          <w:szCs w:val="26"/>
        </w:rPr>
        <w:t xml:space="preserve">- POT = 35 % pentru locuire si cazare turistica; 70% pentru zona cu activitati , dotari, servicii. </w:t>
      </w:r>
    </w:p>
    <w:p>
      <w:pPr>
        <w:pStyle w:val="Normal"/>
        <w:numPr>
          <w:ilvl w:val="0"/>
          <w:numId w:val="0"/>
        </w:numPr>
        <w:spacing w:lineRule="auto" w:line="276"/>
        <w:ind w:left="0" w:right="0" w:hanging="0"/>
        <w:rPr>
          <w:rFonts w:ascii="Calibri" w:hAnsi="Calibri"/>
          <w:sz w:val="26"/>
          <w:szCs w:val="26"/>
        </w:rPr>
      </w:pPr>
      <w:r>
        <w:rPr>
          <w:rFonts w:eastAsia="Symbol" w:cs="Calibri" w:ascii="Calibri" w:hAnsi="Calibri"/>
          <w:sz w:val="26"/>
          <w:szCs w:val="26"/>
        </w:rPr>
        <w:t xml:space="preserve">- CUT = 1 locuinte, 1,6 Tterenuri cu functiuni mixte </w:t>
      </w:r>
    </w:p>
    <w:p>
      <w:pPr>
        <w:pStyle w:val="Normal"/>
        <w:spacing w:lineRule="auto" w:line="276"/>
        <w:jc w:val="both"/>
        <w:rPr>
          <w:rFonts w:ascii="Calibri" w:hAnsi="Calibri"/>
          <w:sz w:val="26"/>
          <w:szCs w:val="26"/>
        </w:rPr>
      </w:pPr>
      <w:r>
        <w:rPr>
          <w:rFonts w:eastAsia="Symbol" w:cs="Calibri" w:ascii="Calibri" w:hAnsi="Calibri"/>
          <w:i/>
          <w:sz w:val="26"/>
          <w:szCs w:val="26"/>
        </w:rPr>
        <w:t>- Funcţiunea dominantã:</w:t>
      </w:r>
      <w:r>
        <w:rPr>
          <w:rFonts w:eastAsia="Symbol" w:cs="Calibri" w:ascii="Calibri" w:hAnsi="Calibri"/>
          <w:sz w:val="26"/>
          <w:szCs w:val="26"/>
        </w:rPr>
        <w:t xml:space="preserve"> locuire.</w:t>
      </w:r>
    </w:p>
    <w:p>
      <w:pPr>
        <w:pStyle w:val="Normal"/>
        <w:spacing w:lineRule="auto" w:line="276"/>
        <w:jc w:val="both"/>
        <w:rPr>
          <w:rFonts w:ascii="Calibri" w:hAnsi="Calibri"/>
          <w:sz w:val="26"/>
          <w:szCs w:val="26"/>
        </w:rPr>
      </w:pPr>
      <w:r>
        <w:rPr>
          <w:rFonts w:eastAsia="Symbol" w:cs="Calibri" w:ascii="Calibri" w:hAnsi="Calibri"/>
          <w:i/>
          <w:sz w:val="26"/>
          <w:szCs w:val="26"/>
        </w:rPr>
        <w:t>- Funcţiuni complementare admise:</w:t>
      </w:r>
      <w:r>
        <w:rPr>
          <w:rFonts w:eastAsia="Symbol" w:cs="Calibri" w:ascii="Calibri" w:hAnsi="Calibri"/>
          <w:sz w:val="26"/>
          <w:szCs w:val="26"/>
        </w:rPr>
        <w:t xml:space="preserve"> dotãri şi servicii specifice zonei de locuit: şcoli, grãdiniţe, ateliere de reparaţii şi întreţinere, comerţ, servicii, spaţii verzi.</w:t>
      </w:r>
    </w:p>
    <w:p>
      <w:pPr>
        <w:pStyle w:val="Normal"/>
        <w:widowControl/>
        <w:numPr>
          <w:ilvl w:val="0"/>
          <w:numId w:val="0"/>
        </w:numPr>
        <w:suppressAutoHyphens w:val="true"/>
        <w:bidi w:val="0"/>
        <w:spacing w:lineRule="auto" w:line="276"/>
        <w:ind w:left="0" w:right="0" w:hanging="0"/>
        <w:jc w:val="both"/>
        <w:rPr>
          <w:rFonts w:ascii="Calibri" w:hAnsi="Calibri"/>
          <w:sz w:val="26"/>
          <w:szCs w:val="26"/>
        </w:rPr>
      </w:pPr>
      <w:r>
        <w:rPr>
          <w:rFonts w:eastAsia="Symbol" w:cs="Calibri" w:ascii="Calibri" w:hAnsi="Calibri"/>
          <w:i/>
          <w:sz w:val="26"/>
          <w:szCs w:val="26"/>
          <w:lang w:val="fr-FR"/>
        </w:rPr>
        <w:t>- Utilizãri permise:</w:t>
      </w:r>
      <w:r>
        <w:rPr>
          <w:rFonts w:eastAsia="Symbol" w:cs="Calibri" w:ascii="Calibri" w:hAnsi="Calibri"/>
          <w:sz w:val="26"/>
          <w:szCs w:val="26"/>
          <w:lang w:val="fr-FR"/>
        </w:rPr>
        <w:t xml:space="preserve"> de locuire, </w:t>
      </w:r>
      <w:r>
        <w:rPr>
          <w:rFonts w:eastAsia="Calibri" w:cs="Calibri" w:ascii="Calibri" w:hAnsi="Calibri"/>
          <w:color w:val="000000"/>
          <w:sz w:val="26"/>
          <w:szCs w:val="26"/>
          <w:lang w:val="fr-FR" w:eastAsia="en-US"/>
        </w:rPr>
        <w:t xml:space="preserve">echipamente publice specifice zonei rezidenţiale, </w:t>
      </w:r>
      <w:r>
        <w:rPr>
          <w:rFonts w:eastAsia="Calibri" w:cs="Calibri" w:ascii="Calibri" w:hAnsi="Calibri"/>
          <w:color w:val="000000"/>
          <w:sz w:val="26"/>
          <w:szCs w:val="26"/>
          <w:lang w:eastAsia="en-US"/>
        </w:rPr>
        <w:t xml:space="preserve">comert, alimentatie publica, turism,  comert , birouri profesii liberale, servicii medicale </w:t>
      </w:r>
    </w:p>
    <w:p>
      <w:pPr>
        <w:pStyle w:val="Normal"/>
        <w:spacing w:lineRule="auto" w:line="276"/>
        <w:jc w:val="both"/>
        <w:rPr>
          <w:rFonts w:ascii="Calibri" w:hAnsi="Calibri"/>
          <w:sz w:val="26"/>
          <w:szCs w:val="26"/>
        </w:rPr>
      </w:pPr>
      <w:r>
        <w:rPr>
          <w:rFonts w:eastAsia="Symbol" w:cs="Calibri" w:ascii="Calibri" w:hAnsi="Calibri"/>
          <w:i/>
          <w:color w:val="000000"/>
          <w:sz w:val="26"/>
          <w:szCs w:val="26"/>
          <w:u w:val="none"/>
          <w:lang w:val="fr-FR"/>
        </w:rPr>
        <w:t>-</w:t>
      </w:r>
      <w:r>
        <w:rPr>
          <w:rFonts w:eastAsia="Symbol" w:cs="Calibri" w:ascii="Calibri" w:hAnsi="Calibri"/>
          <w:i/>
          <w:sz w:val="26"/>
          <w:szCs w:val="26"/>
          <w:lang w:val="fr-FR"/>
        </w:rPr>
        <w:t xml:space="preserve">Reguli de amplasare şi retrageri minime obligatorii: </w:t>
      </w:r>
      <w:r>
        <w:rPr>
          <w:rFonts w:eastAsia="Symbol" w:cs="Calibri" w:ascii="Calibri" w:hAnsi="Calibri"/>
          <w:sz w:val="26"/>
          <w:szCs w:val="26"/>
          <w:lang w:val="fr-FR"/>
        </w:rPr>
        <w:t>retragerea de la limita dinspre stradă va fi de minim 3m şi maxim de 6m pentru clădirea pr</w:t>
      </w:r>
      <w:r>
        <w:rPr>
          <w:rFonts w:eastAsia="Symbol" w:cs="Calibri" w:ascii="Calibri" w:hAnsi="Calibri"/>
          <w:color w:val="000000"/>
          <w:sz w:val="26"/>
          <w:szCs w:val="26"/>
          <w:lang w:val="fr-FR"/>
        </w:rPr>
        <w:t xml:space="preserve">incipală. </w:t>
      </w:r>
    </w:p>
    <w:p>
      <w:pPr>
        <w:pStyle w:val="Normal"/>
        <w:spacing w:lineRule="auto" w:line="276"/>
        <w:jc w:val="both"/>
        <w:rPr>
          <w:rFonts w:ascii="Calibri" w:hAnsi="Calibri"/>
          <w:sz w:val="26"/>
          <w:szCs w:val="26"/>
        </w:rPr>
      </w:pPr>
      <w:r>
        <w:rPr>
          <w:rFonts w:eastAsia="Symbol" w:cs="Calibri" w:ascii="Calibri" w:hAnsi="Calibri"/>
          <w:i/>
          <w:sz w:val="26"/>
          <w:szCs w:val="26"/>
          <w:lang w:val="fr-FR"/>
        </w:rPr>
        <w:t xml:space="preserve">- Reguli cu privire la asigurarea acceselor obligatorii: </w:t>
      </w:r>
      <w:r>
        <w:rPr>
          <w:rFonts w:eastAsia="Symbol" w:cs="Calibri" w:ascii="Calibri" w:hAnsi="Calibri"/>
          <w:sz w:val="26"/>
          <w:szCs w:val="26"/>
          <w:lang w:val="fr-FR"/>
        </w:rPr>
        <w:t>Configuraţia lotului şi aşezarea construcţiilor în lot vor fi în aşa fel încât sã permitã accesul pietonal şi auto în interiorul lotului .</w:t>
      </w:r>
    </w:p>
    <w:p>
      <w:pPr>
        <w:pStyle w:val="Normal"/>
        <w:spacing w:lineRule="auto" w:line="276"/>
        <w:jc w:val="both"/>
        <w:rPr>
          <w:rFonts w:ascii="Calibri" w:hAnsi="Calibri" w:eastAsia="Symbol" w:cs="Calibri"/>
          <w:sz w:val="26"/>
          <w:szCs w:val="26"/>
          <w:lang w:val="fr-FR"/>
        </w:rPr>
      </w:pPr>
      <w:r>
        <w:rPr>
          <w:rFonts w:eastAsia="Symbol" w:cs="Calibri" w:ascii="Calibri" w:hAnsi="Calibri"/>
          <w:i/>
          <w:sz w:val="26"/>
          <w:szCs w:val="26"/>
          <w:lang w:val="fr-FR"/>
        </w:rPr>
        <w:t xml:space="preserve">- Reguli cu privire la la echiparea tehnico – edilitarã: </w:t>
      </w:r>
      <w:r>
        <w:rPr>
          <w:rFonts w:eastAsia="Symbol" w:cs="Calibri" w:ascii="Calibri" w:hAnsi="Calibri"/>
          <w:sz w:val="26"/>
          <w:szCs w:val="26"/>
          <w:lang w:val="fr-FR"/>
        </w:rPr>
        <w:t>Locuinţele din loturile individuale vor fi racordate la reţeaua de electricitate, de apã potabilã şi – în mãsura posibilitãţilor - la reţeaua de canalizare. Pentru încãlzirea şi prepararea apei calde se vor folosi centralele termice individuale sau sobele cu combustibili lichizi sau solizi. In situaţia în care nu se poate asigura racord la reţea de canalizare este necesar ca evacuarea apelor uzate menajere să se facă în microstaţie de epurare.</w:t>
      </w:r>
    </w:p>
    <w:p>
      <w:pPr>
        <w:pStyle w:val="Normal"/>
        <w:spacing w:lineRule="auto" w:line="276"/>
        <w:jc w:val="both"/>
        <w:rPr>
          <w:rFonts w:ascii="Calibri" w:hAnsi="Calibri"/>
          <w:sz w:val="26"/>
          <w:szCs w:val="26"/>
        </w:rPr>
      </w:pPr>
      <w:r>
        <w:rPr>
          <w:rFonts w:eastAsia="Symbol" w:cs="Calibri" w:ascii="Calibri" w:hAnsi="Calibri"/>
          <w:i/>
          <w:sz w:val="26"/>
          <w:szCs w:val="26"/>
          <w:lang w:val="fr-FR"/>
        </w:rPr>
        <w:t xml:space="preserve">- Reguli cu privire la amplasarea de parcaje, spaţii verzi, împrejmuiri: </w:t>
      </w:r>
      <w:r>
        <w:rPr>
          <w:rFonts w:eastAsia="Symbol" w:cs="Calibri" w:ascii="Calibri" w:hAnsi="Calibri"/>
          <w:sz w:val="26"/>
          <w:szCs w:val="26"/>
          <w:lang w:val="fr-FR"/>
        </w:rPr>
        <w:t xml:space="preserve">Fiecare lot îşi va rezolva necesitãţile de parcare în incinta proprie pe suprafaţã deschisã, acoperitã sau închisã ( garaj ); </w:t>
      </w:r>
    </w:p>
    <w:p>
      <w:pPr>
        <w:pStyle w:val="TextBody"/>
        <w:rPr>
          <w:rFonts w:cs="Calibri"/>
          <w:b w:val="false"/>
          <w:b w:val="false"/>
          <w:bCs w:val="false"/>
          <w:color w:val="000000"/>
          <w:lang w:val="fr-FR"/>
        </w:rPr>
      </w:pPr>
      <w:r>
        <w:rPr>
          <w:rFonts w:cs="Calibri"/>
          <w:b w:val="false"/>
          <w:bCs w:val="false"/>
          <w:color w:val="000000"/>
          <w:lang w:val="fr-FR"/>
        </w:rPr>
      </w:r>
    </w:p>
    <w:p>
      <w:pPr>
        <w:pStyle w:val="TextBody"/>
        <w:jc w:val="center"/>
        <w:rPr>
          <w:rFonts w:ascii="Calibri" w:hAnsi="Calibri"/>
          <w:sz w:val="26"/>
          <w:szCs w:val="26"/>
        </w:rPr>
      </w:pPr>
      <w:r>
        <w:rPr>
          <w:rFonts w:ascii="Calibri" w:hAnsi="Calibri"/>
          <w:b/>
          <w:bCs/>
          <w:sz w:val="26"/>
          <w:szCs w:val="26"/>
        </w:rPr>
        <w:t xml:space="preserve">-Lucrari propuse </w:t>
      </w:r>
    </w:p>
    <w:p>
      <w:pPr>
        <w:pStyle w:val="Normal"/>
        <w:numPr>
          <w:ilvl w:val="0"/>
          <w:numId w:val="0"/>
        </w:numPr>
        <w:spacing w:lineRule="auto" w:line="276"/>
        <w:ind w:left="120" w:right="0" w:hanging="0"/>
        <w:rPr>
          <w:rFonts w:ascii="Calibri" w:hAnsi="Calibri" w:cs="Calibri"/>
          <w:color w:val="000000"/>
          <w:sz w:val="26"/>
          <w:szCs w:val="26"/>
        </w:rPr>
      </w:pPr>
      <w:r>
        <w:rPr>
          <w:rFonts w:cs="Calibri" w:ascii="Calibri" w:hAnsi="Calibri"/>
          <w:color w:val="000000"/>
          <w:sz w:val="26"/>
          <w:szCs w:val="26"/>
        </w:rPr>
        <w:t>-Regim de inaltime P-P+2-3E</w:t>
      </w:r>
    </w:p>
    <w:p>
      <w:pPr>
        <w:pStyle w:val="Normal"/>
        <w:numPr>
          <w:ilvl w:val="0"/>
          <w:numId w:val="0"/>
        </w:numPr>
        <w:spacing w:lineRule="auto" w:line="276"/>
        <w:ind w:left="0" w:right="0" w:hanging="0"/>
        <w:rPr>
          <w:rFonts w:ascii="Calibri" w:hAnsi="Calibri"/>
          <w:sz w:val="26"/>
          <w:szCs w:val="26"/>
        </w:rPr>
      </w:pPr>
      <w:r>
        <w:rPr>
          <w:rFonts w:eastAsia="Symbol" w:cs="Calibri" w:ascii="Calibri" w:hAnsi="Calibri"/>
          <w:sz w:val="26"/>
          <w:szCs w:val="26"/>
        </w:rPr>
        <w:t xml:space="preserve"> </w:t>
      </w:r>
      <w:r>
        <w:rPr>
          <w:rFonts w:eastAsia="Symbol" w:cs="Calibri" w:ascii="Calibri" w:hAnsi="Calibri"/>
          <w:sz w:val="26"/>
          <w:szCs w:val="26"/>
        </w:rPr>
        <w:t xml:space="preserve">- POT = 40 % pentru locuire si cazare turistica; 70% pentru zona cu activitati , dotari, servicii. </w:t>
      </w:r>
    </w:p>
    <w:p>
      <w:pPr>
        <w:pStyle w:val="Normal"/>
        <w:numPr>
          <w:ilvl w:val="0"/>
          <w:numId w:val="0"/>
        </w:numPr>
        <w:spacing w:lineRule="auto" w:line="276"/>
        <w:ind w:left="0" w:right="0" w:hanging="0"/>
        <w:rPr>
          <w:rFonts w:ascii="Calibri" w:hAnsi="Calibri"/>
          <w:sz w:val="26"/>
          <w:szCs w:val="26"/>
        </w:rPr>
      </w:pPr>
      <w:r>
        <w:rPr>
          <w:rFonts w:eastAsia="Symbol" w:cs="Calibri" w:ascii="Calibri" w:hAnsi="Calibri"/>
          <w:sz w:val="26"/>
          <w:szCs w:val="26"/>
        </w:rPr>
        <w:t>- CUT = 1,2 locuinte 1,9 terenuri cu functiuni mixte</w:t>
      </w:r>
    </w:p>
    <w:p>
      <w:pPr>
        <w:pStyle w:val="Normal"/>
        <w:spacing w:lineRule="auto" w:line="276"/>
        <w:jc w:val="both"/>
        <w:rPr>
          <w:rFonts w:ascii="Calibri" w:hAnsi="Calibri"/>
          <w:sz w:val="26"/>
          <w:szCs w:val="26"/>
        </w:rPr>
      </w:pPr>
      <w:r>
        <w:rPr>
          <w:rFonts w:eastAsia="Symbol" w:cs="Calibri" w:ascii="Calibri" w:hAnsi="Calibri"/>
          <w:i/>
          <w:sz w:val="26"/>
          <w:szCs w:val="26"/>
        </w:rPr>
        <w:t xml:space="preserve">- Funcţiuni permise: locuire, cazare turistica si echipare turistica, servicii, sport, agrement, spatii verzi,  invatamant scolar si prescolar. </w:t>
      </w:r>
    </w:p>
    <w:p>
      <w:pPr>
        <w:pStyle w:val="Normal"/>
        <w:spacing w:lineRule="auto" w:line="276"/>
        <w:jc w:val="both"/>
        <w:rPr>
          <w:rFonts w:ascii="Calibri" w:hAnsi="Calibri"/>
          <w:sz w:val="26"/>
          <w:szCs w:val="26"/>
        </w:rPr>
      </w:pPr>
      <w:r>
        <w:rPr>
          <w:rFonts w:eastAsia="Symbol" w:cs="Calibri" w:ascii="Calibri" w:hAnsi="Calibri"/>
          <w:i/>
          <w:color w:val="000000"/>
          <w:sz w:val="26"/>
          <w:szCs w:val="26"/>
          <w:u w:val="none"/>
          <w:lang w:val="fr-FR"/>
        </w:rPr>
        <w:t>-</w:t>
      </w:r>
      <w:r>
        <w:rPr>
          <w:rFonts w:eastAsia="Symbol" w:cs="Calibri" w:ascii="Calibri" w:hAnsi="Calibri"/>
          <w:i/>
          <w:sz w:val="26"/>
          <w:szCs w:val="26"/>
          <w:lang w:val="fr-FR"/>
        </w:rPr>
        <w:t xml:space="preserve">Reguli de amplasare şi retrageri minime obligatorii: </w:t>
      </w:r>
      <w:r>
        <w:rPr>
          <w:rFonts w:eastAsia="Symbol" w:cs="Calibri" w:ascii="Calibri" w:hAnsi="Calibri"/>
          <w:sz w:val="26"/>
          <w:szCs w:val="26"/>
          <w:lang w:val="fr-FR"/>
        </w:rPr>
        <w:t>retragerea de la limita dinspre stradă va fi de minim 3m şi maxim de 6m pentru clădirea pr</w:t>
      </w:r>
      <w:r>
        <w:rPr>
          <w:rFonts w:eastAsia="Symbol" w:cs="Calibri" w:ascii="Calibri" w:hAnsi="Calibri"/>
          <w:color w:val="000000"/>
          <w:sz w:val="26"/>
          <w:szCs w:val="26"/>
          <w:lang w:val="fr-FR"/>
        </w:rPr>
        <w:t xml:space="preserve">incipală. </w:t>
      </w:r>
    </w:p>
    <w:p>
      <w:pPr>
        <w:pStyle w:val="Normal"/>
        <w:spacing w:lineRule="auto" w:line="276"/>
        <w:jc w:val="both"/>
        <w:rPr>
          <w:rFonts w:ascii="Calibri" w:hAnsi="Calibri" w:eastAsia="Symbol" w:cs="Calibri"/>
          <w:i/>
          <w:i/>
          <w:sz w:val="26"/>
          <w:szCs w:val="26"/>
          <w:lang w:val="fr-FR"/>
        </w:rPr>
      </w:pPr>
      <w:r>
        <w:rPr/>
      </w:r>
    </w:p>
    <w:p>
      <w:pPr>
        <w:pStyle w:val="Normal"/>
        <w:spacing w:lineRule="auto" w:line="276"/>
        <w:jc w:val="both"/>
        <w:rPr>
          <w:rFonts w:ascii="Calibri" w:hAnsi="Calibri" w:eastAsia="Symbol" w:cs="Calibri"/>
          <w:i/>
          <w:i/>
          <w:sz w:val="26"/>
          <w:szCs w:val="26"/>
          <w:lang w:val="fr-FR"/>
        </w:rPr>
      </w:pPr>
      <w:r>
        <w:rPr/>
      </w:r>
    </w:p>
    <w:p>
      <w:pPr>
        <w:pStyle w:val="Normal"/>
        <w:spacing w:lineRule="auto" w:line="276"/>
        <w:jc w:val="both"/>
        <w:rPr>
          <w:rFonts w:ascii="Calibri" w:hAnsi="Calibri" w:eastAsia="Symbol" w:cs="Calibri"/>
          <w:i/>
          <w:i/>
          <w:sz w:val="26"/>
          <w:szCs w:val="26"/>
          <w:lang w:val="fr-FR"/>
        </w:rPr>
      </w:pPr>
      <w:r>
        <w:rPr/>
      </w:r>
    </w:p>
    <w:p>
      <w:pPr>
        <w:pStyle w:val="Normal"/>
        <w:spacing w:lineRule="auto" w:line="276"/>
        <w:jc w:val="both"/>
        <w:rPr>
          <w:rFonts w:ascii="Calibri" w:hAnsi="Calibri"/>
          <w:sz w:val="26"/>
          <w:szCs w:val="26"/>
        </w:rPr>
      </w:pPr>
      <w:r>
        <w:rPr>
          <w:rFonts w:eastAsia="Symbol" w:cs="Calibri" w:ascii="Calibri" w:hAnsi="Calibri"/>
          <w:i/>
          <w:sz w:val="26"/>
          <w:szCs w:val="26"/>
          <w:lang w:val="fr-FR"/>
        </w:rPr>
        <w:t xml:space="preserve">- Reguli cu privire la asigurarea acceselor obligatorii: </w:t>
      </w:r>
      <w:r>
        <w:rPr>
          <w:rFonts w:eastAsia="Symbol" w:cs="Calibri" w:ascii="Calibri" w:hAnsi="Calibri"/>
          <w:sz w:val="26"/>
          <w:szCs w:val="26"/>
          <w:lang w:val="fr-FR"/>
        </w:rPr>
        <w:t>Configuraţia lotului şi aşezarea construcţiilor în lot vor fi în aşa fel încât sã permitã accesul pietonal şi auto în interiorul lotului .</w:t>
      </w:r>
    </w:p>
    <w:p>
      <w:pPr>
        <w:pStyle w:val="Normal"/>
        <w:spacing w:lineRule="auto" w:line="276"/>
        <w:jc w:val="both"/>
        <w:rPr>
          <w:rFonts w:ascii="Calibri" w:hAnsi="Calibri" w:eastAsia="Symbol" w:cs="Calibri"/>
          <w:sz w:val="26"/>
          <w:szCs w:val="26"/>
          <w:lang w:val="fr-FR"/>
        </w:rPr>
      </w:pPr>
      <w:r>
        <w:rPr>
          <w:rFonts w:eastAsia="Symbol" w:cs="Calibri" w:ascii="Calibri" w:hAnsi="Calibri"/>
          <w:i/>
          <w:sz w:val="26"/>
          <w:szCs w:val="26"/>
          <w:lang w:val="fr-FR"/>
        </w:rPr>
        <w:t xml:space="preserve">- Reguli cu privire la la echiparea tehnico – edilitarã: </w:t>
      </w:r>
      <w:r>
        <w:rPr>
          <w:rFonts w:eastAsia="Symbol" w:cs="Calibri" w:ascii="Calibri" w:hAnsi="Calibri"/>
          <w:sz w:val="26"/>
          <w:szCs w:val="26"/>
          <w:lang w:val="fr-FR"/>
        </w:rPr>
        <w:t>Locuinţele din loturile individuale vor fi racordate la reţeaua de electricitate, de apã potabilã şi – în mãsura posibilitãţilor - la reţeaua de canalizare. Pentru încãlzirea şi prepararea apei calde se vor folosi centralele termice individuale sau sobele cu combustibili lichizi sau solizi. In situaţia în care nu se poate asigura racord la reţea de canalizare este necesar ca evacuarea apelor uzate menajere să se facă în microstaţie de epurare.</w:t>
      </w:r>
    </w:p>
    <w:p>
      <w:pPr>
        <w:pStyle w:val="Normal"/>
        <w:spacing w:lineRule="auto" w:line="276"/>
        <w:jc w:val="both"/>
        <w:rPr>
          <w:rFonts w:ascii="Calibri" w:hAnsi="Calibri" w:cs="Arial"/>
          <w:b/>
          <w:b/>
          <w:bCs/>
          <w:color w:val="000000"/>
          <w:sz w:val="26"/>
          <w:szCs w:val="26"/>
        </w:rPr>
      </w:pPr>
      <w:r>
        <w:rPr>
          <w:rFonts w:eastAsia="Symbol" w:cs="Calibri" w:ascii="Calibri" w:hAnsi="Calibri"/>
          <w:b/>
          <w:bCs/>
          <w:i/>
          <w:color w:val="000000"/>
          <w:sz w:val="26"/>
          <w:szCs w:val="26"/>
          <w:lang w:val="fr-FR" w:eastAsia="en-US"/>
        </w:rPr>
        <w:t xml:space="preserve">- Reguli cu privire la amplasarea de parcaje, spaţii verzi, împrejmuiri: </w:t>
      </w:r>
      <w:r>
        <w:rPr>
          <w:rFonts w:eastAsia="Symbol" w:cs="Calibri" w:ascii="Calibri" w:hAnsi="Calibri"/>
          <w:b w:val="false"/>
          <w:bCs w:val="false"/>
          <w:color w:val="000000"/>
          <w:sz w:val="26"/>
          <w:szCs w:val="26"/>
          <w:lang w:val="fr-FR" w:eastAsia="en-US"/>
        </w:rPr>
        <w:t xml:space="preserve">Fiecare lot îşi va rezolva necesitãţile de parcare în incinta proprie pe suprafaţã deschisã, acoperitã sau închisã ( garaj ). </w:t>
      </w:r>
    </w:p>
    <w:p>
      <w:pPr>
        <w:pStyle w:val="ListParagraph"/>
        <w:rPr>
          <w:rFonts w:ascii="Calibri" w:hAnsi="Calibri" w:eastAsia="Arial" w:cs="Arial"/>
          <w:lang w:eastAsia="en-US"/>
        </w:rPr>
      </w:pPr>
      <w:r>
        <w:rPr>
          <w:rFonts w:eastAsia="Arial" w:cs="Arial" w:ascii="Calibri" w:hAnsi="Calibri"/>
          <w:lang w:eastAsia="en-US"/>
        </w:rPr>
      </w:r>
    </w:p>
    <w:p>
      <w:pPr>
        <w:pStyle w:val="Normal"/>
        <w:spacing w:lineRule="auto" w:line="276" w:before="24" w:after="0"/>
        <w:ind w:left="0" w:right="0" w:hanging="0"/>
        <w:jc w:val="left"/>
        <w:rPr>
          <w:b w:val="false"/>
          <w:b w:val="false"/>
          <w:bCs w:val="false"/>
        </w:rPr>
      </w:pPr>
      <w:r>
        <w:rPr>
          <w:rFonts w:eastAsia="Times New Roman" w:cs="Times New Roman" w:ascii="Calibri" w:hAnsi="Calibri"/>
          <w:b/>
          <w:bCs/>
          <w:color w:val="000000"/>
          <w:spacing w:val="-2"/>
          <w:w w:val="100"/>
          <w:sz w:val="26"/>
          <w:szCs w:val="26"/>
          <w:lang w:val="en-US"/>
        </w:rPr>
        <w:tab/>
        <w:tab/>
        <w:t xml:space="preserve">MODUL DE INTEGRARE A INVESTITIEI  OPORTUNITATII PROPUSE IN ZONA: </w:t>
      </w:r>
    </w:p>
    <w:p>
      <w:pPr>
        <w:pStyle w:val="Normal"/>
        <w:spacing w:lineRule="auto" w:line="276" w:before="24" w:after="0"/>
        <w:ind w:left="0" w:right="0" w:hanging="0"/>
        <w:jc w:val="left"/>
        <w:rPr>
          <w:rFonts w:ascii="Calibri" w:hAnsi="Calibri"/>
          <w:sz w:val="26"/>
          <w:szCs w:val="26"/>
        </w:rPr>
      </w:pPr>
      <w:r>
        <w:rPr>
          <w:rFonts w:eastAsia="Times New Roman" w:cs="Arial" w:ascii="Calibri" w:hAnsi="Calibri"/>
          <w:b w:val="false"/>
          <w:bCs w:val="false"/>
          <w:color w:val="000000"/>
          <w:spacing w:val="0"/>
          <w:w w:val="100"/>
          <w:sz w:val="26"/>
          <w:szCs w:val="26"/>
          <w:lang w:val="en-US"/>
        </w:rPr>
        <w:t>Zona propusa a se reglementa prin PUZ prevede o dezvoltare unitara  din punct de vedere urbanistic.  Dotarile propuse prin PUZ ,, complex sportiv” – sunt de interes</w:t>
      </w:r>
      <w:r>
        <w:rPr>
          <w:rFonts w:eastAsia="Times New Roman" w:cs="Arial" w:ascii="Arial" w:hAnsi="Arial"/>
          <w:b w:val="false"/>
          <w:bCs w:val="false"/>
          <w:color w:val="000000"/>
          <w:spacing w:val="0"/>
          <w:w w:val="100"/>
          <w:sz w:val="26"/>
          <w:szCs w:val="26"/>
          <w:lang w:val="en-US"/>
        </w:rPr>
        <w:t xml:space="preserve">public pentru locuitorii comunei Tuzla . </w:t>
      </w:r>
    </w:p>
    <w:p>
      <w:pPr>
        <w:pStyle w:val="Normal"/>
        <w:spacing w:lineRule="auto" w:line="276" w:before="24" w:after="0"/>
        <w:ind w:left="0" w:right="0" w:hanging="0"/>
        <w:jc w:val="left"/>
        <w:rPr>
          <w:rFonts w:eastAsia="Times New Roman" w:cs="Arial"/>
          <w:b w:val="false"/>
          <w:b w:val="false"/>
          <w:bCs w:val="false"/>
          <w:color w:val="000000"/>
          <w:spacing w:val="0"/>
          <w:w w:val="100"/>
          <w:lang w:val="en-US"/>
        </w:rPr>
      </w:pPr>
      <w:r>
        <w:rPr>
          <w:rFonts w:eastAsia="Times New Roman" w:cs="Arial"/>
          <w:b w:val="false"/>
          <w:bCs w:val="false"/>
          <w:color w:val="000000"/>
          <w:spacing w:val="0"/>
          <w:w w:val="100"/>
          <w:lang w:val="en-US"/>
        </w:rPr>
      </w:r>
    </w:p>
    <w:p>
      <w:pPr>
        <w:pStyle w:val="TextBody"/>
        <w:rPr>
          <w:rFonts w:ascii="Calibri" w:hAnsi="Calibri"/>
          <w:sz w:val="26"/>
          <w:szCs w:val="26"/>
        </w:rPr>
      </w:pPr>
      <w:r>
        <w:rPr>
          <w:rFonts w:ascii="Calibri" w:hAnsi="Calibri"/>
          <w:b/>
          <w:bCs/>
          <w:sz w:val="26"/>
          <w:szCs w:val="26"/>
        </w:rPr>
        <w:t>g) Relatia planului analizat cu alte planuri si programe, obiective de mediu ( obiective la nivel international si regional, obiective la nivel national si local,relevanta planului pentru integrarea obiectivelor de mediu)</w:t>
      </w:r>
      <w:r>
        <w:rPr>
          <w:rFonts w:ascii="Calibri" w:hAnsi="Calibri"/>
          <w:sz w:val="26"/>
          <w:szCs w:val="26"/>
        </w:rPr>
        <w:t xml:space="preserve">; Planu Urbanistic Zonal preia si completeaza reglementarile aferente </w:t>
      </w:r>
      <w:r>
        <w:rPr>
          <w:rFonts w:eastAsia="Times New Roman" w:cs="Times New Roman" w:ascii="Calibri" w:hAnsi="Calibri"/>
          <w:i/>
          <w:iCs/>
          <w:sz w:val="26"/>
          <w:szCs w:val="26"/>
          <w:lang w:val="en-US" w:bidi="ar-SA"/>
        </w:rPr>
        <w:t xml:space="preserve">PUG aprobat cu HCL 141/2008. </w:t>
      </w:r>
    </w:p>
    <w:p>
      <w:pPr>
        <w:pStyle w:val="TextBody"/>
        <w:rPr>
          <w:rFonts w:ascii="Calibri" w:hAnsi="Calibri" w:eastAsia="Times New Roman" w:cs="Times New Roman"/>
          <w:i/>
          <w:i/>
          <w:iCs/>
          <w:sz w:val="26"/>
          <w:szCs w:val="26"/>
          <w:lang w:val="en-US" w:bidi="ar-SA"/>
        </w:rPr>
      </w:pPr>
      <w:r>
        <w:rPr>
          <w:rFonts w:eastAsia="Times New Roman" w:cs="Times New Roman" w:ascii="Calibri" w:hAnsi="Calibri"/>
          <w:i/>
          <w:iCs/>
          <w:sz w:val="26"/>
          <w:szCs w:val="26"/>
          <w:lang w:val="en-US" w:bidi="ar-SA"/>
        </w:rPr>
      </w:r>
    </w:p>
    <w:p>
      <w:pPr>
        <w:pStyle w:val="TextBody"/>
        <w:rPr>
          <w:rFonts w:ascii="Arial" w:hAnsi="Arial"/>
          <w:b/>
          <w:b/>
          <w:bCs/>
          <w:sz w:val="24"/>
          <w:szCs w:val="24"/>
        </w:rPr>
      </w:pPr>
      <w:r>
        <w:rPr>
          <w:rFonts w:ascii="Calibri" w:hAnsi="Calibri"/>
          <w:b/>
          <w:bCs/>
          <w:sz w:val="26"/>
          <w:szCs w:val="26"/>
        </w:rPr>
        <w:t xml:space="preserve">h) implementarea legislatiei de mediu ( regulamenete privind dezvoltarea zonelor construite si neconstruite – perceptii si recomandari) </w:t>
      </w:r>
    </w:p>
    <w:p>
      <w:pPr>
        <w:pStyle w:val="TextBody"/>
        <w:rPr>
          <w:rFonts w:ascii="Calibri" w:hAnsi="Calibri"/>
          <w:sz w:val="26"/>
          <w:szCs w:val="26"/>
        </w:rPr>
      </w:pPr>
      <w:r>
        <w:rPr>
          <w:rFonts w:ascii="Calibri" w:hAnsi="Calibri"/>
          <w:b w:val="false"/>
          <w:bCs w:val="false"/>
          <w:sz w:val="26"/>
          <w:szCs w:val="26"/>
        </w:rPr>
        <w:t xml:space="preserve">Compexul sportiv propus precum si dotarile aferente zonei studiate, vor fi executate conform cu normele tehnice in vigoare privind pretectia mediului. </w:t>
      </w:r>
    </w:p>
    <w:p>
      <w:pPr>
        <w:pStyle w:val="TextBody"/>
        <w:rPr>
          <w:rFonts w:ascii="Calibri" w:hAnsi="Calibri"/>
          <w:sz w:val="26"/>
          <w:szCs w:val="26"/>
        </w:rPr>
      </w:pPr>
      <w:r>
        <w:rPr>
          <w:rFonts w:ascii="Calibri" w:hAnsi="Calibri"/>
          <w:b w:val="false"/>
          <w:bCs w:val="false"/>
          <w:sz w:val="26"/>
          <w:szCs w:val="26"/>
        </w:rPr>
        <w:t>Aceasta investitie nu va genera noxe si nu sunt necesare masuri suplimetare de protectia mediului. Investitiile  vor fi racordate la retele edilitare de alimentare cu apa, canalizare si energie electrica</w:t>
        <w:tab/>
        <w:tab/>
        <w:tab/>
      </w:r>
      <w:r>
        <w:rPr>
          <w:rFonts w:ascii="Calibri" w:hAnsi="Calibri"/>
          <w:sz w:val="26"/>
          <w:szCs w:val="26"/>
        </w:rPr>
        <w:tab/>
      </w:r>
    </w:p>
    <w:p>
      <w:pPr>
        <w:pStyle w:val="TextBody"/>
        <w:rPr>
          <w:rFonts w:ascii="Calibri" w:hAnsi="Calibri"/>
          <w:sz w:val="26"/>
          <w:szCs w:val="26"/>
        </w:rPr>
      </w:pPr>
      <w:r>
        <w:rPr>
          <w:rFonts w:ascii="Calibri" w:hAnsi="Calibri"/>
          <w:sz w:val="26"/>
          <w:szCs w:val="26"/>
        </w:rPr>
        <w:tab/>
        <w:tab/>
        <w:tab/>
        <w:tab/>
        <w:tab/>
        <w:tab/>
        <w:tab/>
        <w:tab/>
        <w:tab/>
        <w:t xml:space="preserve">Intocmit </w:t>
      </w:r>
    </w:p>
    <w:p>
      <w:pPr>
        <w:pStyle w:val="Normal"/>
        <w:spacing w:before="0" w:after="120"/>
        <w:rPr/>
      </w:pPr>
      <w:r>
        <w:rPr>
          <w:rFonts w:ascii="Calibri" w:hAnsi="Calibri"/>
          <w:sz w:val="26"/>
          <w:szCs w:val="26"/>
        </w:rPr>
        <w:tab/>
        <w:tab/>
        <w:tab/>
        <w:tab/>
        <w:tab/>
        <w:tab/>
        <w:tab/>
        <w:tab/>
        <w:t>Arh. Nicusor Paul Petrescu</w:t>
      </w:r>
    </w:p>
    <w:sectPr>
      <w:headerReference w:type="default" r:id="rId3"/>
      <w:type w:val="nextPage"/>
      <w:pgSz w:w="11906" w:h="16838"/>
      <w:pgMar w:left="1134" w:right="1127" w:header="567" w:top="1218"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iberation Serif">
    <w:altName w:val="Times New Roman"/>
    <w:charset w:val="ee"/>
    <w:family w:val="swiss"/>
    <w:pitch w:val="variable"/>
  </w:font>
  <w:font w:name="Arial">
    <w:charset w:val="ee"/>
    <w:family w:val="roman"/>
    <w:pitch w:val="variable"/>
  </w:font>
  <w:font w:name="Tahoma">
    <w:charset w:val="ee"/>
    <w:family w:val="roman"/>
    <w:pitch w:val="variable"/>
  </w:font>
  <w:font w:name="Calibri">
    <w:charset w:val="ee"/>
    <w:family w:val="roman"/>
    <w:pitch w:val="variable"/>
  </w:font>
  <w:font w:name="Symbol">
    <w:charset w:val="ee"/>
    <w:family w:val="roman"/>
    <w:pitch w:val="variable"/>
  </w:font>
  <w:font w:name="StarSymbol">
    <w:altName w:val="Arial Unicode MS"/>
    <w:charset w:val="ee"/>
    <w:family w:val="roman"/>
    <w:pitch w:val="variable"/>
  </w:font>
  <w:font w:name="Wingdings">
    <w:charset w:val="ee"/>
    <w:family w:val="roman"/>
    <w:pitch w:val="variable"/>
  </w:font>
  <w:font w:name="Courier New">
    <w:charset w:val="ee"/>
    <w:family w:val="roman"/>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ascii="Arial" w:hAnsi="Arial" w:cs="Arial"/>
        <w:color w:val="000000"/>
        <w:sz w:val="20"/>
      </w:rPr>
    </w:pPr>
    <w:r>
      <w:rPr>
        <w:rFonts w:cs="Arial" w:ascii="Arial" w:hAnsi="Arial"/>
        <w:color w:val="000000"/>
        <w:sz w:val="20"/>
      </w:rPr>
      <w:t xml:space="preserve">ARHITECT </w:t>
    </w:r>
  </w:p>
  <w:p>
    <w:pPr>
      <w:pStyle w:val="Normal"/>
      <w:jc w:val="both"/>
      <w:rPr>
        <w:b/>
        <w:b/>
        <w:bCs/>
        <w:color w:val="000000"/>
        <w:sz w:val="24"/>
        <w:u w:val="single"/>
      </w:rPr>
    </w:pPr>
    <w:r>
      <w:rPr>
        <w:b/>
        <w:bCs/>
        <w:color w:val="000000"/>
        <w:sz w:val="24"/>
        <w:u w:val="single"/>
      </w:rPr>
      <w:t>NICUSOR – PAUL  PETRESCU - BIROU   INDIVIDUAL   DE   ARHITECTURA</w:t>
    </w:r>
  </w:p>
  <w:p>
    <w:pPr>
      <w:pStyle w:val="Normal"/>
      <w:rPr>
        <w:rFonts w:ascii="Arial" w:hAnsi="Arial" w:cs="Arial"/>
        <w:color w:val="000000"/>
        <w:sz w:val="20"/>
      </w:rPr>
    </w:pPr>
    <w:r>
      <w:rPr>
        <w:rFonts w:cs="Arial" w:ascii="Arial" w:hAnsi="Arial"/>
        <w:color w:val="000000"/>
        <w:sz w:val="20"/>
      </w:rPr>
      <w:t xml:space="preserve">CONSTANTA, B-dul Tomis Nr. 143A , Cam.701 –  Tel : 0241-555005/271, Mobil : 0788-180257 </w:t>
    </w:r>
  </w:p>
  <w:p>
    <w:pPr>
      <w:pStyle w:val="Normal"/>
      <w:rPr>
        <w:rFonts w:ascii="Arial" w:hAnsi="Arial" w:cs="Arial"/>
        <w:color w:val="000000"/>
        <w:sz w:val="20"/>
      </w:rPr>
    </w:pPr>
    <w:r>
      <w:rPr>
        <w:rFonts w:cs="Arial" w:ascii="Arial" w:hAnsi="Arial"/>
        <w:color w:val="000000"/>
        <w:sz w:val="20"/>
      </w:rPr>
      <w:t>Fax: 0241-520443,E-mail: nicusorpaulpetrescu@yahoo.com, O.A.R.1046 Cod fiscal : 19680447</w:t>
    </w:r>
  </w:p>
  <w:p>
    <w:pPr>
      <w:pStyle w:val="Normal"/>
      <w:spacing w:lineRule="auto" w:line="276" w:before="0" w:after="120"/>
      <w:jc w:val="center"/>
      <w:rPr>
        <w:rFonts w:ascii="Arial" w:hAnsi="Arial" w:eastAsia="Times New Roman" w:cs="Arial"/>
        <w:b w:val="false"/>
        <w:b w:val="false"/>
        <w:bCs w:val="false"/>
        <w:i w:val="false"/>
        <w:i w:val="false"/>
        <w:iCs w:val="false"/>
        <w:color w:val="000000"/>
        <w:sz w:val="20"/>
        <w:szCs w:val="16"/>
        <w:lang w:val="en-US" w:eastAsia="ro-RO" w:bidi="ar-SA"/>
      </w:rPr>
    </w:pPr>
    <w:r>
      <w:rPr>
        <w:rFonts w:eastAsia="Times New Roman" w:cs="Arial" w:ascii="Arial" w:hAnsi="Arial"/>
        <w:b w:val="false"/>
        <w:bCs w:val="false"/>
        <w:i w:val="false"/>
        <w:iCs w:val="false"/>
        <w:color w:val="000000"/>
        <w:sz w:val="20"/>
        <w:szCs w:val="16"/>
        <w:lang w:val="en-US" w:eastAsia="ro-RO" w:bidi="ar-SA"/>
      </w:rPr>
      <w:t xml:space="preserve">Cont : RO74BRDE140SV05706791400  –  B.R.D.   Sucursala  Al. Lapusneanu –  CONSTANTA </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o-RO"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00000A"/>
      <w:kern w:val="0"/>
      <w:sz w:val="24"/>
      <w:szCs w:val="24"/>
      <w:lang w:val="zxx" w:eastAsia="zxx" w:bidi="zxx"/>
    </w:rPr>
  </w:style>
  <w:style w:type="paragraph" w:styleId="Heading2">
    <w:name w:val="Heading 2"/>
    <w:basedOn w:val="Normal"/>
    <w:next w:val="Normal"/>
    <w:qFormat/>
    <w:pPr>
      <w:keepNext w:val="true"/>
      <w:keepLines/>
      <w:spacing w:before="200" w:after="0"/>
      <w:outlineLvl w:val="1"/>
    </w:pPr>
    <w:rPr>
      <w:rFonts w:ascii="Cambria" w:hAnsi="Cambria" w:eastAsia="SimSun" w:cs="Mangal"/>
      <w:b/>
      <w:bCs/>
      <w:color w:val="4F81BD"/>
      <w:sz w:val="26"/>
      <w:szCs w:val="26"/>
    </w:rPr>
  </w:style>
  <w:style w:type="paragraph" w:styleId="Heading3">
    <w:name w:val="Heading 3"/>
    <w:basedOn w:val="Heading"/>
    <w:qFormat/>
    <w:pPr>
      <w:spacing w:before="140" w:after="120"/>
      <w:outlineLvl w:val="2"/>
    </w:pPr>
    <w:rPr>
      <w:rFonts w:ascii="Liberation Serif" w:hAnsi="Liberation Serif" w:eastAsia="Segoe UI" w:cs="Tahoma"/>
      <w:b/>
      <w:bCs/>
      <w:sz w:val="28"/>
      <w:szCs w:val="28"/>
    </w:rPr>
  </w:style>
  <w:style w:type="paragraph" w:styleId="Heading8">
    <w:name w:val="Heading 8"/>
    <w:basedOn w:val="Normal"/>
    <w:next w:val="Normal"/>
    <w:qFormat/>
    <w:pPr>
      <w:spacing w:before="240" w:after="60"/>
      <w:outlineLvl w:val="7"/>
    </w:pPr>
    <w:rPr>
      <w:i/>
      <w:iCs/>
    </w:rPr>
  </w:style>
  <w:style w:type="character" w:styleId="ListLabel52">
    <w:name w:val="ListLabel 52"/>
    <w:qFormat/>
    <w:rPr>
      <w:rFonts w:cs="Wingdings"/>
    </w:rPr>
  </w:style>
  <w:style w:type="character" w:styleId="ListLabel51">
    <w:name w:val="ListLabel 51"/>
    <w:qFormat/>
    <w:rPr>
      <w:rFonts w:cs="Courier New"/>
    </w:rPr>
  </w:style>
  <w:style w:type="character" w:styleId="ListLabel50">
    <w:name w:val="ListLabel 50"/>
    <w:qFormat/>
    <w:rPr>
      <w:rFonts w:cs="Symbol"/>
      <w:b/>
      <w:sz w:val="24"/>
    </w:rPr>
  </w:style>
  <w:style w:type="character" w:styleId="ListLabel49">
    <w:name w:val="ListLabel 49"/>
    <w:qFormat/>
    <w:rPr>
      <w:rFonts w:cs="Wingdings"/>
    </w:rPr>
  </w:style>
  <w:style w:type="character" w:styleId="ListLabel48">
    <w:name w:val="ListLabel 48"/>
    <w:qFormat/>
    <w:rPr>
      <w:rFonts w:cs="Courier New"/>
    </w:rPr>
  </w:style>
  <w:style w:type="character" w:styleId="ListLabel47">
    <w:name w:val="ListLabel 47"/>
    <w:qFormat/>
    <w:rPr>
      <w:rFonts w:cs="Symbol"/>
      <w:b/>
      <w:sz w:val="24"/>
    </w:rPr>
  </w:style>
  <w:style w:type="character" w:styleId="ListLabel46">
    <w:name w:val="ListLabel 46"/>
    <w:qFormat/>
    <w:rPr>
      <w:rFonts w:cs="Wingdings"/>
    </w:rPr>
  </w:style>
  <w:style w:type="character" w:styleId="ListLabel45">
    <w:name w:val="ListLabel 45"/>
    <w:qFormat/>
    <w:rPr>
      <w:rFonts w:cs="Courier New"/>
    </w:rPr>
  </w:style>
  <w:style w:type="character" w:styleId="ListLabel44">
    <w:name w:val="ListLabel 44"/>
    <w:qFormat/>
    <w:rPr>
      <w:rFonts w:ascii="Arial" w:hAnsi="Arial" w:cs="Arial"/>
      <w:sz w:val="28"/>
    </w:rPr>
  </w:style>
  <w:style w:type="character" w:styleId="Heading2Char">
    <w:name w:val="Heading 2 Char"/>
    <w:basedOn w:val="DefaultParagraphFont"/>
    <w:qFormat/>
    <w:rPr>
      <w:rFonts w:ascii="Cambria" w:hAnsi="Cambria" w:eastAsia="SimSun" w:cs="Mangal"/>
      <w:b/>
      <w:bCs/>
      <w:color w:val="4F81BD"/>
      <w:sz w:val="26"/>
      <w:szCs w:val="26"/>
      <w:lang w:eastAsia="ro-RO"/>
    </w:rPr>
  </w:style>
  <w:style w:type="character" w:styleId="SubtleEmphasis">
    <w:name w:val="Subtle Emphasis"/>
    <w:basedOn w:val="DefaultParagraphFont"/>
    <w:qFormat/>
    <w:rPr>
      <w:i/>
      <w:iCs/>
      <w:color w:val="808080"/>
    </w:rPr>
  </w:style>
  <w:style w:type="character" w:styleId="BalloonTextChar">
    <w:name w:val="Balloon Text Char"/>
    <w:basedOn w:val="DefaultParagraphFont"/>
    <w:qFormat/>
    <w:rPr>
      <w:rFonts w:ascii="Tahoma" w:hAnsi="Tahoma" w:eastAsia="Times New Roman" w:cs="Tahoma"/>
      <w:sz w:val="16"/>
      <w:szCs w:val="16"/>
      <w:lang w:eastAsia="ro-RO"/>
    </w:rPr>
  </w:style>
  <w:style w:type="character" w:styleId="HeaderChar">
    <w:name w:val="Header Char"/>
    <w:basedOn w:val="DefaultParagraphFont"/>
    <w:qFormat/>
    <w:rPr>
      <w:rFonts w:ascii="Calibri" w:hAnsi="Calibri" w:eastAsia="Times New Roman" w:cs="Times New Roman"/>
      <w:lang w:eastAsia="ro-RO"/>
    </w:rPr>
  </w:style>
  <w:style w:type="character" w:styleId="FooterChar">
    <w:name w:val="Footer Char"/>
    <w:basedOn w:val="DefaultParagraphFont"/>
    <w:qFormat/>
    <w:rPr>
      <w:rFonts w:ascii="Calibri" w:hAnsi="Calibri" w:eastAsia="Times New Roman" w:cs="Times New Roman"/>
      <w:lang w:eastAsia="ro-RO"/>
    </w:rPr>
  </w:style>
  <w:style w:type="character" w:styleId="ListLabel1">
    <w:name w:val="ListLabel 1"/>
    <w:qFormat/>
    <w:rPr>
      <w:rFonts w:eastAsia="Arial" w:cs="Arial"/>
      <w:sz w:val="28"/>
    </w:rPr>
  </w:style>
  <w:style w:type="character" w:styleId="ListLabel2">
    <w:name w:val="ListLabel 2"/>
    <w:qFormat/>
    <w:rPr>
      <w:rFonts w:cs="Courier New"/>
    </w:rPr>
  </w:style>
  <w:style w:type="character" w:styleId="ListLabel3">
    <w:name w:val="ListLabel 3"/>
    <w:qFormat/>
    <w:rPr>
      <w:rFonts w:ascii="Arial" w:hAnsi="Arial" w:eastAsia="Arial" w:cs="Arial"/>
      <w:sz w:val="28"/>
    </w:rPr>
  </w:style>
  <w:style w:type="character" w:styleId="ListLabel4">
    <w:name w:val="ListLabel 4"/>
    <w:qFormat/>
    <w:rPr>
      <w:rFonts w:ascii="Arial" w:hAnsi="Arial" w:cs="Symbol"/>
      <w:b/>
      <w:sz w:val="24"/>
    </w:rPr>
  </w:style>
  <w:style w:type="character" w:styleId="ListLabel5">
    <w:name w:val="ListLabel 5"/>
    <w:qFormat/>
    <w:rPr>
      <w:rFonts w:ascii="Arial" w:hAnsi="Arial" w:cs="Arial"/>
      <w:sz w:val="28"/>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Arial" w:hAnsi="Arial" w:cs="Arial"/>
      <w:sz w:val="28"/>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b/>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b/>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Arial" w:hAnsi="Arial" w:cs="Arial"/>
      <w:sz w:val="28"/>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b/>
      <w:sz w:val="2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b/>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Arial" w:hAnsi="Arial" w:cs="Arial"/>
      <w:sz w:val="28"/>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b/>
      <w:sz w:val="24"/>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b/>
      <w:sz w:val="24"/>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Arial" w:hAnsi="Arial" w:cs="Arial"/>
      <w:sz w:val="28"/>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b/>
      <w:sz w:val="24"/>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b/>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Strong">
    <w:name w:val="Strong"/>
    <w:basedOn w:val="DefaultParagraphFont"/>
    <w:qFormat/>
    <w:rPr>
      <w:b/>
      <w:bCs/>
    </w:rPr>
  </w:style>
  <w:style w:type="character" w:styleId="DefaultParagraphFont">
    <w:name w:val="Default Paragraph Font"/>
    <w:qFormat/>
    <w:rPr/>
  </w:style>
  <w:style w:type="character" w:styleId="WW8Num3z0">
    <w:name w:val="WW8Num3z0"/>
    <w:qFormat/>
    <w:rPr>
      <w:rFonts w:ascii="Symbol" w:hAnsi="Symbol" w:cs="Symbol"/>
    </w:rPr>
  </w:style>
  <w:style w:type="character" w:styleId="WW8Num8z0">
    <w:name w:val="WW8Num8z0"/>
    <w:qFormat/>
    <w:rPr>
      <w:rFonts w:ascii="Symbol" w:hAnsi="Symbol" w:cs="Symbol"/>
      <w:sz w:val="24"/>
      <w:szCs w:val="24"/>
      <w:lang w:val="fr-FR"/>
    </w:rPr>
  </w:style>
  <w:style w:type="character" w:styleId="Bullets">
    <w:name w:val="Bullets"/>
    <w:qFormat/>
    <w:rPr>
      <w:rFonts w:ascii="StarSymbol" w:hAnsi="StarSymbol"/>
      <w:sz w:val="18"/>
    </w:rPr>
  </w:style>
  <w:style w:type="character" w:styleId="ListLabel53">
    <w:name w:val="ListLabel 53"/>
    <w:qFormat/>
    <w:rPr>
      <w:rFonts w:ascii="Arial" w:hAnsi="Arial" w:cs="Symbol"/>
      <w:sz w:val="24"/>
    </w:rPr>
  </w:style>
  <w:style w:type="character" w:styleId="ListLabel54">
    <w:name w:val="ListLabel 54"/>
    <w:qFormat/>
    <w:rPr>
      <w:rFonts w:cs="OpenSymbol"/>
      <w:sz w:val="18"/>
    </w:rPr>
  </w:style>
  <w:style w:type="character" w:styleId="ListLabel55">
    <w:name w:val="ListLabel 55"/>
    <w:qFormat/>
    <w:rPr>
      <w:rFonts w:cs="OpenSymbol"/>
      <w:sz w:val="18"/>
    </w:rPr>
  </w:style>
  <w:style w:type="character" w:styleId="ListLabel56">
    <w:name w:val="ListLabel 56"/>
    <w:qFormat/>
    <w:rPr>
      <w:rFonts w:cs="Symbol"/>
      <w:sz w:val="18"/>
    </w:rPr>
  </w:style>
  <w:style w:type="character" w:styleId="ListLabel57">
    <w:name w:val="ListLabel 57"/>
    <w:qFormat/>
    <w:rPr>
      <w:rFonts w:cs="OpenSymbol"/>
      <w:sz w:val="18"/>
    </w:rPr>
  </w:style>
  <w:style w:type="character" w:styleId="ListLabel58">
    <w:name w:val="ListLabel 58"/>
    <w:qFormat/>
    <w:rPr>
      <w:rFonts w:cs="OpenSymbol"/>
      <w:sz w:val="18"/>
    </w:rPr>
  </w:style>
  <w:style w:type="character" w:styleId="ListLabel59">
    <w:name w:val="ListLabel 59"/>
    <w:qFormat/>
    <w:rPr>
      <w:rFonts w:cs="Symbol"/>
      <w:sz w:val="18"/>
    </w:rPr>
  </w:style>
  <w:style w:type="character" w:styleId="ListLabel60">
    <w:name w:val="ListLabel 60"/>
    <w:qFormat/>
    <w:rPr>
      <w:rFonts w:cs="OpenSymbol"/>
      <w:sz w:val="18"/>
    </w:rPr>
  </w:style>
  <w:style w:type="character" w:styleId="ListLabel61">
    <w:name w:val="ListLabel 61"/>
    <w:qFormat/>
    <w:rPr>
      <w:rFonts w:cs="OpenSymbol"/>
      <w:sz w:val="18"/>
    </w:rPr>
  </w:style>
  <w:style w:type="character" w:styleId="ListLabel62">
    <w:name w:val="ListLabel 62"/>
    <w:qFormat/>
    <w:rPr>
      <w:rFonts w:ascii="Arial" w:hAnsi="Arial" w:cs="Symbol"/>
      <w:b w:val="false"/>
      <w:sz w:val="24"/>
    </w:rPr>
  </w:style>
  <w:style w:type="character" w:styleId="ListLabel63">
    <w:name w:val="ListLabel 63"/>
    <w:qFormat/>
    <w:rPr>
      <w:rFonts w:cs="OpenSymbol"/>
      <w:sz w:val="18"/>
    </w:rPr>
  </w:style>
  <w:style w:type="character" w:styleId="ListLabel64">
    <w:name w:val="ListLabel 64"/>
    <w:qFormat/>
    <w:rPr>
      <w:rFonts w:cs="OpenSymbol"/>
      <w:sz w:val="18"/>
    </w:rPr>
  </w:style>
  <w:style w:type="character" w:styleId="ListLabel65">
    <w:name w:val="ListLabel 65"/>
    <w:qFormat/>
    <w:rPr>
      <w:rFonts w:cs="Symbol"/>
      <w:sz w:val="18"/>
    </w:rPr>
  </w:style>
  <w:style w:type="character" w:styleId="ListLabel66">
    <w:name w:val="ListLabel 66"/>
    <w:qFormat/>
    <w:rPr>
      <w:rFonts w:cs="OpenSymbol"/>
      <w:sz w:val="18"/>
    </w:rPr>
  </w:style>
  <w:style w:type="character" w:styleId="ListLabel67">
    <w:name w:val="ListLabel 67"/>
    <w:qFormat/>
    <w:rPr>
      <w:rFonts w:cs="OpenSymbol"/>
      <w:sz w:val="18"/>
    </w:rPr>
  </w:style>
  <w:style w:type="character" w:styleId="ListLabel68">
    <w:name w:val="ListLabel 68"/>
    <w:qFormat/>
    <w:rPr>
      <w:rFonts w:cs="Symbol"/>
      <w:sz w:val="18"/>
    </w:rPr>
  </w:style>
  <w:style w:type="character" w:styleId="ListLabel69">
    <w:name w:val="ListLabel 69"/>
    <w:qFormat/>
    <w:rPr>
      <w:rFonts w:cs="OpenSymbol"/>
      <w:sz w:val="18"/>
    </w:rPr>
  </w:style>
  <w:style w:type="character" w:styleId="ListLabel70">
    <w:name w:val="ListLabel 70"/>
    <w:qFormat/>
    <w:rPr>
      <w:rFonts w:cs="OpenSymbol"/>
      <w:sz w:val="18"/>
    </w:rPr>
  </w:style>
  <w:style w:type="character" w:styleId="ListLabel71">
    <w:name w:val="ListLabel 71"/>
    <w:qFormat/>
    <w:rPr>
      <w:rFonts w:ascii="Arial" w:hAnsi="Arial" w:cs="Symbol"/>
      <w:sz w:val="24"/>
    </w:rPr>
  </w:style>
  <w:style w:type="character" w:styleId="ListLabel72">
    <w:name w:val="ListLabel 72"/>
    <w:qFormat/>
    <w:rPr>
      <w:rFonts w:cs="OpenSymbol"/>
      <w:sz w:val="18"/>
    </w:rPr>
  </w:style>
  <w:style w:type="character" w:styleId="ListLabel73">
    <w:name w:val="ListLabel 73"/>
    <w:qFormat/>
    <w:rPr>
      <w:rFonts w:cs="OpenSymbol"/>
      <w:sz w:val="18"/>
    </w:rPr>
  </w:style>
  <w:style w:type="character" w:styleId="ListLabel74">
    <w:name w:val="ListLabel 74"/>
    <w:qFormat/>
    <w:rPr>
      <w:rFonts w:cs="Symbol"/>
      <w:sz w:val="18"/>
    </w:rPr>
  </w:style>
  <w:style w:type="character" w:styleId="ListLabel75">
    <w:name w:val="ListLabel 75"/>
    <w:qFormat/>
    <w:rPr>
      <w:rFonts w:cs="OpenSymbol"/>
      <w:sz w:val="18"/>
    </w:rPr>
  </w:style>
  <w:style w:type="character" w:styleId="ListLabel76">
    <w:name w:val="ListLabel 76"/>
    <w:qFormat/>
    <w:rPr>
      <w:rFonts w:cs="OpenSymbol"/>
      <w:sz w:val="18"/>
    </w:rPr>
  </w:style>
  <w:style w:type="character" w:styleId="ListLabel77">
    <w:name w:val="ListLabel 77"/>
    <w:qFormat/>
    <w:rPr>
      <w:rFonts w:cs="Symbol"/>
      <w:sz w:val="18"/>
    </w:rPr>
  </w:style>
  <w:style w:type="character" w:styleId="ListLabel78">
    <w:name w:val="ListLabel 78"/>
    <w:qFormat/>
    <w:rPr>
      <w:rFonts w:cs="OpenSymbol"/>
      <w:sz w:val="18"/>
    </w:rPr>
  </w:style>
  <w:style w:type="character" w:styleId="ListLabel79">
    <w:name w:val="ListLabel 79"/>
    <w:qFormat/>
    <w:rPr>
      <w:rFonts w:cs="OpenSymbol"/>
      <w:sz w:val="18"/>
    </w:rPr>
  </w:style>
  <w:style w:type="character" w:styleId="ListLabel80">
    <w:name w:val="ListLabel 80"/>
    <w:qFormat/>
    <w:rPr>
      <w:rFonts w:ascii="Arial" w:hAnsi="Arial" w:cs="Symbol"/>
      <w:b w:val="false"/>
      <w:sz w:val="24"/>
    </w:rPr>
  </w:style>
  <w:style w:type="character" w:styleId="ListLabel81">
    <w:name w:val="ListLabel 81"/>
    <w:qFormat/>
    <w:rPr>
      <w:rFonts w:cs="OpenSymbol"/>
      <w:sz w:val="18"/>
    </w:rPr>
  </w:style>
  <w:style w:type="character" w:styleId="ListLabel82">
    <w:name w:val="ListLabel 82"/>
    <w:qFormat/>
    <w:rPr>
      <w:rFonts w:cs="OpenSymbol"/>
      <w:sz w:val="18"/>
    </w:rPr>
  </w:style>
  <w:style w:type="character" w:styleId="ListLabel83">
    <w:name w:val="ListLabel 83"/>
    <w:qFormat/>
    <w:rPr>
      <w:rFonts w:cs="Symbol"/>
      <w:sz w:val="18"/>
    </w:rPr>
  </w:style>
  <w:style w:type="character" w:styleId="ListLabel84">
    <w:name w:val="ListLabel 84"/>
    <w:qFormat/>
    <w:rPr>
      <w:rFonts w:cs="OpenSymbol"/>
      <w:sz w:val="18"/>
    </w:rPr>
  </w:style>
  <w:style w:type="character" w:styleId="ListLabel85">
    <w:name w:val="ListLabel 85"/>
    <w:qFormat/>
    <w:rPr>
      <w:rFonts w:cs="OpenSymbol"/>
      <w:sz w:val="18"/>
    </w:rPr>
  </w:style>
  <w:style w:type="character" w:styleId="ListLabel86">
    <w:name w:val="ListLabel 86"/>
    <w:qFormat/>
    <w:rPr>
      <w:rFonts w:cs="Symbol"/>
      <w:sz w:val="18"/>
    </w:rPr>
  </w:style>
  <w:style w:type="character" w:styleId="ListLabel87">
    <w:name w:val="ListLabel 87"/>
    <w:qFormat/>
    <w:rPr>
      <w:rFonts w:cs="OpenSymbol"/>
      <w:sz w:val="18"/>
    </w:rPr>
  </w:style>
  <w:style w:type="character" w:styleId="ListLabel88">
    <w:name w:val="ListLabel 88"/>
    <w:qFormat/>
    <w:rPr>
      <w:rFonts w:cs="OpenSymbol"/>
      <w:sz w:val="18"/>
    </w:rPr>
  </w:style>
  <w:style w:type="character" w:styleId="ListLabel89">
    <w:name w:val="ListLabel 89"/>
    <w:qFormat/>
    <w:rPr>
      <w:rFonts w:cs="Symbol"/>
      <w:sz w:val="18"/>
    </w:rPr>
  </w:style>
  <w:style w:type="character" w:styleId="ListLabel90">
    <w:name w:val="ListLabel 90"/>
    <w:qFormat/>
    <w:rPr>
      <w:rFonts w:cs="Wingdings"/>
      <w:sz w:val="18"/>
    </w:rPr>
  </w:style>
  <w:style w:type="character" w:styleId="ListLabel91">
    <w:name w:val="ListLabel 91"/>
    <w:qFormat/>
    <w:rPr>
      <w:rFonts w:cs="Wingdings"/>
      <w:sz w:val="18"/>
    </w:rPr>
  </w:style>
  <w:style w:type="character" w:styleId="ListLabel92">
    <w:name w:val="ListLabel 92"/>
    <w:qFormat/>
    <w:rPr>
      <w:rFonts w:cs="Wingdings"/>
      <w:sz w:val="18"/>
    </w:rPr>
  </w:style>
  <w:style w:type="character" w:styleId="ListLabel93">
    <w:name w:val="ListLabel 93"/>
    <w:qFormat/>
    <w:rPr>
      <w:rFonts w:cs="Wingdings"/>
      <w:sz w:val="18"/>
    </w:rPr>
  </w:style>
  <w:style w:type="character" w:styleId="ListLabel94">
    <w:name w:val="ListLabel 94"/>
    <w:qFormat/>
    <w:rPr>
      <w:rFonts w:cs="Wingdings"/>
      <w:sz w:val="18"/>
    </w:rPr>
  </w:style>
  <w:style w:type="character" w:styleId="ListLabel95">
    <w:name w:val="ListLabel 95"/>
    <w:qFormat/>
    <w:rPr>
      <w:rFonts w:cs="Wingdings"/>
      <w:sz w:val="18"/>
    </w:rPr>
  </w:style>
  <w:style w:type="character" w:styleId="ListLabel96">
    <w:name w:val="ListLabel 96"/>
    <w:qFormat/>
    <w:rPr>
      <w:rFonts w:cs="Wingdings"/>
      <w:sz w:val="18"/>
    </w:rPr>
  </w:style>
  <w:style w:type="character" w:styleId="ListLabel97">
    <w:name w:val="ListLabel 97"/>
    <w:qFormat/>
    <w:rPr>
      <w:rFonts w:cs="Wingdings"/>
      <w:sz w:val="18"/>
    </w:rPr>
  </w:style>
  <w:style w:type="character" w:styleId="ListLabel98">
    <w:name w:val="ListLabel 98"/>
    <w:qFormat/>
    <w:rPr>
      <w:rFonts w:cs="Wingdings"/>
      <w:sz w:val="18"/>
    </w:rPr>
  </w:style>
  <w:style w:type="character" w:styleId="ListLabel99">
    <w:name w:val="ListLabel 99"/>
    <w:qFormat/>
    <w:rPr>
      <w:rFonts w:cs="Wingdings"/>
      <w:sz w:val="18"/>
    </w:rPr>
  </w:style>
  <w:style w:type="character" w:styleId="ListLabel100">
    <w:name w:val="ListLabel 100"/>
    <w:qFormat/>
    <w:rPr>
      <w:rFonts w:cs="Wingdings"/>
      <w:sz w:val="18"/>
    </w:rPr>
  </w:style>
  <w:style w:type="character" w:styleId="ListLabel101">
    <w:name w:val="ListLabel 101"/>
    <w:qFormat/>
    <w:rPr>
      <w:rFonts w:cs="Wingdings"/>
      <w:sz w:val="18"/>
    </w:rPr>
  </w:style>
  <w:style w:type="character" w:styleId="ListLabel102">
    <w:name w:val="ListLabel 102"/>
    <w:qFormat/>
    <w:rPr>
      <w:rFonts w:cs="Wingdings"/>
      <w:sz w:val="18"/>
    </w:rPr>
  </w:style>
  <w:style w:type="character" w:styleId="ListLabel103">
    <w:name w:val="ListLabel 103"/>
    <w:qFormat/>
    <w:rPr>
      <w:rFonts w:cs="Wingdings"/>
      <w:sz w:val="18"/>
    </w:rPr>
  </w:style>
  <w:style w:type="character" w:styleId="ListLabel104">
    <w:name w:val="ListLabel 104"/>
    <w:qFormat/>
    <w:rPr>
      <w:rFonts w:cs="Wingdings"/>
      <w:sz w:val="18"/>
    </w:rPr>
  </w:style>
  <w:style w:type="character" w:styleId="ListLabel105">
    <w:name w:val="ListLabel 105"/>
    <w:qFormat/>
    <w:rPr>
      <w:rFonts w:cs="Wingdings"/>
      <w:sz w:val="18"/>
    </w:rPr>
  </w:style>
  <w:style w:type="character" w:styleId="ListLabel106">
    <w:name w:val="ListLabel 106"/>
    <w:qFormat/>
    <w:rPr>
      <w:rFonts w:cs="Wingdings"/>
      <w:sz w:val="18"/>
    </w:rPr>
  </w:style>
  <w:style w:type="character" w:styleId="ListLabel107">
    <w:name w:val="ListLabel 107"/>
    <w:qFormat/>
    <w:rPr>
      <w:rFonts w:ascii="Arial" w:hAnsi="Arial" w:cs="Symbol"/>
      <w:sz w:val="24"/>
    </w:rPr>
  </w:style>
  <w:style w:type="character" w:styleId="ListLabel108">
    <w:name w:val="ListLabel 108"/>
    <w:qFormat/>
    <w:rPr>
      <w:rFonts w:cs="OpenSymbol"/>
      <w:sz w:val="18"/>
    </w:rPr>
  </w:style>
  <w:style w:type="character" w:styleId="ListLabel109">
    <w:name w:val="ListLabel 109"/>
    <w:qFormat/>
    <w:rPr>
      <w:rFonts w:cs="OpenSymbol"/>
      <w:sz w:val="18"/>
    </w:rPr>
  </w:style>
  <w:style w:type="character" w:styleId="ListLabel110">
    <w:name w:val="ListLabel 110"/>
    <w:qFormat/>
    <w:rPr>
      <w:rFonts w:cs="Symbol"/>
      <w:sz w:val="18"/>
    </w:rPr>
  </w:style>
  <w:style w:type="character" w:styleId="ListLabel111">
    <w:name w:val="ListLabel 111"/>
    <w:qFormat/>
    <w:rPr>
      <w:rFonts w:cs="OpenSymbol"/>
      <w:sz w:val="18"/>
    </w:rPr>
  </w:style>
  <w:style w:type="character" w:styleId="ListLabel112">
    <w:name w:val="ListLabel 112"/>
    <w:qFormat/>
    <w:rPr>
      <w:rFonts w:cs="OpenSymbol"/>
      <w:sz w:val="18"/>
    </w:rPr>
  </w:style>
  <w:style w:type="character" w:styleId="ListLabel113">
    <w:name w:val="ListLabel 113"/>
    <w:qFormat/>
    <w:rPr>
      <w:rFonts w:cs="Symbol"/>
      <w:sz w:val="18"/>
    </w:rPr>
  </w:style>
  <w:style w:type="character" w:styleId="ListLabel114">
    <w:name w:val="ListLabel 114"/>
    <w:qFormat/>
    <w:rPr>
      <w:rFonts w:cs="OpenSymbol"/>
      <w:sz w:val="18"/>
    </w:rPr>
  </w:style>
  <w:style w:type="character" w:styleId="ListLabel115">
    <w:name w:val="ListLabel 115"/>
    <w:qFormat/>
    <w:rPr>
      <w:rFonts w:cs="OpenSymbol"/>
      <w:sz w:val="18"/>
    </w:rPr>
  </w:style>
  <w:style w:type="character" w:styleId="ListLabel116">
    <w:name w:val="ListLabel 116"/>
    <w:qFormat/>
    <w:rPr>
      <w:rFonts w:ascii="Arial" w:hAnsi="Arial" w:cs="Symbol"/>
      <w:b w:val="false"/>
      <w:sz w:val="24"/>
    </w:rPr>
  </w:style>
  <w:style w:type="character" w:styleId="ListLabel117">
    <w:name w:val="ListLabel 117"/>
    <w:qFormat/>
    <w:rPr>
      <w:rFonts w:cs="OpenSymbol"/>
      <w:sz w:val="18"/>
    </w:rPr>
  </w:style>
  <w:style w:type="character" w:styleId="ListLabel118">
    <w:name w:val="ListLabel 118"/>
    <w:qFormat/>
    <w:rPr>
      <w:rFonts w:cs="OpenSymbol"/>
      <w:sz w:val="18"/>
    </w:rPr>
  </w:style>
  <w:style w:type="character" w:styleId="ListLabel119">
    <w:name w:val="ListLabel 119"/>
    <w:qFormat/>
    <w:rPr>
      <w:rFonts w:cs="Symbol"/>
      <w:sz w:val="18"/>
    </w:rPr>
  </w:style>
  <w:style w:type="character" w:styleId="ListLabel120">
    <w:name w:val="ListLabel 120"/>
    <w:qFormat/>
    <w:rPr>
      <w:rFonts w:cs="OpenSymbol"/>
      <w:sz w:val="18"/>
    </w:rPr>
  </w:style>
  <w:style w:type="character" w:styleId="ListLabel121">
    <w:name w:val="ListLabel 121"/>
    <w:qFormat/>
    <w:rPr>
      <w:rFonts w:cs="OpenSymbol"/>
      <w:sz w:val="18"/>
    </w:rPr>
  </w:style>
  <w:style w:type="character" w:styleId="ListLabel122">
    <w:name w:val="ListLabel 122"/>
    <w:qFormat/>
    <w:rPr>
      <w:rFonts w:cs="Symbol"/>
      <w:sz w:val="18"/>
    </w:rPr>
  </w:style>
  <w:style w:type="character" w:styleId="ListLabel123">
    <w:name w:val="ListLabel 123"/>
    <w:qFormat/>
    <w:rPr>
      <w:rFonts w:cs="OpenSymbol"/>
      <w:sz w:val="18"/>
    </w:rPr>
  </w:style>
  <w:style w:type="character" w:styleId="ListLabel124">
    <w:name w:val="ListLabel 124"/>
    <w:qFormat/>
    <w:rPr>
      <w:rFonts w:cs="OpenSymbol"/>
      <w:sz w:val="18"/>
    </w:rPr>
  </w:style>
  <w:style w:type="character" w:styleId="ListLabel125">
    <w:name w:val="ListLabel 125"/>
    <w:qFormat/>
    <w:rPr>
      <w:rFonts w:cs="Wingdings"/>
      <w:sz w:val="18"/>
    </w:rPr>
  </w:style>
  <w:style w:type="character" w:styleId="ListLabel126">
    <w:name w:val="ListLabel 126"/>
    <w:qFormat/>
    <w:rPr>
      <w:rFonts w:cs="Wingdings"/>
      <w:sz w:val="18"/>
    </w:rPr>
  </w:style>
  <w:style w:type="character" w:styleId="ListLabel127">
    <w:name w:val="ListLabel 127"/>
    <w:qFormat/>
    <w:rPr>
      <w:rFonts w:cs="Wingdings"/>
      <w:sz w:val="18"/>
    </w:rPr>
  </w:style>
  <w:style w:type="character" w:styleId="ListLabel128">
    <w:name w:val="ListLabel 128"/>
    <w:qFormat/>
    <w:rPr>
      <w:rFonts w:cs="Wingdings"/>
      <w:sz w:val="18"/>
    </w:rPr>
  </w:style>
  <w:style w:type="character" w:styleId="ListLabel129">
    <w:name w:val="ListLabel 129"/>
    <w:qFormat/>
    <w:rPr>
      <w:rFonts w:cs="Wingdings"/>
      <w:sz w:val="18"/>
    </w:rPr>
  </w:style>
  <w:style w:type="character" w:styleId="ListLabel130">
    <w:name w:val="ListLabel 130"/>
    <w:qFormat/>
    <w:rPr>
      <w:rFonts w:cs="Wingdings"/>
      <w:sz w:val="18"/>
    </w:rPr>
  </w:style>
  <w:style w:type="character" w:styleId="ListLabel131">
    <w:name w:val="ListLabel 131"/>
    <w:qFormat/>
    <w:rPr>
      <w:rFonts w:cs="Wingdings"/>
      <w:sz w:val="18"/>
    </w:rPr>
  </w:style>
  <w:style w:type="character" w:styleId="ListLabel132">
    <w:name w:val="ListLabel 132"/>
    <w:qFormat/>
    <w:rPr>
      <w:rFonts w:cs="Wingdings"/>
      <w:sz w:val="18"/>
    </w:rPr>
  </w:style>
  <w:style w:type="character" w:styleId="ListLabel133">
    <w:name w:val="ListLabel 133"/>
    <w:qFormat/>
    <w:rPr>
      <w:rFonts w:cs="Wingdings"/>
      <w:sz w:val="18"/>
    </w:rPr>
  </w:style>
  <w:style w:type="character" w:styleId="ListLabel134">
    <w:name w:val="ListLabel 134"/>
    <w:qFormat/>
    <w:rPr>
      <w:rFonts w:ascii="Arial" w:hAnsi="Arial" w:cs="Symbol"/>
      <w:sz w:val="24"/>
    </w:rPr>
  </w:style>
  <w:style w:type="character" w:styleId="ListLabel135">
    <w:name w:val="ListLabel 135"/>
    <w:qFormat/>
    <w:rPr>
      <w:rFonts w:cs="OpenSymbol"/>
      <w:sz w:val="18"/>
    </w:rPr>
  </w:style>
  <w:style w:type="character" w:styleId="ListLabel136">
    <w:name w:val="ListLabel 136"/>
    <w:qFormat/>
    <w:rPr>
      <w:rFonts w:cs="OpenSymbol"/>
      <w:sz w:val="18"/>
    </w:rPr>
  </w:style>
  <w:style w:type="character" w:styleId="ListLabel137">
    <w:name w:val="ListLabel 137"/>
    <w:qFormat/>
    <w:rPr>
      <w:rFonts w:cs="Symbol"/>
      <w:sz w:val="18"/>
    </w:rPr>
  </w:style>
  <w:style w:type="character" w:styleId="ListLabel138">
    <w:name w:val="ListLabel 138"/>
    <w:qFormat/>
    <w:rPr>
      <w:rFonts w:cs="OpenSymbol"/>
      <w:sz w:val="18"/>
    </w:rPr>
  </w:style>
  <w:style w:type="character" w:styleId="ListLabel139">
    <w:name w:val="ListLabel 139"/>
    <w:qFormat/>
    <w:rPr>
      <w:rFonts w:cs="OpenSymbol"/>
      <w:sz w:val="18"/>
    </w:rPr>
  </w:style>
  <w:style w:type="character" w:styleId="ListLabel140">
    <w:name w:val="ListLabel 140"/>
    <w:qFormat/>
    <w:rPr>
      <w:rFonts w:cs="Symbol"/>
      <w:sz w:val="18"/>
    </w:rPr>
  </w:style>
  <w:style w:type="character" w:styleId="ListLabel141">
    <w:name w:val="ListLabel 141"/>
    <w:qFormat/>
    <w:rPr>
      <w:rFonts w:cs="OpenSymbol"/>
      <w:sz w:val="18"/>
    </w:rPr>
  </w:style>
  <w:style w:type="character" w:styleId="ListLabel142">
    <w:name w:val="ListLabel 142"/>
    <w:qFormat/>
    <w:rPr>
      <w:rFonts w:cs="OpenSymbol"/>
      <w:sz w:val="18"/>
    </w:rPr>
  </w:style>
  <w:style w:type="character" w:styleId="ListLabel143">
    <w:name w:val="ListLabel 143"/>
    <w:qFormat/>
    <w:rPr>
      <w:rFonts w:ascii="Arial" w:hAnsi="Arial" w:cs="Symbol"/>
      <w:b w:val="false"/>
      <w:sz w:val="24"/>
    </w:rPr>
  </w:style>
  <w:style w:type="character" w:styleId="ListLabel144">
    <w:name w:val="ListLabel 144"/>
    <w:qFormat/>
    <w:rPr>
      <w:rFonts w:cs="OpenSymbol"/>
      <w:sz w:val="18"/>
    </w:rPr>
  </w:style>
  <w:style w:type="character" w:styleId="ListLabel145">
    <w:name w:val="ListLabel 145"/>
    <w:qFormat/>
    <w:rPr>
      <w:rFonts w:cs="OpenSymbol"/>
      <w:sz w:val="18"/>
    </w:rPr>
  </w:style>
  <w:style w:type="character" w:styleId="ListLabel146">
    <w:name w:val="ListLabel 146"/>
    <w:qFormat/>
    <w:rPr>
      <w:rFonts w:cs="Symbol"/>
      <w:sz w:val="18"/>
    </w:rPr>
  </w:style>
  <w:style w:type="character" w:styleId="ListLabel147">
    <w:name w:val="ListLabel 147"/>
    <w:qFormat/>
    <w:rPr>
      <w:rFonts w:cs="OpenSymbol"/>
      <w:sz w:val="18"/>
    </w:rPr>
  </w:style>
  <w:style w:type="character" w:styleId="ListLabel148">
    <w:name w:val="ListLabel 148"/>
    <w:qFormat/>
    <w:rPr>
      <w:rFonts w:cs="OpenSymbol"/>
      <w:sz w:val="18"/>
    </w:rPr>
  </w:style>
  <w:style w:type="character" w:styleId="ListLabel149">
    <w:name w:val="ListLabel 149"/>
    <w:qFormat/>
    <w:rPr>
      <w:rFonts w:cs="Symbol"/>
      <w:sz w:val="18"/>
    </w:rPr>
  </w:style>
  <w:style w:type="character" w:styleId="ListLabel150">
    <w:name w:val="ListLabel 150"/>
    <w:qFormat/>
    <w:rPr>
      <w:rFonts w:cs="OpenSymbol"/>
      <w:sz w:val="18"/>
    </w:rPr>
  </w:style>
  <w:style w:type="character" w:styleId="ListLabel151">
    <w:name w:val="ListLabel 151"/>
    <w:qFormat/>
    <w:rPr>
      <w:rFonts w:cs="OpenSymbol"/>
      <w:sz w:val="18"/>
    </w:rPr>
  </w:style>
  <w:style w:type="character" w:styleId="ListLabel152">
    <w:name w:val="ListLabel 152"/>
    <w:qFormat/>
    <w:rPr>
      <w:rFonts w:cs="Wingdings"/>
      <w:sz w:val="18"/>
    </w:rPr>
  </w:style>
  <w:style w:type="character" w:styleId="ListLabel153">
    <w:name w:val="ListLabel 153"/>
    <w:qFormat/>
    <w:rPr>
      <w:rFonts w:cs="Wingdings"/>
      <w:sz w:val="18"/>
    </w:rPr>
  </w:style>
  <w:style w:type="character" w:styleId="ListLabel154">
    <w:name w:val="ListLabel 154"/>
    <w:qFormat/>
    <w:rPr>
      <w:rFonts w:cs="Wingdings"/>
      <w:sz w:val="18"/>
    </w:rPr>
  </w:style>
  <w:style w:type="character" w:styleId="ListLabel155">
    <w:name w:val="ListLabel 155"/>
    <w:qFormat/>
    <w:rPr>
      <w:rFonts w:cs="Wingdings"/>
      <w:sz w:val="18"/>
    </w:rPr>
  </w:style>
  <w:style w:type="character" w:styleId="ListLabel156">
    <w:name w:val="ListLabel 156"/>
    <w:qFormat/>
    <w:rPr>
      <w:rFonts w:cs="Wingdings"/>
      <w:sz w:val="18"/>
    </w:rPr>
  </w:style>
  <w:style w:type="character" w:styleId="ListLabel157">
    <w:name w:val="ListLabel 157"/>
    <w:qFormat/>
    <w:rPr>
      <w:rFonts w:cs="Wingdings"/>
      <w:sz w:val="18"/>
    </w:rPr>
  </w:style>
  <w:style w:type="character" w:styleId="ListLabel158">
    <w:name w:val="ListLabel 158"/>
    <w:qFormat/>
    <w:rPr>
      <w:rFonts w:cs="Wingdings"/>
      <w:sz w:val="18"/>
    </w:rPr>
  </w:style>
  <w:style w:type="character" w:styleId="ListLabel159">
    <w:name w:val="ListLabel 159"/>
    <w:qFormat/>
    <w:rPr>
      <w:rFonts w:cs="Wingdings"/>
      <w:sz w:val="18"/>
    </w:rPr>
  </w:style>
  <w:style w:type="character" w:styleId="ListLabel160">
    <w:name w:val="ListLabel 160"/>
    <w:qFormat/>
    <w:rPr>
      <w:rFonts w:cs="Wingdings"/>
      <w:sz w:val="18"/>
    </w:rPr>
  </w:style>
  <w:style w:type="character" w:styleId="ListLabel161">
    <w:name w:val="ListLabel 161"/>
    <w:qFormat/>
    <w:rPr>
      <w:rFonts w:ascii="Arial" w:hAnsi="Arial" w:cs="Symbol"/>
      <w:sz w:val="24"/>
    </w:rPr>
  </w:style>
  <w:style w:type="character" w:styleId="ListLabel162">
    <w:name w:val="ListLabel 162"/>
    <w:qFormat/>
    <w:rPr>
      <w:rFonts w:cs="OpenSymbol"/>
      <w:sz w:val="18"/>
    </w:rPr>
  </w:style>
  <w:style w:type="character" w:styleId="ListLabel163">
    <w:name w:val="ListLabel 163"/>
    <w:qFormat/>
    <w:rPr>
      <w:rFonts w:cs="OpenSymbol"/>
      <w:sz w:val="18"/>
    </w:rPr>
  </w:style>
  <w:style w:type="character" w:styleId="ListLabel164">
    <w:name w:val="ListLabel 164"/>
    <w:qFormat/>
    <w:rPr>
      <w:rFonts w:cs="Symbol"/>
      <w:sz w:val="18"/>
    </w:rPr>
  </w:style>
  <w:style w:type="character" w:styleId="ListLabel165">
    <w:name w:val="ListLabel 165"/>
    <w:qFormat/>
    <w:rPr>
      <w:rFonts w:cs="OpenSymbol"/>
      <w:sz w:val="18"/>
    </w:rPr>
  </w:style>
  <w:style w:type="character" w:styleId="ListLabel166">
    <w:name w:val="ListLabel 166"/>
    <w:qFormat/>
    <w:rPr>
      <w:rFonts w:cs="OpenSymbol"/>
      <w:sz w:val="18"/>
    </w:rPr>
  </w:style>
  <w:style w:type="character" w:styleId="ListLabel167">
    <w:name w:val="ListLabel 167"/>
    <w:qFormat/>
    <w:rPr>
      <w:rFonts w:cs="Symbol"/>
      <w:sz w:val="18"/>
    </w:rPr>
  </w:style>
  <w:style w:type="character" w:styleId="ListLabel168">
    <w:name w:val="ListLabel 168"/>
    <w:qFormat/>
    <w:rPr>
      <w:rFonts w:cs="OpenSymbol"/>
      <w:sz w:val="18"/>
    </w:rPr>
  </w:style>
  <w:style w:type="character" w:styleId="ListLabel169">
    <w:name w:val="ListLabel 169"/>
    <w:qFormat/>
    <w:rPr>
      <w:rFonts w:cs="OpenSymbol"/>
      <w:sz w:val="18"/>
    </w:rPr>
  </w:style>
  <w:style w:type="character" w:styleId="ListLabel170">
    <w:name w:val="ListLabel 170"/>
    <w:qFormat/>
    <w:rPr>
      <w:rFonts w:ascii="Arial" w:hAnsi="Arial" w:cs="Symbol"/>
      <w:b w:val="false"/>
      <w:sz w:val="24"/>
    </w:rPr>
  </w:style>
  <w:style w:type="character" w:styleId="ListLabel171">
    <w:name w:val="ListLabel 171"/>
    <w:qFormat/>
    <w:rPr>
      <w:rFonts w:cs="OpenSymbol"/>
      <w:sz w:val="18"/>
    </w:rPr>
  </w:style>
  <w:style w:type="character" w:styleId="ListLabel172">
    <w:name w:val="ListLabel 172"/>
    <w:qFormat/>
    <w:rPr>
      <w:rFonts w:cs="OpenSymbol"/>
      <w:sz w:val="18"/>
    </w:rPr>
  </w:style>
  <w:style w:type="character" w:styleId="ListLabel173">
    <w:name w:val="ListLabel 173"/>
    <w:qFormat/>
    <w:rPr>
      <w:rFonts w:cs="Symbol"/>
      <w:sz w:val="18"/>
    </w:rPr>
  </w:style>
  <w:style w:type="character" w:styleId="ListLabel174">
    <w:name w:val="ListLabel 174"/>
    <w:qFormat/>
    <w:rPr>
      <w:rFonts w:cs="OpenSymbol"/>
      <w:sz w:val="18"/>
    </w:rPr>
  </w:style>
  <w:style w:type="character" w:styleId="ListLabel175">
    <w:name w:val="ListLabel 175"/>
    <w:qFormat/>
    <w:rPr>
      <w:rFonts w:cs="OpenSymbol"/>
      <w:sz w:val="18"/>
    </w:rPr>
  </w:style>
  <w:style w:type="character" w:styleId="ListLabel176">
    <w:name w:val="ListLabel 176"/>
    <w:qFormat/>
    <w:rPr>
      <w:rFonts w:cs="Symbol"/>
      <w:sz w:val="18"/>
    </w:rPr>
  </w:style>
  <w:style w:type="character" w:styleId="ListLabel177">
    <w:name w:val="ListLabel 177"/>
    <w:qFormat/>
    <w:rPr>
      <w:rFonts w:cs="OpenSymbol"/>
      <w:sz w:val="18"/>
    </w:rPr>
  </w:style>
  <w:style w:type="character" w:styleId="ListLabel178">
    <w:name w:val="ListLabel 178"/>
    <w:qFormat/>
    <w:rPr>
      <w:rFonts w:cs="OpenSymbol"/>
      <w:sz w:val="18"/>
    </w:rPr>
  </w:style>
  <w:style w:type="character" w:styleId="ListLabel179">
    <w:name w:val="ListLabel 179"/>
    <w:qFormat/>
    <w:rPr>
      <w:rFonts w:cs="Wingdings"/>
      <w:sz w:val="18"/>
    </w:rPr>
  </w:style>
  <w:style w:type="character" w:styleId="ListLabel180">
    <w:name w:val="ListLabel 180"/>
    <w:qFormat/>
    <w:rPr>
      <w:rFonts w:cs="Wingdings"/>
      <w:sz w:val="18"/>
    </w:rPr>
  </w:style>
  <w:style w:type="character" w:styleId="ListLabel181">
    <w:name w:val="ListLabel 181"/>
    <w:qFormat/>
    <w:rPr>
      <w:rFonts w:cs="Wingdings"/>
      <w:sz w:val="18"/>
    </w:rPr>
  </w:style>
  <w:style w:type="character" w:styleId="ListLabel182">
    <w:name w:val="ListLabel 182"/>
    <w:qFormat/>
    <w:rPr>
      <w:rFonts w:cs="Wingdings"/>
      <w:sz w:val="18"/>
    </w:rPr>
  </w:style>
  <w:style w:type="character" w:styleId="ListLabel183">
    <w:name w:val="ListLabel 183"/>
    <w:qFormat/>
    <w:rPr>
      <w:rFonts w:cs="Wingdings"/>
      <w:sz w:val="18"/>
    </w:rPr>
  </w:style>
  <w:style w:type="character" w:styleId="ListLabel184">
    <w:name w:val="ListLabel 184"/>
    <w:qFormat/>
    <w:rPr>
      <w:rFonts w:cs="Wingdings"/>
      <w:sz w:val="18"/>
    </w:rPr>
  </w:style>
  <w:style w:type="character" w:styleId="ListLabel185">
    <w:name w:val="ListLabel 185"/>
    <w:qFormat/>
    <w:rPr>
      <w:rFonts w:cs="Wingdings"/>
      <w:sz w:val="18"/>
    </w:rPr>
  </w:style>
  <w:style w:type="character" w:styleId="ListLabel186">
    <w:name w:val="ListLabel 186"/>
    <w:qFormat/>
    <w:rPr>
      <w:rFonts w:cs="Wingdings"/>
      <w:sz w:val="18"/>
    </w:rPr>
  </w:style>
  <w:style w:type="character" w:styleId="ListLabel187">
    <w:name w:val="ListLabel 187"/>
    <w:qFormat/>
    <w:rPr>
      <w:rFonts w:cs="Wingdings"/>
      <w:sz w:val="18"/>
    </w:rPr>
  </w:style>
  <w:style w:type="character" w:styleId="ListLabel188">
    <w:name w:val="ListLabel 188"/>
    <w:qFormat/>
    <w:rPr>
      <w:rFonts w:ascii="Arial" w:hAnsi="Arial" w:cs="Symbol"/>
      <w:sz w:val="24"/>
    </w:rPr>
  </w:style>
  <w:style w:type="character" w:styleId="ListLabel189">
    <w:name w:val="ListLabel 189"/>
    <w:qFormat/>
    <w:rPr>
      <w:rFonts w:cs="OpenSymbol"/>
      <w:sz w:val="18"/>
    </w:rPr>
  </w:style>
  <w:style w:type="character" w:styleId="ListLabel190">
    <w:name w:val="ListLabel 190"/>
    <w:qFormat/>
    <w:rPr>
      <w:rFonts w:cs="OpenSymbol"/>
      <w:sz w:val="18"/>
    </w:rPr>
  </w:style>
  <w:style w:type="character" w:styleId="ListLabel191">
    <w:name w:val="ListLabel 191"/>
    <w:qFormat/>
    <w:rPr>
      <w:rFonts w:cs="Symbol"/>
      <w:sz w:val="18"/>
    </w:rPr>
  </w:style>
  <w:style w:type="character" w:styleId="ListLabel192">
    <w:name w:val="ListLabel 192"/>
    <w:qFormat/>
    <w:rPr>
      <w:rFonts w:cs="OpenSymbol"/>
      <w:sz w:val="18"/>
    </w:rPr>
  </w:style>
  <w:style w:type="character" w:styleId="ListLabel193">
    <w:name w:val="ListLabel 193"/>
    <w:qFormat/>
    <w:rPr>
      <w:rFonts w:cs="OpenSymbol"/>
      <w:sz w:val="18"/>
    </w:rPr>
  </w:style>
  <w:style w:type="character" w:styleId="ListLabel194">
    <w:name w:val="ListLabel 194"/>
    <w:qFormat/>
    <w:rPr>
      <w:rFonts w:cs="Symbol"/>
      <w:sz w:val="18"/>
    </w:rPr>
  </w:style>
  <w:style w:type="character" w:styleId="ListLabel195">
    <w:name w:val="ListLabel 195"/>
    <w:qFormat/>
    <w:rPr>
      <w:rFonts w:cs="OpenSymbol"/>
      <w:sz w:val="18"/>
    </w:rPr>
  </w:style>
  <w:style w:type="character" w:styleId="ListLabel196">
    <w:name w:val="ListLabel 196"/>
    <w:qFormat/>
    <w:rPr>
      <w:rFonts w:cs="OpenSymbol"/>
      <w:sz w:val="18"/>
    </w:rPr>
  </w:style>
  <w:style w:type="character" w:styleId="ListLabel197">
    <w:name w:val="ListLabel 197"/>
    <w:qFormat/>
    <w:rPr>
      <w:rFonts w:ascii="Arial" w:hAnsi="Arial" w:cs="Symbol"/>
      <w:sz w:val="24"/>
    </w:rPr>
  </w:style>
  <w:style w:type="character" w:styleId="ListLabel198">
    <w:name w:val="ListLabel 198"/>
    <w:qFormat/>
    <w:rPr>
      <w:rFonts w:cs="OpenSymbol"/>
      <w:sz w:val="18"/>
    </w:rPr>
  </w:style>
  <w:style w:type="character" w:styleId="ListLabel199">
    <w:name w:val="ListLabel 199"/>
    <w:qFormat/>
    <w:rPr>
      <w:rFonts w:cs="OpenSymbol"/>
      <w:sz w:val="18"/>
    </w:rPr>
  </w:style>
  <w:style w:type="character" w:styleId="ListLabel200">
    <w:name w:val="ListLabel 200"/>
    <w:qFormat/>
    <w:rPr>
      <w:rFonts w:cs="Symbol"/>
      <w:sz w:val="18"/>
    </w:rPr>
  </w:style>
  <w:style w:type="character" w:styleId="ListLabel201">
    <w:name w:val="ListLabel 201"/>
    <w:qFormat/>
    <w:rPr>
      <w:rFonts w:cs="OpenSymbol"/>
      <w:sz w:val="18"/>
    </w:rPr>
  </w:style>
  <w:style w:type="character" w:styleId="ListLabel202">
    <w:name w:val="ListLabel 202"/>
    <w:qFormat/>
    <w:rPr>
      <w:rFonts w:cs="OpenSymbol"/>
      <w:sz w:val="18"/>
    </w:rPr>
  </w:style>
  <w:style w:type="character" w:styleId="ListLabel203">
    <w:name w:val="ListLabel 203"/>
    <w:qFormat/>
    <w:rPr>
      <w:rFonts w:cs="Symbol"/>
      <w:sz w:val="18"/>
    </w:rPr>
  </w:style>
  <w:style w:type="character" w:styleId="ListLabel204">
    <w:name w:val="ListLabel 204"/>
    <w:qFormat/>
    <w:rPr>
      <w:rFonts w:cs="OpenSymbol"/>
      <w:sz w:val="18"/>
    </w:rPr>
  </w:style>
  <w:style w:type="character" w:styleId="ListLabel205">
    <w:name w:val="ListLabel 205"/>
    <w:qFormat/>
    <w:rPr>
      <w:rFonts w:cs="OpenSymbol"/>
      <w:sz w:val="18"/>
    </w:rPr>
  </w:style>
  <w:style w:type="character" w:styleId="ListLabel206">
    <w:name w:val="ListLabel 206"/>
    <w:qFormat/>
    <w:rPr>
      <w:rFonts w:ascii="Arial" w:hAnsi="Arial" w:cs="Symbol"/>
      <w:sz w:val="24"/>
    </w:rPr>
  </w:style>
  <w:style w:type="character" w:styleId="ListLabel207">
    <w:name w:val="ListLabel 207"/>
    <w:qFormat/>
    <w:rPr>
      <w:rFonts w:cs="OpenSymbol"/>
      <w:sz w:val="18"/>
    </w:rPr>
  </w:style>
  <w:style w:type="character" w:styleId="ListLabel208">
    <w:name w:val="ListLabel 208"/>
    <w:qFormat/>
    <w:rPr>
      <w:rFonts w:cs="OpenSymbol"/>
      <w:sz w:val="18"/>
    </w:rPr>
  </w:style>
  <w:style w:type="character" w:styleId="ListLabel209">
    <w:name w:val="ListLabel 209"/>
    <w:qFormat/>
    <w:rPr>
      <w:rFonts w:cs="Symbol"/>
      <w:sz w:val="18"/>
    </w:rPr>
  </w:style>
  <w:style w:type="character" w:styleId="ListLabel210">
    <w:name w:val="ListLabel 210"/>
    <w:qFormat/>
    <w:rPr>
      <w:rFonts w:cs="OpenSymbol"/>
      <w:sz w:val="18"/>
    </w:rPr>
  </w:style>
  <w:style w:type="character" w:styleId="ListLabel211">
    <w:name w:val="ListLabel 211"/>
    <w:qFormat/>
    <w:rPr>
      <w:rFonts w:cs="OpenSymbol"/>
      <w:sz w:val="18"/>
    </w:rPr>
  </w:style>
  <w:style w:type="character" w:styleId="ListLabel212">
    <w:name w:val="ListLabel 212"/>
    <w:qFormat/>
    <w:rPr>
      <w:rFonts w:cs="Symbol"/>
      <w:sz w:val="18"/>
    </w:rPr>
  </w:style>
  <w:style w:type="character" w:styleId="ListLabel213">
    <w:name w:val="ListLabel 213"/>
    <w:qFormat/>
    <w:rPr>
      <w:rFonts w:cs="OpenSymbol"/>
      <w:sz w:val="18"/>
    </w:rPr>
  </w:style>
  <w:style w:type="character" w:styleId="ListLabel214">
    <w:name w:val="ListLabel 214"/>
    <w:qFormat/>
    <w:rPr>
      <w:rFonts w:cs="OpenSymbol"/>
      <w:sz w:val="18"/>
    </w:rPr>
  </w:style>
  <w:style w:type="character" w:styleId="WW8Num2z0">
    <w:name w:val="WW8Num2z0"/>
    <w:qFormat/>
    <w:rPr>
      <w:rFonts w:ascii="Symbol" w:hAnsi="Symbol" w:cs="Symbol"/>
    </w:rPr>
  </w:style>
  <w:style w:type="character" w:styleId="WW8Num2z1">
    <w:name w:val="WW8Num2z1"/>
    <w:qFormat/>
    <w:rPr>
      <w:rFonts w:ascii="Liberation Serif;Times New Roman" w:hAnsi="Liberation Serif;Times New Roman" w:cs="Liberation Serif;Times New Roman"/>
    </w:rPr>
  </w:style>
  <w:style w:type="character" w:styleId="WW8Num2z2">
    <w:name w:val="WW8Num2z2"/>
    <w:qFormat/>
    <w:rPr>
      <w:rFonts w:ascii="Wingdings" w:hAnsi="Wingdings" w:cs="Wingdings"/>
    </w:rPr>
  </w:style>
  <w:style w:type="character" w:styleId="WW8Num2z4">
    <w:name w:val="WW8Num2z4"/>
    <w:qFormat/>
    <w:rPr>
      <w:rFonts w:ascii="Courier New" w:hAnsi="Courier New" w:cs="Courier New"/>
    </w:rPr>
  </w:style>
  <w:style w:type="character" w:styleId="WW8Num6z0">
    <w:name w:val="WW8Num6z0"/>
    <w:qFormat/>
    <w:rPr>
      <w:rFonts w:ascii="Symbol" w:hAnsi="Symbol" w:cs="Symbol"/>
    </w:rPr>
  </w:style>
  <w:style w:type="character" w:styleId="ListLabel215">
    <w:name w:val="ListLabel 215"/>
    <w:qFormat/>
    <w:rPr>
      <w:rFonts w:cs="Symbol"/>
      <w:sz w:val="26"/>
    </w:rPr>
  </w:style>
  <w:style w:type="character" w:styleId="ListLabel216">
    <w:name w:val="ListLabel 216"/>
    <w:qFormat/>
    <w:rPr>
      <w:rFonts w:cs="Liberation Serif;Times New Roman"/>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itle">
    <w:name w:val="Title"/>
    <w:basedOn w:val="Heading"/>
    <w:qFormat/>
    <w:pPr>
      <w:jc w:val="center"/>
    </w:pPr>
    <w:rPr>
      <w:b/>
      <w:bCs/>
      <w:sz w:val="56"/>
      <w:szCs w:val="56"/>
    </w:rPr>
  </w:style>
  <w:style w:type="paragraph" w:styleId="ListParagraph">
    <w:name w:val="List Paragraph"/>
    <w:basedOn w:val="Normal"/>
    <w:qFormat/>
    <w:pPr>
      <w:ind w:left="720" w:right="0" w:hanging="0"/>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widowControl/>
      <w:suppressAutoHyphens w:val="false"/>
      <w:overflowPunct w:val="true"/>
      <w:spacing w:before="280" w:after="119"/>
    </w:pPr>
    <w:rPr>
      <w:rFonts w:ascii="Times New Roman" w:hAnsi="Times New Roman"/>
      <w:sz w:val="24"/>
      <w:szCs w:val="24"/>
    </w:rPr>
  </w:style>
  <w:style w:type="paragraph" w:styleId="Footer">
    <w:name w:val="Footer"/>
    <w:basedOn w:val="Normal"/>
    <w:pPr>
      <w:tabs>
        <w:tab w:val="center" w:pos="4536" w:leader="none"/>
        <w:tab w:val="right" w:pos="9072" w:leader="none"/>
      </w:tabs>
    </w:pPr>
    <w:rPr/>
  </w:style>
  <w:style w:type="paragraph" w:styleId="Header">
    <w:name w:val="Header"/>
    <w:basedOn w:val="Normal"/>
    <w:pPr>
      <w:suppressLineNumbers/>
      <w:tabs>
        <w:tab w:val="center" w:pos="4819" w:leader="none"/>
        <w:tab w:val="right" w:pos="9638" w:leader="none"/>
      </w:tabs>
    </w:pPr>
    <w:rPr/>
  </w:style>
  <w:style w:type="paragraph" w:styleId="TableContents">
    <w:name w:val="Table Contents"/>
    <w:basedOn w:val="Normal"/>
    <w:qFormat/>
    <w:pPr>
      <w:suppressLineNumbers/>
      <w:suppressAutoHyphens w:val="true"/>
    </w:pPr>
    <w:rPr/>
  </w:style>
  <w:style w:type="paragraph" w:styleId="Default">
    <w:name w:val="Default"/>
    <w:qFormat/>
    <w:pPr>
      <w:widowControl/>
      <w:overflowPunct w:val="false"/>
      <w:bidi w:val="0"/>
      <w:spacing w:lineRule="auto" w:line="240" w:before="0" w:after="0"/>
      <w:jc w:val="left"/>
    </w:pPr>
    <w:rPr>
      <w:rFonts w:ascii="Times New Roman" w:hAnsi="Times New Roman" w:eastAsia="SimSun" w:cs="Times New Roman"/>
      <w:color w:val="000000"/>
      <w:kern w:val="0"/>
      <w:sz w:val="24"/>
      <w:szCs w:val="24"/>
      <w:lang w:val="ro-RO" w:eastAsia="zh-CN" w:bidi="hi-IN"/>
    </w:rPr>
  </w:style>
  <w:style w:type="paragraph" w:styleId="Hregulament">
    <w:name w:val="hregulament"/>
    <w:basedOn w:val="Normal"/>
    <w:next w:val="Normal"/>
    <w:qFormat/>
    <w:pPr>
      <w:keepLines/>
      <w:spacing w:before="0" w:after="80"/>
      <w:jc w:val="both"/>
    </w:pPr>
    <w:rPr>
      <w:sz w:val="22"/>
      <w:szCs w:val="20"/>
    </w:rPr>
  </w:style>
  <w:style w:type="paragraph" w:styleId="BodyText2">
    <w:name w:val="Body Text 2"/>
    <w:basedOn w:val="Normal"/>
    <w:qFormat/>
    <w:pPr>
      <w:spacing w:lineRule="auto" w:line="480" w:before="0" w:after="120"/>
    </w:pPr>
    <w:rPr/>
  </w:style>
  <w:style w:type="paragraph" w:styleId="TextBodyIndent">
    <w:name w:val="Body Text Indent"/>
    <w:basedOn w:val="Normal"/>
    <w:pPr>
      <w:ind w:left="1440" w:right="0" w:firstLine="720"/>
    </w:pPr>
    <w:rPr>
      <w:color w:val="000000"/>
      <w:sz w:val="28"/>
    </w:rPr>
  </w:style>
  <w:style w:type="numbering" w:styleId="WW8Num8">
    <w:name w:val="WW8Num8"/>
    <w:qFormat/>
  </w:style>
  <w:style w:type="numbering" w:styleId="WW8Num3">
    <w:name w:val="WW8Num3"/>
    <w:qFormat/>
  </w:style>
  <w:style w:type="numbering" w:styleId="NoList">
    <w:name w:val="No List"/>
    <w:qFormat/>
  </w:style>
  <w:style w:type="numbering" w:styleId="WW8Num2">
    <w:name w:val="WW8Num2"/>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295</TotalTime>
  <Application>LibreOffice/5.4.4.2$Windows_X86_64 LibreOffice_project/2524958677847fb3bb44820e40380acbe820f960</Application>
  <Pages>5</Pages>
  <Words>1476</Words>
  <Characters>8801</Characters>
  <CharactersWithSpaces>10313</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ro-RO</dc:language>
  <cp:lastModifiedBy/>
  <cp:lastPrinted>2018-02-22T12:09:30Z</cp:lastPrinted>
  <dcterms:modified xsi:type="dcterms:W3CDTF">2018-03-27T09:46:56Z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