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8C6500"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234520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349D9">
        <w:rPr>
          <w:rFonts w:ascii="Times New Roman" w:hAnsi="Times New Roman" w:cs="Times New Roman"/>
          <w:sz w:val="24"/>
          <w:szCs w:val="24"/>
        </w:rPr>
        <w:t>_____________</w:t>
      </w:r>
      <w:r w:rsidR="00D6555F">
        <w:rPr>
          <w:rFonts w:ascii="Times New Roman" w:hAnsi="Times New Roman" w:cs="Times New Roman"/>
          <w:sz w:val="24"/>
          <w:szCs w:val="24"/>
        </w:rPr>
        <w:t>.02</w:t>
      </w:r>
      <w:r w:rsidR="00A75AC2">
        <w:rPr>
          <w:rFonts w:ascii="Times New Roman" w:hAnsi="Times New Roman" w:cs="Times New Roman"/>
          <w:sz w:val="24"/>
          <w:szCs w:val="24"/>
        </w:rPr>
        <w:t>.2019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349D9" w:rsidP="00C61E10">
      <w:pPr>
        <w:suppressAutoHyphens/>
        <w:spacing w:after="0" w:line="240" w:lineRule="auto"/>
        <w:jc w:val="center"/>
        <w:rPr>
          <w:rFonts w:ascii="Times New Roman" w:eastAsia="Times New Roman" w:hAnsi="Times New Roman" w:cs="Times New Roman"/>
          <w:b/>
          <w:sz w:val="24"/>
          <w:szCs w:val="24"/>
          <w:lang w:eastAsia="ro-RO"/>
        </w:rPr>
      </w:pPr>
      <w:r w:rsidRPr="009349D9">
        <w:rPr>
          <w:rFonts w:ascii="Times New Roman" w:hAnsi="Times New Roman" w:cs="Times New Roman"/>
          <w:b/>
          <w:sz w:val="24"/>
          <w:szCs w:val="24"/>
        </w:rPr>
        <w:t xml:space="preserve">PROIECT </w:t>
      </w:r>
      <w:hyperlink r:id="rId10" w:anchor="#" w:history="1"/>
      <w:r w:rsidR="00051258" w:rsidRPr="009349D9">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349D9">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9349D9">
        <w:rPr>
          <w:rFonts w:ascii="Times New Roman" w:eastAsia="Times New Roman" w:hAnsi="Times New Roman" w:cs="Times New Roman"/>
          <w:b/>
          <w:sz w:val="24"/>
          <w:szCs w:val="24"/>
          <w:lang w:eastAsia="ro-RO"/>
        </w:rPr>
        <w:t>_____________</w:t>
      </w:r>
      <w:r w:rsidR="00A75AC2">
        <w:rPr>
          <w:rFonts w:ascii="Times New Roman" w:eastAsia="Times New Roman" w:hAnsi="Times New Roman" w:cs="Times New Roman"/>
          <w:b/>
          <w:sz w:val="24"/>
          <w:szCs w:val="24"/>
          <w:lang w:eastAsia="ro-RO"/>
        </w:rPr>
        <w:t>.2019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9349D9">
        <w:rPr>
          <w:rStyle w:val="tpa1"/>
          <w:rFonts w:ascii="Times New Roman" w:hAnsi="Times New Roman" w:cs="Times New Roman"/>
          <w:b/>
          <w:sz w:val="24"/>
          <w:szCs w:val="24"/>
        </w:rPr>
        <w:t>S.C. METAPLAST S.R.L.</w:t>
      </w:r>
      <w:r w:rsidR="009349D9" w:rsidRPr="00204484">
        <w:rPr>
          <w:rStyle w:val="tpa1"/>
          <w:rFonts w:ascii="Times New Roman" w:hAnsi="Times New Roman" w:cs="Times New Roman"/>
          <w:sz w:val="24"/>
          <w:szCs w:val="24"/>
        </w:rPr>
        <w:t>,</w:t>
      </w:r>
      <w:r w:rsidR="009349D9" w:rsidRPr="00AE7879">
        <w:rPr>
          <w:rStyle w:val="tpa1"/>
          <w:rFonts w:ascii="Times New Roman" w:hAnsi="Times New Roman" w:cs="Times New Roman"/>
          <w:b/>
          <w:sz w:val="24"/>
          <w:szCs w:val="24"/>
        </w:rPr>
        <w:t xml:space="preserve"> </w:t>
      </w:r>
      <w:r w:rsidR="009349D9" w:rsidRPr="00AE7879">
        <w:rPr>
          <w:rStyle w:val="tpa1"/>
          <w:rFonts w:ascii="Times New Roman" w:hAnsi="Times New Roman" w:cs="Times New Roman"/>
          <w:sz w:val="24"/>
          <w:szCs w:val="24"/>
        </w:rPr>
        <w:t xml:space="preserve">cu </w:t>
      </w:r>
      <w:r w:rsidR="009349D9">
        <w:rPr>
          <w:rStyle w:val="tpa1"/>
          <w:rFonts w:ascii="Times New Roman" w:hAnsi="Times New Roman" w:cs="Times New Roman"/>
          <w:sz w:val="24"/>
          <w:szCs w:val="24"/>
        </w:rPr>
        <w:t>sediul în municipiul București, str. Răcari, nr. 5</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9349D9">
        <w:rPr>
          <w:rStyle w:val="tpa1"/>
          <w:rFonts w:ascii="Times New Roman" w:hAnsi="Times New Roman" w:cs="Times New Roman"/>
          <w:sz w:val="24"/>
          <w:szCs w:val="24"/>
        </w:rPr>
        <w:t>301</w:t>
      </w:r>
      <w:r w:rsidR="00BE238B" w:rsidRPr="00C61E10">
        <w:rPr>
          <w:rStyle w:val="tpa1"/>
          <w:rFonts w:ascii="Times New Roman" w:hAnsi="Times New Roman" w:cs="Times New Roman"/>
          <w:sz w:val="24"/>
          <w:szCs w:val="24"/>
        </w:rPr>
        <w:t xml:space="preserve"> din </w:t>
      </w:r>
      <w:r w:rsidR="009349D9">
        <w:rPr>
          <w:rStyle w:val="tpa1"/>
          <w:rFonts w:ascii="Times New Roman" w:hAnsi="Times New Roman" w:cs="Times New Roman"/>
          <w:sz w:val="24"/>
          <w:szCs w:val="24"/>
        </w:rPr>
        <w:t>09.01.2019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9349D9">
        <w:rPr>
          <w:rStyle w:val="tpa"/>
          <w:rFonts w:ascii="Times New Roman" w:hAnsi="Times New Roman" w:cs="Times New Roman"/>
          <w:color w:val="000000"/>
          <w:sz w:val="24"/>
          <w:szCs w:val="24"/>
        </w:rPr>
        <w:t>21.02.2019</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9349D9" w:rsidRPr="00AE7879">
        <w:rPr>
          <w:rFonts w:ascii="Times New Roman" w:hAnsi="Times New Roman" w:cs="Times New Roman"/>
          <w:b/>
          <w:sz w:val="24"/>
          <w:szCs w:val="24"/>
        </w:rPr>
        <w:t>”</w:t>
      </w:r>
      <w:r w:rsidR="009349D9">
        <w:rPr>
          <w:rFonts w:ascii="Times New Roman" w:hAnsi="Times New Roman" w:cs="Times New Roman"/>
          <w:b/>
          <w:i/>
          <w:sz w:val="24"/>
          <w:szCs w:val="24"/>
        </w:rPr>
        <w:t>Construire depozit – clădire L</w:t>
      </w:r>
      <w:r w:rsidR="009349D9" w:rsidRPr="00AE7879">
        <w:rPr>
          <w:rStyle w:val="tpa1"/>
          <w:rFonts w:ascii="Times New Roman" w:hAnsi="Times New Roman" w:cs="Times New Roman"/>
          <w:b/>
          <w:i/>
          <w:sz w:val="24"/>
          <w:szCs w:val="24"/>
        </w:rPr>
        <w:t>”</w:t>
      </w:r>
      <w:r w:rsidR="009349D9" w:rsidRPr="00AE7879">
        <w:rPr>
          <w:rStyle w:val="tpa1"/>
          <w:rFonts w:ascii="Times New Roman" w:hAnsi="Times New Roman" w:cs="Times New Roman"/>
          <w:sz w:val="24"/>
          <w:szCs w:val="24"/>
        </w:rPr>
        <w:t>, propus a fi amplasat în</w:t>
      </w:r>
      <w:r w:rsidR="009349D9" w:rsidRPr="00AE7879">
        <w:rPr>
          <w:rFonts w:ascii="Times New Roman" w:hAnsi="Times New Roman" w:cs="Times New Roman"/>
          <w:sz w:val="24"/>
          <w:szCs w:val="24"/>
        </w:rPr>
        <w:t xml:space="preserve"> </w:t>
      </w:r>
      <w:r w:rsidR="009349D9">
        <w:rPr>
          <w:rStyle w:val="tpa1"/>
          <w:rFonts w:ascii="Times New Roman" w:hAnsi="Times New Roman" w:cs="Times New Roman"/>
          <w:sz w:val="24"/>
          <w:szCs w:val="24"/>
        </w:rPr>
        <w:t>orașul Titu, str. Gării, nr. 101 bis, județul Dâmbovița</w:t>
      </w:r>
      <w:r w:rsidR="009349D9"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si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 xml:space="preserve">10, lit. </w:t>
      </w:r>
      <w:r w:rsidR="009349D9">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C61E10">
      <w:pPr>
        <w:numPr>
          <w:ilvl w:val="0"/>
          <w:numId w:val="25"/>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9349D9" w:rsidRPr="009349D9" w:rsidRDefault="009349D9" w:rsidP="009349D9">
      <w:pPr>
        <w:shd w:val="clear" w:color="auto" w:fill="FFFFFF"/>
        <w:spacing w:after="120" w:line="240" w:lineRule="auto"/>
        <w:ind w:firstLine="709"/>
        <w:jc w:val="both"/>
        <w:rPr>
          <w:rFonts w:ascii="Times New Roman" w:eastAsia="Times New Roman" w:hAnsi="Times New Roman" w:cs="Times New Roman"/>
          <w:sz w:val="24"/>
          <w:szCs w:val="24"/>
        </w:rPr>
      </w:pPr>
      <w:r w:rsidRPr="009349D9">
        <w:rPr>
          <w:rFonts w:ascii="Times New Roman" w:eastAsia="Times New Roman" w:hAnsi="Times New Roman" w:cs="Times New Roman"/>
          <w:sz w:val="24"/>
          <w:szCs w:val="24"/>
        </w:rPr>
        <w:t xml:space="preserve">Constructia se numeste DEPOZIT CLADIRE L si are o suprafata construita si desfasurata de </w:t>
      </w:r>
      <w:r w:rsidRPr="009349D9">
        <w:rPr>
          <w:rFonts w:ascii="Times New Roman" w:eastAsia="Times New Roman" w:hAnsi="Times New Roman" w:cs="Times New Roman"/>
          <w:b/>
          <w:sz w:val="24"/>
          <w:szCs w:val="24"/>
        </w:rPr>
        <w:t>1854,20 mp</w:t>
      </w:r>
      <w:r w:rsidRPr="009349D9">
        <w:rPr>
          <w:rFonts w:ascii="Times New Roman" w:eastAsia="Times New Roman" w:hAnsi="Times New Roman" w:cs="Times New Roman"/>
          <w:sz w:val="24"/>
          <w:szCs w:val="24"/>
        </w:rPr>
        <w:t xml:space="preserve"> si este amplasata la punctul de lucru din orasul Titu,</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sz w:val="24"/>
          <w:szCs w:val="24"/>
        </w:rPr>
        <w:t>Strada Garii,</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sz w:val="24"/>
          <w:szCs w:val="24"/>
        </w:rPr>
        <w:t>nr. 101 bis,</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sz w:val="24"/>
          <w:szCs w:val="24"/>
        </w:rPr>
        <w:t>jud</w:t>
      </w:r>
      <w:r>
        <w:rPr>
          <w:rFonts w:ascii="Times New Roman" w:eastAsia="Times New Roman" w:hAnsi="Times New Roman" w:cs="Times New Roman"/>
          <w:sz w:val="24"/>
          <w:szCs w:val="24"/>
        </w:rPr>
        <w:t xml:space="preserve">etul </w:t>
      </w:r>
      <w:r w:rsidRPr="009349D9">
        <w:rPr>
          <w:rFonts w:ascii="Times New Roman" w:eastAsia="Times New Roman" w:hAnsi="Times New Roman" w:cs="Times New Roman"/>
          <w:sz w:val="24"/>
          <w:szCs w:val="24"/>
        </w:rPr>
        <w:t>Dambovita.</w:t>
      </w:r>
    </w:p>
    <w:p w:rsidR="009349D9" w:rsidRPr="009349D9" w:rsidRDefault="009349D9" w:rsidP="009349D9">
      <w:pPr>
        <w:shd w:val="clear" w:color="auto" w:fill="FFFFFF"/>
        <w:spacing w:after="120" w:line="240" w:lineRule="auto"/>
        <w:jc w:val="both"/>
        <w:rPr>
          <w:rFonts w:ascii="Times New Roman" w:eastAsia="Times New Roman" w:hAnsi="Times New Roman" w:cs="Times New Roman"/>
          <w:sz w:val="24"/>
          <w:szCs w:val="24"/>
        </w:rPr>
      </w:pPr>
      <w:r w:rsidRPr="009349D9">
        <w:rPr>
          <w:rFonts w:ascii="Times New Roman" w:eastAsia="Times New Roman" w:hAnsi="Times New Roman" w:cs="Times New Roman"/>
          <w:sz w:val="24"/>
          <w:szCs w:val="24"/>
        </w:rPr>
        <w:t>Constructia va fi realizata in forma de L cu regimul de inaltime Parter</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sz w:val="24"/>
          <w:szCs w:val="24"/>
        </w:rPr>
        <w:t>(inaltimea la streasina 7,30 m iar la coama 9,19 m</w:t>
      </w:r>
      <w:r>
        <w:rPr>
          <w:rFonts w:ascii="Times New Roman" w:eastAsia="Times New Roman" w:hAnsi="Times New Roman" w:cs="Times New Roman"/>
          <w:sz w:val="24"/>
          <w:szCs w:val="24"/>
        </w:rPr>
        <w:t>)</w:t>
      </w:r>
      <w:r w:rsidRPr="009349D9">
        <w:rPr>
          <w:rFonts w:ascii="Times New Roman" w:eastAsia="Times New Roman" w:hAnsi="Times New Roman" w:cs="Times New Roman"/>
          <w:sz w:val="24"/>
          <w:szCs w:val="24"/>
        </w:rPr>
        <w:t>.</w:t>
      </w:r>
    </w:p>
    <w:p w:rsidR="009349D9" w:rsidRPr="009349D9" w:rsidRDefault="009349D9" w:rsidP="009349D9">
      <w:pPr>
        <w:shd w:val="clear" w:color="auto" w:fill="FFFFFF"/>
        <w:spacing w:after="120" w:line="240" w:lineRule="auto"/>
        <w:jc w:val="both"/>
        <w:rPr>
          <w:rFonts w:ascii="Times New Roman" w:eastAsia="Times New Roman" w:hAnsi="Times New Roman" w:cs="Times New Roman"/>
          <w:sz w:val="24"/>
          <w:szCs w:val="24"/>
        </w:rPr>
      </w:pPr>
      <w:r w:rsidRPr="009349D9">
        <w:rPr>
          <w:rFonts w:ascii="Times New Roman" w:eastAsia="Times New Roman" w:hAnsi="Times New Roman" w:cs="Times New Roman"/>
          <w:sz w:val="24"/>
          <w:szCs w:val="24"/>
        </w:rPr>
        <w:t>Structura halei este realizata integral din metal,</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sz w:val="24"/>
          <w:szCs w:val="24"/>
        </w:rPr>
        <w:t>elementul principal de rezistenta constituindu-l cadrul transversal format din stalpi si rigle metalice.</w:t>
      </w:r>
    </w:p>
    <w:p w:rsidR="009349D9" w:rsidRPr="009349D9" w:rsidRDefault="009349D9" w:rsidP="009349D9">
      <w:pPr>
        <w:shd w:val="clear" w:color="auto" w:fill="FFFFFF"/>
        <w:spacing w:after="120" w:line="240" w:lineRule="auto"/>
        <w:jc w:val="both"/>
        <w:rPr>
          <w:rFonts w:ascii="Times New Roman" w:eastAsia="Times New Roman" w:hAnsi="Times New Roman" w:cs="Times New Roman"/>
          <w:sz w:val="24"/>
          <w:szCs w:val="24"/>
        </w:rPr>
      </w:pPr>
      <w:r w:rsidRPr="009349D9">
        <w:rPr>
          <w:rFonts w:ascii="Times New Roman" w:eastAsia="Times New Roman" w:hAnsi="Times New Roman" w:cs="Times New Roman"/>
          <w:sz w:val="24"/>
          <w:szCs w:val="24"/>
        </w:rPr>
        <w:lastRenderedPageBreak/>
        <w:t>Peretii si acoperisul halei sunt realizati din table cutata, la acoperis fiind prevazute pe cele 6 travei luminatoare din policarbonat transparent.</w:t>
      </w:r>
    </w:p>
    <w:p w:rsidR="009349D9" w:rsidRPr="009349D9" w:rsidRDefault="009349D9" w:rsidP="009349D9">
      <w:pPr>
        <w:shd w:val="clear" w:color="auto" w:fill="FFFFFF"/>
        <w:spacing w:after="150" w:line="240" w:lineRule="auto"/>
        <w:jc w:val="both"/>
        <w:rPr>
          <w:rFonts w:ascii="Times New Roman" w:eastAsia="Times New Roman" w:hAnsi="Times New Roman" w:cs="Times New Roman"/>
          <w:sz w:val="24"/>
          <w:szCs w:val="24"/>
        </w:rPr>
      </w:pPr>
      <w:r w:rsidRPr="009349D9">
        <w:rPr>
          <w:rFonts w:ascii="Times New Roman" w:eastAsia="Times New Roman" w:hAnsi="Times New Roman" w:cs="Times New Roman"/>
          <w:bCs/>
          <w:sz w:val="24"/>
          <w:szCs w:val="24"/>
        </w:rPr>
        <w:t>-</w:t>
      </w:r>
      <w:r w:rsidRPr="009349D9">
        <w:rPr>
          <w:rFonts w:ascii="Times New Roman" w:eastAsia="Times New Roman" w:hAnsi="Times New Roman" w:cs="Times New Roman"/>
          <w:sz w:val="24"/>
          <w:szCs w:val="24"/>
        </w:rPr>
        <w:t> Racordarea la rețelele utilitare existente în zonă:</w:t>
      </w:r>
    </w:p>
    <w:p w:rsidR="009349D9" w:rsidRPr="009349D9" w:rsidRDefault="009349D9" w:rsidP="009349D9">
      <w:pPr>
        <w:shd w:val="clear" w:color="auto" w:fill="FFFFFF"/>
        <w:spacing w:after="150" w:line="240" w:lineRule="auto"/>
        <w:jc w:val="both"/>
        <w:rPr>
          <w:rFonts w:ascii="Times New Roman" w:eastAsia="Times New Roman" w:hAnsi="Times New Roman" w:cs="Times New Roman"/>
          <w:i/>
          <w:sz w:val="24"/>
          <w:szCs w:val="24"/>
        </w:rPr>
      </w:pPr>
      <w:r w:rsidRPr="009349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349D9">
        <w:rPr>
          <w:rFonts w:ascii="Times New Roman" w:eastAsia="Times New Roman" w:hAnsi="Times New Roman" w:cs="Times New Roman"/>
          <w:i/>
          <w:sz w:val="24"/>
          <w:szCs w:val="24"/>
        </w:rPr>
        <w:t>alimentarea cu apa –nu este racordata cladirea la reteaua de apa intrucat nu exista grupuri sociale  sau vestiare , activitatea este temporara personalul utilizand utilitatile din fabricile vecine(fabricile din incinta sunt racordate la reteaua de alimentare cu apa a localitatii);</w:t>
      </w:r>
    </w:p>
    <w:p w:rsidR="009349D9" w:rsidRPr="009349D9" w:rsidRDefault="009349D9" w:rsidP="009349D9">
      <w:pPr>
        <w:shd w:val="clear" w:color="auto" w:fill="FFFFFF"/>
        <w:spacing w:after="150" w:line="240" w:lineRule="auto"/>
        <w:jc w:val="both"/>
        <w:rPr>
          <w:rFonts w:ascii="Times New Roman" w:eastAsia="Times New Roman" w:hAnsi="Times New Roman" w:cs="Times New Roman"/>
          <w:i/>
          <w:sz w:val="24"/>
          <w:szCs w:val="24"/>
        </w:rPr>
      </w:pPr>
      <w:r w:rsidRPr="009349D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9349D9">
        <w:rPr>
          <w:rFonts w:ascii="Times New Roman" w:eastAsia="Times New Roman" w:hAnsi="Times New Roman" w:cs="Times New Roman"/>
          <w:i/>
          <w:sz w:val="24"/>
          <w:szCs w:val="24"/>
        </w:rPr>
        <w:t>evacuarea apelor uzate-nefiind racordata la reteaua de apa nu rezulta nici ape uzate (fabricile din incinta sunt racordate la reteaua de canalizare a localitatii);</w:t>
      </w:r>
    </w:p>
    <w:p w:rsidR="009349D9" w:rsidRPr="009349D9" w:rsidRDefault="009349D9" w:rsidP="009349D9">
      <w:pPr>
        <w:shd w:val="clear" w:color="auto" w:fill="FFFFFF"/>
        <w:spacing w:after="150" w:line="240" w:lineRule="auto"/>
        <w:jc w:val="both"/>
        <w:rPr>
          <w:rFonts w:ascii="Times New Roman" w:eastAsia="Times New Roman" w:hAnsi="Times New Roman" w:cs="Times New Roman"/>
          <w:i/>
          <w:sz w:val="24"/>
          <w:szCs w:val="24"/>
        </w:rPr>
      </w:pPr>
      <w:r w:rsidRPr="009349D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9349D9">
        <w:rPr>
          <w:rFonts w:ascii="Times New Roman" w:eastAsia="Times New Roman" w:hAnsi="Times New Roman" w:cs="Times New Roman"/>
          <w:i/>
          <w:sz w:val="24"/>
          <w:szCs w:val="24"/>
        </w:rPr>
        <w:t>retele de gaze naturale-nu este cazul intrucat depozitul nu este incalzit(fabricile din incinta sunt racordate la reteaua de gaze naturale a localitatii);</w:t>
      </w:r>
    </w:p>
    <w:p w:rsidR="006065E5" w:rsidRPr="009349D9" w:rsidRDefault="009349D9" w:rsidP="009349D9">
      <w:pPr>
        <w:shd w:val="clear" w:color="auto" w:fill="FFFFFF"/>
        <w:spacing w:after="150" w:line="240" w:lineRule="auto"/>
        <w:jc w:val="both"/>
        <w:rPr>
          <w:rFonts w:ascii="Times New Roman" w:eastAsia="Times New Roman" w:hAnsi="Times New Roman" w:cs="Times New Roman"/>
          <w:i/>
          <w:sz w:val="24"/>
          <w:szCs w:val="24"/>
        </w:rPr>
      </w:pPr>
      <w:r w:rsidRPr="009349D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9349D9">
        <w:rPr>
          <w:rFonts w:ascii="Times New Roman" w:eastAsia="Times New Roman" w:hAnsi="Times New Roman" w:cs="Times New Roman"/>
          <w:i/>
          <w:sz w:val="24"/>
          <w:szCs w:val="24"/>
        </w:rPr>
        <w:t>retele electrice -racordare la postul de tranformare propriu;</w:t>
      </w:r>
    </w:p>
    <w:p w:rsidR="006065E5" w:rsidRPr="009349D9" w:rsidRDefault="006065E5" w:rsidP="0017345C">
      <w:pPr>
        <w:spacing w:after="120" w:line="240" w:lineRule="auto"/>
        <w:jc w:val="both"/>
        <w:rPr>
          <w:rFonts w:ascii="Times New Roman" w:eastAsia="Times New Roman"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b) </w:t>
      </w:r>
      <w:r w:rsidRPr="009349D9">
        <w:rPr>
          <w:rFonts w:ascii="Times New Roman" w:eastAsia="Times New Roman" w:hAnsi="Times New Roman" w:cs="Times New Roman"/>
          <w:b/>
          <w:i/>
          <w:sz w:val="24"/>
          <w:szCs w:val="24"/>
          <w:lang w:eastAsia="pl-PL"/>
        </w:rPr>
        <w:t>cumularea cu alte proiecte</w:t>
      </w:r>
      <w:r w:rsidRPr="009349D9">
        <w:rPr>
          <w:rFonts w:ascii="Times New Roman" w:eastAsia="Times New Roman" w:hAnsi="Times New Roman" w:cs="Times New Roman"/>
          <w:sz w:val="24"/>
          <w:szCs w:val="24"/>
          <w:lang w:eastAsia="pl-PL"/>
        </w:rPr>
        <w:t xml:space="preserve"> -  nu este cazul;</w:t>
      </w:r>
    </w:p>
    <w:p w:rsidR="006065E5" w:rsidRPr="009349D9" w:rsidRDefault="006065E5" w:rsidP="0017345C">
      <w:pPr>
        <w:spacing w:after="120" w:line="240" w:lineRule="auto"/>
        <w:jc w:val="both"/>
        <w:rPr>
          <w:rFonts w:ascii="Times New Roman" w:eastAsia="Calibri" w:hAnsi="Times New Roman" w:cs="Times New Roman"/>
          <w:sz w:val="24"/>
          <w:szCs w:val="24"/>
          <w:lang w:eastAsia="pl-PL"/>
        </w:rPr>
      </w:pPr>
      <w:r w:rsidRPr="009349D9">
        <w:rPr>
          <w:rFonts w:ascii="Times New Roman" w:eastAsia="Times New Roman" w:hAnsi="Times New Roman" w:cs="Times New Roman"/>
          <w:sz w:val="24"/>
          <w:szCs w:val="24"/>
          <w:lang w:eastAsia="pl-PL"/>
        </w:rPr>
        <w:t xml:space="preserve">c) </w:t>
      </w:r>
      <w:r w:rsidRPr="009349D9">
        <w:rPr>
          <w:rFonts w:ascii="Times New Roman" w:eastAsia="Times New Roman" w:hAnsi="Times New Roman" w:cs="Times New Roman"/>
          <w:b/>
          <w:i/>
          <w:sz w:val="24"/>
          <w:szCs w:val="24"/>
          <w:lang w:eastAsia="pl-PL"/>
        </w:rPr>
        <w:t>utilizarea resurselor naturale</w:t>
      </w:r>
      <w:r w:rsidRPr="009349D9">
        <w:rPr>
          <w:rFonts w:ascii="Times New Roman" w:eastAsia="Times New Roman" w:hAnsi="Times New Roman" w:cs="Times New Roman"/>
          <w:sz w:val="24"/>
          <w:szCs w:val="24"/>
          <w:lang w:eastAsia="pl-PL"/>
        </w:rPr>
        <w:t xml:space="preserve">: </w:t>
      </w:r>
      <w:r w:rsidRPr="009349D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9349D9">
        <w:rPr>
          <w:rFonts w:ascii="Times New Roman" w:eastAsia="Calibri" w:hAnsi="Times New Roman" w:cs="Times New Roman"/>
          <w:sz w:val="24"/>
          <w:szCs w:val="24"/>
        </w:rPr>
        <w:t xml:space="preserve">d) </w:t>
      </w:r>
      <w:r w:rsidRPr="009349D9">
        <w:rPr>
          <w:rFonts w:ascii="Times New Roman" w:eastAsia="Calibri" w:hAnsi="Times New Roman" w:cs="Times New Roman"/>
          <w:b/>
          <w:i/>
          <w:sz w:val="24"/>
          <w:szCs w:val="24"/>
        </w:rPr>
        <w:t>producţia de deşeuri</w:t>
      </w:r>
      <w:r w:rsidRPr="009349D9">
        <w:rPr>
          <w:rFonts w:ascii="Times New Roman" w:eastAsia="Calibri" w:hAnsi="Times New Roman" w:cs="Times New Roman"/>
          <w:sz w:val="24"/>
          <w:szCs w:val="24"/>
        </w:rPr>
        <w:t>: deşeurile generate atât în perioada de execuţie vor fi stocate selectiv şi predate către societăţi autorizate din punct de vedere al mediului pentru</w:t>
      </w:r>
      <w:r w:rsidRPr="00FA0BC3">
        <w:rPr>
          <w:rFonts w:ascii="Times New Roman" w:eastAsia="Calibri" w:hAnsi="Times New Roman" w:cs="Times New Roman"/>
          <w:sz w:val="24"/>
          <w:szCs w:val="24"/>
        </w:rPr>
        <w:t xml:space="preserve">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9349D9">
        <w:rPr>
          <w:rFonts w:ascii="Times New Roman" w:eastAsia="Times New Roman" w:hAnsi="Times New Roman" w:cs="Times New Roman"/>
          <w:sz w:val="24"/>
          <w:szCs w:val="24"/>
          <w:lang w:eastAsia="pl-PL"/>
        </w:rPr>
        <w:t>1/07.01.2019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9349D9">
        <w:rPr>
          <w:rFonts w:ascii="Times New Roman" w:eastAsia="Times New Roman" w:hAnsi="Times New Roman" w:cs="Times New Roman"/>
          <w:sz w:val="24"/>
          <w:szCs w:val="24"/>
          <w:lang w:eastAsia="pl-PL"/>
        </w:rPr>
        <w:t>orasului Titu</w:t>
      </w:r>
      <w:r w:rsidR="0017345C">
        <w:rPr>
          <w:rFonts w:ascii="Times New Roman" w:eastAsia="Times New Roman" w:hAnsi="Times New Roman" w:cs="Times New Roman"/>
          <w:sz w:val="24"/>
          <w:szCs w:val="24"/>
          <w:lang w:eastAsia="pl-PL"/>
        </w:rPr>
        <w:t xml:space="preserve">, proprietate privata a SC </w:t>
      </w:r>
      <w:r w:rsidR="009349D9">
        <w:rPr>
          <w:rFonts w:ascii="Times New Roman" w:eastAsia="Times New Roman" w:hAnsi="Times New Roman" w:cs="Times New Roman"/>
          <w:sz w:val="24"/>
          <w:szCs w:val="24"/>
          <w:lang w:eastAsia="pl-PL"/>
        </w:rPr>
        <w:t>METAPLAST</w:t>
      </w:r>
      <w:r w:rsidR="0017345C">
        <w:rPr>
          <w:rFonts w:ascii="Times New Roman" w:eastAsia="Times New Roman" w:hAnsi="Times New Roman" w:cs="Times New Roman"/>
          <w:sz w:val="24"/>
          <w:szCs w:val="24"/>
          <w:lang w:eastAsia="pl-PL"/>
        </w:rPr>
        <w:t xml:space="preserve"> SRL</w:t>
      </w:r>
      <w:r w:rsidR="009349D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categoria de folosință: </w:t>
      </w:r>
      <w:r w:rsidR="009349D9">
        <w:rPr>
          <w:rFonts w:ascii="Times New Roman" w:eastAsia="Times New Roman" w:hAnsi="Times New Roman" w:cs="Times New Roman"/>
          <w:sz w:val="24"/>
          <w:szCs w:val="24"/>
          <w:lang w:eastAsia="pl-PL"/>
        </w:rPr>
        <w:t>intravilan arabil</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bookmarkStart w:id="11" w:name="_GoBack"/>
      <w:bookmarkEnd w:id="11"/>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6065E5">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6065E5">
      <w:pPr>
        <w:pStyle w:val="ListParagraph"/>
        <w:numPr>
          <w:ilvl w:val="0"/>
          <w:numId w:val="43"/>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6065E5">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6065E5">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6065E5">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6065E5">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6065E5">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6065E5">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lastRenderedPageBreak/>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6065E5">
      <w:pPr>
        <w:numPr>
          <w:ilvl w:val="0"/>
          <w:numId w:val="28"/>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 xml:space="preserve">Prezenta decizie este valabilă pe toată perioada de realizare a proiectului, iar în situaţia în care intervin elemente noi, necunoscute la data emiterii prezentei decizii, sau se modifică condiţiile care au </w:t>
      </w:r>
      <w:r w:rsidRPr="0017345C">
        <w:rPr>
          <w:rStyle w:val="tpa"/>
          <w:rFonts w:ascii="Times New Roman" w:hAnsi="Times New Roman" w:cs="Times New Roman"/>
          <w:color w:val="000000"/>
          <w:sz w:val="24"/>
          <w:szCs w:val="24"/>
        </w:rPr>
        <w:lastRenderedPageBreak/>
        <w:t>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00" w:rsidRDefault="008C6500" w:rsidP="00EE5AEC">
      <w:pPr>
        <w:spacing w:after="0" w:line="240" w:lineRule="auto"/>
      </w:pPr>
      <w:r>
        <w:separator/>
      </w:r>
    </w:p>
  </w:endnote>
  <w:endnote w:type="continuationSeparator" w:id="0">
    <w:p w:rsidR="008C6500" w:rsidRDefault="008C6500"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HelveticaNeueLT Com 37 ThCn">
    <w:altName w:val="Arial Narrow"/>
    <w:charset w:val="00"/>
    <w:family w:val="swiss"/>
    <w:pitch w:val="variable"/>
    <w:sig w:usb0="00000001" w:usb1="5000204A" w:usb2="00000000" w:usb3="00000000" w:csb0="0000009B"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349D9">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00" w:rsidRDefault="008C6500" w:rsidP="00EE5AEC">
      <w:pPr>
        <w:spacing w:after="0" w:line="240" w:lineRule="auto"/>
      </w:pPr>
      <w:r>
        <w:separator/>
      </w:r>
    </w:p>
  </w:footnote>
  <w:footnote w:type="continuationSeparator" w:id="0">
    <w:p w:rsidR="008C6500" w:rsidRDefault="008C6500"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B0821"/>
    <w:multiLevelType w:val="hybridMultilevel"/>
    <w:tmpl w:val="B2DACF48"/>
    <w:lvl w:ilvl="0" w:tplc="8A10ED78">
      <w:start w:val="19"/>
      <w:numFmt w:val="bullet"/>
      <w:lvlText w:val="-"/>
      <w:lvlJc w:val="left"/>
      <w:pPr>
        <w:ind w:left="1080" w:hanging="360"/>
      </w:pPr>
      <w:rPr>
        <w:rFonts w:ascii="Times New Roman" w:eastAsia="Lucida Sans Unicode"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A7424"/>
    <w:multiLevelType w:val="hybridMultilevel"/>
    <w:tmpl w:val="5D5850C0"/>
    <w:lvl w:ilvl="0" w:tplc="24AAF526">
      <w:start w:val="3"/>
      <w:numFmt w:val="bullet"/>
      <w:lvlText w:val="-"/>
      <w:lvlJc w:val="left"/>
      <w:pPr>
        <w:ind w:left="1776" w:hanging="360"/>
      </w:pPr>
      <w:rPr>
        <w:rFonts w:ascii="HelveticaNeueLT Com 37 ThCn" w:eastAsia="Batang" w:hAnsi="HelveticaNeueLT Com 37 ThC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1" w15:restartNumberingAfterBreak="0">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3"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0492035"/>
    <w:multiLevelType w:val="hybridMultilevel"/>
    <w:tmpl w:val="7A4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8"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9" w15:restartNumberingAfterBreak="0">
    <w:nsid w:val="722073CD"/>
    <w:multiLevelType w:val="hybridMultilevel"/>
    <w:tmpl w:val="8DDE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3"/>
  </w:num>
  <w:num w:numId="2">
    <w:abstractNumId w:val="18"/>
  </w:num>
  <w:num w:numId="3">
    <w:abstractNumId w:val="4"/>
  </w:num>
  <w:num w:numId="4">
    <w:abstractNumId w:val="23"/>
  </w:num>
  <w:num w:numId="5">
    <w:abstractNumId w:val="18"/>
  </w:num>
  <w:num w:numId="6">
    <w:abstractNumId w:val="4"/>
  </w:num>
  <w:num w:numId="7">
    <w:abstractNumId w:val="27"/>
  </w:num>
  <w:num w:numId="8">
    <w:abstractNumId w:val="1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9"/>
  </w:num>
  <w:num w:numId="13">
    <w:abstractNumId w:val="14"/>
  </w:num>
  <w:num w:numId="14">
    <w:abstractNumId w:val="25"/>
  </w:num>
  <w:num w:numId="15">
    <w:abstractNumId w:val="33"/>
  </w:num>
  <w:num w:numId="16">
    <w:abstractNumId w:val="8"/>
  </w:num>
  <w:num w:numId="17">
    <w:abstractNumId w:val="37"/>
  </w:num>
  <w:num w:numId="18">
    <w:abstractNumId w:val="38"/>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37"/>
  </w:num>
  <w:num w:numId="29">
    <w:abstractNumId w:val="0"/>
  </w:num>
  <w:num w:numId="30">
    <w:abstractNumId w:val="5"/>
  </w:num>
  <w:num w:numId="31">
    <w:abstractNumId w:val="1"/>
  </w:num>
  <w:num w:numId="32">
    <w:abstractNumId w:val="11"/>
  </w:num>
  <w:num w:numId="33">
    <w:abstractNumId w:val="21"/>
  </w:num>
  <w:num w:numId="34">
    <w:abstractNumId w:val="12"/>
  </w:num>
  <w:num w:numId="35">
    <w:abstractNumId w:val="20"/>
  </w:num>
  <w:num w:numId="36">
    <w:abstractNumId w:val="31"/>
  </w:num>
  <w:num w:numId="37">
    <w:abstractNumId w:val="24"/>
  </w:num>
  <w:num w:numId="38">
    <w:abstractNumId w:val="15"/>
  </w:num>
  <w:num w:numId="39">
    <w:abstractNumId w:val="40"/>
  </w:num>
  <w:num w:numId="40">
    <w:abstractNumId w:val="29"/>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3"/>
  </w:num>
  <w:num w:numId="45">
    <w:abstractNumId w:val="9"/>
  </w:num>
  <w:num w:numId="46">
    <w:abstractNumId w:val="17"/>
  </w:num>
  <w:num w:numId="47">
    <w:abstractNumId w:val="35"/>
  </w:num>
  <w:num w:numId="48">
    <w:abstractNumId w:val="3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A2E73"/>
    <w:rsid w:val="000D35A8"/>
    <w:rsid w:val="000E5E8F"/>
    <w:rsid w:val="000F0C76"/>
    <w:rsid w:val="00102243"/>
    <w:rsid w:val="001057FC"/>
    <w:rsid w:val="00144DDF"/>
    <w:rsid w:val="00167D80"/>
    <w:rsid w:val="00171A29"/>
    <w:rsid w:val="00172764"/>
    <w:rsid w:val="0017345C"/>
    <w:rsid w:val="00180DB7"/>
    <w:rsid w:val="001974A8"/>
    <w:rsid w:val="00197EB4"/>
    <w:rsid w:val="001A24D9"/>
    <w:rsid w:val="001A4826"/>
    <w:rsid w:val="001B4690"/>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40E23"/>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A4567"/>
    <w:rsid w:val="004B6303"/>
    <w:rsid w:val="004F010B"/>
    <w:rsid w:val="004F495D"/>
    <w:rsid w:val="005035C2"/>
    <w:rsid w:val="00512E17"/>
    <w:rsid w:val="0053048D"/>
    <w:rsid w:val="00532311"/>
    <w:rsid w:val="00570B71"/>
    <w:rsid w:val="005815FE"/>
    <w:rsid w:val="00590C8D"/>
    <w:rsid w:val="00591CEB"/>
    <w:rsid w:val="00593D2C"/>
    <w:rsid w:val="00594BEC"/>
    <w:rsid w:val="005A0946"/>
    <w:rsid w:val="005A5E3E"/>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415C"/>
    <w:rsid w:val="006959BE"/>
    <w:rsid w:val="006C1BBA"/>
    <w:rsid w:val="006D7856"/>
    <w:rsid w:val="006F06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10A7"/>
    <w:rsid w:val="00852BE9"/>
    <w:rsid w:val="00864CCB"/>
    <w:rsid w:val="0086539D"/>
    <w:rsid w:val="008B210D"/>
    <w:rsid w:val="008C47E7"/>
    <w:rsid w:val="008C6500"/>
    <w:rsid w:val="009018D7"/>
    <w:rsid w:val="00912F44"/>
    <w:rsid w:val="009167CA"/>
    <w:rsid w:val="00917D3C"/>
    <w:rsid w:val="009349D9"/>
    <w:rsid w:val="00937BE6"/>
    <w:rsid w:val="00971AF8"/>
    <w:rsid w:val="009A0064"/>
    <w:rsid w:val="009A7CB8"/>
    <w:rsid w:val="009D477B"/>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736A"/>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555F"/>
    <w:rsid w:val="00D65E7E"/>
    <w:rsid w:val="00D7402F"/>
    <w:rsid w:val="00D7690A"/>
    <w:rsid w:val="00D80391"/>
    <w:rsid w:val="00D85488"/>
    <w:rsid w:val="00D96D00"/>
    <w:rsid w:val="00DB26C9"/>
    <w:rsid w:val="00DC6F82"/>
    <w:rsid w:val="00DE3A94"/>
    <w:rsid w:val="00DF2AC4"/>
    <w:rsid w:val="00E03D06"/>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7E0F"/>
    <w:rsid w:val="00F37811"/>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25DD"/>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1098</TotalTime>
  <Pages>5</Pages>
  <Words>2417</Words>
  <Characters>14019</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49</cp:revision>
  <cp:lastPrinted>2019-02-19T06:20:00Z</cp:lastPrinted>
  <dcterms:created xsi:type="dcterms:W3CDTF">2015-01-08T11:09:00Z</dcterms:created>
  <dcterms:modified xsi:type="dcterms:W3CDTF">2019-02-22T10:54:00Z</dcterms:modified>
</cp:coreProperties>
</file>