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69214B"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3664940"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6347FF">
        <w:rPr>
          <w:rFonts w:ascii="Times New Roman" w:hAnsi="Times New Roman"/>
          <w:sz w:val="24"/>
          <w:szCs w:val="24"/>
          <w:lang w:val="ro-RO" w:eastAsia="ro-RO"/>
        </w:rPr>
        <w:t>2481</w:t>
      </w:r>
      <w:r w:rsidR="00CD7475" w:rsidRPr="00CD7475">
        <w:rPr>
          <w:rFonts w:ascii="Times New Roman" w:eastAsiaTheme="minorHAnsi" w:hAnsi="Times New Roman"/>
          <w:sz w:val="24"/>
          <w:szCs w:val="24"/>
          <w:lang w:val="ro-RO"/>
        </w:rPr>
        <w:t>/</w:t>
      </w:r>
      <w:r w:rsidR="006347FF">
        <w:rPr>
          <w:rFonts w:ascii="Times New Roman" w:eastAsiaTheme="minorHAnsi" w:hAnsi="Times New Roman"/>
          <w:sz w:val="24"/>
          <w:szCs w:val="24"/>
          <w:lang w:val="ro-RO"/>
        </w:rPr>
        <w:t>1369</w:t>
      </w:r>
      <w:r w:rsidR="00CD7475" w:rsidRPr="00CD7475">
        <w:rPr>
          <w:rFonts w:ascii="Times New Roman" w:eastAsiaTheme="minorHAnsi" w:hAnsi="Times New Roman"/>
          <w:sz w:val="24"/>
          <w:szCs w:val="24"/>
          <w:lang w:val="ro-RO"/>
        </w:rPr>
        <w:t>/</w:t>
      </w:r>
      <w:r w:rsidR="006347FF">
        <w:rPr>
          <w:rFonts w:ascii="Times New Roman" w:eastAsiaTheme="minorHAnsi" w:hAnsi="Times New Roman"/>
          <w:sz w:val="24"/>
          <w:szCs w:val="24"/>
          <w:lang w:val="ro-RO"/>
        </w:rPr>
        <w:t>03.07</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911E7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03.07</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E91775">
        <w:rPr>
          <w:rFonts w:ascii="Times New Roman" w:hAnsi="Times New Roman"/>
          <w:b/>
          <w:sz w:val="24"/>
          <w:szCs w:val="24"/>
          <w:lang w:val="ro-RO" w:eastAsia="ro-RO"/>
        </w:rPr>
        <w:t xml:space="preserve">S.N.G.N. </w:t>
      </w:r>
      <w:proofErr w:type="gramStart"/>
      <w:r w:rsidR="00E91775">
        <w:rPr>
          <w:rFonts w:ascii="Times New Roman" w:hAnsi="Times New Roman"/>
          <w:b/>
          <w:sz w:val="24"/>
          <w:szCs w:val="24"/>
          <w:lang w:val="ro-RO" w:eastAsia="ro-RO"/>
        </w:rPr>
        <w:t>ROMGAZ  S.A</w:t>
      </w:r>
      <w:proofErr w:type="gramEnd"/>
      <w:r w:rsidR="00E91775">
        <w:rPr>
          <w:rFonts w:ascii="Times New Roman" w:hAnsi="Times New Roman"/>
          <w:b/>
          <w:sz w:val="24"/>
          <w:szCs w:val="24"/>
          <w:lang w:val="ro-RO" w:eastAsia="ro-RO"/>
        </w:rPr>
        <w:t>. SUCURSALA TÂRGU MUREȘ</w:t>
      </w:r>
      <w:r w:rsidR="003D5705">
        <w:rPr>
          <w:rFonts w:ascii="Times New Roman" w:hAnsi="Times New Roman"/>
          <w:b/>
          <w:sz w:val="24"/>
          <w:szCs w:val="24"/>
          <w:lang w:val="ro-RO" w:eastAsia="ro-RO"/>
        </w:rPr>
        <w:t xml:space="preserve"> </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E91775">
        <w:rPr>
          <w:rFonts w:ascii="Times New Roman" w:hAnsi="Times New Roman"/>
          <w:sz w:val="24"/>
          <w:szCs w:val="24"/>
          <w:lang w:val="fr-FR"/>
        </w:rPr>
        <w:t>Târgu</w:t>
      </w:r>
      <w:proofErr w:type="spellEnd"/>
      <w:r w:rsidR="00E91775">
        <w:rPr>
          <w:rFonts w:ascii="Times New Roman" w:hAnsi="Times New Roman"/>
          <w:sz w:val="24"/>
          <w:szCs w:val="24"/>
          <w:lang w:val="fr-FR"/>
        </w:rPr>
        <w:t xml:space="preserve"> </w:t>
      </w:r>
      <w:proofErr w:type="spellStart"/>
      <w:r w:rsidR="00E91775">
        <w:rPr>
          <w:rFonts w:ascii="Times New Roman" w:hAnsi="Times New Roman"/>
          <w:sz w:val="24"/>
          <w:szCs w:val="24"/>
          <w:lang w:val="fr-FR"/>
        </w:rPr>
        <w:t>Mureș</w:t>
      </w:r>
      <w:proofErr w:type="spellEnd"/>
      <w:r w:rsidR="00E91775">
        <w:rPr>
          <w:rFonts w:ascii="Times New Roman" w:hAnsi="Times New Roman"/>
          <w:sz w:val="24"/>
          <w:szCs w:val="24"/>
          <w:lang w:val="fr-FR"/>
        </w:rPr>
        <w:t xml:space="preserve">, </w:t>
      </w:r>
      <w:proofErr w:type="spellStart"/>
      <w:r w:rsidR="00E91775">
        <w:rPr>
          <w:rFonts w:ascii="Times New Roman" w:hAnsi="Times New Roman"/>
          <w:sz w:val="24"/>
          <w:szCs w:val="24"/>
          <w:lang w:val="fr-FR"/>
        </w:rPr>
        <w:t>str</w:t>
      </w:r>
      <w:proofErr w:type="spellEnd"/>
      <w:r w:rsidR="00E91775">
        <w:rPr>
          <w:rFonts w:ascii="Times New Roman" w:hAnsi="Times New Roman"/>
          <w:sz w:val="24"/>
          <w:szCs w:val="24"/>
          <w:lang w:val="fr-FR"/>
        </w:rPr>
        <w:t xml:space="preserve">. </w:t>
      </w:r>
      <w:proofErr w:type="spellStart"/>
      <w:r w:rsidR="00E91775">
        <w:rPr>
          <w:rFonts w:ascii="Times New Roman" w:hAnsi="Times New Roman"/>
          <w:sz w:val="24"/>
          <w:szCs w:val="24"/>
          <w:lang w:val="fr-FR"/>
        </w:rPr>
        <w:t>Salcâmilor</w:t>
      </w:r>
      <w:proofErr w:type="spellEnd"/>
      <w:r w:rsidR="00E91775">
        <w:rPr>
          <w:rFonts w:ascii="Times New Roman" w:hAnsi="Times New Roman"/>
          <w:sz w:val="24"/>
          <w:szCs w:val="24"/>
          <w:lang w:val="fr-FR"/>
        </w:rPr>
        <w:t xml:space="preserve">, nr. 23, </w:t>
      </w:r>
      <w:proofErr w:type="spellStart"/>
      <w:r w:rsidR="00E91775">
        <w:rPr>
          <w:rFonts w:ascii="Times New Roman" w:hAnsi="Times New Roman"/>
          <w:sz w:val="24"/>
          <w:szCs w:val="24"/>
          <w:lang w:val="fr-FR"/>
        </w:rPr>
        <w:t>județul</w:t>
      </w:r>
      <w:proofErr w:type="spellEnd"/>
      <w:r w:rsidR="00E91775">
        <w:rPr>
          <w:rFonts w:ascii="Times New Roman" w:hAnsi="Times New Roman"/>
          <w:sz w:val="24"/>
          <w:szCs w:val="24"/>
          <w:lang w:val="fr-FR"/>
        </w:rPr>
        <w:t xml:space="preserve"> </w:t>
      </w:r>
      <w:proofErr w:type="spellStart"/>
      <w:r w:rsidR="00E91775">
        <w:rPr>
          <w:rFonts w:ascii="Times New Roman" w:hAnsi="Times New Roman"/>
          <w:sz w:val="24"/>
          <w:szCs w:val="24"/>
          <w:lang w:val="fr-FR"/>
        </w:rPr>
        <w:t>Mureș</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5B060E">
        <w:rPr>
          <w:rFonts w:ascii="Times New Roman" w:hAnsi="Times New Roman"/>
          <w:sz w:val="24"/>
          <w:szCs w:val="24"/>
        </w:rPr>
        <w:t>2481</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5B060E">
        <w:rPr>
          <w:rFonts w:ascii="Times New Roman" w:hAnsi="Times New Roman"/>
          <w:sz w:val="24"/>
          <w:szCs w:val="24"/>
        </w:rPr>
        <w:t>05.03.2019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F30F4B">
      <w:pPr>
        <w:spacing w:after="0" w:line="240" w:lineRule="auto"/>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DD3F0F">
        <w:rPr>
          <w:rFonts w:ascii="Times New Roman" w:hAnsi="Times New Roman"/>
          <w:b/>
          <w:i/>
          <w:sz w:val="24"/>
          <w:szCs w:val="24"/>
        </w:rPr>
        <w:t>06.06</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5B060E">
        <w:rPr>
          <w:rStyle w:val="tpa1"/>
          <w:rFonts w:ascii="Times New Roman" w:hAnsi="Times New Roman"/>
          <w:b/>
          <w:i/>
          <w:sz w:val="24"/>
          <w:szCs w:val="24"/>
        </w:rPr>
        <w:t>Lucrări</w:t>
      </w:r>
      <w:proofErr w:type="spellEnd"/>
      <w:r w:rsidR="005B060E">
        <w:rPr>
          <w:rStyle w:val="tpa1"/>
          <w:rFonts w:ascii="Times New Roman" w:hAnsi="Times New Roman"/>
          <w:b/>
          <w:i/>
          <w:sz w:val="24"/>
          <w:szCs w:val="24"/>
        </w:rPr>
        <w:t xml:space="preserve"> </w:t>
      </w:r>
      <w:proofErr w:type="spellStart"/>
      <w:r w:rsidR="005B060E">
        <w:rPr>
          <w:rStyle w:val="tpa1"/>
          <w:rFonts w:ascii="Times New Roman" w:hAnsi="Times New Roman"/>
          <w:b/>
          <w:i/>
          <w:sz w:val="24"/>
          <w:szCs w:val="24"/>
        </w:rPr>
        <w:t>pregătitoare</w:t>
      </w:r>
      <w:proofErr w:type="spellEnd"/>
      <w:r w:rsidR="005B060E">
        <w:rPr>
          <w:rStyle w:val="tpa1"/>
          <w:rFonts w:ascii="Times New Roman" w:hAnsi="Times New Roman"/>
          <w:b/>
          <w:i/>
          <w:sz w:val="24"/>
          <w:szCs w:val="24"/>
        </w:rPr>
        <w:t xml:space="preserve"> </w:t>
      </w:r>
      <w:proofErr w:type="spellStart"/>
      <w:r w:rsidR="005B060E">
        <w:rPr>
          <w:rStyle w:val="tpa1"/>
          <w:rFonts w:ascii="Times New Roman" w:hAnsi="Times New Roman"/>
          <w:b/>
          <w:i/>
          <w:sz w:val="24"/>
          <w:szCs w:val="24"/>
        </w:rPr>
        <w:t>provizorii</w:t>
      </w:r>
      <w:proofErr w:type="spellEnd"/>
      <w:r w:rsidR="005B060E">
        <w:rPr>
          <w:rStyle w:val="tpa1"/>
          <w:rFonts w:ascii="Times New Roman" w:hAnsi="Times New Roman"/>
          <w:b/>
          <w:i/>
          <w:sz w:val="24"/>
          <w:szCs w:val="24"/>
        </w:rPr>
        <w:t xml:space="preserve"> </w:t>
      </w:r>
      <w:proofErr w:type="spellStart"/>
      <w:r w:rsidR="005B060E">
        <w:rPr>
          <w:rStyle w:val="tpa1"/>
          <w:rFonts w:ascii="Times New Roman" w:hAnsi="Times New Roman"/>
          <w:b/>
          <w:i/>
          <w:sz w:val="24"/>
          <w:szCs w:val="24"/>
        </w:rPr>
        <w:t>și</w:t>
      </w:r>
      <w:proofErr w:type="spellEnd"/>
      <w:r w:rsidR="005B060E">
        <w:rPr>
          <w:rStyle w:val="tpa1"/>
          <w:rFonts w:ascii="Times New Roman" w:hAnsi="Times New Roman"/>
          <w:b/>
          <w:i/>
          <w:sz w:val="24"/>
          <w:szCs w:val="24"/>
        </w:rPr>
        <w:t xml:space="preserve"> </w:t>
      </w:r>
      <w:proofErr w:type="spellStart"/>
      <w:r w:rsidR="005B060E">
        <w:rPr>
          <w:rStyle w:val="tpa1"/>
          <w:rFonts w:ascii="Times New Roman" w:hAnsi="Times New Roman"/>
          <w:b/>
          <w:i/>
          <w:sz w:val="24"/>
          <w:szCs w:val="24"/>
        </w:rPr>
        <w:t>forajul</w:t>
      </w:r>
      <w:proofErr w:type="spellEnd"/>
      <w:r w:rsidR="005B060E">
        <w:rPr>
          <w:rStyle w:val="tpa1"/>
          <w:rFonts w:ascii="Times New Roman" w:hAnsi="Times New Roman"/>
          <w:b/>
          <w:i/>
          <w:sz w:val="24"/>
          <w:szCs w:val="24"/>
        </w:rPr>
        <w:t xml:space="preserve"> </w:t>
      </w:r>
      <w:proofErr w:type="spellStart"/>
      <w:r w:rsidR="005B060E">
        <w:rPr>
          <w:rStyle w:val="tpa1"/>
          <w:rFonts w:ascii="Times New Roman" w:hAnsi="Times New Roman"/>
          <w:b/>
          <w:i/>
          <w:sz w:val="24"/>
          <w:szCs w:val="24"/>
        </w:rPr>
        <w:t>sondei</w:t>
      </w:r>
      <w:proofErr w:type="spellEnd"/>
      <w:r w:rsidR="005B060E">
        <w:rPr>
          <w:rStyle w:val="tpa1"/>
          <w:rFonts w:ascii="Times New Roman" w:hAnsi="Times New Roman"/>
          <w:b/>
          <w:i/>
          <w:sz w:val="24"/>
          <w:szCs w:val="24"/>
        </w:rPr>
        <w:t xml:space="preserve"> de </w:t>
      </w:r>
      <w:proofErr w:type="spellStart"/>
      <w:r w:rsidR="005B060E">
        <w:rPr>
          <w:rStyle w:val="tpa1"/>
          <w:rFonts w:ascii="Times New Roman" w:hAnsi="Times New Roman"/>
          <w:b/>
          <w:i/>
          <w:sz w:val="24"/>
          <w:szCs w:val="24"/>
        </w:rPr>
        <w:t>exploatare</w:t>
      </w:r>
      <w:proofErr w:type="spellEnd"/>
      <w:r w:rsidR="005B060E">
        <w:rPr>
          <w:rStyle w:val="tpa1"/>
          <w:rFonts w:ascii="Times New Roman" w:hAnsi="Times New Roman"/>
          <w:b/>
          <w:i/>
          <w:sz w:val="24"/>
          <w:szCs w:val="24"/>
        </w:rPr>
        <w:t xml:space="preserve"> gaze natural </w:t>
      </w:r>
      <w:proofErr w:type="spellStart"/>
      <w:r w:rsidR="005B060E">
        <w:rPr>
          <w:rStyle w:val="tpa1"/>
          <w:rFonts w:ascii="Times New Roman" w:hAnsi="Times New Roman"/>
          <w:b/>
          <w:i/>
          <w:sz w:val="24"/>
          <w:szCs w:val="24"/>
        </w:rPr>
        <w:t>sonda</w:t>
      </w:r>
      <w:proofErr w:type="spellEnd"/>
      <w:r w:rsidR="005B060E">
        <w:rPr>
          <w:rStyle w:val="tpa1"/>
          <w:rFonts w:ascii="Times New Roman" w:hAnsi="Times New Roman"/>
          <w:b/>
          <w:i/>
          <w:sz w:val="24"/>
          <w:szCs w:val="24"/>
        </w:rPr>
        <w:t xml:space="preserve"> 15 </w:t>
      </w:r>
      <w:proofErr w:type="spellStart"/>
      <w:r w:rsidR="005B060E">
        <w:rPr>
          <w:rStyle w:val="tpa1"/>
          <w:rFonts w:ascii="Times New Roman" w:hAnsi="Times New Roman"/>
          <w:b/>
          <w:i/>
          <w:sz w:val="24"/>
          <w:szCs w:val="24"/>
        </w:rPr>
        <w:t>Boteni</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FF4021">
        <w:rPr>
          <w:rFonts w:ascii="Times New Roman" w:hAnsi="Times New Roman"/>
          <w:sz w:val="24"/>
          <w:szCs w:val="24"/>
          <w:lang w:val="fr-FR"/>
        </w:rPr>
        <w:t>extravilanul</w:t>
      </w:r>
      <w:proofErr w:type="spellEnd"/>
      <w:r w:rsidR="00FF4021">
        <w:rPr>
          <w:rFonts w:ascii="Times New Roman" w:hAnsi="Times New Roman"/>
          <w:sz w:val="24"/>
          <w:szCs w:val="24"/>
          <w:lang w:val="fr-FR"/>
        </w:rPr>
        <w:t xml:space="preserve"> </w:t>
      </w:r>
      <w:proofErr w:type="spellStart"/>
      <w:r w:rsidR="005B060E">
        <w:rPr>
          <w:rFonts w:ascii="Times New Roman" w:hAnsi="Times New Roman"/>
          <w:sz w:val="24"/>
          <w:szCs w:val="24"/>
          <w:lang w:val="fr-FR"/>
        </w:rPr>
        <w:t>o</w:t>
      </w:r>
      <w:r w:rsidR="00D7120F">
        <w:rPr>
          <w:rFonts w:ascii="Times New Roman" w:hAnsi="Times New Roman"/>
          <w:sz w:val="24"/>
          <w:szCs w:val="24"/>
          <w:lang w:val="fr-FR"/>
        </w:rPr>
        <w:t>rașului</w:t>
      </w:r>
      <w:proofErr w:type="spellEnd"/>
      <w:r w:rsidR="00D7120F">
        <w:rPr>
          <w:rFonts w:ascii="Times New Roman" w:hAnsi="Times New Roman"/>
          <w:sz w:val="24"/>
          <w:szCs w:val="24"/>
          <w:lang w:val="fr-FR"/>
        </w:rPr>
        <w:t xml:space="preserve"> </w:t>
      </w:r>
      <w:proofErr w:type="spellStart"/>
      <w:r w:rsidR="00D7120F">
        <w:rPr>
          <w:rFonts w:ascii="Times New Roman" w:hAnsi="Times New Roman"/>
          <w:sz w:val="24"/>
          <w:szCs w:val="24"/>
          <w:lang w:val="fr-FR"/>
        </w:rPr>
        <w:t>Titu</w:t>
      </w:r>
      <w:proofErr w:type="spellEnd"/>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F30F4B">
      <w:pPr>
        <w:pStyle w:val="ListParagraph"/>
        <w:numPr>
          <w:ilvl w:val="0"/>
          <w:numId w:val="35"/>
        </w:numPr>
        <w:ind w:left="0"/>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F30F4B">
      <w:pPr>
        <w:pStyle w:val="ListParagraph"/>
        <w:numPr>
          <w:ilvl w:val="0"/>
          <w:numId w:val="35"/>
        </w:numPr>
        <w:ind w:left="0"/>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F30F4B" w:rsidRDefault="002D4DF7" w:rsidP="00F30F4B">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Justificarea prezentei decizii:</w:t>
      </w:r>
    </w:p>
    <w:p w:rsidR="002D4DF7" w:rsidRPr="0014164B" w:rsidRDefault="002D4DF7" w:rsidP="00F30F4B">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F30F4B">
      <w:pPr>
        <w:pStyle w:val="Char"/>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B81905">
        <w:rPr>
          <w:rStyle w:val="tpa1"/>
          <w:lang w:val="pt-BR"/>
        </w:rPr>
        <w:t>2</w:t>
      </w:r>
      <w:r w:rsidR="00E90669" w:rsidRPr="0014164B">
        <w:rPr>
          <w:rStyle w:val="tpa1"/>
          <w:lang w:val="pt-BR"/>
        </w:rPr>
        <w:t xml:space="preserve">,  lit. </w:t>
      </w:r>
      <w:r w:rsidR="00B81905">
        <w:rPr>
          <w:rStyle w:val="tpa1"/>
          <w:lang w:val="pt-BR"/>
        </w:rPr>
        <w:t>e</w:t>
      </w:r>
      <w:r w:rsidR="00E90669" w:rsidRPr="0014164B">
        <w:rPr>
          <w:rStyle w:val="tpa1"/>
          <w:lang w:val="pt-BR"/>
        </w:rPr>
        <w:t xml:space="preserve"> </w:t>
      </w:r>
      <w:r w:rsidR="00E90669" w:rsidRPr="0014164B">
        <w:rPr>
          <w:i/>
        </w:rPr>
        <w:t>,,</w:t>
      </w:r>
      <w:r w:rsidR="00B81905">
        <w:rPr>
          <w:i/>
        </w:rPr>
        <w:t>instalații industriale de suprafață pentru extracția cărbunelui, petrolului, gazelor naturale și minereurilor, precum și a șisturilor bituminoase</w:t>
      </w:r>
      <w:r w:rsidR="00E90669" w:rsidRPr="0014164B">
        <w:rPr>
          <w:i/>
        </w:rPr>
        <w:t>.”</w:t>
      </w:r>
    </w:p>
    <w:p w:rsidR="001A3561" w:rsidRPr="0014164B" w:rsidRDefault="001A3561" w:rsidP="00F30F4B">
      <w:pPr>
        <w:pStyle w:val="Char"/>
        <w:jc w:val="both"/>
        <w:rPr>
          <w:color w:val="191919"/>
        </w:rPr>
      </w:pPr>
      <w:r w:rsidRPr="0014164B">
        <w:rPr>
          <w:color w:val="191919"/>
        </w:rPr>
        <w:t>b) s-au realizat completarea şi analiza listei de control pentru etapa de încadrare, consultarea membrilor CAT  în  şedinţa din data de </w:t>
      </w:r>
      <w:r w:rsidR="00523245">
        <w:rPr>
          <w:b/>
        </w:rPr>
        <w:t>06.06</w:t>
      </w:r>
      <w:r w:rsidR="00CD4E5D" w:rsidRPr="0014164B">
        <w:rPr>
          <w:b/>
        </w:rPr>
        <w:t>.2019</w:t>
      </w:r>
      <w:r w:rsidRPr="0014164B">
        <w:rPr>
          <w:color w:val="191919"/>
        </w:rPr>
        <w:t>, la sediul  APM Dâmboviţa;</w:t>
      </w:r>
    </w:p>
    <w:p w:rsidR="001118CC" w:rsidRDefault="001118CC" w:rsidP="00F30F4B">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F30F4B">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FF4021">
        <w:rPr>
          <w:rFonts w:ascii="Times New Roman" w:hAnsi="Times New Roman"/>
          <w:sz w:val="24"/>
          <w:szCs w:val="24"/>
          <w:lang w:val="it-IT"/>
        </w:rPr>
        <w:t xml:space="preserve">extravilan </w:t>
      </w:r>
      <w:r w:rsidR="00D7120F">
        <w:rPr>
          <w:rFonts w:ascii="Times New Roman" w:hAnsi="Times New Roman"/>
          <w:sz w:val="24"/>
          <w:szCs w:val="24"/>
          <w:lang w:val="it-IT"/>
        </w:rPr>
        <w:t>orașului Titu</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69214B"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3664941"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w:t>
      </w:r>
      <w:r w:rsidR="00C73F9F">
        <w:rPr>
          <w:rFonts w:ascii="Times New Roman" w:hAnsi="Times New Roman"/>
          <w:color w:val="191919"/>
          <w:sz w:val="24"/>
          <w:szCs w:val="24"/>
          <w:lang w:val="fr-FR"/>
        </w:rPr>
        <w:t>nu este</w:t>
      </w:r>
      <w:r w:rsidR="00E60AEC">
        <w:rPr>
          <w:rFonts w:ascii="Times New Roman" w:hAnsi="Times New Roman"/>
          <w:color w:val="191919"/>
          <w:sz w:val="24"/>
          <w:szCs w:val="24"/>
          <w:lang w:val="fr-FR"/>
        </w:rPr>
        <w:t xml:space="preserve"> </w:t>
      </w:r>
      <w:proofErr w:type="spellStart"/>
      <w:r w:rsidR="00E60AEC">
        <w:rPr>
          <w:rFonts w:ascii="Times New Roman" w:hAnsi="Times New Roman"/>
          <w:color w:val="191919"/>
          <w:sz w:val="24"/>
          <w:szCs w:val="24"/>
          <w:lang w:val="fr-FR"/>
        </w:rPr>
        <w:t>necesarea</w:t>
      </w:r>
      <w:proofErr w:type="spellEnd"/>
      <w:r w:rsidR="00E60AEC">
        <w:rPr>
          <w:rFonts w:ascii="Times New Roman" w:hAnsi="Times New Roman"/>
          <w:color w:val="191919"/>
          <w:sz w:val="24"/>
          <w:szCs w:val="24"/>
          <w:lang w:val="fr-FR"/>
        </w:rPr>
        <w:t xml:space="preserve"> </w:t>
      </w:r>
      <w:proofErr w:type="spellStart"/>
      <w:r w:rsidR="00E60AEC">
        <w:rPr>
          <w:rFonts w:ascii="Times New Roman" w:hAnsi="Times New Roman"/>
          <w:color w:val="191919"/>
          <w:sz w:val="24"/>
          <w:szCs w:val="24"/>
          <w:lang w:val="fr-FR"/>
        </w:rPr>
        <w:t>eleborarea</w:t>
      </w:r>
      <w:proofErr w:type="spellEnd"/>
      <w:r w:rsidR="00E60AEC">
        <w:rPr>
          <w:rFonts w:ascii="Times New Roman" w:hAnsi="Times New Roman"/>
          <w:color w:val="191919"/>
          <w:sz w:val="24"/>
          <w:szCs w:val="24"/>
          <w:lang w:val="fr-FR"/>
        </w:rPr>
        <w:t xml:space="preserve"> SEICA </w:t>
      </w:r>
      <w:proofErr w:type="spellStart"/>
      <w:r w:rsidR="00E60AEC">
        <w:rPr>
          <w:rFonts w:ascii="Times New Roman" w:hAnsi="Times New Roman"/>
          <w:color w:val="191919"/>
          <w:sz w:val="24"/>
          <w:szCs w:val="24"/>
          <w:lang w:val="fr-FR"/>
        </w:rPr>
        <w:t>conform</w:t>
      </w:r>
      <w:proofErr w:type="spellEnd"/>
      <w:r w:rsidR="00E60AEC">
        <w:rPr>
          <w:rFonts w:ascii="Times New Roman" w:hAnsi="Times New Roman"/>
          <w:color w:val="191919"/>
          <w:sz w:val="24"/>
          <w:szCs w:val="24"/>
          <w:lang w:val="fr-FR"/>
        </w:rPr>
        <w:t xml:space="preserve"> </w:t>
      </w:r>
      <w:proofErr w:type="spellStart"/>
      <w:r w:rsidR="00E60AEC">
        <w:rPr>
          <w:rFonts w:ascii="Times New Roman" w:hAnsi="Times New Roman"/>
          <w:color w:val="191919"/>
          <w:sz w:val="24"/>
          <w:szCs w:val="24"/>
          <w:lang w:val="fr-FR"/>
        </w:rPr>
        <w:t>adresei</w:t>
      </w:r>
      <w:proofErr w:type="spellEnd"/>
      <w:r w:rsidR="00E60AEC">
        <w:rPr>
          <w:rFonts w:ascii="Times New Roman" w:hAnsi="Times New Roman"/>
          <w:color w:val="191919"/>
          <w:sz w:val="24"/>
          <w:szCs w:val="24"/>
          <w:lang w:val="fr-FR"/>
        </w:rPr>
        <w:t xml:space="preserve"> ANAR </w:t>
      </w:r>
      <w:proofErr w:type="spellStart"/>
      <w:r w:rsidR="00E60AEC">
        <w:rPr>
          <w:rFonts w:ascii="Times New Roman" w:hAnsi="Times New Roman"/>
          <w:color w:val="191919"/>
          <w:sz w:val="24"/>
          <w:szCs w:val="24"/>
          <w:lang w:val="fr-FR"/>
        </w:rPr>
        <w:t>inregistrată</w:t>
      </w:r>
      <w:proofErr w:type="spellEnd"/>
      <w:r w:rsidR="00E60AEC">
        <w:rPr>
          <w:rFonts w:ascii="Times New Roman" w:hAnsi="Times New Roman"/>
          <w:color w:val="191919"/>
          <w:sz w:val="24"/>
          <w:szCs w:val="24"/>
          <w:lang w:val="fr-FR"/>
        </w:rPr>
        <w:t xml:space="preserve"> </w:t>
      </w:r>
      <w:proofErr w:type="gramStart"/>
      <w:r w:rsidR="00E60AEC">
        <w:rPr>
          <w:rFonts w:ascii="Times New Roman" w:hAnsi="Times New Roman"/>
          <w:color w:val="191919"/>
          <w:sz w:val="24"/>
          <w:szCs w:val="24"/>
          <w:lang w:val="fr-FR"/>
        </w:rPr>
        <w:t>la A.P.M</w:t>
      </w:r>
      <w:proofErr w:type="gramEnd"/>
      <w:r w:rsidR="00E60AEC">
        <w:rPr>
          <w:rFonts w:ascii="Times New Roman" w:hAnsi="Times New Roman"/>
          <w:color w:val="191919"/>
          <w:sz w:val="24"/>
          <w:szCs w:val="24"/>
          <w:lang w:val="fr-FR"/>
        </w:rPr>
        <w:t xml:space="preserve">. </w:t>
      </w:r>
      <w:proofErr w:type="spellStart"/>
      <w:r w:rsidR="00E60AEC">
        <w:rPr>
          <w:rFonts w:ascii="Times New Roman" w:hAnsi="Times New Roman"/>
          <w:color w:val="191919"/>
          <w:sz w:val="24"/>
          <w:szCs w:val="24"/>
          <w:lang w:val="fr-FR"/>
        </w:rPr>
        <w:t>Dâmbovița</w:t>
      </w:r>
      <w:proofErr w:type="spellEnd"/>
      <w:r w:rsidR="00E60AEC">
        <w:rPr>
          <w:rFonts w:ascii="Times New Roman" w:hAnsi="Times New Roman"/>
          <w:color w:val="191919"/>
          <w:sz w:val="24"/>
          <w:szCs w:val="24"/>
          <w:lang w:val="fr-FR"/>
        </w:rPr>
        <w:t xml:space="preserve"> </w:t>
      </w:r>
      <w:proofErr w:type="spellStart"/>
      <w:r w:rsidR="00E60AEC">
        <w:rPr>
          <w:rFonts w:ascii="Times New Roman" w:hAnsi="Times New Roman"/>
          <w:color w:val="191919"/>
          <w:sz w:val="24"/>
          <w:szCs w:val="24"/>
          <w:lang w:val="fr-FR"/>
        </w:rPr>
        <w:t>cu</w:t>
      </w:r>
      <w:proofErr w:type="spellEnd"/>
      <w:r w:rsidR="00E60AEC">
        <w:rPr>
          <w:rFonts w:ascii="Times New Roman" w:hAnsi="Times New Roman"/>
          <w:color w:val="191919"/>
          <w:sz w:val="24"/>
          <w:szCs w:val="24"/>
          <w:lang w:val="fr-FR"/>
        </w:rPr>
        <w:t xml:space="preserve"> nr. 9214 </w:t>
      </w:r>
      <w:proofErr w:type="spellStart"/>
      <w:r w:rsidR="00E60AEC">
        <w:rPr>
          <w:rFonts w:ascii="Times New Roman" w:hAnsi="Times New Roman"/>
          <w:color w:val="191919"/>
          <w:sz w:val="24"/>
          <w:szCs w:val="24"/>
          <w:lang w:val="fr-FR"/>
        </w:rPr>
        <w:t>din</w:t>
      </w:r>
      <w:proofErr w:type="spellEnd"/>
      <w:r w:rsidR="00E60AEC">
        <w:rPr>
          <w:rFonts w:ascii="Times New Roman" w:hAnsi="Times New Roman"/>
          <w:color w:val="191919"/>
          <w:sz w:val="24"/>
          <w:szCs w:val="24"/>
          <w:lang w:val="fr-FR"/>
        </w:rPr>
        <w:t xml:space="preserve"> 10.06.2019.</w:t>
      </w:r>
      <w:r w:rsidR="00C73F9F">
        <w:rPr>
          <w:rFonts w:ascii="Times New Roman" w:hAnsi="Times New Roman"/>
          <w:color w:val="191919"/>
          <w:sz w:val="24"/>
          <w:szCs w:val="24"/>
          <w:lang w:val="fr-FR"/>
        </w:rPr>
        <w:t xml:space="preserve"> </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6742C7" w:rsidRPr="006742C7" w:rsidRDefault="006742C7" w:rsidP="006C7BBE">
      <w:pPr>
        <w:spacing w:after="0" w:line="240" w:lineRule="auto"/>
        <w:ind w:firstLine="357"/>
        <w:jc w:val="both"/>
        <w:rPr>
          <w:rFonts w:ascii="Times New Roman" w:hAnsi="Times New Roman"/>
          <w:b/>
          <w:color w:val="212120"/>
          <w:kern w:val="28"/>
          <w:sz w:val="24"/>
          <w:szCs w:val="24"/>
          <w:lang w:val="ro-RO"/>
        </w:rPr>
      </w:pPr>
      <w:r w:rsidRPr="006742C7">
        <w:rPr>
          <w:rFonts w:ascii="Times New Roman" w:hAnsi="Times New Roman"/>
          <w:color w:val="212120"/>
          <w:kern w:val="28"/>
          <w:sz w:val="24"/>
          <w:szCs w:val="24"/>
          <w:lang w:val="ro-RO"/>
        </w:rPr>
        <w:t>În vederea realizării obiectivului se vor efectua următoarele:</w:t>
      </w:r>
    </w:p>
    <w:p w:rsidR="006742C7" w:rsidRPr="006742C7" w:rsidRDefault="006742C7" w:rsidP="006C7BBE">
      <w:pPr>
        <w:spacing w:after="0" w:line="240" w:lineRule="auto"/>
        <w:ind w:firstLine="357"/>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Executarea lucrărilor de pregătire şi organizare prin lucrări de construcţii-montaj în legătură cu instalaţia de foraj.</w:t>
      </w:r>
    </w:p>
    <w:p w:rsidR="006742C7" w:rsidRPr="006742C7" w:rsidRDefault="006742C7" w:rsidP="006742C7">
      <w:pPr>
        <w:spacing w:after="0" w:line="240" w:lineRule="auto"/>
        <w:ind w:left="714" w:hanging="357"/>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Executarea lucrărilor de foraj propriu-zise.</w:t>
      </w:r>
    </w:p>
    <w:p w:rsidR="006742C7" w:rsidRPr="006742C7" w:rsidRDefault="006742C7" w:rsidP="006C7BBE">
      <w:pPr>
        <w:spacing w:after="0" w:line="240" w:lineRule="auto"/>
        <w:ind w:firstLine="357"/>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Încheierea procesului de foraj, demobilizarea instalaţiei de foraj şi a anexelor precum şi transportul acestora la altă locaţie sau la baza de reparaţii.</w:t>
      </w:r>
    </w:p>
    <w:p w:rsidR="006742C7" w:rsidRPr="006742C7" w:rsidRDefault="006742C7" w:rsidP="006742C7">
      <w:pPr>
        <w:spacing w:after="0" w:line="240" w:lineRule="auto"/>
        <w:ind w:left="714" w:hanging="357"/>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Executarea lucrărilor de probare a stratelor şi pregătirea sondei pentru exploatare.</w:t>
      </w:r>
    </w:p>
    <w:p w:rsidR="006742C7" w:rsidRPr="006742C7" w:rsidRDefault="00A423D9" w:rsidP="00A423D9">
      <w:pPr>
        <w:tabs>
          <w:tab w:val="left" w:pos="567"/>
        </w:tabs>
        <w:spacing w:after="0" w:line="240" w:lineRule="auto"/>
        <w:ind w:hanging="357"/>
        <w:jc w:val="both"/>
        <w:rPr>
          <w:rFonts w:ascii="Times New Roman" w:hAnsi="Times New Roman"/>
          <w:color w:val="212120"/>
          <w:kern w:val="28"/>
          <w:sz w:val="24"/>
          <w:szCs w:val="24"/>
          <w:lang w:val="ro-RO"/>
        </w:rPr>
      </w:pPr>
      <w:r>
        <w:rPr>
          <w:rFonts w:ascii="Times New Roman" w:hAnsi="Times New Roman"/>
          <w:color w:val="212120"/>
          <w:kern w:val="28"/>
          <w:sz w:val="24"/>
          <w:szCs w:val="24"/>
          <w:lang w:val="ro-RO"/>
        </w:rPr>
        <w:tab/>
      </w:r>
      <w:r w:rsidR="009332C6">
        <w:rPr>
          <w:rFonts w:ascii="Times New Roman" w:hAnsi="Times New Roman"/>
          <w:color w:val="212120"/>
          <w:kern w:val="28"/>
          <w:sz w:val="24"/>
          <w:szCs w:val="24"/>
          <w:lang w:val="ro-RO"/>
        </w:rPr>
        <w:t xml:space="preserve">      </w:t>
      </w:r>
      <w:r w:rsidR="006742C7" w:rsidRPr="006742C7">
        <w:rPr>
          <w:rFonts w:ascii="Times New Roman" w:hAnsi="Times New Roman"/>
          <w:color w:val="212120"/>
          <w:kern w:val="28"/>
          <w:sz w:val="24"/>
          <w:szCs w:val="24"/>
          <w:lang w:val="ro-RO"/>
        </w:rPr>
        <w:t>Executarea de lucrări pentru redarea terenului în circuitul in</w:t>
      </w:r>
      <w:r>
        <w:rPr>
          <w:rFonts w:ascii="Times New Roman" w:hAnsi="Times New Roman"/>
          <w:color w:val="212120"/>
          <w:kern w:val="28"/>
          <w:sz w:val="24"/>
          <w:szCs w:val="24"/>
          <w:lang w:val="ro-RO"/>
        </w:rPr>
        <w:t xml:space="preserve">iţial (lucrări de reconstrucţie </w:t>
      </w:r>
      <w:r w:rsidR="006742C7" w:rsidRPr="006742C7">
        <w:rPr>
          <w:rFonts w:ascii="Times New Roman" w:hAnsi="Times New Roman"/>
          <w:color w:val="212120"/>
          <w:kern w:val="28"/>
          <w:sz w:val="24"/>
          <w:szCs w:val="24"/>
          <w:lang w:val="ro-RO"/>
        </w:rPr>
        <w:t>ecologică).</w:t>
      </w:r>
      <w:r>
        <w:rPr>
          <w:rFonts w:ascii="Times New Roman" w:hAnsi="Times New Roman"/>
          <w:color w:val="212120"/>
          <w:kern w:val="28"/>
          <w:sz w:val="24"/>
          <w:szCs w:val="24"/>
          <w:lang w:val="ro-RO"/>
        </w:rPr>
        <w:t xml:space="preserve"> </w:t>
      </w:r>
      <w:r w:rsidR="006742C7" w:rsidRPr="006742C7">
        <w:rPr>
          <w:rFonts w:ascii="Times New Roman" w:hAnsi="Times New Roman"/>
          <w:color w:val="212120"/>
          <w:kern w:val="28"/>
          <w:sz w:val="24"/>
          <w:szCs w:val="24"/>
          <w:lang w:val="ro-RO"/>
        </w:rPr>
        <w:t xml:space="preserve">Lucrările de pregătire şi organizare constau în lucrări pentru amenajarea drumului de acces la sondă, amenajarea careului sondei precum şi lucrări pentru protecţie mediu aferente instalaţiei de foraj. </w:t>
      </w:r>
    </w:p>
    <w:p w:rsidR="006742C7" w:rsidRPr="006742C7" w:rsidRDefault="009332C6" w:rsidP="006742C7">
      <w:pPr>
        <w:tabs>
          <w:tab w:val="left" w:pos="0"/>
        </w:tabs>
        <w:spacing w:after="0" w:line="240" w:lineRule="auto"/>
        <w:jc w:val="both"/>
        <w:rPr>
          <w:rFonts w:ascii="Times New Roman" w:hAnsi="Times New Roman"/>
          <w:color w:val="000000"/>
          <w:kern w:val="28"/>
          <w:sz w:val="24"/>
          <w:szCs w:val="24"/>
          <w:lang w:val="ro-RO"/>
        </w:rPr>
      </w:pPr>
      <w:r>
        <w:rPr>
          <w:rFonts w:ascii="Times New Roman" w:hAnsi="Times New Roman"/>
          <w:color w:val="212120"/>
          <w:kern w:val="28"/>
          <w:sz w:val="24"/>
          <w:szCs w:val="24"/>
          <w:lang w:val="ro-RO"/>
        </w:rPr>
        <w:tab/>
      </w:r>
      <w:r w:rsidR="006742C7" w:rsidRPr="006742C7">
        <w:rPr>
          <w:rFonts w:ascii="Times New Roman" w:hAnsi="Times New Roman"/>
          <w:color w:val="212120"/>
          <w:kern w:val="28"/>
          <w:sz w:val="24"/>
          <w:szCs w:val="24"/>
          <w:lang w:val="ro-RO"/>
        </w:rPr>
        <w:t>Amplasamentul locaţiei sondei este reglementat prin Certificatul de Urbanism nr. 235 din 17.11.2018 emis de Consiliul Local Titu, jud. Dambovita.</w:t>
      </w:r>
    </w:p>
    <w:p w:rsidR="006742C7" w:rsidRPr="006742C7" w:rsidRDefault="008A1D8D" w:rsidP="006742C7">
      <w:pPr>
        <w:tabs>
          <w:tab w:val="left" w:pos="0"/>
        </w:tabs>
        <w:spacing w:after="0" w:line="240" w:lineRule="auto"/>
        <w:jc w:val="both"/>
        <w:rPr>
          <w:rFonts w:ascii="Times New Roman" w:hAnsi="Times New Roman"/>
          <w:color w:val="212120"/>
          <w:kern w:val="28"/>
          <w:sz w:val="24"/>
          <w:szCs w:val="24"/>
          <w:lang w:val="ro-RO"/>
        </w:rPr>
      </w:pPr>
      <w:r>
        <w:rPr>
          <w:rFonts w:ascii="Times New Roman" w:hAnsi="Times New Roman"/>
          <w:color w:val="212120"/>
          <w:kern w:val="28"/>
          <w:sz w:val="24"/>
          <w:szCs w:val="24"/>
          <w:lang w:val="ro-RO"/>
        </w:rPr>
        <w:tab/>
      </w:r>
      <w:r w:rsidR="006742C7" w:rsidRPr="006742C7">
        <w:rPr>
          <w:rFonts w:ascii="Times New Roman" w:hAnsi="Times New Roman"/>
          <w:color w:val="212120"/>
          <w:kern w:val="28"/>
          <w:sz w:val="24"/>
          <w:szCs w:val="24"/>
          <w:lang w:val="ro-RO"/>
        </w:rPr>
        <w:t xml:space="preserve">Sonda se va fora la adâncimea de </w:t>
      </w:r>
      <w:r w:rsidR="006742C7" w:rsidRPr="006742C7">
        <w:rPr>
          <w:rFonts w:ascii="Times New Roman" w:hAnsi="Times New Roman"/>
          <w:b/>
          <w:kern w:val="28"/>
          <w:sz w:val="24"/>
          <w:szCs w:val="24"/>
          <w:lang w:val="ro-RO"/>
        </w:rPr>
        <w:t>1.950</w:t>
      </w:r>
      <w:r w:rsidR="006742C7" w:rsidRPr="006742C7">
        <w:rPr>
          <w:rFonts w:ascii="Times New Roman" w:hAnsi="Times New Roman"/>
          <w:b/>
          <w:color w:val="212120"/>
          <w:kern w:val="28"/>
          <w:sz w:val="24"/>
          <w:szCs w:val="24"/>
          <w:lang w:val="ro-RO"/>
        </w:rPr>
        <w:t xml:space="preserve"> m</w:t>
      </w:r>
      <w:r w:rsidR="006742C7" w:rsidRPr="006742C7">
        <w:rPr>
          <w:rFonts w:ascii="Times New Roman" w:hAnsi="Times New Roman"/>
          <w:color w:val="212120"/>
          <w:kern w:val="28"/>
          <w:sz w:val="24"/>
          <w:szCs w:val="24"/>
          <w:lang w:val="ro-RO"/>
        </w:rPr>
        <w:t xml:space="preserve">, cu ajutorul unei instalaţii de foraj cu sarcina la cârlig de minim </w:t>
      </w:r>
      <w:r w:rsidR="006742C7" w:rsidRPr="006742C7">
        <w:rPr>
          <w:rFonts w:ascii="Times New Roman" w:hAnsi="Times New Roman"/>
          <w:b/>
          <w:color w:val="212120"/>
          <w:kern w:val="28"/>
          <w:sz w:val="24"/>
          <w:szCs w:val="24"/>
          <w:lang w:val="ro-RO"/>
        </w:rPr>
        <w:t>125 tf (sau echivalentă)</w:t>
      </w:r>
      <w:r w:rsidR="006742C7" w:rsidRPr="006742C7">
        <w:rPr>
          <w:rFonts w:ascii="Times New Roman" w:hAnsi="Times New Roman"/>
          <w:color w:val="212120"/>
          <w:kern w:val="28"/>
          <w:sz w:val="24"/>
          <w:szCs w:val="24"/>
          <w:lang w:val="ro-RO"/>
        </w:rPr>
        <w:t xml:space="preserve">. </w:t>
      </w:r>
    </w:p>
    <w:p w:rsidR="006742C7" w:rsidRPr="006742C7" w:rsidRDefault="006742C7" w:rsidP="006742C7">
      <w:pPr>
        <w:tabs>
          <w:tab w:val="left" w:pos="0"/>
        </w:tabs>
        <w:spacing w:before="120" w:after="0" w:line="240" w:lineRule="auto"/>
        <w:ind w:left="1440" w:hanging="360"/>
        <w:jc w:val="both"/>
        <w:rPr>
          <w:rFonts w:ascii="Times New Roman" w:hAnsi="Times New Roman"/>
          <w:b/>
          <w:color w:val="212120"/>
          <w:kern w:val="28"/>
          <w:sz w:val="24"/>
          <w:szCs w:val="24"/>
          <w:lang w:val="ro-RO"/>
        </w:rPr>
      </w:pPr>
      <w:r w:rsidRPr="006742C7">
        <w:rPr>
          <w:rFonts w:ascii="Times New Roman" w:hAnsi="Times New Roman"/>
          <w:b/>
          <w:color w:val="212120"/>
          <w:kern w:val="28"/>
          <w:sz w:val="24"/>
          <w:szCs w:val="24"/>
          <w:lang w:val="ro-RO"/>
        </w:rPr>
        <w:t>Descrierea instalaţiei de foraj şi fluxuri tehnologice</w:t>
      </w:r>
    </w:p>
    <w:p w:rsidR="006742C7" w:rsidRPr="006742C7" w:rsidRDefault="008A1D8D" w:rsidP="006742C7">
      <w:pPr>
        <w:tabs>
          <w:tab w:val="left" w:pos="0"/>
        </w:tabs>
        <w:spacing w:after="0" w:line="240" w:lineRule="auto"/>
        <w:jc w:val="both"/>
        <w:rPr>
          <w:rFonts w:ascii="Times New Roman" w:hAnsi="Times New Roman"/>
          <w:color w:val="212120"/>
          <w:kern w:val="28"/>
          <w:sz w:val="24"/>
          <w:szCs w:val="24"/>
          <w:lang w:val="ro-RO"/>
        </w:rPr>
      </w:pPr>
      <w:r>
        <w:rPr>
          <w:rFonts w:ascii="Times New Roman" w:hAnsi="Times New Roman"/>
          <w:color w:val="212120"/>
          <w:kern w:val="28"/>
          <w:sz w:val="24"/>
          <w:szCs w:val="24"/>
          <w:lang w:val="ro-RO"/>
        </w:rPr>
        <w:tab/>
      </w:r>
      <w:r w:rsidR="006742C7" w:rsidRPr="006742C7">
        <w:rPr>
          <w:rFonts w:ascii="Times New Roman" w:hAnsi="Times New Roman"/>
          <w:color w:val="212120"/>
          <w:kern w:val="28"/>
          <w:sz w:val="24"/>
          <w:szCs w:val="24"/>
          <w:lang w:val="ro-RO"/>
        </w:rPr>
        <w:t>După terminarea lucrărilor pregătitoare, amplasarea şi montajul tuturor instalaţiilor şi dotărilor, se încep lucrările de foraj ale sondei. Proiectul de construcţie a sondei prevede următoarele elemente:</w:t>
      </w:r>
    </w:p>
    <w:p w:rsidR="006742C7" w:rsidRPr="008A1D8D" w:rsidRDefault="006742C7" w:rsidP="008A1D8D">
      <w:pPr>
        <w:pStyle w:val="ListParagraph"/>
        <w:numPr>
          <w:ilvl w:val="0"/>
          <w:numId w:val="36"/>
        </w:numPr>
        <w:jc w:val="both"/>
        <w:rPr>
          <w:color w:val="212120"/>
          <w:kern w:val="28"/>
          <w:szCs w:val="24"/>
          <w:lang w:val="ro-RO"/>
        </w:rPr>
      </w:pPr>
      <w:r w:rsidRPr="008A1D8D">
        <w:rPr>
          <w:color w:val="212120"/>
          <w:kern w:val="28"/>
          <w:szCs w:val="24"/>
          <w:lang w:val="ro-RO"/>
        </w:rPr>
        <w:t>tehnologia de foraj aplicată: foraj rotativ vertical;</w:t>
      </w:r>
    </w:p>
    <w:p w:rsidR="006742C7" w:rsidRPr="008A1D8D" w:rsidRDefault="006742C7" w:rsidP="008A1D8D">
      <w:pPr>
        <w:pStyle w:val="ListParagraph"/>
        <w:numPr>
          <w:ilvl w:val="0"/>
          <w:numId w:val="36"/>
        </w:numPr>
        <w:jc w:val="both"/>
        <w:rPr>
          <w:color w:val="212120"/>
          <w:kern w:val="28"/>
          <w:szCs w:val="24"/>
          <w:lang w:val="ro-RO"/>
        </w:rPr>
      </w:pPr>
      <w:r w:rsidRPr="008A1D8D">
        <w:rPr>
          <w:color w:val="212120"/>
          <w:kern w:val="28"/>
          <w:szCs w:val="24"/>
          <w:lang w:val="ro-RO"/>
        </w:rPr>
        <w:t>instalaţia de foraj: F.125 (sau echivalentă);</w:t>
      </w:r>
    </w:p>
    <w:p w:rsidR="006742C7" w:rsidRPr="008A1D8D" w:rsidRDefault="006742C7" w:rsidP="008A1D8D">
      <w:pPr>
        <w:pStyle w:val="ListParagraph"/>
        <w:numPr>
          <w:ilvl w:val="0"/>
          <w:numId w:val="36"/>
        </w:numPr>
        <w:jc w:val="both"/>
        <w:rPr>
          <w:color w:val="212120"/>
          <w:kern w:val="28"/>
          <w:szCs w:val="24"/>
          <w:lang w:val="ro-RO"/>
        </w:rPr>
      </w:pPr>
      <w:r w:rsidRPr="008A1D8D">
        <w:rPr>
          <w:kern w:val="28"/>
          <w:szCs w:val="24"/>
          <w:lang w:val="ro-RO"/>
        </w:rPr>
        <w:t xml:space="preserve">tipul şi proprietăţile fluidului de foraj: </w:t>
      </w:r>
      <w:r w:rsidRPr="008A1D8D">
        <w:rPr>
          <w:i/>
          <w:kern w:val="28"/>
          <w:szCs w:val="24"/>
          <w:lang w:val="ro-RO"/>
        </w:rPr>
        <w:t>natural-dispersat</w:t>
      </w:r>
      <w:r w:rsidRPr="008A1D8D">
        <w:rPr>
          <w:kern w:val="28"/>
          <w:szCs w:val="24"/>
          <w:lang w:val="ro-RO"/>
        </w:rPr>
        <w:t xml:space="preserve"> pe intervalul 0  ÷ 550 m şi </w:t>
      </w:r>
      <w:r w:rsidRPr="008A1D8D">
        <w:rPr>
          <w:i/>
          <w:kern w:val="28"/>
          <w:szCs w:val="24"/>
          <w:lang w:val="ro-RO"/>
        </w:rPr>
        <w:t>inhibitiv</w:t>
      </w:r>
      <w:r w:rsidRPr="008A1D8D">
        <w:rPr>
          <w:kern w:val="28"/>
          <w:szCs w:val="24"/>
          <w:lang w:val="ro-RO"/>
        </w:rPr>
        <w:t xml:space="preserve"> pe intervalul 550 ÷ 1.950 m; la pornirea forajului, fluidul de foraj este generat la locaţia sondei folosindu-se echipamentele</w:t>
      </w:r>
      <w:r w:rsidRPr="008A1D8D">
        <w:rPr>
          <w:color w:val="212120"/>
          <w:kern w:val="28"/>
          <w:szCs w:val="24"/>
          <w:lang w:val="ro-RO"/>
        </w:rPr>
        <w:t xml:space="preserve"> aferente (mixere, habe, agitatoare, etc.); circuitul complet al fluidului de foraj este următorul:</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fluidul de foraj este aspirat din haba de circulaţie de către pompele de noroi şi refulat cu presiune prin conducte orizontale şi verticale, prin capul hidraulic, garnitura de prăjini de foraj, după care iese prin duzele sapei, spălând talpa sondei;</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apoi, încărcat fiind cu detritusul rezultat ca urmare a acţiunii sapei de foraj, urcă prin spaţiul inelar dintre pereţii găurii sondei şi suprafaţa exterioară a garniturii de foraj către suprafaţă;</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odată ajuns la suprafaţă, fluidul este dirijat către sitele vibratoare unde are loc separarea detritusului, după care prin jgheaburi, ajunge în habele de circulaţie;</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fluidul de foraj este curăţat de particulele fine (nisip, rocă) cu ajutorul hidrocicloanelor şi  a unei centrifuge, este degazeificat (dacă e cazul), omogenizat şi tratat;</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fluidul astfel curăţat este recirculat în sondă;</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detritusul separat din fluidul de foraj este stocat într-o habă metalică semiîngropată de 10 m</w:t>
      </w:r>
      <w:r w:rsidRPr="006742C7">
        <w:rPr>
          <w:rFonts w:ascii="Times New Roman" w:hAnsi="Times New Roman"/>
          <w:color w:val="212120"/>
          <w:kern w:val="28"/>
          <w:sz w:val="24"/>
          <w:szCs w:val="24"/>
          <w:vertAlign w:val="superscript"/>
          <w:lang w:val="ro-RO"/>
        </w:rPr>
        <w:t>3</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programul de construcţie a sondei:</w:t>
      </w:r>
    </w:p>
    <w:p w:rsidR="006742C7" w:rsidRPr="006742C7" w:rsidRDefault="006742C7" w:rsidP="006742C7">
      <w:pPr>
        <w:numPr>
          <w:ilvl w:val="2"/>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coloana structurală</w:t>
      </w:r>
      <w:r w:rsidRPr="006742C7">
        <w:rPr>
          <w:rFonts w:ascii="Times New Roman" w:hAnsi="Times New Roman"/>
          <w:color w:val="212120"/>
          <w:kern w:val="28"/>
          <w:sz w:val="24"/>
          <w:szCs w:val="24"/>
        </w:rPr>
        <w:t xml:space="preserve"> </w:t>
      </w:r>
      <w:r w:rsidRPr="006742C7">
        <w:rPr>
          <w:rFonts w:ascii="Times New Roman" w:hAnsi="Times New Roman"/>
          <w:b/>
          <w:color w:val="212120"/>
          <w:kern w:val="28"/>
          <w:sz w:val="24"/>
          <w:szCs w:val="24"/>
          <w:lang w:val="ro-RO"/>
        </w:rPr>
        <w:t>16 in @ 50 m</w:t>
      </w:r>
      <w:r w:rsidRPr="006742C7">
        <w:rPr>
          <w:rFonts w:ascii="Times New Roman" w:hAnsi="Times New Roman"/>
          <w:color w:val="212120"/>
          <w:kern w:val="28"/>
          <w:sz w:val="24"/>
          <w:szCs w:val="24"/>
        </w:rPr>
        <w:t xml:space="preserve"> - </w:t>
      </w:r>
      <w:r w:rsidRPr="006742C7">
        <w:rPr>
          <w:rFonts w:ascii="Times New Roman" w:hAnsi="Times New Roman"/>
          <w:b/>
          <w:color w:val="212120"/>
          <w:kern w:val="28"/>
          <w:sz w:val="24"/>
          <w:szCs w:val="24"/>
          <w:lang w:val="ro-RO"/>
        </w:rPr>
        <w:t xml:space="preserve">batere cu </w:t>
      </w:r>
      <w:r w:rsidRPr="006742C7">
        <w:rPr>
          <w:rFonts w:ascii="Times New Roman" w:hAnsi="Times New Roman"/>
          <w:b/>
          <w:color w:val="212120"/>
          <w:kern w:val="28"/>
          <w:sz w:val="24"/>
          <w:szCs w:val="24"/>
        </w:rPr>
        <w:t>Hydro Hammer</w:t>
      </w:r>
    </w:p>
    <w:p w:rsidR="006742C7" w:rsidRPr="006742C7" w:rsidRDefault="006742C7" w:rsidP="006742C7">
      <w:pPr>
        <w:numPr>
          <w:ilvl w:val="2"/>
          <w:numId w:val="46"/>
        </w:numPr>
        <w:spacing w:after="0" w:line="240" w:lineRule="auto"/>
        <w:jc w:val="both"/>
        <w:rPr>
          <w:rFonts w:ascii="Times New Roman" w:hAnsi="Times New Roman"/>
          <w:color w:val="212120"/>
          <w:kern w:val="28"/>
          <w:sz w:val="24"/>
          <w:szCs w:val="24"/>
          <w:lang w:val="ro-RO"/>
        </w:rPr>
      </w:pPr>
      <w:proofErr w:type="spellStart"/>
      <w:r w:rsidRPr="006742C7">
        <w:rPr>
          <w:rFonts w:ascii="Times New Roman" w:hAnsi="Times New Roman"/>
          <w:color w:val="212120"/>
          <w:kern w:val="28"/>
          <w:sz w:val="24"/>
          <w:szCs w:val="24"/>
        </w:rPr>
        <w:t>coloana</w:t>
      </w:r>
      <w:proofErr w:type="spellEnd"/>
      <w:r w:rsidRPr="006742C7">
        <w:rPr>
          <w:rFonts w:ascii="Times New Roman" w:hAnsi="Times New Roman"/>
          <w:color w:val="212120"/>
          <w:kern w:val="28"/>
          <w:sz w:val="24"/>
          <w:szCs w:val="24"/>
        </w:rPr>
        <w:t xml:space="preserve"> de </w:t>
      </w:r>
      <w:proofErr w:type="spellStart"/>
      <w:r w:rsidRPr="006742C7">
        <w:rPr>
          <w:rFonts w:ascii="Times New Roman" w:hAnsi="Times New Roman"/>
          <w:color w:val="212120"/>
          <w:kern w:val="28"/>
          <w:sz w:val="24"/>
          <w:szCs w:val="24"/>
        </w:rPr>
        <w:t>ancoraj</w:t>
      </w:r>
      <w:proofErr w:type="spellEnd"/>
      <w:r w:rsidRPr="006742C7">
        <w:rPr>
          <w:rFonts w:ascii="Times New Roman" w:hAnsi="Times New Roman"/>
          <w:color w:val="212120"/>
          <w:kern w:val="28"/>
          <w:sz w:val="24"/>
          <w:szCs w:val="24"/>
        </w:rPr>
        <w:t xml:space="preserve"> </w:t>
      </w:r>
      <w:r w:rsidRPr="006742C7">
        <w:rPr>
          <w:rFonts w:ascii="Times New Roman" w:hAnsi="Times New Roman"/>
          <w:b/>
          <w:color w:val="212120"/>
          <w:kern w:val="28"/>
          <w:sz w:val="24"/>
          <w:szCs w:val="24"/>
          <w:lang w:val="ro-RO"/>
        </w:rPr>
        <w:t>9 ⅝ in @ 550 m</w:t>
      </w:r>
      <w:r w:rsidRPr="006742C7">
        <w:rPr>
          <w:rFonts w:ascii="Times New Roman" w:hAnsi="Times New Roman"/>
          <w:color w:val="212120"/>
          <w:kern w:val="28"/>
          <w:sz w:val="24"/>
          <w:szCs w:val="24"/>
          <w:lang w:val="ro-RO"/>
        </w:rPr>
        <w:t xml:space="preserve"> </w:t>
      </w:r>
    </w:p>
    <w:p w:rsidR="006742C7" w:rsidRPr="006742C7" w:rsidRDefault="006742C7" w:rsidP="006742C7">
      <w:pPr>
        <w:numPr>
          <w:ilvl w:val="2"/>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 xml:space="preserve">coloana de exploatare </w:t>
      </w:r>
      <w:r w:rsidRPr="006742C7">
        <w:rPr>
          <w:rFonts w:ascii="Times New Roman" w:hAnsi="Times New Roman"/>
          <w:b/>
          <w:color w:val="212120"/>
          <w:kern w:val="28"/>
          <w:sz w:val="24"/>
          <w:szCs w:val="24"/>
          <w:lang w:val="ro-RO"/>
        </w:rPr>
        <w:t>5 ½ in @ 1.950 m</w:t>
      </w:r>
    </w:p>
    <w:p w:rsidR="006742C7" w:rsidRPr="006742C7" w:rsidRDefault="006742C7" w:rsidP="006742C7">
      <w:pPr>
        <w:numPr>
          <w:ilvl w:val="1"/>
          <w:numId w:val="46"/>
        </w:numPr>
        <w:spacing w:after="0" w:line="240" w:lineRule="auto"/>
        <w:jc w:val="both"/>
        <w:rPr>
          <w:rFonts w:ascii="Times New Roman" w:hAnsi="Times New Roman"/>
          <w:color w:val="212120"/>
          <w:kern w:val="28"/>
          <w:sz w:val="24"/>
          <w:szCs w:val="24"/>
          <w:lang w:val="ro-RO"/>
        </w:rPr>
      </w:pPr>
      <w:r w:rsidRPr="006742C7">
        <w:rPr>
          <w:rFonts w:ascii="Times New Roman" w:hAnsi="Times New Roman"/>
          <w:color w:val="212120"/>
          <w:kern w:val="28"/>
          <w:sz w:val="24"/>
          <w:szCs w:val="24"/>
          <w:lang w:val="ro-RO"/>
        </w:rPr>
        <w:t>programul de cimentare: coloanele se vor cimenta la zi, cu pastă de ciment tip G.</w:t>
      </w:r>
    </w:p>
    <w:p w:rsidR="00EF1F9D" w:rsidRPr="00EF1F9D" w:rsidRDefault="00EF1F9D" w:rsidP="007D61DE">
      <w:pPr>
        <w:autoSpaceDE w:val="0"/>
        <w:autoSpaceDN w:val="0"/>
        <w:adjustRightInd w:val="0"/>
        <w:spacing w:after="0" w:line="240" w:lineRule="exact"/>
        <w:ind w:firstLine="720"/>
        <w:jc w:val="both"/>
        <w:rPr>
          <w:rFonts w:ascii="Times New Roman" w:eastAsia="Calibri" w:hAnsi="Times New Roman"/>
          <w:sz w:val="24"/>
          <w:szCs w:val="24"/>
          <w:lang w:val="pt-BR"/>
        </w:rPr>
      </w:pPr>
      <w:r w:rsidRPr="00EF1F9D">
        <w:rPr>
          <w:rFonts w:ascii="Times New Roman" w:eastAsia="Calibri" w:hAnsi="Times New Roman"/>
          <w:sz w:val="24"/>
          <w:szCs w:val="24"/>
          <w:lang w:val="pt-BR"/>
        </w:rPr>
        <w:t xml:space="preserve">Accesul la sonda 15 Boteni se face din drumul comunal DC42 Boteni – Salcuta, in dreptul Centrului Tehnic Titu si se continua, in directia nord-vest, pe drumul de exploatare DE79/1, apoi pe drumul de exploatare DE79 pana in dreptul terenului, proprietate privata, amplasat in tarlaua 16, </w:t>
      </w:r>
      <w:r w:rsidRPr="00EF1F9D">
        <w:rPr>
          <w:rFonts w:ascii="Times New Roman" w:eastAsia="Calibri" w:hAnsi="Times New Roman"/>
          <w:sz w:val="24"/>
          <w:szCs w:val="24"/>
          <w:lang w:val="pt-BR"/>
        </w:rPr>
        <w:lastRenderedPageBreak/>
        <w:t xml:space="preserve">parceala 78/20 pe care se va amplasa sonda 15 Boteni. Pentru accesul la sonda se va realiza un racord din drumul de exploatare pana la careu in lungime de 216 m. </w:t>
      </w:r>
    </w:p>
    <w:p w:rsidR="00EF1F9D" w:rsidRPr="00EF1F9D" w:rsidRDefault="00EF1F9D" w:rsidP="00EF1F9D">
      <w:pPr>
        <w:autoSpaceDE w:val="0"/>
        <w:autoSpaceDN w:val="0"/>
        <w:adjustRightInd w:val="0"/>
        <w:spacing w:after="0" w:line="240" w:lineRule="exact"/>
        <w:jc w:val="both"/>
        <w:rPr>
          <w:rFonts w:ascii="Times New Roman" w:eastAsia="Calibri" w:hAnsi="Times New Roman"/>
          <w:sz w:val="24"/>
          <w:szCs w:val="24"/>
          <w:lang w:val="pt-BR"/>
        </w:rPr>
      </w:pPr>
      <w:r w:rsidRPr="00EF1F9D">
        <w:rPr>
          <w:rFonts w:ascii="Times New Roman" w:eastAsia="Calibri" w:hAnsi="Times New Roman"/>
          <w:sz w:val="24"/>
          <w:szCs w:val="24"/>
          <w:lang w:val="pt-BR"/>
        </w:rPr>
        <w:t>Resurse naturale folosite în construcţie şi funcţionare</w:t>
      </w:r>
    </w:p>
    <w:p w:rsidR="00EF1F9D" w:rsidRPr="00EF1F9D" w:rsidRDefault="00EF1F9D" w:rsidP="00EF1F9D">
      <w:pPr>
        <w:autoSpaceDE w:val="0"/>
        <w:autoSpaceDN w:val="0"/>
        <w:adjustRightInd w:val="0"/>
        <w:spacing w:after="0" w:line="240" w:lineRule="exact"/>
        <w:jc w:val="both"/>
        <w:rPr>
          <w:rFonts w:ascii="Times New Roman" w:eastAsia="Calibri" w:hAnsi="Times New Roman"/>
          <w:sz w:val="24"/>
          <w:szCs w:val="24"/>
          <w:lang w:val="pt-BR"/>
        </w:rPr>
      </w:pPr>
      <w:r w:rsidRPr="00EF1F9D">
        <w:rPr>
          <w:rFonts w:ascii="Times New Roman" w:eastAsia="Calibri" w:hAnsi="Times New Roman"/>
          <w:sz w:val="24"/>
          <w:szCs w:val="24"/>
          <w:lang w:val="pt-BR"/>
        </w:rPr>
        <w:t>Pentru realizarea obiectivului sunt necesare următoarele:</w:t>
      </w:r>
    </w:p>
    <w:p w:rsidR="00EF1F9D" w:rsidRPr="00EF1F9D" w:rsidRDefault="00EF1F9D" w:rsidP="00EF1F9D">
      <w:pPr>
        <w:autoSpaceDE w:val="0"/>
        <w:autoSpaceDN w:val="0"/>
        <w:adjustRightInd w:val="0"/>
        <w:spacing w:after="0" w:line="240" w:lineRule="exact"/>
        <w:jc w:val="both"/>
        <w:rPr>
          <w:rFonts w:ascii="Times New Roman" w:eastAsia="Calibri" w:hAnsi="Times New Roman"/>
          <w:sz w:val="24"/>
          <w:szCs w:val="24"/>
          <w:lang w:val="pt-BR"/>
        </w:rPr>
      </w:pPr>
      <w:r w:rsidRPr="00EF1F9D">
        <w:rPr>
          <w:rFonts w:ascii="Times New Roman" w:eastAsia="Calibri" w:hAnsi="Times New Roman"/>
          <w:sz w:val="24"/>
          <w:szCs w:val="24"/>
          <w:lang w:val="pt-BR"/>
        </w:rPr>
        <w:t>•</w:t>
      </w:r>
      <w:r w:rsidRPr="00EF1F9D">
        <w:rPr>
          <w:rFonts w:ascii="Times New Roman" w:eastAsia="Calibri" w:hAnsi="Times New Roman"/>
          <w:sz w:val="24"/>
          <w:szCs w:val="24"/>
          <w:lang w:val="pt-BR"/>
        </w:rPr>
        <w:tab/>
        <w:t>amenajare drum acces şi platformă (piatră spartă, nisip, dale);</w:t>
      </w:r>
    </w:p>
    <w:p w:rsidR="000F67AB" w:rsidRPr="00EF1F9D" w:rsidRDefault="00EF1F9D" w:rsidP="00EF1F9D">
      <w:pPr>
        <w:autoSpaceDE w:val="0"/>
        <w:autoSpaceDN w:val="0"/>
        <w:adjustRightInd w:val="0"/>
        <w:spacing w:after="0" w:line="240" w:lineRule="exact"/>
        <w:jc w:val="both"/>
        <w:rPr>
          <w:rFonts w:ascii="Times New Roman" w:eastAsia="Calibri" w:hAnsi="Times New Roman"/>
          <w:sz w:val="24"/>
          <w:szCs w:val="24"/>
          <w:lang w:val="pt-BR"/>
        </w:rPr>
      </w:pPr>
      <w:r w:rsidRPr="00EF1F9D">
        <w:rPr>
          <w:rFonts w:ascii="Times New Roman" w:eastAsia="Calibri" w:hAnsi="Times New Roman"/>
          <w:sz w:val="24"/>
          <w:szCs w:val="24"/>
          <w:lang w:val="pt-BR"/>
        </w:rPr>
        <w:t>•</w:t>
      </w:r>
      <w:r w:rsidRPr="00EF1F9D">
        <w:rPr>
          <w:rFonts w:ascii="Times New Roman" w:eastAsia="Calibri" w:hAnsi="Times New Roman"/>
          <w:sz w:val="24"/>
          <w:szCs w:val="24"/>
          <w:lang w:val="pt-BR"/>
        </w:rPr>
        <w:tab/>
        <w:t>foraj şi probare strate (apă tehnologică, motorină).</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0B7EEA">
        <w:rPr>
          <w:rFonts w:ascii="Times New Roman" w:hAnsi="Times New Roman"/>
          <w:sz w:val="24"/>
          <w:szCs w:val="24"/>
          <w:lang w:val="ro-RO"/>
        </w:rPr>
        <w:t>nu este cazul</w:t>
      </w:r>
      <w:r w:rsidRPr="0014164B">
        <w:rPr>
          <w:rFonts w:ascii="Times New Roman" w:hAnsi="Times New Roman"/>
          <w:sz w:val="24"/>
          <w:szCs w:val="24"/>
          <w:lang w:val="ro-RO"/>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3F7FE7">
        <w:rPr>
          <w:rFonts w:ascii="Times New Roman" w:hAnsi="Times New Roman"/>
          <w:bCs/>
          <w:i/>
          <w:sz w:val="24"/>
          <w:szCs w:val="24"/>
          <w:lang w:val="ro-RO"/>
        </w:rPr>
        <w:t xml:space="preserve">extravilan oraș </w:t>
      </w:r>
      <w:r w:rsidR="007D61DE">
        <w:rPr>
          <w:rFonts w:ascii="Times New Roman" w:hAnsi="Times New Roman"/>
          <w:bCs/>
          <w:i/>
          <w:sz w:val="24"/>
          <w:szCs w:val="24"/>
          <w:lang w:val="ro-RO"/>
        </w:rPr>
        <w:t>Titu</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C430EC">
      <w:pPr>
        <w:spacing w:after="0" w:line="240" w:lineRule="auto"/>
        <w:jc w:val="both"/>
        <w:rPr>
          <w:rFonts w:ascii="Times New Roman" w:hAnsi="Times New Roman"/>
          <w:i/>
          <w:sz w:val="24"/>
          <w:szCs w:val="24"/>
          <w:lang w:val="ro-RO" w:eastAsia="ro-RO"/>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lastRenderedPageBreak/>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503A75" w:rsidP="00AA4679">
      <w:pPr>
        <w:spacing w:after="0" w:line="240" w:lineRule="auto"/>
        <w:jc w:val="center"/>
        <w:rPr>
          <w:rFonts w:ascii="Times New Roman" w:hAnsi="Times New Roman"/>
          <w:b/>
          <w:sz w:val="28"/>
          <w:szCs w:val="28"/>
          <w:lang w:val="pt-BR"/>
        </w:rPr>
      </w:pPr>
      <w:r>
        <w:rPr>
          <w:rFonts w:ascii="Times New Roman" w:hAnsi="Times New Roman"/>
          <w:b/>
          <w:sz w:val="28"/>
          <w:szCs w:val="28"/>
          <w:lang w:val="pt-BR"/>
        </w:rPr>
        <w:t>p.</w:t>
      </w:r>
      <w:bookmarkStart w:id="7" w:name="_GoBack"/>
      <w:bookmarkEnd w:id="7"/>
      <w:r w:rsidR="00AA72FE"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4B" w:rsidRDefault="0069214B">
      <w:pPr>
        <w:spacing w:after="0" w:line="240" w:lineRule="auto"/>
      </w:pPr>
      <w:r>
        <w:separator/>
      </w:r>
    </w:p>
  </w:endnote>
  <w:endnote w:type="continuationSeparator" w:id="0">
    <w:p w:rsidR="0069214B" w:rsidRDefault="0069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503A75">
      <w:rPr>
        <w:noProof/>
      </w:rPr>
      <w:t>4</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4B" w:rsidRDefault="0069214B">
      <w:pPr>
        <w:spacing w:after="0" w:line="240" w:lineRule="auto"/>
      </w:pPr>
      <w:r>
        <w:separator/>
      </w:r>
    </w:p>
  </w:footnote>
  <w:footnote w:type="continuationSeparator" w:id="0">
    <w:p w:rsidR="0069214B" w:rsidRDefault="00692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123516"/>
    <w:multiLevelType w:val="hybridMultilevel"/>
    <w:tmpl w:val="7222F786"/>
    <w:lvl w:ilvl="0" w:tplc="FFFFFFFF">
      <w:start w:val="1"/>
      <w:numFmt w:val="bullet"/>
      <w:pStyle w:val="Listbullet"/>
      <w:lvlText w:val=""/>
      <w:lvlJc w:val="left"/>
      <w:pPr>
        <w:ind w:left="720" w:hanging="360"/>
      </w:pPr>
      <w:rPr>
        <w:rFonts w:ascii="Symbol" w:hAnsi="Symbol" w:hint="default"/>
      </w:rPr>
    </w:lvl>
    <w:lvl w:ilvl="1" w:tplc="D39EE02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2">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3">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3">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4"/>
  </w:num>
  <w:num w:numId="5">
    <w:abstractNumId w:val="8"/>
  </w:num>
  <w:num w:numId="6">
    <w:abstractNumId w:val="18"/>
  </w:num>
  <w:num w:numId="7">
    <w:abstractNumId w:val="22"/>
  </w:num>
  <w:num w:numId="8">
    <w:abstractNumId w:val="20"/>
  </w:num>
  <w:num w:numId="9">
    <w:abstractNumId w:val="31"/>
  </w:num>
  <w:num w:numId="10">
    <w:abstractNumId w:val="42"/>
  </w:num>
  <w:num w:numId="11">
    <w:abstractNumId w:val="21"/>
  </w:num>
  <w:num w:numId="12">
    <w:abstractNumId w:val="13"/>
  </w:num>
  <w:num w:numId="13">
    <w:abstractNumId w:val="17"/>
  </w:num>
  <w:num w:numId="14">
    <w:abstractNumId w:val="41"/>
  </w:num>
  <w:num w:numId="15">
    <w:abstractNumId w:val="9"/>
  </w:num>
  <w:num w:numId="16">
    <w:abstractNumId w:val="37"/>
  </w:num>
  <w:num w:numId="17">
    <w:abstractNumId w:val="1"/>
  </w:num>
  <w:num w:numId="18">
    <w:abstractNumId w:val="5"/>
  </w:num>
  <w:num w:numId="19">
    <w:abstractNumId w:val="32"/>
  </w:num>
  <w:num w:numId="20">
    <w:abstractNumId w:val="4"/>
  </w:num>
  <w:num w:numId="21">
    <w:abstractNumId w:val="40"/>
  </w:num>
  <w:num w:numId="22">
    <w:abstractNumId w:val="43"/>
  </w:num>
  <w:num w:numId="23">
    <w:abstractNumId w:val="12"/>
  </w:num>
  <w:num w:numId="24">
    <w:abstractNumId w:val="45"/>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5"/>
  </w:num>
  <w:num w:numId="30">
    <w:abstractNumId w:val="25"/>
  </w:num>
  <w:num w:numId="31">
    <w:abstractNumId w:val="26"/>
  </w:num>
  <w:num w:numId="32">
    <w:abstractNumId w:val="44"/>
  </w:num>
  <w:num w:numId="33">
    <w:abstractNumId w:val="29"/>
  </w:num>
  <w:num w:numId="34">
    <w:abstractNumId w:val="7"/>
  </w:num>
  <w:num w:numId="35">
    <w:abstractNumId w:val="11"/>
  </w:num>
  <w:num w:numId="36">
    <w:abstractNumId w:val="28"/>
  </w:num>
  <w:num w:numId="37">
    <w:abstractNumId w:val="24"/>
  </w:num>
  <w:num w:numId="38">
    <w:abstractNumId w:val="3"/>
  </w:num>
  <w:num w:numId="39">
    <w:abstractNumId w:val="27"/>
  </w:num>
  <w:num w:numId="40">
    <w:abstractNumId w:val="39"/>
  </w:num>
  <w:num w:numId="41">
    <w:abstractNumId w:val="35"/>
  </w:num>
  <w:num w:numId="42">
    <w:abstractNumId w:val="38"/>
  </w:num>
  <w:num w:numId="43">
    <w:abstractNumId w:val="2"/>
  </w:num>
  <w:num w:numId="44">
    <w:abstractNumId w:val="10"/>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B7EEA"/>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4D43"/>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4F22"/>
    <w:rsid w:val="00285CED"/>
    <w:rsid w:val="002921B9"/>
    <w:rsid w:val="00292413"/>
    <w:rsid w:val="00292B44"/>
    <w:rsid w:val="002948A6"/>
    <w:rsid w:val="002A033C"/>
    <w:rsid w:val="002A3021"/>
    <w:rsid w:val="002A3D5C"/>
    <w:rsid w:val="002B2149"/>
    <w:rsid w:val="002B240F"/>
    <w:rsid w:val="002B2DA0"/>
    <w:rsid w:val="002B34B4"/>
    <w:rsid w:val="002B3CCD"/>
    <w:rsid w:val="002B4E8B"/>
    <w:rsid w:val="002B5741"/>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3F7FE7"/>
    <w:rsid w:val="004004D7"/>
    <w:rsid w:val="00404E7D"/>
    <w:rsid w:val="004072E1"/>
    <w:rsid w:val="0040738B"/>
    <w:rsid w:val="004102D2"/>
    <w:rsid w:val="00410314"/>
    <w:rsid w:val="00414C73"/>
    <w:rsid w:val="00414D55"/>
    <w:rsid w:val="0042013F"/>
    <w:rsid w:val="00425DD6"/>
    <w:rsid w:val="004308F1"/>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03A75"/>
    <w:rsid w:val="00514DF4"/>
    <w:rsid w:val="00522FDD"/>
    <w:rsid w:val="00523245"/>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060E"/>
    <w:rsid w:val="005B562B"/>
    <w:rsid w:val="005C27E6"/>
    <w:rsid w:val="005C5C30"/>
    <w:rsid w:val="005C74B0"/>
    <w:rsid w:val="005D2BEC"/>
    <w:rsid w:val="005D44C6"/>
    <w:rsid w:val="005D5296"/>
    <w:rsid w:val="005D5459"/>
    <w:rsid w:val="005D5570"/>
    <w:rsid w:val="005D62BC"/>
    <w:rsid w:val="005E107F"/>
    <w:rsid w:val="005E4DB2"/>
    <w:rsid w:val="005E54F1"/>
    <w:rsid w:val="005E57AA"/>
    <w:rsid w:val="005E774B"/>
    <w:rsid w:val="005F1A84"/>
    <w:rsid w:val="005F43B9"/>
    <w:rsid w:val="005F75C0"/>
    <w:rsid w:val="006000DC"/>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347FF"/>
    <w:rsid w:val="00640791"/>
    <w:rsid w:val="00640BEC"/>
    <w:rsid w:val="0064196D"/>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42C7"/>
    <w:rsid w:val="00676657"/>
    <w:rsid w:val="0068339A"/>
    <w:rsid w:val="00685ABC"/>
    <w:rsid w:val="00686964"/>
    <w:rsid w:val="00687C72"/>
    <w:rsid w:val="0069058D"/>
    <w:rsid w:val="0069214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C7BBE"/>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061"/>
    <w:rsid w:val="007346C4"/>
    <w:rsid w:val="00735814"/>
    <w:rsid w:val="00735DE6"/>
    <w:rsid w:val="00745BCC"/>
    <w:rsid w:val="00746B90"/>
    <w:rsid w:val="007477E4"/>
    <w:rsid w:val="00751B02"/>
    <w:rsid w:val="00754F06"/>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0D30"/>
    <w:rsid w:val="007C2CDD"/>
    <w:rsid w:val="007C3AE4"/>
    <w:rsid w:val="007C4827"/>
    <w:rsid w:val="007C72C1"/>
    <w:rsid w:val="007D39E8"/>
    <w:rsid w:val="007D61DE"/>
    <w:rsid w:val="007E0D8D"/>
    <w:rsid w:val="007E1B9A"/>
    <w:rsid w:val="007E4499"/>
    <w:rsid w:val="007E4E2D"/>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1D8D"/>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2B60"/>
    <w:rsid w:val="00905133"/>
    <w:rsid w:val="00905DE5"/>
    <w:rsid w:val="00906083"/>
    <w:rsid w:val="00906C0A"/>
    <w:rsid w:val="009108C7"/>
    <w:rsid w:val="00910BD4"/>
    <w:rsid w:val="00911E79"/>
    <w:rsid w:val="009121DF"/>
    <w:rsid w:val="009135AD"/>
    <w:rsid w:val="00916685"/>
    <w:rsid w:val="0092576A"/>
    <w:rsid w:val="009304A7"/>
    <w:rsid w:val="00930C3B"/>
    <w:rsid w:val="009327C2"/>
    <w:rsid w:val="009332C6"/>
    <w:rsid w:val="00935233"/>
    <w:rsid w:val="00937BAA"/>
    <w:rsid w:val="00941BA5"/>
    <w:rsid w:val="00942DA2"/>
    <w:rsid w:val="00943625"/>
    <w:rsid w:val="00943B55"/>
    <w:rsid w:val="00944685"/>
    <w:rsid w:val="00944D61"/>
    <w:rsid w:val="00944DA4"/>
    <w:rsid w:val="00945255"/>
    <w:rsid w:val="0094593F"/>
    <w:rsid w:val="00945D03"/>
    <w:rsid w:val="00946FF5"/>
    <w:rsid w:val="009514AA"/>
    <w:rsid w:val="00953386"/>
    <w:rsid w:val="009609CF"/>
    <w:rsid w:val="0096194B"/>
    <w:rsid w:val="00967D63"/>
    <w:rsid w:val="00974346"/>
    <w:rsid w:val="0098171C"/>
    <w:rsid w:val="00981E2A"/>
    <w:rsid w:val="00984DC3"/>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23D9"/>
    <w:rsid w:val="00A43732"/>
    <w:rsid w:val="00A475C1"/>
    <w:rsid w:val="00A47FCC"/>
    <w:rsid w:val="00A524B0"/>
    <w:rsid w:val="00A53C70"/>
    <w:rsid w:val="00A5685A"/>
    <w:rsid w:val="00A61872"/>
    <w:rsid w:val="00A63B0E"/>
    <w:rsid w:val="00A70B20"/>
    <w:rsid w:val="00A711BA"/>
    <w:rsid w:val="00A73123"/>
    <w:rsid w:val="00A73B2C"/>
    <w:rsid w:val="00A764E5"/>
    <w:rsid w:val="00A7701D"/>
    <w:rsid w:val="00A8324D"/>
    <w:rsid w:val="00A83518"/>
    <w:rsid w:val="00A85F34"/>
    <w:rsid w:val="00A913CF"/>
    <w:rsid w:val="00A91949"/>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0B69"/>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0814"/>
    <w:rsid w:val="00B653A2"/>
    <w:rsid w:val="00B667C3"/>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97BBB"/>
    <w:rsid w:val="00BA1217"/>
    <w:rsid w:val="00BA18FE"/>
    <w:rsid w:val="00BA1B75"/>
    <w:rsid w:val="00BA29CE"/>
    <w:rsid w:val="00BA3A26"/>
    <w:rsid w:val="00BA3CE6"/>
    <w:rsid w:val="00BB1888"/>
    <w:rsid w:val="00BB1E1C"/>
    <w:rsid w:val="00BB5078"/>
    <w:rsid w:val="00BB6E0A"/>
    <w:rsid w:val="00BC4424"/>
    <w:rsid w:val="00BC4A8A"/>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5697"/>
    <w:rsid w:val="00C261D1"/>
    <w:rsid w:val="00C26634"/>
    <w:rsid w:val="00C3268F"/>
    <w:rsid w:val="00C345A2"/>
    <w:rsid w:val="00C35581"/>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73F9F"/>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28F9"/>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120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3F0F"/>
    <w:rsid w:val="00DD555E"/>
    <w:rsid w:val="00DE15C0"/>
    <w:rsid w:val="00DE448F"/>
    <w:rsid w:val="00DE51CA"/>
    <w:rsid w:val="00DE667C"/>
    <w:rsid w:val="00DF0FA8"/>
    <w:rsid w:val="00DF1A6F"/>
    <w:rsid w:val="00DF2CC3"/>
    <w:rsid w:val="00DF47AA"/>
    <w:rsid w:val="00DF6107"/>
    <w:rsid w:val="00DF7BCF"/>
    <w:rsid w:val="00DF7E69"/>
    <w:rsid w:val="00E015FD"/>
    <w:rsid w:val="00E0540B"/>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0AEC"/>
    <w:rsid w:val="00E64CB1"/>
    <w:rsid w:val="00E66C63"/>
    <w:rsid w:val="00E704BA"/>
    <w:rsid w:val="00E71104"/>
    <w:rsid w:val="00E714BA"/>
    <w:rsid w:val="00E7483C"/>
    <w:rsid w:val="00E83010"/>
    <w:rsid w:val="00E864A2"/>
    <w:rsid w:val="00E865C0"/>
    <w:rsid w:val="00E90669"/>
    <w:rsid w:val="00E90E08"/>
    <w:rsid w:val="00E9177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07DE"/>
    <w:rsid w:val="00EF1F9D"/>
    <w:rsid w:val="00EF2A1E"/>
    <w:rsid w:val="00F011FB"/>
    <w:rsid w:val="00F01F06"/>
    <w:rsid w:val="00F0410E"/>
    <w:rsid w:val="00F06E64"/>
    <w:rsid w:val="00F07E73"/>
    <w:rsid w:val="00F12531"/>
    <w:rsid w:val="00F12ED0"/>
    <w:rsid w:val="00F134CD"/>
    <w:rsid w:val="00F1560D"/>
    <w:rsid w:val="00F15C36"/>
    <w:rsid w:val="00F20D80"/>
    <w:rsid w:val="00F30F4B"/>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 w:val="00FF40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
    <w:name w:val="List bullet"/>
    <w:basedOn w:val="Normal"/>
    <w:qFormat/>
    <w:rsid w:val="006742C7"/>
    <w:pPr>
      <w:numPr>
        <w:numId w:val="46"/>
      </w:numPr>
      <w:spacing w:after="0" w:line="240" w:lineRule="auto"/>
      <w:ind w:left="714" w:hanging="357"/>
    </w:pPr>
    <w:rPr>
      <w:color w:val="212120"/>
      <w:kern w:val="28"/>
      <w:sz w:val="1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
    <w:name w:val="List bullet"/>
    <w:basedOn w:val="Normal"/>
    <w:qFormat/>
    <w:rsid w:val="006742C7"/>
    <w:pPr>
      <w:numPr>
        <w:numId w:val="46"/>
      </w:numPr>
      <w:spacing w:after="0" w:line="240" w:lineRule="auto"/>
      <w:ind w:left="714" w:hanging="357"/>
    </w:pPr>
    <w:rPr>
      <w:color w:val="212120"/>
      <w:kern w:val="28"/>
      <w:sz w:val="1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49F4-1008-4019-A433-BC8C8DAA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1845</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11</cp:revision>
  <cp:lastPrinted>2015-09-14T13:08:00Z</cp:lastPrinted>
  <dcterms:created xsi:type="dcterms:W3CDTF">2019-07-03T09:49:00Z</dcterms:created>
  <dcterms:modified xsi:type="dcterms:W3CDTF">2019-07-03T10:16:00Z</dcterms:modified>
</cp:coreProperties>
</file>