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760BAA" w:rsidRPr="00760BAA" w:rsidRDefault="00982FE5" w:rsidP="00760B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7F48EC" w:rsidRPr="007F48E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F48EC" w:rsidRPr="007F48EC">
        <w:rPr>
          <w:rFonts w:ascii="Times New Roman" w:eastAsia="Calibri" w:hAnsi="Times New Roman" w:cs="Times New Roman"/>
          <w:b/>
          <w:i/>
          <w:sz w:val="24"/>
          <w:szCs w:val="24"/>
        </w:rPr>
        <w:t>SPFO Parc 2 Bucșani”</w:t>
      </w:r>
      <w:r w:rsidR="007F48EC" w:rsidRPr="007F48EC">
        <w:rPr>
          <w:rFonts w:ascii="Times New Roman" w:eastAsia="Calibri" w:hAnsi="Times New Roman" w:cs="Times New Roman"/>
          <w:sz w:val="24"/>
          <w:szCs w:val="24"/>
        </w:rPr>
        <w:t>, propus a fi amplasat în comuna Bucșani,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760BAA" w:rsidRPr="00760BAA">
        <w:rPr>
          <w:rFonts w:ascii="Times New Roman" w:eastAsia="Times New Roman" w:hAnsi="Times New Roman" w:cs="Times New Roman"/>
          <w:b/>
          <w:sz w:val="28"/>
          <w:szCs w:val="28"/>
        </w:rPr>
        <w:t>OMV PETROM S.A.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89463C">
        <w:rPr>
          <w:rStyle w:val="tpa"/>
          <w:rFonts w:ascii="Verdana" w:hAnsi="Verdana"/>
          <w:color w:val="000000"/>
        </w:rPr>
        <w:t>mORENI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2C46BC" w:rsidP="007F48E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7F48EC">
              <w:rPr>
                <w:color w:val="000000"/>
                <w:sz w:val="16"/>
                <w:szCs w:val="16"/>
                <w:lang w:eastAsia="en-US"/>
              </w:rPr>
              <w:t>7</w:t>
            </w:r>
            <w:bookmarkStart w:id="6" w:name="_GoBack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C46BC"/>
    <w:rsid w:val="0055234C"/>
    <w:rsid w:val="005A684A"/>
    <w:rsid w:val="005E74E3"/>
    <w:rsid w:val="00760BAA"/>
    <w:rsid w:val="007F48EC"/>
    <w:rsid w:val="008202A1"/>
    <w:rsid w:val="0089463C"/>
    <w:rsid w:val="008A54AD"/>
    <w:rsid w:val="00982FE5"/>
    <w:rsid w:val="00A0758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2019-10-17T06:25:00Z</dcterms:modified>
</cp:coreProperties>
</file>