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D32DB6">
        <w:rPr>
          <w:rFonts w:ascii="Garamond" w:hAnsi="Garamond"/>
          <w:b/>
          <w:color w:val="00214E"/>
          <w:sz w:val="36"/>
          <w:szCs w:val="36"/>
        </w:rPr>
        <w:t>, Apelor si Padurilor</w:t>
      </w:r>
    </w:p>
    <w:p w:rsidR="00480977" w:rsidRPr="00D94C2A" w:rsidRDefault="00626313"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646203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D32DB6">
        <w:rPr>
          <w:rFonts w:ascii="Times New Roman" w:hAnsi="Times New Roman" w:cs="Times New Roman"/>
          <w:sz w:val="24"/>
          <w:szCs w:val="24"/>
          <w:lang w:val="fr-FR"/>
        </w:rPr>
        <w:t>15866/9938/_____</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E93A78" w:rsidRDefault="00E93A78" w:rsidP="00D7402F">
      <w:pPr>
        <w:suppressAutoHyphens/>
        <w:spacing w:after="0" w:line="240" w:lineRule="auto"/>
        <w:jc w:val="center"/>
      </w:pPr>
    </w:p>
    <w:p w:rsidR="00051258" w:rsidRPr="00480977" w:rsidRDefault="00D32DB6"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D32DB6">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D32DB6">
        <w:rPr>
          <w:rFonts w:ascii="Times New Roman" w:eastAsia="Times New Roman" w:hAnsi="Times New Roman" w:cs="Times New Roman"/>
          <w:b/>
          <w:sz w:val="24"/>
          <w:szCs w:val="24"/>
          <w:lang w:val="it-IT" w:eastAsia="ro-RO"/>
        </w:rPr>
        <w:t>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E93A78" w:rsidRDefault="00E93A78"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C2CC8">
        <w:rPr>
          <w:rStyle w:val="tpa1"/>
          <w:rFonts w:ascii="Times New Roman" w:hAnsi="Times New Roman" w:cs="Times New Roman"/>
          <w:b/>
          <w:sz w:val="24"/>
          <w:szCs w:val="24"/>
        </w:rPr>
        <w:t>COMUNA ULMI</w:t>
      </w:r>
      <w:r w:rsidR="005C2CC8" w:rsidRPr="00204484">
        <w:rPr>
          <w:rStyle w:val="tpa1"/>
          <w:rFonts w:ascii="Times New Roman" w:hAnsi="Times New Roman" w:cs="Times New Roman"/>
          <w:sz w:val="24"/>
          <w:szCs w:val="24"/>
        </w:rPr>
        <w:t>,</w:t>
      </w:r>
      <w:r w:rsidR="005C2CC8" w:rsidRPr="00AE7879">
        <w:rPr>
          <w:rStyle w:val="tpa1"/>
          <w:rFonts w:ascii="Times New Roman" w:hAnsi="Times New Roman" w:cs="Times New Roman"/>
          <w:b/>
          <w:sz w:val="24"/>
          <w:szCs w:val="24"/>
        </w:rPr>
        <w:t xml:space="preserve"> </w:t>
      </w:r>
      <w:r w:rsidR="005C2CC8" w:rsidRPr="00AE7879">
        <w:rPr>
          <w:rStyle w:val="tpa1"/>
          <w:rFonts w:ascii="Times New Roman" w:hAnsi="Times New Roman" w:cs="Times New Roman"/>
          <w:sz w:val="24"/>
          <w:szCs w:val="24"/>
        </w:rPr>
        <w:t xml:space="preserve">cu </w:t>
      </w:r>
      <w:r w:rsidR="005C2CC8">
        <w:rPr>
          <w:rStyle w:val="tpa1"/>
          <w:rFonts w:ascii="Times New Roman" w:hAnsi="Times New Roman" w:cs="Times New Roman"/>
          <w:sz w:val="24"/>
          <w:szCs w:val="24"/>
        </w:rPr>
        <w:t>sediul în comuna Ulmi, sat Ulmi, str. Principala, nr. 146,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D32DB6">
        <w:rPr>
          <w:rFonts w:ascii="Times New Roman" w:eastAsia="Times New Roman" w:hAnsi="Times New Roman" w:cs="Times New Roman"/>
          <w:sz w:val="24"/>
          <w:szCs w:val="24"/>
          <w:lang w:eastAsia="ro-RO"/>
        </w:rPr>
        <w:t>15866</w:t>
      </w:r>
      <w:r w:rsidRPr="00480977">
        <w:rPr>
          <w:rFonts w:ascii="Times New Roman" w:eastAsia="Times New Roman" w:hAnsi="Times New Roman" w:cs="Times New Roman"/>
          <w:sz w:val="24"/>
          <w:szCs w:val="24"/>
          <w:lang w:eastAsia="ro-RO"/>
        </w:rPr>
        <w:t xml:space="preserve"> din </w:t>
      </w:r>
      <w:r w:rsidR="00D32DB6">
        <w:rPr>
          <w:rFonts w:ascii="Times New Roman" w:eastAsia="Times New Roman" w:hAnsi="Times New Roman" w:cs="Times New Roman"/>
          <w:sz w:val="24"/>
          <w:szCs w:val="24"/>
          <w:lang w:eastAsia="ro-RO"/>
        </w:rPr>
        <w:t>02.10</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476E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5C2CC8">
        <w:rPr>
          <w:rStyle w:val="tpa"/>
          <w:rFonts w:ascii="Times New Roman" w:hAnsi="Times New Roman" w:cs="Times New Roman"/>
          <w:color w:val="000000"/>
          <w:sz w:val="24"/>
          <w:szCs w:val="24"/>
        </w:rPr>
        <w:t>21.11</w:t>
      </w:r>
      <w:r w:rsidRPr="00C61E10">
        <w:rPr>
          <w:rStyle w:val="tpa"/>
          <w:rFonts w:ascii="Times New Roman" w:hAnsi="Times New Roman" w:cs="Times New Roman"/>
          <w:color w:val="000000"/>
          <w:sz w:val="24"/>
          <w:szCs w:val="24"/>
        </w:rPr>
        <w:t xml:space="preserve">.2019 că proiectul </w:t>
      </w:r>
      <w:bookmarkStart w:id="1" w:name="do|ax5^I|pa10"/>
      <w:bookmarkEnd w:id="1"/>
      <w:r w:rsidR="005B435D" w:rsidRPr="00AE7879">
        <w:rPr>
          <w:rFonts w:ascii="Times New Roman" w:hAnsi="Times New Roman" w:cs="Times New Roman"/>
          <w:b/>
          <w:sz w:val="24"/>
          <w:szCs w:val="24"/>
        </w:rPr>
        <w:t>”</w:t>
      </w:r>
      <w:r w:rsidR="005B435D">
        <w:rPr>
          <w:rFonts w:ascii="Times New Roman" w:hAnsi="Times New Roman" w:cs="Times New Roman"/>
          <w:b/>
          <w:i/>
          <w:sz w:val="24"/>
          <w:szCs w:val="24"/>
        </w:rPr>
        <w:t>Realizare sant betonat pe DJ 721 in satul Colanu, comuna Ulmi, judetul Dambovita</w:t>
      </w:r>
      <w:r w:rsidR="005B435D" w:rsidRPr="00AE7879">
        <w:rPr>
          <w:rStyle w:val="tpa1"/>
          <w:rFonts w:ascii="Times New Roman" w:hAnsi="Times New Roman" w:cs="Times New Roman"/>
          <w:b/>
          <w:i/>
          <w:sz w:val="24"/>
          <w:szCs w:val="24"/>
        </w:rPr>
        <w:t>”</w:t>
      </w:r>
      <w:r w:rsidR="005B435D" w:rsidRPr="00AE7879">
        <w:rPr>
          <w:rStyle w:val="tpa1"/>
          <w:rFonts w:ascii="Times New Roman" w:hAnsi="Times New Roman" w:cs="Times New Roman"/>
          <w:sz w:val="24"/>
          <w:szCs w:val="24"/>
        </w:rPr>
        <w:t>, propus a fi amplasat în</w:t>
      </w:r>
      <w:r w:rsidR="005B435D" w:rsidRPr="00AE7879">
        <w:rPr>
          <w:rFonts w:ascii="Times New Roman" w:hAnsi="Times New Roman" w:cs="Times New Roman"/>
          <w:sz w:val="24"/>
          <w:szCs w:val="24"/>
        </w:rPr>
        <w:t xml:space="preserve"> </w:t>
      </w:r>
      <w:r w:rsidR="005B435D">
        <w:rPr>
          <w:rStyle w:val="tpa1"/>
          <w:rFonts w:ascii="Times New Roman" w:hAnsi="Times New Roman" w:cs="Times New Roman"/>
          <w:sz w:val="24"/>
          <w:szCs w:val="24"/>
        </w:rPr>
        <w:t>comuna Ulmi, sat Colanu, str. Principala,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393F9D">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CE36A7">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9B2E48" w:rsidRPr="0038664D" w:rsidRDefault="009B2E48" w:rsidP="00CE36A7">
      <w:pPr>
        <w:spacing w:after="0" w:line="240" w:lineRule="auto"/>
        <w:jc w:val="both"/>
        <w:rPr>
          <w:rFonts w:ascii="Times New Roman" w:eastAsia="Calibri" w:hAnsi="Times New Roman" w:cs="Times New Roman"/>
          <w:sz w:val="24"/>
          <w:szCs w:val="24"/>
        </w:rPr>
      </w:pPr>
      <w:r w:rsidRPr="0038664D">
        <w:rPr>
          <w:rFonts w:ascii="Times New Roman" w:eastAsia="Calibri" w:hAnsi="Times New Roman" w:cs="Times New Roman"/>
          <w:sz w:val="24"/>
          <w:szCs w:val="24"/>
        </w:rPr>
        <w:t>SITUATIA PROIECTATA</w:t>
      </w:r>
    </w:p>
    <w:p w:rsidR="009B2E48" w:rsidRPr="0038664D" w:rsidRDefault="009B2E48" w:rsidP="00CE36A7">
      <w:pPr>
        <w:autoSpaceDE w:val="0"/>
        <w:autoSpaceDN w:val="0"/>
        <w:adjustRightInd w:val="0"/>
        <w:spacing w:after="0" w:line="240" w:lineRule="auto"/>
        <w:ind w:left="240"/>
        <w:jc w:val="both"/>
        <w:rPr>
          <w:rFonts w:ascii="Times New Roman" w:hAnsi="Times New Roman" w:cs="Times New Roman"/>
          <w:sz w:val="24"/>
          <w:szCs w:val="24"/>
        </w:rPr>
      </w:pPr>
      <w:r w:rsidRPr="0038664D">
        <w:rPr>
          <w:rFonts w:ascii="Times New Roman" w:hAnsi="Times New Roman" w:cs="Times New Roman"/>
          <w:sz w:val="24"/>
          <w:szCs w:val="24"/>
        </w:rPr>
        <w:t>Santuri betonate trapez h=0,50</w:t>
      </w:r>
      <w:r w:rsidR="0038664D">
        <w:rPr>
          <w:rFonts w:ascii="Times New Roman" w:hAnsi="Times New Roman" w:cs="Times New Roman"/>
          <w:sz w:val="24"/>
          <w:szCs w:val="24"/>
        </w:rPr>
        <w:t xml:space="preserve"> </w:t>
      </w:r>
      <w:r w:rsidRPr="0038664D">
        <w:rPr>
          <w:rFonts w:ascii="Times New Roman" w:hAnsi="Times New Roman" w:cs="Times New Roman"/>
          <w:sz w:val="24"/>
          <w:szCs w:val="24"/>
        </w:rPr>
        <w:t>m cu 1,5</w:t>
      </w:r>
      <w:r w:rsidR="0038664D">
        <w:rPr>
          <w:rFonts w:ascii="Times New Roman" w:hAnsi="Times New Roman" w:cs="Times New Roman"/>
          <w:sz w:val="24"/>
          <w:szCs w:val="24"/>
        </w:rPr>
        <w:t xml:space="preserve"> </w:t>
      </w:r>
      <w:r w:rsidRPr="0038664D">
        <w:rPr>
          <w:rFonts w:ascii="Times New Roman" w:hAnsi="Times New Roman" w:cs="Times New Roman"/>
          <w:sz w:val="24"/>
          <w:szCs w:val="24"/>
        </w:rPr>
        <w:t>m acostamentul 3578</w:t>
      </w:r>
      <w:r w:rsidR="0038664D">
        <w:rPr>
          <w:rFonts w:ascii="Times New Roman" w:hAnsi="Times New Roman" w:cs="Times New Roman"/>
          <w:sz w:val="24"/>
          <w:szCs w:val="24"/>
        </w:rPr>
        <w:t xml:space="preserve"> </w:t>
      </w:r>
      <w:r w:rsidRPr="0038664D">
        <w:rPr>
          <w:rFonts w:ascii="Times New Roman" w:hAnsi="Times New Roman" w:cs="Times New Roman"/>
          <w:sz w:val="24"/>
          <w:szCs w:val="24"/>
        </w:rPr>
        <w:t xml:space="preserve">m. </w:t>
      </w:r>
    </w:p>
    <w:p w:rsidR="009B2E48" w:rsidRPr="0038664D" w:rsidRDefault="009B2E48" w:rsidP="00CE36A7">
      <w:pPr>
        <w:autoSpaceDE w:val="0"/>
        <w:autoSpaceDN w:val="0"/>
        <w:adjustRightInd w:val="0"/>
        <w:spacing w:after="0" w:line="240" w:lineRule="auto"/>
        <w:ind w:left="240"/>
        <w:jc w:val="both"/>
        <w:rPr>
          <w:rFonts w:ascii="Times New Roman" w:hAnsi="Times New Roman" w:cs="Times New Roman"/>
          <w:sz w:val="24"/>
          <w:szCs w:val="24"/>
        </w:rPr>
      </w:pPr>
      <w:r w:rsidRPr="0038664D">
        <w:rPr>
          <w:rFonts w:ascii="Times New Roman" w:hAnsi="Times New Roman" w:cs="Times New Roman"/>
          <w:sz w:val="24"/>
          <w:szCs w:val="24"/>
        </w:rPr>
        <w:t xml:space="preserve">Accese dalate aferente acestui tip de sant </w:t>
      </w:r>
      <w:r w:rsidR="00CE36A7">
        <w:rPr>
          <w:rFonts w:ascii="Times New Roman" w:hAnsi="Times New Roman" w:cs="Times New Roman"/>
          <w:sz w:val="24"/>
          <w:szCs w:val="24"/>
        </w:rPr>
        <w:t>-</w:t>
      </w:r>
      <w:r w:rsidRPr="0038664D">
        <w:rPr>
          <w:rFonts w:ascii="Times New Roman" w:hAnsi="Times New Roman" w:cs="Times New Roman"/>
          <w:sz w:val="24"/>
          <w:szCs w:val="24"/>
        </w:rPr>
        <w:t xml:space="preserve"> 1085</w:t>
      </w:r>
      <w:r w:rsidR="0038664D">
        <w:rPr>
          <w:rFonts w:ascii="Times New Roman" w:hAnsi="Times New Roman" w:cs="Times New Roman"/>
          <w:sz w:val="24"/>
          <w:szCs w:val="24"/>
        </w:rPr>
        <w:t xml:space="preserve"> </w:t>
      </w:r>
      <w:r w:rsidRPr="0038664D">
        <w:rPr>
          <w:rFonts w:ascii="Times New Roman" w:hAnsi="Times New Roman" w:cs="Times New Roman"/>
          <w:sz w:val="24"/>
          <w:szCs w:val="24"/>
        </w:rPr>
        <w:t>mp.</w:t>
      </w:r>
    </w:p>
    <w:p w:rsidR="009B2E48" w:rsidRPr="0038664D" w:rsidRDefault="009B2E48" w:rsidP="00CE36A7">
      <w:pPr>
        <w:autoSpaceDE w:val="0"/>
        <w:autoSpaceDN w:val="0"/>
        <w:adjustRightInd w:val="0"/>
        <w:spacing w:after="0" w:line="240" w:lineRule="auto"/>
        <w:ind w:left="240"/>
        <w:jc w:val="both"/>
        <w:rPr>
          <w:rFonts w:ascii="Times New Roman" w:hAnsi="Times New Roman" w:cs="Times New Roman"/>
          <w:sz w:val="24"/>
          <w:szCs w:val="24"/>
        </w:rPr>
      </w:pPr>
      <w:r w:rsidRPr="0038664D">
        <w:rPr>
          <w:rFonts w:ascii="Times New Roman" w:hAnsi="Times New Roman" w:cs="Times New Roman"/>
          <w:sz w:val="24"/>
          <w:szCs w:val="24"/>
        </w:rPr>
        <w:t>Racordari ale santului catre emisari 25</w:t>
      </w:r>
      <w:r w:rsidR="0038664D">
        <w:rPr>
          <w:rFonts w:ascii="Times New Roman" w:hAnsi="Times New Roman" w:cs="Times New Roman"/>
          <w:sz w:val="24"/>
          <w:szCs w:val="24"/>
        </w:rPr>
        <w:t xml:space="preserve"> </w:t>
      </w:r>
      <w:r w:rsidRPr="0038664D">
        <w:rPr>
          <w:rFonts w:ascii="Times New Roman" w:hAnsi="Times New Roman" w:cs="Times New Roman"/>
          <w:sz w:val="24"/>
          <w:szCs w:val="24"/>
        </w:rPr>
        <w:t>m fiecare.</w:t>
      </w:r>
    </w:p>
    <w:p w:rsidR="00393F9D" w:rsidRPr="00393F9D" w:rsidRDefault="00393F9D" w:rsidP="00CE36A7">
      <w:pPr>
        <w:spacing w:after="0" w:line="240" w:lineRule="auto"/>
        <w:jc w:val="both"/>
        <w:rPr>
          <w:rFonts w:ascii="Times New Roman" w:eastAsia="Calibri" w:hAnsi="Times New Roman" w:cs="Times New Roman"/>
          <w:sz w:val="16"/>
          <w:szCs w:val="16"/>
        </w:rPr>
      </w:pPr>
    </w:p>
    <w:p w:rsidR="009B2E48" w:rsidRPr="0038664D" w:rsidRDefault="009B2E48" w:rsidP="00CE36A7">
      <w:pPr>
        <w:spacing w:after="0" w:line="240" w:lineRule="auto"/>
        <w:jc w:val="both"/>
        <w:rPr>
          <w:rFonts w:ascii="Times New Roman" w:eastAsia="Calibri" w:hAnsi="Times New Roman" w:cs="Times New Roman"/>
          <w:sz w:val="24"/>
          <w:szCs w:val="24"/>
        </w:rPr>
      </w:pPr>
      <w:r w:rsidRPr="0038664D">
        <w:rPr>
          <w:rFonts w:ascii="Times New Roman" w:eastAsia="Calibri" w:hAnsi="Times New Roman" w:cs="Times New Roman"/>
          <w:sz w:val="24"/>
          <w:szCs w:val="24"/>
        </w:rPr>
        <w:t>SCURGEREA APELOR:</w:t>
      </w:r>
    </w:p>
    <w:p w:rsidR="00DC4102" w:rsidRPr="0038664D" w:rsidRDefault="009B2E48" w:rsidP="00CE36A7">
      <w:pPr>
        <w:spacing w:after="0" w:line="240" w:lineRule="auto"/>
        <w:jc w:val="both"/>
        <w:rPr>
          <w:rFonts w:ascii="Times New Roman" w:hAnsi="Times New Roman" w:cs="Times New Roman"/>
          <w:sz w:val="24"/>
          <w:szCs w:val="24"/>
        </w:rPr>
      </w:pPr>
      <w:r w:rsidRPr="0038664D">
        <w:rPr>
          <w:rFonts w:ascii="Times New Roman" w:hAnsi="Times New Roman" w:cs="Times New Roman"/>
          <w:sz w:val="24"/>
          <w:szCs w:val="24"/>
        </w:rPr>
        <w:t>Se va realiza  drenarea apelor pluviale şi evacuarea lor în afara zonei periculoase pentru drum  prin  sistemul de preluare si evacuare a apelor refacut prin san</w:t>
      </w:r>
      <w:r w:rsidR="0038664D">
        <w:rPr>
          <w:rFonts w:ascii="Times New Roman" w:hAnsi="Times New Roman" w:cs="Times New Roman"/>
          <w:sz w:val="24"/>
          <w:szCs w:val="24"/>
        </w:rPr>
        <w:t xml:space="preserve">turi noi recalibrate dupa caz. </w:t>
      </w:r>
    </w:p>
    <w:p w:rsidR="0033151D" w:rsidRPr="002C4CF8" w:rsidRDefault="0033151D" w:rsidP="00CE36A7">
      <w:pPr>
        <w:spacing w:after="0" w:line="240" w:lineRule="auto"/>
        <w:jc w:val="both"/>
        <w:rPr>
          <w:rFonts w:ascii="Times New Roman" w:eastAsia="Times New Roman" w:hAnsi="Times New Roman" w:cs="Times New Roman"/>
          <w:sz w:val="16"/>
          <w:szCs w:val="16"/>
          <w:lang w:eastAsia="pl-PL"/>
        </w:rPr>
      </w:pPr>
    </w:p>
    <w:p w:rsidR="0033151D" w:rsidRPr="00DD1485" w:rsidRDefault="0033151D" w:rsidP="002054AA">
      <w:pPr>
        <w:spacing w:after="6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b) </w:t>
      </w:r>
      <w:r w:rsidRPr="00DD1485">
        <w:rPr>
          <w:rFonts w:ascii="Times New Roman" w:eastAsia="Times New Roman" w:hAnsi="Times New Roman" w:cs="Times New Roman"/>
          <w:b/>
          <w:i/>
          <w:sz w:val="24"/>
          <w:szCs w:val="24"/>
          <w:lang w:eastAsia="pl-PL"/>
        </w:rPr>
        <w:t>cumularea cu alte proiecte</w:t>
      </w:r>
      <w:r w:rsidRPr="00DD1485">
        <w:rPr>
          <w:rFonts w:ascii="Times New Roman" w:eastAsia="Times New Roman" w:hAnsi="Times New Roman" w:cs="Times New Roman"/>
          <w:sz w:val="24"/>
          <w:szCs w:val="24"/>
          <w:lang w:eastAsia="pl-PL"/>
        </w:rPr>
        <w:t>: nu este cazul;</w:t>
      </w:r>
    </w:p>
    <w:p w:rsidR="0033151D" w:rsidRPr="00DD1485" w:rsidRDefault="0033151D" w:rsidP="002054AA">
      <w:pPr>
        <w:spacing w:after="6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c) </w:t>
      </w:r>
      <w:r w:rsidRPr="00DD1485">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2054AA">
      <w:pPr>
        <w:spacing w:after="6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lastRenderedPageBreak/>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2054AA">
      <w:pPr>
        <w:spacing w:after="6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2054AA">
      <w:pPr>
        <w:spacing w:after="6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3032CA" w:rsidRDefault="003032CA" w:rsidP="00D037EE">
      <w:pPr>
        <w:spacing w:after="0" w:line="240" w:lineRule="auto"/>
        <w:jc w:val="both"/>
        <w:rPr>
          <w:rFonts w:ascii="Times New Roman" w:eastAsia="Times New Roman" w:hAnsi="Times New Roman" w:cs="Times New Roman"/>
          <w:b/>
          <w:i/>
          <w:sz w:val="24"/>
          <w:szCs w:val="24"/>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B3442D">
        <w:rPr>
          <w:rFonts w:ascii="Times New Roman" w:eastAsia="Times New Roman" w:hAnsi="Times New Roman" w:cs="Times New Roman"/>
          <w:sz w:val="24"/>
          <w:szCs w:val="24"/>
          <w:lang w:eastAsia="ro-RO"/>
        </w:rPr>
        <w:t>comunei Ulmi, sat Colanu, judetul Dambovita</w:t>
      </w:r>
      <w:r w:rsidRPr="00DD1485">
        <w:rPr>
          <w:rFonts w:ascii="Times New Roman" w:eastAsia="Times New Roman" w:hAnsi="Times New Roman" w:cs="Times New Roman"/>
          <w:sz w:val="24"/>
          <w:szCs w:val="24"/>
          <w:lang w:eastAsia="ro-RO"/>
        </w:rPr>
        <w:t xml:space="preserve"> – zona pentru cai de comunicatii</w:t>
      </w:r>
      <w:r w:rsidR="00B3442D">
        <w:rPr>
          <w:rFonts w:ascii="Times New Roman" w:eastAsia="Times New Roman" w:hAnsi="Times New Roman" w:cs="Times New Roman"/>
          <w:sz w:val="24"/>
          <w:szCs w:val="24"/>
          <w:lang w:eastAsia="ro-RO"/>
        </w:rPr>
        <w:t>, neproductiv</w:t>
      </w:r>
      <w:r w:rsidR="00AF1CF7" w:rsidRPr="00DD1485">
        <w:rPr>
          <w:rFonts w:ascii="Times New Roman" w:eastAsia="Times New Roman" w:hAnsi="Times New Roman" w:cs="Times New Roman"/>
          <w:sz w:val="24"/>
          <w:szCs w:val="24"/>
          <w:lang w:eastAsia="ro-RO"/>
        </w:rPr>
        <w:t xml:space="preserve"> si </w:t>
      </w:r>
      <w:r w:rsidR="001E4D46">
        <w:rPr>
          <w:rFonts w:ascii="Times New Roman" w:eastAsia="Times New Roman" w:hAnsi="Times New Roman" w:cs="Times New Roman"/>
          <w:sz w:val="24"/>
          <w:szCs w:val="24"/>
          <w:lang w:eastAsia="ro-RO"/>
        </w:rPr>
        <w:t>este in proprietatea publica a judetului</w:t>
      </w:r>
      <w:r w:rsidRPr="00DD1485">
        <w:rPr>
          <w:rFonts w:ascii="Times New Roman" w:eastAsia="Times New Roman" w:hAnsi="Times New Roman" w:cs="Times New Roman"/>
          <w:sz w:val="24"/>
          <w:szCs w:val="24"/>
          <w:lang w:eastAsia="ro-RO"/>
        </w:rPr>
        <w:t xml:space="preserve"> </w:t>
      </w:r>
      <w:r w:rsidR="00D037EE">
        <w:rPr>
          <w:rFonts w:ascii="Times New Roman" w:eastAsia="Times New Roman" w:hAnsi="Times New Roman" w:cs="Times New Roman"/>
          <w:sz w:val="24"/>
          <w:szCs w:val="24"/>
          <w:lang w:eastAsia="ro-RO"/>
        </w:rPr>
        <w:t>D</w:t>
      </w:r>
      <w:r w:rsidRPr="00DD1485">
        <w:rPr>
          <w:rFonts w:ascii="Times New Roman" w:eastAsia="Times New Roman" w:hAnsi="Times New Roman" w:cs="Times New Roman"/>
          <w:sz w:val="24"/>
          <w:szCs w:val="24"/>
          <w:lang w:eastAsia="ro-RO"/>
        </w:rPr>
        <w:t>âmbovița</w:t>
      </w:r>
      <w:r w:rsidR="001E4D46">
        <w:rPr>
          <w:rFonts w:ascii="Times New Roman" w:eastAsia="Times New Roman" w:hAnsi="Times New Roman" w:cs="Times New Roman"/>
          <w:sz w:val="24"/>
          <w:szCs w:val="24"/>
          <w:lang w:eastAsia="ro-RO"/>
        </w:rPr>
        <w:t xml:space="preserve"> si in administrarea Consiliului Judetean Dambovita</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3032CA" w:rsidRDefault="003032CA" w:rsidP="00DD1485">
      <w:pPr>
        <w:spacing w:after="0" w:line="240" w:lineRule="auto"/>
        <w:rPr>
          <w:rFonts w:ascii="Times New Roman" w:eastAsia="Times New Roman" w:hAnsi="Times New Roman" w:cs="Times New Roman"/>
          <w:b/>
          <w:iCs/>
          <w:sz w:val="24"/>
          <w:szCs w:val="24"/>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2054AA" w:rsidRDefault="0033151D" w:rsidP="002054AA">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2054AA" w:rsidRPr="002054AA" w:rsidRDefault="002054AA" w:rsidP="002054AA">
      <w:pPr>
        <w:pStyle w:val="ListParagraph"/>
        <w:spacing w:after="0" w:line="240" w:lineRule="auto"/>
        <w:ind w:left="0"/>
        <w:rPr>
          <w:rFonts w:ascii="Times New Roman" w:eastAsia="Times New Roman" w:hAnsi="Times New Roman" w:cs="Times New Roman"/>
          <w:sz w:val="24"/>
          <w:szCs w:val="24"/>
          <w:lang w:eastAsia="ro-RO"/>
        </w:rPr>
      </w:pP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lastRenderedPageBreak/>
        <w:t>Respectarea condițiilor impuse prin avizele solicitate în Certificatul de Urbanism.</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32CA" w:rsidRDefault="003032CA"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32CA" w:rsidRDefault="003032CA"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032CA" w:rsidRDefault="003032C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32CA" w:rsidRDefault="003032C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054AA" w:rsidRDefault="0033151D" w:rsidP="002054A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2054AA" w:rsidRDefault="002054AA" w:rsidP="002054A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2054AA" w:rsidRDefault="002054AA" w:rsidP="002054AA">
      <w:pPr>
        <w:tabs>
          <w:tab w:val="left" w:pos="-720"/>
        </w:tabs>
        <w:suppressAutoHyphens/>
        <w:spacing w:after="0" w:line="240" w:lineRule="auto"/>
        <w:ind w:left="426" w:hanging="426"/>
        <w:jc w:val="both"/>
        <w:rPr>
          <w:rFonts w:ascii="Times New Roman" w:eastAsia="Times New Roman" w:hAnsi="Times New Roman" w:cs="Times New Roman"/>
          <w:b/>
          <w:bCs/>
          <w:i/>
          <w:iCs/>
          <w:sz w:val="24"/>
          <w:szCs w:val="24"/>
          <w:u w:val="single"/>
          <w:lang w:eastAsia="de-DE"/>
        </w:rPr>
      </w:pPr>
    </w:p>
    <w:p w:rsidR="002054AA" w:rsidRDefault="002054AA" w:rsidP="002054AA">
      <w:pPr>
        <w:tabs>
          <w:tab w:val="left" w:pos="-720"/>
        </w:tabs>
        <w:suppressAutoHyphens/>
        <w:spacing w:after="0" w:line="240" w:lineRule="auto"/>
        <w:ind w:left="426" w:hanging="426"/>
        <w:jc w:val="both"/>
        <w:rPr>
          <w:rFonts w:ascii="Times New Roman" w:eastAsia="Times New Roman" w:hAnsi="Times New Roman" w:cs="Times New Roman"/>
          <w:b/>
          <w:bCs/>
          <w:i/>
          <w:iCs/>
          <w:sz w:val="24"/>
          <w:szCs w:val="24"/>
          <w:u w:val="single"/>
          <w:lang w:eastAsia="de-DE"/>
        </w:rPr>
      </w:pPr>
    </w:p>
    <w:p w:rsidR="0033151D" w:rsidRPr="0058481D" w:rsidRDefault="0033151D" w:rsidP="002054AA">
      <w:pPr>
        <w:tabs>
          <w:tab w:val="left" w:pos="-720"/>
        </w:tabs>
        <w:suppressAutoHyphens/>
        <w:spacing w:after="0" w:line="240" w:lineRule="auto"/>
        <w:ind w:left="426" w:hanging="426"/>
        <w:jc w:val="both"/>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lastRenderedPageBreak/>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32CA" w:rsidRDefault="003032C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32CA" w:rsidRDefault="003032C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032CA" w:rsidRPr="003032CA" w:rsidRDefault="003032CA" w:rsidP="00AF500C">
      <w:pPr>
        <w:spacing w:after="0" w:line="240" w:lineRule="auto"/>
        <w:jc w:val="both"/>
        <w:rPr>
          <w:rFonts w:ascii="Times New Roman" w:eastAsia="Times New Roman" w:hAnsi="Times New Roman" w:cs="Times New Roman"/>
          <w:sz w:val="16"/>
          <w:szCs w:val="16"/>
          <w:lang w:eastAsia="ro-RO"/>
        </w:rPr>
      </w:pPr>
    </w:p>
    <w:p w:rsidR="0033151D" w:rsidRPr="0017345C" w:rsidRDefault="0033151D" w:rsidP="00E93A78">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Default="0033151D" w:rsidP="00E93A78">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853ED" w:rsidRPr="0017345C" w:rsidRDefault="004853ED" w:rsidP="00E93A78">
      <w:pPr>
        <w:shd w:val="clear" w:color="auto" w:fill="FFFFFF"/>
        <w:spacing w:after="120" w:line="240" w:lineRule="auto"/>
        <w:ind w:firstLine="708"/>
        <w:jc w:val="both"/>
        <w:rPr>
          <w:rFonts w:ascii="Times New Roman" w:hAnsi="Times New Roman" w:cs="Times New Roman"/>
          <w:color w:val="000000"/>
          <w:sz w:val="24"/>
          <w:szCs w:val="24"/>
        </w:rPr>
      </w:pP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E93A7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5" w:name="do|ax5^I|pa42"/>
      <w:bookmarkEnd w:id="15"/>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sidRPr="004853ED">
              <w:rPr>
                <w:rFonts w:ascii="Times New Roman" w:eastAsia="Calibri" w:hAnsi="Times New Roman" w:cs="Times New Roman"/>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sidRPr="004853ED">
              <w:rPr>
                <w:rFonts w:ascii="Times New Roman" w:eastAsia="Calibri" w:hAnsi="Times New Roman" w:cs="Times New Roman"/>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Vlaicu Cornelia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16" w:name="_GoBack"/>
      <w:bookmarkEnd w:id="16"/>
    </w:p>
    <w:sectPr w:rsidR="00051258" w:rsidRPr="00C709A7" w:rsidSect="0060499B">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13" w:rsidRDefault="00626313" w:rsidP="00EE5AEC">
      <w:pPr>
        <w:spacing w:after="0" w:line="240" w:lineRule="auto"/>
      </w:pPr>
      <w:r>
        <w:separator/>
      </w:r>
    </w:p>
  </w:endnote>
  <w:endnote w:type="continuationSeparator" w:id="0">
    <w:p w:rsidR="00626313" w:rsidRDefault="0062631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4853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13" w:rsidRDefault="00626313" w:rsidP="00EE5AEC">
      <w:pPr>
        <w:spacing w:after="0" w:line="240" w:lineRule="auto"/>
      </w:pPr>
      <w:r>
        <w:separator/>
      </w:r>
    </w:p>
  </w:footnote>
  <w:footnote w:type="continuationSeparator" w:id="0">
    <w:p w:rsidR="00626313" w:rsidRDefault="0062631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6"/>
  </w:num>
  <w:num w:numId="5">
    <w:abstractNumId w:val="13"/>
  </w:num>
  <w:num w:numId="6">
    <w:abstractNumId w:val="3"/>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8"/>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19"/>
  </w:num>
  <w:num w:numId="35">
    <w:abstractNumId w:val="24"/>
  </w:num>
  <w:num w:numId="36">
    <w:abstractNumId w:val="35"/>
  </w:num>
  <w:num w:numId="37">
    <w:abstractNumId w:val="30"/>
  </w:num>
  <w:num w:numId="38">
    <w:abstractNumId w:val="17"/>
  </w:num>
  <w:num w:numId="39">
    <w:abstractNumId w:val="32"/>
  </w:num>
  <w:num w:numId="40">
    <w:abstractNumId w:val="2"/>
  </w:num>
  <w:num w:numId="41">
    <w:abstractNumId w:val="22"/>
  </w:num>
  <w:num w:numId="42">
    <w:abstractNumId w:val="36"/>
  </w:num>
  <w:num w:numId="43">
    <w:abstractNumId w:val="29"/>
  </w:num>
  <w:num w:numId="44">
    <w:abstractNumId w:val="21"/>
  </w:num>
  <w:num w:numId="45">
    <w:abstractNumId w:val="23"/>
  </w:num>
  <w:num w:numId="46">
    <w:abstractNumId w:val="5"/>
  </w:num>
  <w:num w:numId="47">
    <w:abstractNumId w:val="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0F6DF5"/>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4D46"/>
    <w:rsid w:val="001E678F"/>
    <w:rsid w:val="001F2D15"/>
    <w:rsid w:val="001F3B49"/>
    <w:rsid w:val="001F65BD"/>
    <w:rsid w:val="001F734B"/>
    <w:rsid w:val="002054AA"/>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032CA"/>
    <w:rsid w:val="0033151D"/>
    <w:rsid w:val="00351752"/>
    <w:rsid w:val="00360E57"/>
    <w:rsid w:val="0036379B"/>
    <w:rsid w:val="00373FFD"/>
    <w:rsid w:val="00384B93"/>
    <w:rsid w:val="0038664D"/>
    <w:rsid w:val="00393F9D"/>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009C"/>
    <w:rsid w:val="004763A4"/>
    <w:rsid w:val="00480977"/>
    <w:rsid w:val="0048318C"/>
    <w:rsid w:val="004853ED"/>
    <w:rsid w:val="004A1535"/>
    <w:rsid w:val="004A1B57"/>
    <w:rsid w:val="004A3AB9"/>
    <w:rsid w:val="004A3FDA"/>
    <w:rsid w:val="004B6303"/>
    <w:rsid w:val="004E671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B435D"/>
    <w:rsid w:val="005C1C98"/>
    <w:rsid w:val="005C2CC8"/>
    <w:rsid w:val="005D619C"/>
    <w:rsid w:val="005F0B46"/>
    <w:rsid w:val="005F67FF"/>
    <w:rsid w:val="005F726C"/>
    <w:rsid w:val="0060499B"/>
    <w:rsid w:val="00605A3F"/>
    <w:rsid w:val="00612BD1"/>
    <w:rsid w:val="006172C2"/>
    <w:rsid w:val="006206C3"/>
    <w:rsid w:val="00626313"/>
    <w:rsid w:val="00630A08"/>
    <w:rsid w:val="00640681"/>
    <w:rsid w:val="00641AB8"/>
    <w:rsid w:val="00644DD0"/>
    <w:rsid w:val="00680B05"/>
    <w:rsid w:val="006959BE"/>
    <w:rsid w:val="006A65D3"/>
    <w:rsid w:val="006B271B"/>
    <w:rsid w:val="006C6EDD"/>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B0F06"/>
    <w:rsid w:val="008B210D"/>
    <w:rsid w:val="008C47E7"/>
    <w:rsid w:val="008E38AE"/>
    <w:rsid w:val="00901F7A"/>
    <w:rsid w:val="00912F44"/>
    <w:rsid w:val="009167CA"/>
    <w:rsid w:val="00917480"/>
    <w:rsid w:val="00937BE6"/>
    <w:rsid w:val="0094474A"/>
    <w:rsid w:val="00955D6F"/>
    <w:rsid w:val="00971AF8"/>
    <w:rsid w:val="0098361F"/>
    <w:rsid w:val="009A7CB8"/>
    <w:rsid w:val="009B2E48"/>
    <w:rsid w:val="009D477B"/>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4990"/>
    <w:rsid w:val="00AD5885"/>
    <w:rsid w:val="00AE1F9C"/>
    <w:rsid w:val="00AF1CF7"/>
    <w:rsid w:val="00AF359C"/>
    <w:rsid w:val="00AF500C"/>
    <w:rsid w:val="00AF736A"/>
    <w:rsid w:val="00B169FF"/>
    <w:rsid w:val="00B3398A"/>
    <w:rsid w:val="00B3442D"/>
    <w:rsid w:val="00B35ECB"/>
    <w:rsid w:val="00B36897"/>
    <w:rsid w:val="00B476E7"/>
    <w:rsid w:val="00B524ED"/>
    <w:rsid w:val="00B55383"/>
    <w:rsid w:val="00B77FDD"/>
    <w:rsid w:val="00B96B24"/>
    <w:rsid w:val="00BB01A7"/>
    <w:rsid w:val="00BD4BFF"/>
    <w:rsid w:val="00BD7C3A"/>
    <w:rsid w:val="00BE3395"/>
    <w:rsid w:val="00BF21B7"/>
    <w:rsid w:val="00C025D0"/>
    <w:rsid w:val="00C14094"/>
    <w:rsid w:val="00C33E07"/>
    <w:rsid w:val="00C36162"/>
    <w:rsid w:val="00C51029"/>
    <w:rsid w:val="00C709A7"/>
    <w:rsid w:val="00C76160"/>
    <w:rsid w:val="00C761CC"/>
    <w:rsid w:val="00CB165A"/>
    <w:rsid w:val="00CD145B"/>
    <w:rsid w:val="00CD50D4"/>
    <w:rsid w:val="00CE36A7"/>
    <w:rsid w:val="00D037EE"/>
    <w:rsid w:val="00D32DB6"/>
    <w:rsid w:val="00D40784"/>
    <w:rsid w:val="00D42DC2"/>
    <w:rsid w:val="00D46B77"/>
    <w:rsid w:val="00D52D6D"/>
    <w:rsid w:val="00D56D54"/>
    <w:rsid w:val="00D65E7E"/>
    <w:rsid w:val="00D7402F"/>
    <w:rsid w:val="00D7690A"/>
    <w:rsid w:val="00D80391"/>
    <w:rsid w:val="00D85488"/>
    <w:rsid w:val="00D94C2A"/>
    <w:rsid w:val="00D96D00"/>
    <w:rsid w:val="00DC4102"/>
    <w:rsid w:val="00DC6F82"/>
    <w:rsid w:val="00DD1485"/>
    <w:rsid w:val="00DE3A94"/>
    <w:rsid w:val="00DF2AC4"/>
    <w:rsid w:val="00E10E22"/>
    <w:rsid w:val="00E14E3B"/>
    <w:rsid w:val="00E45F4C"/>
    <w:rsid w:val="00E51181"/>
    <w:rsid w:val="00E51DE7"/>
    <w:rsid w:val="00E53CDC"/>
    <w:rsid w:val="00E6529F"/>
    <w:rsid w:val="00E91709"/>
    <w:rsid w:val="00E93A78"/>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6BF2"/>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D89C-E88C-4F0D-8721-768ED446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5</Pages>
  <Words>2292</Words>
  <Characters>13300</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2019-11-28T14:01:00Z</dcterms:modified>
</cp:coreProperties>
</file>