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536434"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1210743"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FE53BF">
        <w:rPr>
          <w:rFonts w:ascii="Times New Roman" w:hAnsi="Times New Roman"/>
          <w:sz w:val="24"/>
          <w:szCs w:val="24"/>
          <w:lang w:val="ro-RO" w:eastAsia="ro-RO"/>
        </w:rPr>
        <w:t>19074</w:t>
      </w:r>
      <w:r w:rsidR="000335B9">
        <w:rPr>
          <w:rFonts w:ascii="Times New Roman" w:hAnsi="Times New Roman"/>
          <w:sz w:val="24"/>
          <w:szCs w:val="24"/>
          <w:lang w:val="ro-RO" w:eastAsia="ro-RO"/>
        </w:rPr>
        <w:t>/</w:t>
      </w:r>
      <w:r w:rsidR="00FE53BF">
        <w:rPr>
          <w:rFonts w:ascii="Times New Roman" w:hAnsi="Times New Roman"/>
          <w:sz w:val="24"/>
          <w:szCs w:val="24"/>
          <w:lang w:val="ro-RO" w:eastAsia="ro-RO"/>
        </w:rPr>
        <w:t>11991</w:t>
      </w:r>
      <w:r w:rsidR="00CD7475" w:rsidRPr="00CD7475">
        <w:rPr>
          <w:rFonts w:ascii="Times New Roman" w:eastAsiaTheme="minorHAnsi" w:hAnsi="Times New Roman"/>
          <w:sz w:val="24"/>
          <w:szCs w:val="24"/>
          <w:lang w:val="ro-RO"/>
        </w:rPr>
        <w:t>/</w:t>
      </w:r>
      <w:r w:rsidR="00191AF2">
        <w:rPr>
          <w:rFonts w:ascii="Times New Roman" w:eastAsiaTheme="minorHAnsi" w:hAnsi="Times New Roman"/>
          <w:sz w:val="24"/>
          <w:szCs w:val="24"/>
          <w:lang w:val="ro-RO"/>
        </w:rPr>
        <w:t>16.01.2020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r w:rsidR="000335B9">
        <w:t xml:space="preserve"> </w:t>
      </w:r>
      <w:r w:rsidR="00191AF2">
        <w:t xml:space="preserve"> </w:t>
      </w:r>
      <w:proofErr w:type="spellStart"/>
      <w:r w:rsidR="00191AF2">
        <w:t>Proiect</w:t>
      </w:r>
      <w:proofErr w:type="spellEnd"/>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AE6A8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16.01.2020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670424" w:rsidRPr="0004146A">
        <w:rPr>
          <w:rFonts w:ascii="Times New Roman" w:hAnsi="Times New Roman"/>
          <w:b/>
          <w:sz w:val="24"/>
          <w:szCs w:val="24"/>
          <w:lang w:val="ro-RO"/>
        </w:rPr>
        <w:t xml:space="preserve">S.D.E.E. </w:t>
      </w:r>
      <w:proofErr w:type="gramStart"/>
      <w:r w:rsidR="00670424" w:rsidRPr="0004146A">
        <w:rPr>
          <w:rFonts w:ascii="Times New Roman" w:hAnsi="Times New Roman"/>
          <w:b/>
          <w:sz w:val="24"/>
          <w:szCs w:val="24"/>
          <w:lang w:val="ro-RO"/>
        </w:rPr>
        <w:t>MUNTENIA  -</w:t>
      </w:r>
      <w:proofErr w:type="gramEnd"/>
      <w:r w:rsidR="00670424" w:rsidRPr="0004146A">
        <w:rPr>
          <w:rFonts w:ascii="Times New Roman" w:hAnsi="Times New Roman"/>
          <w:b/>
          <w:sz w:val="24"/>
          <w:szCs w:val="24"/>
          <w:lang w:val="ro-RO"/>
        </w:rPr>
        <w:t xml:space="preserve"> SDEE TÂRGOVIȘTE</w:t>
      </w:r>
      <w:r w:rsidR="00E71C50" w:rsidRPr="0004146A">
        <w:rPr>
          <w:rFonts w:ascii="Times New Roman" w:hAnsi="Times New Roman"/>
          <w:b/>
          <w:sz w:val="24"/>
          <w:szCs w:val="24"/>
          <w:lang w:val="ro-RO"/>
        </w:rPr>
        <w:t>.</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670424" w:rsidRPr="0004146A">
        <w:rPr>
          <w:rFonts w:ascii="Times New Roman" w:hAnsi="Times New Roman"/>
          <w:sz w:val="24"/>
          <w:szCs w:val="24"/>
          <w:lang w:val="ro-RO"/>
        </w:rPr>
        <w:t>Târgoviște, Calea Domnească, nr. 236</w:t>
      </w:r>
      <w:r w:rsidR="000335B9" w:rsidRPr="0004146A">
        <w:rPr>
          <w:rFonts w:ascii="Times New Roman" w:hAnsi="Times New Roman"/>
          <w:sz w:val="24"/>
          <w:szCs w:val="24"/>
          <w:lang w:val="ro-RO"/>
        </w:rPr>
        <w:t>,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AE6A88">
        <w:rPr>
          <w:rFonts w:ascii="Times New Roman" w:hAnsi="Times New Roman"/>
          <w:sz w:val="24"/>
          <w:szCs w:val="24"/>
        </w:rPr>
        <w:t>19074</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AE6A88">
        <w:rPr>
          <w:rFonts w:ascii="Times New Roman" w:hAnsi="Times New Roman"/>
          <w:sz w:val="24"/>
          <w:szCs w:val="24"/>
        </w:rPr>
        <w:t>27.11</w:t>
      </w:r>
      <w:r w:rsidR="00B71339" w:rsidRPr="0004146A">
        <w:rPr>
          <w:rFonts w:ascii="Times New Roman" w:hAnsi="Times New Roman"/>
          <w:sz w:val="24"/>
          <w:szCs w:val="24"/>
        </w:rPr>
        <w:t>.2019</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8745D2">
        <w:rPr>
          <w:rFonts w:ascii="Times New Roman" w:hAnsi="Times New Roman"/>
          <w:b/>
          <w:i/>
          <w:sz w:val="24"/>
          <w:szCs w:val="24"/>
        </w:rPr>
        <w:t>09.01.2020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536434">
        <w:rPr>
          <w:rFonts w:ascii="Times New Roman" w:hAnsi="Times New Roman"/>
          <w:sz w:val="24"/>
          <w:szCs w:val="24"/>
          <w:lang w:val="ro-RO"/>
        </w:rPr>
        <w:t>,,</w:t>
      </w:r>
      <w:r w:rsidR="008745D2">
        <w:rPr>
          <w:rFonts w:ascii="Times New Roman" w:hAnsi="Times New Roman"/>
          <w:b/>
          <w:i/>
          <w:sz w:val="24"/>
          <w:szCs w:val="24"/>
          <w:lang w:val="ro-RO" w:eastAsia="ro-RO"/>
        </w:rPr>
        <w:t>Reglementare LEA 20 KV : amenajare platformă parcare auto + împrejmuire S.C. VIO TRANS S.R.L.</w:t>
      </w:r>
      <w:r w:rsidR="000335B9" w:rsidRPr="0004146A">
        <w:rPr>
          <w:rFonts w:ascii="Times New Roman" w:hAnsi="Times New Roman"/>
          <w:b/>
          <w:i/>
          <w:sz w:val="24"/>
          <w:szCs w:val="24"/>
          <w:lang w:val="ro-RO" w:eastAsia="ro-RO"/>
        </w:rPr>
        <w:t>”</w:t>
      </w:r>
      <w:r w:rsidR="000335B9" w:rsidRPr="0004146A">
        <w:rPr>
          <w:rFonts w:ascii="Times New Roman" w:hAnsi="Times New Roman"/>
          <w:sz w:val="24"/>
          <w:szCs w:val="24"/>
          <w:lang w:val="ro-RO" w:eastAsia="ro-RO"/>
        </w:rPr>
        <w:t xml:space="preserve">, propus a fi amplasat în comuna </w:t>
      </w:r>
      <w:r w:rsidR="008745D2">
        <w:rPr>
          <w:rFonts w:ascii="Times New Roman" w:hAnsi="Times New Roman"/>
          <w:sz w:val="24"/>
          <w:szCs w:val="24"/>
          <w:lang w:val="ro-RO" w:eastAsia="ro-RO"/>
        </w:rPr>
        <w:t>Dragomirești, satul Ungureni, str. Principală</w:t>
      </w:r>
      <w:r w:rsidR="000335B9" w:rsidRPr="0004146A">
        <w:rPr>
          <w:rFonts w:ascii="Times New Roman" w:hAnsi="Times New Roman"/>
          <w:sz w:val="24"/>
          <w:szCs w:val="24"/>
          <w:lang w:val="ro-RO" w:eastAsia="ro-RO"/>
        </w:rPr>
        <w:t>,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w:t>
      </w:r>
      <w:bookmarkStart w:id="0" w:name="_GoBack"/>
      <w:bookmarkEnd w:id="0"/>
      <w:r w:rsidR="00E07EC4" w:rsidRPr="0004146A">
        <w:rPr>
          <w:b/>
          <w:i/>
          <w:szCs w:val="24"/>
          <w:lang w:val="it-IT"/>
        </w:rPr>
        <w:t>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Pr="0004146A" w:rsidRDefault="002D4DF7" w:rsidP="00B620B5">
      <w:pPr>
        <w:spacing w:after="0" w:line="240" w:lineRule="auto"/>
        <w:jc w:val="both"/>
        <w:rPr>
          <w:rStyle w:val="tpa1"/>
          <w:rFonts w:ascii="Times New Roman" w:hAnsi="Times New Roman"/>
          <w:b/>
          <w:i/>
          <w:sz w:val="24"/>
          <w:szCs w:val="24"/>
          <w:lang w:val="it-IT"/>
        </w:rPr>
      </w:pPr>
      <w:r w:rsidRPr="0004146A">
        <w:rPr>
          <w:rStyle w:val="tpa1"/>
          <w:rFonts w:ascii="Times New Roman" w:hAnsi="Times New Roman"/>
          <w:sz w:val="24"/>
          <w:szCs w:val="24"/>
          <w:lang w:val="pt-BR"/>
        </w:rPr>
        <w:t>Justificarea prezentei decizii:</w:t>
      </w: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3561">
      <w:pPr>
        <w:pStyle w:val="Char"/>
        <w:spacing w:after="120"/>
        <w:jc w:val="both"/>
        <w:rPr>
          <w:color w:val="191919"/>
        </w:rPr>
      </w:pPr>
      <w:r w:rsidRPr="0004146A">
        <w:rPr>
          <w:color w:val="191919"/>
        </w:rPr>
        <w:t>b) s-au realizat completarea şi analiza listei de control pentru etapa de încadrare, consultarea membrilor CAT  în  şedinţa din data de </w:t>
      </w:r>
      <w:r w:rsidR="00E7407D" w:rsidRPr="0004146A">
        <w:rPr>
          <w:b/>
          <w:i/>
        </w:rPr>
        <w:t>05.12</w:t>
      </w:r>
      <w:r w:rsidR="009A3E94" w:rsidRPr="0004146A">
        <w:rPr>
          <w:b/>
          <w:i/>
        </w:rPr>
        <w:t>2019</w:t>
      </w:r>
      <w:r w:rsidRPr="0004146A">
        <w:rPr>
          <w:color w:val="191919"/>
        </w:rPr>
        <w:t>, la sediul  APM Dâmboviţa;</w:t>
      </w:r>
    </w:p>
    <w:p w:rsidR="001118CC" w:rsidRPr="0004146A" w:rsidRDefault="001118CC" w:rsidP="00E90669">
      <w:pPr>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FC4D13" w:rsidRPr="0004146A">
        <w:rPr>
          <w:rFonts w:ascii="Times New Roman" w:hAnsi="Times New Roman"/>
          <w:sz w:val="24"/>
          <w:szCs w:val="24"/>
          <w:lang w:val="ro-RO" w:eastAsia="ro-RO"/>
        </w:rPr>
        <w:t xml:space="preserve">comuna </w:t>
      </w:r>
      <w:r w:rsidR="00FC4D13">
        <w:rPr>
          <w:rFonts w:ascii="Times New Roman" w:hAnsi="Times New Roman"/>
          <w:sz w:val="24"/>
          <w:szCs w:val="24"/>
          <w:lang w:val="ro-RO" w:eastAsia="ro-RO"/>
        </w:rPr>
        <w:t>Dragomirești, satul Ungureni, str. Principală</w:t>
      </w:r>
      <w:r w:rsidR="00FC4D13" w:rsidRPr="0004146A">
        <w:rPr>
          <w:rFonts w:ascii="Times New Roman" w:hAnsi="Times New Roman"/>
          <w:sz w:val="24"/>
          <w:szCs w:val="24"/>
          <w:lang w:val="ro-RO" w:eastAsia="ro-RO"/>
        </w:rPr>
        <w:t>,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sz w:val="24"/>
          <w:szCs w:val="24"/>
          <w:lang w:val="ro-RO" w:eastAsia="ro-RO"/>
        </w:rPr>
        <w:t>In proiectul propus nu este necesară alimentarea cu apă și nu rezultă ape uzate</w:t>
      </w:r>
      <w:r>
        <w:rPr>
          <w:rFonts w:ascii="Times New Roman" w:hAnsi="Times New Roman"/>
          <w:sz w:val="24"/>
          <w:szCs w:val="24"/>
          <w:lang w:val="ro-RO" w:eastAsia="ro-RO"/>
        </w:rPr>
        <w:t>.</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536434"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1210744"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2A03C2" w:rsidRPr="002A03C2" w:rsidRDefault="00535FF8" w:rsidP="002A03C2">
      <w:pPr>
        <w:pStyle w:val="ListParagraph"/>
        <w:numPr>
          <w:ilvl w:val="0"/>
          <w:numId w:val="18"/>
        </w:numPr>
        <w:spacing w:after="200"/>
        <w:rPr>
          <w:rFonts w:eastAsia="Calibri"/>
          <w:szCs w:val="24"/>
          <w:lang w:val="ro-RO"/>
        </w:rPr>
      </w:pPr>
      <w:r w:rsidRPr="002A03C2">
        <w:rPr>
          <w:bCs/>
          <w:szCs w:val="24"/>
          <w:u w:val="single"/>
          <w:lang w:val="fr-FR"/>
        </w:rPr>
        <w:t>1</w:t>
      </w:r>
      <w:r w:rsidR="002A03C2" w:rsidRPr="002A03C2">
        <w:rPr>
          <w:rFonts w:eastAsia="Calibri"/>
          <w:szCs w:val="24"/>
          <w:lang w:val="ro-RO"/>
        </w:rPr>
        <w:t xml:space="preserve"> Lucrări reglementare LEA 20 kV Râncăciov existentă aparținând SDEE Muntenia Nord SA – SDEE Târgoviște:</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 xml:space="preserve">Dezafectare stâlp nr. 75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xml:space="preserve"> tip SE 8 și demontare stâlp și console de susținere existente pe stâlpul nr. 75;</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 xml:space="preserve">Demontare conductor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xml:space="preserve"> tip OL-Al 3x(1x50/8) mm</w:t>
      </w:r>
      <w:r w:rsidRPr="002A03C2">
        <w:rPr>
          <w:rFonts w:ascii="Times New Roman" w:eastAsia="Calibri" w:hAnsi="Times New Roman"/>
          <w:sz w:val="24"/>
          <w:szCs w:val="24"/>
          <w:vertAlign w:val="superscript"/>
          <w:lang w:val="ro-RO"/>
        </w:rPr>
        <w:t>2</w:t>
      </w:r>
      <w:r w:rsidRPr="002A03C2">
        <w:rPr>
          <w:rFonts w:ascii="Times New Roman" w:eastAsia="Calibri" w:hAnsi="Times New Roman"/>
          <w:sz w:val="24"/>
          <w:szCs w:val="24"/>
          <w:lang w:val="ro-RO"/>
        </w:rPr>
        <w:t xml:space="preserve"> care supratraversează proprietatea (L traseu = 74 m) și proprietatea învecinată (L traseu = 13 m);</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 xml:space="preserve">Demontare conductor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xml:space="preserve"> tip OL-Al 3x(1x50/8) mm</w:t>
      </w:r>
      <w:r w:rsidRPr="002A03C2">
        <w:rPr>
          <w:rFonts w:ascii="Times New Roman" w:eastAsia="Calibri" w:hAnsi="Times New Roman"/>
          <w:sz w:val="24"/>
          <w:szCs w:val="24"/>
          <w:vertAlign w:val="superscript"/>
          <w:lang w:val="ro-RO"/>
        </w:rPr>
        <w:t>2</w:t>
      </w:r>
      <w:r w:rsidRPr="002A03C2">
        <w:rPr>
          <w:rFonts w:ascii="Times New Roman" w:eastAsia="Calibri" w:hAnsi="Times New Roman"/>
          <w:sz w:val="24"/>
          <w:szCs w:val="24"/>
          <w:lang w:val="ro-RO"/>
        </w:rPr>
        <w:t xml:space="preserve"> aparținând derivației către PTA 9618 Vio Trans (L traseu = 11,5 m);</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Plantare stâlp nr. 75 pr. tip SC 15014 în axul LEA 20 kV Râncăciov, pe proprietatea utilizatorului, echipat cu 2 buc. CIT 140 și priză de pământ cu R</w:t>
      </w:r>
      <w:r w:rsidRPr="002A03C2">
        <w:rPr>
          <w:rFonts w:ascii="Times New Roman" w:eastAsia="Calibri" w:hAnsi="Times New Roman"/>
          <w:sz w:val="24"/>
          <w:szCs w:val="24"/>
          <w:vertAlign w:val="subscript"/>
          <w:lang w:val="ro-RO"/>
        </w:rPr>
        <w:t>p</w:t>
      </w:r>
      <w:r w:rsidRPr="002A03C2">
        <w:rPr>
          <w:rFonts w:ascii="Times New Roman" w:eastAsia="Calibri" w:hAnsi="Times New Roman"/>
          <w:sz w:val="24"/>
          <w:szCs w:val="24"/>
          <w:lang w:val="ro-RO"/>
        </w:rPr>
        <w:t xml:space="preserve"> ≤ 4 Ω;</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Plantare stâlp nr. 75 bis pr. tip SC 15014, pe domeniu public, echipat cu 1 buc. CIT 140, 1 buc. CDI pr. și priză de pământ cu R</w:t>
      </w:r>
      <w:r w:rsidRPr="002A03C2">
        <w:rPr>
          <w:rFonts w:ascii="Times New Roman" w:eastAsia="Calibri" w:hAnsi="Times New Roman"/>
          <w:sz w:val="24"/>
          <w:szCs w:val="24"/>
          <w:vertAlign w:val="subscript"/>
          <w:lang w:val="ro-RO"/>
        </w:rPr>
        <w:t>p</w:t>
      </w:r>
      <w:r w:rsidRPr="002A03C2">
        <w:rPr>
          <w:rFonts w:ascii="Times New Roman" w:eastAsia="Calibri" w:hAnsi="Times New Roman"/>
          <w:sz w:val="24"/>
          <w:szCs w:val="24"/>
          <w:lang w:val="ro-RO"/>
        </w:rPr>
        <w:t xml:space="preserve"> ≤ 4 Ω;</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Plantare stâlp nr. 76 pr. tip SC 15006, pe domeniu public, echipat cu 1 buc. CDS și priză de pământ cu R</w:t>
      </w:r>
      <w:r w:rsidRPr="002A03C2">
        <w:rPr>
          <w:rFonts w:ascii="Times New Roman" w:eastAsia="Calibri" w:hAnsi="Times New Roman"/>
          <w:sz w:val="24"/>
          <w:szCs w:val="24"/>
          <w:vertAlign w:val="subscript"/>
          <w:lang w:val="ro-RO"/>
        </w:rPr>
        <w:t>p</w:t>
      </w:r>
      <w:r w:rsidRPr="002A03C2">
        <w:rPr>
          <w:rFonts w:ascii="Times New Roman" w:eastAsia="Calibri" w:hAnsi="Times New Roman"/>
          <w:sz w:val="24"/>
          <w:szCs w:val="24"/>
          <w:lang w:val="ro-RO"/>
        </w:rPr>
        <w:t xml:space="preserve"> ≤ 4 Ω;</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 xml:space="preserve">Dezafectare stâlp nr. 76 tip SE 1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xml:space="preserve"> și stâlp nr. 77 tip SE 1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xml:space="preserve"> în axul LEA 20 kV Râncăciov;</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 xml:space="preserve">Plantare stâlp nr. 77 pr. tip SC 15014 echipat cu 2 buc. CDI pr. și 1 buc. vârfar pr. (pentru LEA 20 kV Râncăciov </w:t>
      </w:r>
      <w:r w:rsidRPr="002A03C2">
        <w:rPr>
          <w:rFonts w:ascii="Times New Roman" w:eastAsia="Calibri" w:hAnsi="Times New Roman"/>
          <w:b/>
          <w:bCs/>
          <w:sz w:val="24"/>
          <w:szCs w:val="24"/>
          <w:u w:val="single"/>
          <w:lang w:val="ro-RO"/>
        </w:rPr>
        <w:t>existentă</w:t>
      </w:r>
      <w:r w:rsidRPr="002A03C2">
        <w:rPr>
          <w:rFonts w:ascii="Times New Roman" w:eastAsia="Calibri" w:hAnsi="Times New Roman"/>
          <w:sz w:val="24"/>
          <w:szCs w:val="24"/>
          <w:lang w:val="ro-RO"/>
        </w:rPr>
        <w:t xml:space="preserve">), respectiv 1 buc. CIT 140 pr. (pentru racord PTA 9618 Vio Trans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 și priză de pământ cu R</w:t>
      </w:r>
      <w:r w:rsidRPr="002A03C2">
        <w:rPr>
          <w:rFonts w:ascii="Times New Roman" w:eastAsia="Calibri" w:hAnsi="Times New Roman"/>
          <w:sz w:val="24"/>
          <w:szCs w:val="24"/>
          <w:vertAlign w:val="subscript"/>
          <w:lang w:val="ro-RO"/>
        </w:rPr>
        <w:t>p</w:t>
      </w:r>
      <w:r w:rsidRPr="002A03C2">
        <w:rPr>
          <w:rFonts w:ascii="Times New Roman" w:eastAsia="Calibri" w:hAnsi="Times New Roman"/>
          <w:sz w:val="24"/>
          <w:szCs w:val="24"/>
          <w:lang w:val="ro-RO"/>
        </w:rPr>
        <w:t xml:space="preserve"> ≤ 4 Ω pr.;</w:t>
      </w:r>
    </w:p>
    <w:p w:rsidR="002A03C2" w:rsidRPr="002A03C2" w:rsidRDefault="002A03C2" w:rsidP="002A03C2">
      <w:pPr>
        <w:numPr>
          <w:ilvl w:val="1"/>
          <w:numId w:val="18"/>
        </w:numPr>
        <w:ind w:right="-472"/>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Realizare traseu LEA 20 kV cu conductor tip OL-Al 3x(1x50/8) mm</w:t>
      </w:r>
      <w:r w:rsidRPr="002A03C2">
        <w:rPr>
          <w:rFonts w:ascii="Times New Roman" w:eastAsia="Calibri" w:hAnsi="Times New Roman"/>
          <w:sz w:val="24"/>
          <w:szCs w:val="24"/>
          <w:vertAlign w:val="superscript"/>
          <w:lang w:val="ro-RO"/>
        </w:rPr>
        <w:t>2</w:t>
      </w:r>
      <w:r w:rsidRPr="002A03C2">
        <w:rPr>
          <w:rFonts w:ascii="Times New Roman" w:eastAsia="Calibri" w:hAnsi="Times New Roman"/>
          <w:sz w:val="24"/>
          <w:szCs w:val="24"/>
          <w:lang w:val="ro-RO"/>
        </w:rPr>
        <w:t xml:space="preserve"> în lungime de 150,3 ml traseu (lungime totală conductor = 3x163,3 = 489,9 m) între stâlpii nr. 75 pr. și nr. 78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w:t>
      </w:r>
    </w:p>
    <w:p w:rsidR="002A03C2" w:rsidRPr="002A03C2" w:rsidRDefault="002A03C2" w:rsidP="002A03C2">
      <w:pPr>
        <w:numPr>
          <w:ilvl w:val="1"/>
          <w:numId w:val="18"/>
        </w:numPr>
        <w:spacing w:line="240" w:lineRule="auto"/>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Realizare traseu Derivație 20 kV către PTA 9618 Vio Trans cu conductor tip OL-Al 3x(1x50/8) mm</w:t>
      </w:r>
      <w:r w:rsidRPr="002A03C2">
        <w:rPr>
          <w:rFonts w:ascii="Times New Roman" w:eastAsia="Calibri" w:hAnsi="Times New Roman"/>
          <w:sz w:val="24"/>
          <w:szCs w:val="24"/>
          <w:vertAlign w:val="superscript"/>
          <w:lang w:val="ro-RO"/>
        </w:rPr>
        <w:t>2</w:t>
      </w:r>
      <w:r w:rsidRPr="002A03C2">
        <w:rPr>
          <w:rFonts w:ascii="Times New Roman" w:eastAsia="Calibri" w:hAnsi="Times New Roman"/>
          <w:sz w:val="24"/>
          <w:szCs w:val="24"/>
          <w:lang w:val="ro-RO"/>
        </w:rPr>
        <w:t xml:space="preserve"> în lungime de 26,5 ml traseu (lungime totală conductor = 3x30,5 = 91,5 m) între stâlpii nr. 77 pr. și nr. 1 </w:t>
      </w:r>
      <w:r w:rsidRPr="002A03C2">
        <w:rPr>
          <w:rFonts w:ascii="Times New Roman" w:eastAsia="Calibri" w:hAnsi="Times New Roman"/>
          <w:b/>
          <w:bCs/>
          <w:sz w:val="24"/>
          <w:szCs w:val="24"/>
          <w:u w:val="single"/>
          <w:lang w:val="ro-RO"/>
        </w:rPr>
        <w:t>existent</w:t>
      </w:r>
      <w:r w:rsidRPr="002A03C2">
        <w:rPr>
          <w:rFonts w:ascii="Times New Roman" w:eastAsia="Calibri" w:hAnsi="Times New Roman"/>
          <w:sz w:val="24"/>
          <w:szCs w:val="24"/>
          <w:lang w:val="ro-RO"/>
        </w:rPr>
        <w:t>.</w:t>
      </w:r>
      <w:r w:rsidRPr="002A03C2">
        <w:rPr>
          <w:rFonts w:ascii="Times New Roman" w:eastAsia="Calibri" w:hAnsi="Times New Roman"/>
          <w:bCs/>
          <w:color w:val="000000"/>
          <w:sz w:val="24"/>
          <w:szCs w:val="24"/>
          <w:lang w:val="ro-RO"/>
        </w:rPr>
        <w:t>;</w:t>
      </w:r>
    </w:p>
    <w:p w:rsidR="002A03C2" w:rsidRPr="002A03C2" w:rsidRDefault="002A03C2" w:rsidP="002A03C2">
      <w:pPr>
        <w:numPr>
          <w:ilvl w:val="1"/>
          <w:numId w:val="18"/>
        </w:numPr>
        <w:spacing w:line="240" w:lineRule="auto"/>
        <w:contextualSpacing/>
        <w:rPr>
          <w:rFonts w:ascii="Times New Roman" w:eastAsia="Calibri" w:hAnsi="Times New Roman"/>
          <w:sz w:val="24"/>
          <w:szCs w:val="24"/>
          <w:lang w:val="ro-RO"/>
        </w:rPr>
      </w:pPr>
      <w:r w:rsidRPr="002A03C2">
        <w:rPr>
          <w:rFonts w:ascii="Times New Roman" w:eastAsia="Calibri" w:hAnsi="Times New Roman"/>
          <w:sz w:val="24"/>
          <w:szCs w:val="24"/>
          <w:lang w:val="ro-RO"/>
        </w:rPr>
        <w:t>NOTĂ: Stâlpii vor fi amplasați astfel: pe domeniul public (stâlpii nr. 75 bis și nr. 76), respectiv pe proprietate privată (stâlpii nr. 75 și nr. 77).</w:t>
      </w:r>
    </w:p>
    <w:p w:rsidR="002A03C2" w:rsidRPr="002A03C2" w:rsidRDefault="002A03C2" w:rsidP="002A03C2">
      <w:pPr>
        <w:tabs>
          <w:tab w:val="center" w:pos="4513"/>
          <w:tab w:val="right" w:pos="9026"/>
        </w:tabs>
        <w:spacing w:line="240" w:lineRule="auto"/>
        <w:ind w:left="709"/>
        <w:rPr>
          <w:rFonts w:ascii="Times New Roman" w:eastAsia="Calibri" w:hAnsi="Times New Roman"/>
          <w:bCs/>
          <w:color w:val="000000"/>
          <w:sz w:val="24"/>
          <w:szCs w:val="24"/>
          <w:lang w:val="ro-RO"/>
        </w:rPr>
      </w:pPr>
      <w:r w:rsidRPr="002A03C2">
        <w:rPr>
          <w:rFonts w:ascii="Times New Roman" w:eastAsia="Calibri" w:hAnsi="Times New Roman"/>
          <w:color w:val="000000"/>
          <w:sz w:val="24"/>
          <w:szCs w:val="24"/>
          <w:lang w:val="ro-RO"/>
        </w:rPr>
        <w:t>Toți stâlpii nou plantați vor intra în gestiunea SDEE Târgoviște.</w:t>
      </w:r>
    </w:p>
    <w:p w:rsidR="0066746C" w:rsidRPr="0014164B" w:rsidRDefault="0066746C" w:rsidP="002A03C2">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BD373B" w:rsidRPr="0004146A">
        <w:rPr>
          <w:rFonts w:ascii="Times New Roman" w:hAnsi="Times New Roman"/>
          <w:sz w:val="24"/>
          <w:szCs w:val="24"/>
          <w:lang w:val="ro-RO" w:eastAsia="ro-RO"/>
        </w:rPr>
        <w:t xml:space="preserve">comuna </w:t>
      </w:r>
      <w:r w:rsidR="00BD373B">
        <w:rPr>
          <w:rFonts w:ascii="Times New Roman" w:hAnsi="Times New Roman"/>
          <w:sz w:val="24"/>
          <w:szCs w:val="24"/>
          <w:lang w:val="ro-RO" w:eastAsia="ro-RO"/>
        </w:rPr>
        <w:t>Dragomirești, satul Ungureni, str. Principală</w:t>
      </w:r>
      <w:r w:rsidR="00BD373B" w:rsidRPr="0004146A">
        <w:rPr>
          <w:rFonts w:ascii="Times New Roman" w:hAnsi="Times New Roman"/>
          <w:sz w:val="24"/>
          <w:szCs w:val="24"/>
          <w:lang w:val="ro-RO" w:eastAsia="ro-RO"/>
        </w:rPr>
        <w:t>,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lastRenderedPageBreak/>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BD373B">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BD373B">
              <w:rPr>
                <w:rFonts w:ascii="Garamond" w:eastAsia="Calibri" w:hAnsi="Garamond"/>
                <w:sz w:val="28"/>
                <w:szCs w:val="28"/>
              </w:rPr>
              <w:t>Raluca</w:t>
            </w:r>
            <w:proofErr w:type="spellEnd"/>
            <w:r w:rsidR="00BD373B">
              <w:rPr>
                <w:rFonts w:ascii="Garamond" w:eastAsia="Calibri" w:hAnsi="Garamond"/>
                <w:sz w:val="28"/>
                <w:szCs w:val="28"/>
              </w:rPr>
              <w:t xml:space="preserve"> </w:t>
            </w:r>
            <w:proofErr w:type="spellStart"/>
            <w:r w:rsidR="00BD373B">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C3D" w:rsidRDefault="00581C3D">
      <w:pPr>
        <w:spacing w:after="0" w:line="240" w:lineRule="auto"/>
      </w:pPr>
      <w:r>
        <w:separator/>
      </w:r>
    </w:p>
  </w:endnote>
  <w:endnote w:type="continuationSeparator" w:id="0">
    <w:p w:rsidR="00581C3D" w:rsidRDefault="0058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536434">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C3D" w:rsidRDefault="00581C3D">
      <w:pPr>
        <w:spacing w:after="0" w:line="240" w:lineRule="auto"/>
      </w:pPr>
      <w:r>
        <w:separator/>
      </w:r>
    </w:p>
  </w:footnote>
  <w:footnote w:type="continuationSeparator" w:id="0">
    <w:p w:rsidR="00581C3D" w:rsidRDefault="00581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8">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6"/>
  </w:num>
  <w:num w:numId="4">
    <w:abstractNumId w:val="3"/>
  </w:num>
  <w:num w:numId="5">
    <w:abstractNumId w:val="1"/>
  </w:num>
  <w:num w:numId="6">
    <w:abstractNumId w:val="5"/>
  </w:num>
  <w:num w:numId="7">
    <w:abstractNumId w:val="9"/>
  </w:num>
  <w:num w:numId="8">
    <w:abstractNumId w:val="6"/>
  </w:num>
  <w:num w:numId="9">
    <w:abstractNumId w:val="14"/>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2"/>
  </w:num>
  <w:num w:numId="13">
    <w:abstractNumId w:val="11"/>
  </w:num>
  <w:num w:numId="14">
    <w:abstractNumId w:val="17"/>
  </w:num>
  <w:num w:numId="15">
    <w:abstractNumId w:val="10"/>
  </w:num>
  <w:num w:numId="16">
    <w:abstractNumId w:val="4"/>
  </w:num>
  <w:num w:numId="17">
    <w:abstractNumId w:val="8"/>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6434"/>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584A"/>
    <w:rsid w:val="00865ABF"/>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599"/>
    <w:rsid w:val="00DB22BC"/>
    <w:rsid w:val="00DB4818"/>
    <w:rsid w:val="00DB5392"/>
    <w:rsid w:val="00DC0464"/>
    <w:rsid w:val="00DC16A1"/>
    <w:rsid w:val="00DD04FF"/>
    <w:rsid w:val="00DD1678"/>
    <w:rsid w:val="00DD1AED"/>
    <w:rsid w:val="00DD4453"/>
    <w:rsid w:val="00DD555E"/>
    <w:rsid w:val="00DE15C0"/>
    <w:rsid w:val="00DE448F"/>
    <w:rsid w:val="00DE51CA"/>
    <w:rsid w:val="00DE667C"/>
    <w:rsid w:val="00DF0268"/>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9C87-4945-49FA-8205-3624C7F8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2637</Words>
  <Characters>17144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7</cp:revision>
  <cp:lastPrinted>2019-12-31T06:43:00Z</cp:lastPrinted>
  <dcterms:created xsi:type="dcterms:W3CDTF">2020-01-22T12:55:00Z</dcterms:created>
  <dcterms:modified xsi:type="dcterms:W3CDTF">2020-01-22T13:06:00Z</dcterms:modified>
</cp:coreProperties>
</file>