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D65769">
        <w:rPr>
          <w:rFonts w:ascii="Times New Roman" w:eastAsia="Calibri" w:hAnsi="Times New Roman" w:cs="Times New Roman"/>
          <w:b/>
          <w:noProof/>
          <w:sz w:val="24"/>
          <w:szCs w:val="26"/>
          <w:lang w:val="ro-RO"/>
        </w:rPr>
        <w:t>xx</w:t>
      </w:r>
      <w:r w:rsidR="00732E50">
        <w:rPr>
          <w:rFonts w:ascii="Times New Roman" w:eastAsia="Calibri" w:hAnsi="Times New Roman" w:cs="Times New Roman"/>
          <w:b/>
          <w:noProof/>
          <w:sz w:val="24"/>
          <w:szCs w:val="26"/>
          <w:lang w:val="ro-RO"/>
        </w:rPr>
        <w:t>.0</w:t>
      </w:r>
      <w:r w:rsidR="00A2399D">
        <w:rPr>
          <w:rFonts w:ascii="Times New Roman" w:eastAsia="Calibri" w:hAnsi="Times New Roman" w:cs="Times New Roman"/>
          <w:b/>
          <w:noProof/>
          <w:sz w:val="24"/>
          <w:szCs w:val="26"/>
          <w:lang w:val="ro-RO"/>
        </w:rPr>
        <w:t>9</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A2399D">
        <w:rPr>
          <w:rFonts w:ascii="Times New Roman" w:eastAsia="Calibri" w:hAnsi="Times New Roman" w:cs="Times New Roman"/>
          <w:b/>
          <w:spacing w:val="-4"/>
          <w:sz w:val="24"/>
          <w:szCs w:val="26"/>
          <w:lang w:val="ro-RO"/>
        </w:rPr>
        <w:t>GOLDA ADRIAN-IOAN pentru ELECTRO VEST SRL</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 xml:space="preserve">cu sediul în </w:t>
      </w:r>
      <w:r w:rsidR="005F0A68" w:rsidRPr="00A16E6A">
        <w:rPr>
          <w:rFonts w:ascii="Times New Roman" w:eastAsia="Calibri" w:hAnsi="Times New Roman" w:cs="Times New Roman"/>
          <w:sz w:val="24"/>
          <w:szCs w:val="26"/>
          <w:lang w:val="ro-RO"/>
        </w:rPr>
        <w:t xml:space="preserve">municipiul </w:t>
      </w:r>
      <w:r w:rsidR="00A2399D">
        <w:rPr>
          <w:rFonts w:ascii="Times New Roman" w:eastAsia="Calibri" w:hAnsi="Times New Roman" w:cs="Times New Roman"/>
          <w:sz w:val="24"/>
          <w:szCs w:val="26"/>
          <w:lang w:val="ro-RO"/>
        </w:rPr>
        <w:t>Cluj-Napoca, str. Dezmirului, nr. 6</w:t>
      </w:r>
      <w:r w:rsidR="006F31FE" w:rsidRPr="00A16E6A">
        <w:rPr>
          <w:rFonts w:ascii="Times New Roman" w:eastAsia="Calibri" w:hAnsi="Times New Roman" w:cs="Times New Roman"/>
          <w:sz w:val="24"/>
          <w:szCs w:val="26"/>
          <w:lang w:val="ro-RO"/>
        </w:rPr>
        <w:t>, judeţul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A2399D">
        <w:rPr>
          <w:rFonts w:ascii="Times New Roman" w:eastAsia="Calibri" w:hAnsi="Times New Roman" w:cs="Times New Roman"/>
          <w:sz w:val="24"/>
          <w:szCs w:val="26"/>
          <w:lang w:val="ro-RO"/>
        </w:rPr>
        <w:t>7283</w:t>
      </w:r>
      <w:r w:rsidR="005F0A68" w:rsidRPr="00A16E6A">
        <w:rPr>
          <w:rFonts w:ascii="Times New Roman" w:eastAsia="Calibri" w:hAnsi="Times New Roman" w:cs="Times New Roman"/>
          <w:sz w:val="24"/>
          <w:szCs w:val="26"/>
          <w:lang w:val="ro-RO"/>
        </w:rPr>
        <w:t>/</w:t>
      </w:r>
      <w:r w:rsidR="00A2399D">
        <w:rPr>
          <w:rFonts w:ascii="Times New Roman" w:eastAsia="Calibri" w:hAnsi="Times New Roman" w:cs="Times New Roman"/>
          <w:sz w:val="24"/>
          <w:szCs w:val="26"/>
          <w:lang w:val="ro-RO"/>
        </w:rPr>
        <w:t>23</w:t>
      </w:r>
      <w:r w:rsidR="005F0A68" w:rsidRPr="00A16E6A">
        <w:rPr>
          <w:rFonts w:ascii="Times New Roman" w:eastAsia="Calibri" w:hAnsi="Times New Roman" w:cs="Times New Roman"/>
          <w:sz w:val="24"/>
          <w:szCs w:val="26"/>
          <w:lang w:val="ro-RO"/>
        </w:rPr>
        <w:t>.</w:t>
      </w:r>
      <w:r w:rsidR="00732E50">
        <w:rPr>
          <w:rFonts w:ascii="Times New Roman" w:eastAsia="Calibri" w:hAnsi="Times New Roman" w:cs="Times New Roman"/>
          <w:sz w:val="24"/>
          <w:szCs w:val="26"/>
          <w:lang w:val="ro-RO"/>
        </w:rPr>
        <w:t>0</w:t>
      </w:r>
      <w:r w:rsidR="00A2399D">
        <w:rPr>
          <w:rFonts w:ascii="Times New Roman" w:eastAsia="Calibri" w:hAnsi="Times New Roman" w:cs="Times New Roman"/>
          <w:sz w:val="24"/>
          <w:szCs w:val="26"/>
          <w:lang w:val="ro-RO"/>
        </w:rPr>
        <w:t>3</w:t>
      </w:r>
      <w:r w:rsidR="005F0A68" w:rsidRPr="00A16E6A">
        <w:rPr>
          <w:rFonts w:ascii="Times New Roman" w:eastAsia="Calibri" w:hAnsi="Times New Roman" w:cs="Times New Roman"/>
          <w:sz w:val="24"/>
          <w:szCs w:val="26"/>
          <w:lang w:val="ro-RO"/>
        </w:rPr>
        <w:t>.202</w:t>
      </w:r>
      <w:r w:rsidR="00732E50">
        <w:rPr>
          <w:rFonts w:ascii="Times New Roman" w:eastAsia="Calibri" w:hAnsi="Times New Roman" w:cs="Times New Roman"/>
          <w:sz w:val="24"/>
          <w:szCs w:val="26"/>
          <w:lang w:val="ro-RO"/>
        </w:rPr>
        <w:t>3</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A2399D">
        <w:rPr>
          <w:rFonts w:ascii="Times New Roman" w:eastAsia="Calibri" w:hAnsi="Times New Roman" w:cs="Times New Roman"/>
          <w:sz w:val="24"/>
          <w:szCs w:val="26"/>
          <w:lang w:val="ro-RO"/>
        </w:rPr>
        <w:t xml:space="preserve">11459/17.05.2023, nr. 19664/11.09.2023, nr. 19776/13.09.2023 </w:t>
      </w:r>
      <w:r w:rsidR="00A2399D">
        <w:rPr>
          <w:rFonts w:ascii="Times New Roman" w:eastAsia="Calibri" w:hAnsi="Times New Roman" w:cs="Times New Roman"/>
          <w:sz w:val="24"/>
          <w:szCs w:val="26"/>
          <w:lang w:val="ro-RO"/>
        </w:rPr>
        <w:t>nr. 19882/14.09.2023</w:t>
      </w:r>
      <w:r w:rsidR="00A2399D">
        <w:rPr>
          <w:rFonts w:ascii="Times New Roman" w:eastAsia="Calibri" w:hAnsi="Times New Roman" w:cs="Times New Roman"/>
          <w:sz w:val="24"/>
          <w:szCs w:val="26"/>
          <w:lang w:val="ro-RO"/>
        </w:rPr>
        <w:t xml:space="preserve"> și nr. 19899/14.09.2023</w:t>
      </w:r>
      <w:r w:rsidR="00D65769">
        <w:rPr>
          <w:rFonts w:ascii="Times New Roman" w:eastAsia="Calibri" w:hAnsi="Times New Roman" w:cs="Times New Roman"/>
          <w:noProof/>
          <w:sz w:val="24"/>
          <w:szCs w:val="26"/>
          <w:lang w:val="ro-RO"/>
        </w:rPr>
        <w:t xml:space="preserve"> și</w:t>
      </w:r>
      <w:r w:rsidR="00DC2CC4" w:rsidRPr="00A16E6A">
        <w:rPr>
          <w:rFonts w:ascii="Times New Roman" w:eastAsia="Calibri" w:hAnsi="Times New Roman" w:cs="Times New Roman"/>
          <w:noProof/>
          <w:sz w:val="24"/>
          <w:szCs w:val="26"/>
          <w:lang w:val="ro-RO"/>
        </w:rPr>
        <w:t xml:space="preserve">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A2399D">
        <w:rPr>
          <w:rFonts w:ascii="Times New Roman" w:eastAsia="Calibri" w:hAnsi="Times New Roman" w:cs="Times New Roman"/>
          <w:noProof/>
          <w:sz w:val="24"/>
          <w:szCs w:val="26"/>
          <w:lang w:val="ro-RO"/>
        </w:rPr>
        <w:t>13.06</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A2399D">
        <w:rPr>
          <w:rFonts w:ascii="Times New Roman" w:hAnsi="Times New Roman"/>
          <w:b/>
          <w:i/>
          <w:sz w:val="24"/>
          <w:szCs w:val="26"/>
          <w:lang w:val="ro-RO"/>
        </w:rPr>
        <w:t>Construire hală de producție și depozitare confecții mecanice, amenajare incintă și realizare accesuri, amplasare elemente de semnalistică, împrejmuire proprietate, racorduri și branșamente</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A2399D">
        <w:rPr>
          <w:rFonts w:ascii="Times New Roman" w:eastAsia="Calibri" w:hAnsi="Times New Roman" w:cs="Times New Roman"/>
          <w:sz w:val="24"/>
          <w:szCs w:val="26"/>
          <w:lang w:val="ro-RO"/>
        </w:rPr>
        <w:t>Dezmir, str. Cantonului, CF nr. 71455 Apahida, comuna Apahida</w:t>
      </w:r>
      <w:r w:rsidR="006F31FE" w:rsidRPr="00A16E6A">
        <w:rPr>
          <w:rFonts w:ascii="Times New Roman" w:eastAsia="Calibri" w:hAnsi="Times New Roman" w:cs="Times New Roman"/>
          <w:sz w:val="24"/>
          <w:szCs w:val="26"/>
          <w:lang w:val="ro-RO"/>
        </w:rPr>
        <w:t>, judeţul Cluj</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D65769">
        <w:rPr>
          <w:rFonts w:ascii="Times New Roman" w:eastAsia="Calibri" w:hAnsi="Times New Roman" w:cs="Times New Roman"/>
          <w:b/>
          <w:noProof/>
          <w:sz w:val="24"/>
          <w:szCs w:val="26"/>
          <w:lang w:val="ro-RO"/>
        </w:rPr>
        <w:t xml:space="preserve"> și nu se supune evaluării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A16E6A">
        <w:rPr>
          <w:rFonts w:ascii="Times New Roman" w:hAnsi="Times New Roman" w:cs="Times New Roman"/>
          <w:b/>
          <w:sz w:val="24"/>
          <w:szCs w:val="26"/>
          <w:lang w:val="ro-RO"/>
        </w:rPr>
        <w:t>10.</w:t>
      </w:r>
      <w:r w:rsidR="00B87420">
        <w:rPr>
          <w:rFonts w:ascii="Times New Roman" w:hAnsi="Times New Roman" w:cs="Times New Roman"/>
          <w:b/>
          <w:sz w:val="24"/>
          <w:szCs w:val="26"/>
          <w:lang w:val="ro-RO"/>
        </w:rPr>
        <w:t xml:space="preserve"> </w:t>
      </w:r>
      <w:r w:rsidR="00A2399D">
        <w:rPr>
          <w:rFonts w:ascii="Times New Roman" w:hAnsi="Times New Roman" w:cs="Times New Roman"/>
          <w:b/>
          <w:sz w:val="24"/>
          <w:szCs w:val="26"/>
          <w:lang w:val="ro-RO"/>
        </w:rPr>
        <w:t>a</w:t>
      </w:r>
      <w:r w:rsidR="005436F4" w:rsidRPr="00A16E6A">
        <w:rPr>
          <w:rFonts w:ascii="Times New Roman" w:hAnsi="Times New Roman" w:cs="Times New Roman"/>
          <w:b/>
          <w:sz w:val="24"/>
          <w:szCs w:val="26"/>
          <w:lang w:val="ro-RO"/>
        </w:rPr>
        <w:t xml:space="preserve">) – </w:t>
      </w:r>
      <w:r w:rsidR="005436F4" w:rsidRPr="00A16E6A">
        <w:rPr>
          <w:rFonts w:ascii="Times New Roman" w:hAnsi="Times New Roman" w:cs="Times New Roman"/>
          <w:b/>
          <w:i/>
          <w:sz w:val="24"/>
          <w:szCs w:val="26"/>
          <w:lang w:val="ro-RO"/>
        </w:rPr>
        <w:t xml:space="preserve">„Proiecte de dezvoltare </w:t>
      </w:r>
      <w:r w:rsidR="00A2399D">
        <w:rPr>
          <w:rFonts w:ascii="Times New Roman" w:hAnsi="Times New Roman" w:cs="Times New Roman"/>
          <w:b/>
          <w:i/>
          <w:sz w:val="24"/>
          <w:szCs w:val="26"/>
          <w:lang w:val="ro-RO"/>
        </w:rPr>
        <w:t>a unităților/zonelor industriale</w:t>
      </w:r>
      <w:r w:rsidR="005436F4" w:rsidRPr="00A16E6A">
        <w:rPr>
          <w:rFonts w:ascii="Times New Roman" w:hAnsi="Times New Roman" w:cs="Times New Roman"/>
          <w:b/>
          <w:i/>
          <w:sz w:val="24"/>
          <w:szCs w:val="26"/>
          <w:lang w:val="ro-RO"/>
        </w:rPr>
        <w:t xml:space="preserv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A16E6A"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007695" w:rsidRPr="00A16E6A">
        <w:rPr>
          <w:rFonts w:ascii="Times New Roman" w:eastAsia="Times New Roman" w:hAnsi="Times New Roman" w:cs="Times New Roman"/>
          <w:noProof/>
          <w:sz w:val="24"/>
          <w:szCs w:val="26"/>
          <w:lang w:val="ro-RO"/>
        </w:rPr>
        <w:t>Proiectul se incadreaza</w:t>
      </w:r>
      <w:r w:rsidR="006B402A" w:rsidRPr="00A16E6A">
        <w:rPr>
          <w:rFonts w:ascii="Times New Roman" w:eastAsia="Times New Roman" w:hAnsi="Times New Roman" w:cs="Times New Roman"/>
          <w:noProof/>
          <w:sz w:val="24"/>
          <w:szCs w:val="26"/>
          <w:lang w:val="ro-RO"/>
        </w:rPr>
        <w:t xml:space="preserve"> in reglem</w:t>
      </w:r>
      <w:r w:rsidR="00143548" w:rsidRPr="00A16E6A">
        <w:rPr>
          <w:rFonts w:ascii="Times New Roman" w:eastAsia="Times New Roman" w:hAnsi="Times New Roman" w:cs="Times New Roman"/>
          <w:noProof/>
          <w:sz w:val="24"/>
          <w:szCs w:val="26"/>
          <w:lang w:val="ro-RO"/>
        </w:rPr>
        <w:t>e</w:t>
      </w:r>
      <w:r w:rsidR="006B402A" w:rsidRPr="00A16E6A">
        <w:rPr>
          <w:rFonts w:ascii="Times New Roman" w:eastAsia="Times New Roman" w:hAnsi="Times New Roman" w:cs="Times New Roman"/>
          <w:noProof/>
          <w:sz w:val="24"/>
          <w:szCs w:val="26"/>
          <w:lang w:val="ro-RO"/>
        </w:rPr>
        <w:t>nt</w:t>
      </w:r>
      <w:r w:rsidR="00143548" w:rsidRPr="00A16E6A">
        <w:rPr>
          <w:rFonts w:ascii="Times New Roman" w:eastAsia="Times New Roman" w:hAnsi="Times New Roman" w:cs="Times New Roman"/>
          <w:noProof/>
          <w:sz w:val="24"/>
          <w:szCs w:val="26"/>
          <w:lang w:val="ro-RO"/>
        </w:rPr>
        <w:t xml:space="preserve">ările PUZ aprobat cu </w:t>
      </w:r>
      <w:r w:rsidR="00A2399D">
        <w:rPr>
          <w:rFonts w:ascii="Times New Roman" w:eastAsia="Times New Roman" w:hAnsi="Times New Roman" w:cs="Times New Roman"/>
          <w:noProof/>
          <w:sz w:val="24"/>
          <w:szCs w:val="26"/>
          <w:lang w:val="ro-RO"/>
        </w:rPr>
        <w:t>HCL nr. 193/27.10.2022</w:t>
      </w:r>
      <w:r w:rsidR="006B402A" w:rsidRPr="00A16E6A">
        <w:rPr>
          <w:rFonts w:ascii="Times New Roman" w:eastAsia="Times New Roman" w:hAnsi="Times New Roman" w:cs="Times New Roman"/>
          <w:noProof/>
          <w:sz w:val="24"/>
          <w:szCs w:val="26"/>
          <w:lang w:val="ro-RO"/>
        </w:rPr>
        <w:t>.</w:t>
      </w:r>
    </w:p>
    <w:p w:rsidR="00DC2CC4" w:rsidRPr="00975D5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975D54">
        <w:rPr>
          <w:rFonts w:ascii="Times New Roman" w:eastAsia="Times New Roman" w:hAnsi="Times New Roman" w:cs="Times New Roman"/>
          <w:noProof/>
          <w:sz w:val="24"/>
          <w:szCs w:val="26"/>
          <w:lang w:val="ro-RO"/>
        </w:rPr>
        <w:t xml:space="preserve">Conform Certificatului de Urbanism nr. </w:t>
      </w:r>
      <w:r w:rsidR="00A2399D">
        <w:rPr>
          <w:rFonts w:ascii="Times New Roman" w:eastAsia="Times New Roman" w:hAnsi="Times New Roman" w:cs="Times New Roman"/>
          <w:noProof/>
          <w:sz w:val="24"/>
          <w:szCs w:val="26"/>
          <w:lang w:val="ro-RO"/>
        </w:rPr>
        <w:t>797</w:t>
      </w:r>
      <w:r w:rsidR="005F0A68" w:rsidRPr="00975D54">
        <w:rPr>
          <w:rFonts w:ascii="Times New Roman" w:eastAsia="Times New Roman" w:hAnsi="Times New Roman" w:cs="Times New Roman"/>
          <w:noProof/>
          <w:sz w:val="24"/>
          <w:szCs w:val="26"/>
          <w:lang w:val="ro-RO"/>
        </w:rPr>
        <w:t>/</w:t>
      </w:r>
      <w:r w:rsidR="00A2399D">
        <w:rPr>
          <w:rFonts w:ascii="Times New Roman" w:eastAsia="Times New Roman" w:hAnsi="Times New Roman" w:cs="Times New Roman"/>
          <w:noProof/>
          <w:sz w:val="24"/>
          <w:szCs w:val="26"/>
          <w:lang w:val="ro-RO"/>
        </w:rPr>
        <w:t>10</w:t>
      </w:r>
      <w:r w:rsidR="005F0A68" w:rsidRPr="00975D54">
        <w:rPr>
          <w:rFonts w:ascii="Times New Roman" w:eastAsia="Times New Roman" w:hAnsi="Times New Roman" w:cs="Times New Roman"/>
          <w:noProof/>
          <w:sz w:val="24"/>
          <w:szCs w:val="26"/>
          <w:lang w:val="ro-RO"/>
        </w:rPr>
        <w:t>.1</w:t>
      </w:r>
      <w:r w:rsidR="00A2399D">
        <w:rPr>
          <w:rFonts w:ascii="Times New Roman" w:eastAsia="Times New Roman" w:hAnsi="Times New Roman" w:cs="Times New Roman"/>
          <w:noProof/>
          <w:sz w:val="24"/>
          <w:szCs w:val="26"/>
          <w:lang w:val="ro-RO"/>
        </w:rPr>
        <w:t>1</w:t>
      </w:r>
      <w:r w:rsidR="005F0A68" w:rsidRPr="00975D54">
        <w:rPr>
          <w:rFonts w:ascii="Times New Roman" w:eastAsia="Times New Roman" w:hAnsi="Times New Roman" w:cs="Times New Roman"/>
          <w:noProof/>
          <w:sz w:val="24"/>
          <w:szCs w:val="26"/>
          <w:lang w:val="ro-RO"/>
        </w:rPr>
        <w:t>.2022</w:t>
      </w:r>
      <w:r w:rsidRPr="00975D54">
        <w:rPr>
          <w:rFonts w:ascii="Times New Roman" w:eastAsia="Times New Roman" w:hAnsi="Times New Roman" w:cs="Times New Roman"/>
          <w:noProof/>
          <w:sz w:val="24"/>
          <w:szCs w:val="26"/>
          <w:lang w:val="ro-RO"/>
        </w:rPr>
        <w:t xml:space="preserve">, emis de Primăria </w:t>
      </w:r>
      <w:r w:rsidR="00A2399D">
        <w:rPr>
          <w:rFonts w:ascii="Times New Roman" w:eastAsia="Times New Roman" w:hAnsi="Times New Roman" w:cs="Times New Roman"/>
          <w:noProof/>
          <w:sz w:val="24"/>
          <w:szCs w:val="26"/>
          <w:lang w:val="ro-RO"/>
        </w:rPr>
        <w:t>Comunei Apahida</w:t>
      </w:r>
      <w:r w:rsidR="00687799" w:rsidRPr="00975D54">
        <w:rPr>
          <w:rFonts w:ascii="Times New Roman" w:eastAsia="Times New Roman" w:hAnsi="Times New Roman" w:cs="Times New Roman"/>
          <w:noProof/>
          <w:sz w:val="24"/>
          <w:szCs w:val="26"/>
          <w:lang w:val="ro-RO"/>
        </w:rPr>
        <w:t>:</w:t>
      </w:r>
    </w:p>
    <w:p w:rsidR="008152E7" w:rsidRPr="00A16E6A"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Imobilul este situat </w:t>
      </w:r>
      <w:r w:rsidR="008152E7" w:rsidRPr="00A16E6A">
        <w:rPr>
          <w:rFonts w:ascii="Times New Roman" w:eastAsia="Times New Roman" w:hAnsi="Times New Roman" w:cs="Times New Roman"/>
          <w:noProof/>
          <w:sz w:val="24"/>
          <w:szCs w:val="26"/>
          <w:lang w:val="ro-RO"/>
        </w:rPr>
        <w:t>in intravilan</w:t>
      </w:r>
      <w:r w:rsidR="00A2399D">
        <w:rPr>
          <w:rFonts w:ascii="Times New Roman" w:eastAsia="Times New Roman" w:hAnsi="Times New Roman" w:cs="Times New Roman"/>
          <w:noProof/>
          <w:sz w:val="24"/>
          <w:szCs w:val="26"/>
          <w:lang w:val="ro-RO"/>
        </w:rPr>
        <w:t>ul localității Dezmir, fiind proprietate privată</w:t>
      </w:r>
      <w:r w:rsidR="005F0A68" w:rsidRPr="00A16E6A">
        <w:rPr>
          <w:rFonts w:ascii="Times New Roman" w:eastAsia="Times New Roman" w:hAnsi="Times New Roman" w:cs="Times New Roman"/>
          <w:noProof/>
          <w:sz w:val="24"/>
          <w:szCs w:val="26"/>
          <w:lang w:val="ro-RO"/>
        </w:rPr>
        <w:t>;</w:t>
      </w:r>
    </w:p>
    <w:p w:rsidR="002B4270" w:rsidRPr="00A16E6A"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u w:val="single"/>
          <w:lang w:val="ro-RO"/>
        </w:rPr>
        <w:t>destinație</w:t>
      </w:r>
      <w:r w:rsidRPr="00A16E6A">
        <w:rPr>
          <w:rFonts w:ascii="Times New Roman" w:eastAsia="Times New Roman" w:hAnsi="Times New Roman" w:cs="Times New Roman"/>
          <w:noProof/>
          <w:sz w:val="24"/>
          <w:szCs w:val="26"/>
          <w:lang w:val="ro-RO"/>
        </w:rPr>
        <w:t>:</w:t>
      </w:r>
      <w:r w:rsidR="00975D54">
        <w:rPr>
          <w:rFonts w:ascii="Times New Roman" w:eastAsia="Times New Roman" w:hAnsi="Times New Roman" w:cs="Times New Roman"/>
          <w:noProof/>
          <w:sz w:val="24"/>
          <w:szCs w:val="26"/>
          <w:lang w:val="ro-RO"/>
        </w:rPr>
        <w:t xml:space="preserve"> </w:t>
      </w:r>
      <w:r w:rsidR="00A2399D">
        <w:rPr>
          <w:rFonts w:ascii="Times New Roman" w:eastAsia="Times New Roman" w:hAnsi="Times New Roman" w:cs="Times New Roman"/>
          <w:noProof/>
          <w:sz w:val="24"/>
          <w:szCs w:val="26"/>
          <w:lang w:val="ro-RO"/>
        </w:rPr>
        <w:t>UTR IDe1 – zona unităților industriale, servicii și depozitare</w:t>
      </w:r>
      <w:r w:rsidR="00E945F6"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b/>
          <w:noProof/>
          <w:sz w:val="24"/>
          <w:szCs w:val="26"/>
          <w:lang w:val="ro-RO"/>
        </w:rPr>
        <w:t xml:space="preserve"> </w:t>
      </w:r>
    </w:p>
    <w:p w:rsidR="00E9731C" w:rsidRDefault="00E9731C"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u w:val="single"/>
          <w:lang w:val="ro-RO"/>
        </w:rPr>
        <w:t>categoria de folosință</w:t>
      </w:r>
      <w:r w:rsidRPr="00A16E6A">
        <w:rPr>
          <w:rFonts w:ascii="Times New Roman" w:eastAsia="Times New Roman" w:hAnsi="Times New Roman" w:cs="Times New Roman"/>
          <w:noProof/>
          <w:sz w:val="24"/>
          <w:szCs w:val="26"/>
          <w:lang w:val="ro-RO"/>
        </w:rPr>
        <w:t xml:space="preserve">: </w:t>
      </w:r>
      <w:r w:rsidR="00A2399D">
        <w:rPr>
          <w:rFonts w:ascii="Times New Roman" w:eastAsia="Times New Roman" w:hAnsi="Times New Roman" w:cs="Times New Roman"/>
          <w:noProof/>
          <w:sz w:val="24"/>
          <w:szCs w:val="26"/>
          <w:lang w:val="ro-RO"/>
        </w:rPr>
        <w:t>arabil și fâneață</w:t>
      </w:r>
      <w:r w:rsidRPr="00A16E6A">
        <w:rPr>
          <w:rFonts w:ascii="Times New Roman" w:eastAsia="Times New Roman" w:hAnsi="Times New Roman" w:cs="Times New Roman"/>
          <w:noProof/>
          <w:sz w:val="24"/>
          <w:szCs w:val="26"/>
          <w:lang w:val="ro-RO"/>
        </w:rPr>
        <w:t>;</w:t>
      </w:r>
    </w:p>
    <w:p w:rsidR="00E04EC0" w:rsidRPr="00A16E6A" w:rsidRDefault="00E04EC0"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Pr>
          <w:rFonts w:ascii="Times New Roman" w:eastAsia="Times New Roman" w:hAnsi="Times New Roman" w:cs="Times New Roman"/>
          <w:noProof/>
          <w:sz w:val="24"/>
          <w:szCs w:val="26"/>
          <w:u w:val="single"/>
          <w:lang w:val="ro-RO"/>
        </w:rPr>
        <w:t>suprafață teren</w:t>
      </w:r>
      <w:r w:rsidRPr="00E04EC0">
        <w:rPr>
          <w:rFonts w:ascii="Times New Roman" w:eastAsia="Times New Roman" w:hAnsi="Times New Roman" w:cs="Times New Roman"/>
          <w:noProof/>
          <w:sz w:val="24"/>
          <w:szCs w:val="26"/>
          <w:lang w:val="ro-RO"/>
        </w:rPr>
        <w:t>:</w:t>
      </w:r>
      <w:r>
        <w:rPr>
          <w:rFonts w:ascii="Times New Roman" w:eastAsia="Times New Roman" w:hAnsi="Times New Roman" w:cs="Times New Roman"/>
          <w:noProof/>
          <w:sz w:val="24"/>
          <w:szCs w:val="26"/>
          <w:lang w:val="ro-RO"/>
        </w:rPr>
        <w:t xml:space="preserve"> 9111 mp;</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la evaluarea proiectului au fost luate în considerare cr</w:t>
      </w:r>
      <w:r w:rsidR="00E04EC0">
        <w:rPr>
          <w:rFonts w:ascii="Times New Roman" w:eastAsia="Calibri" w:hAnsi="Times New Roman" w:cs="Times New Roman"/>
          <w:noProof/>
          <w:sz w:val="24"/>
          <w:szCs w:val="26"/>
          <w:lang w:val="ro-RO"/>
        </w:rPr>
        <w:t xml:space="preserve">iteriile prevăzute în Anexa nr. </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lastRenderedPageBreak/>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A16E6A"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A16E6A">
        <w:rPr>
          <w:rFonts w:ascii="Times New Roman" w:eastAsia="Times New Roman" w:hAnsi="Times New Roman" w:cs="Times New Roman"/>
          <w:b/>
          <w:noProof/>
          <w:sz w:val="24"/>
          <w:szCs w:val="26"/>
          <w:lang w:val="ro-RO"/>
        </w:rPr>
        <w:t>:</w:t>
      </w:r>
    </w:p>
    <w:p w:rsidR="00B478F5" w:rsidRPr="00A16E6A" w:rsidRDefault="00687799" w:rsidP="00687799">
      <w:pPr>
        <w:spacing w:after="0" w:line="240" w:lineRule="auto"/>
        <w:ind w:right="108"/>
        <w:jc w:val="both"/>
        <w:rPr>
          <w:rFonts w:ascii="Times New Roman" w:eastAsia="Calibri" w:hAnsi="Times New Roman" w:cs="Times New Roman"/>
          <w:b/>
          <w:sz w:val="24"/>
          <w:szCs w:val="26"/>
          <w:lang w:val="ro-RO"/>
        </w:rPr>
      </w:pPr>
      <w:r w:rsidRPr="00A16E6A">
        <w:rPr>
          <w:rFonts w:ascii="Times New Roman" w:eastAsia="Times New Roman" w:hAnsi="Times New Roman" w:cs="Times New Roman"/>
          <w:sz w:val="24"/>
          <w:szCs w:val="26"/>
          <w:lang w:val="ro-RO"/>
        </w:rPr>
        <w:t>a)</w:t>
      </w:r>
      <w:r w:rsidR="00B478F5" w:rsidRPr="00A16E6A">
        <w:rPr>
          <w:rFonts w:ascii="Times New Roman" w:eastAsia="Times New Roman" w:hAnsi="Times New Roman" w:cs="Times New Roman"/>
          <w:sz w:val="24"/>
          <w:szCs w:val="26"/>
          <w:lang w:val="ro-RO"/>
        </w:rPr>
        <w:t xml:space="preserve"> proiectul propus </w:t>
      </w:r>
      <w:r w:rsidR="00B478F5" w:rsidRPr="00A16E6A">
        <w:rPr>
          <w:rFonts w:ascii="Times New Roman" w:eastAsia="Times New Roman" w:hAnsi="Times New Roman" w:cs="Times New Roman"/>
          <w:b/>
          <w:sz w:val="24"/>
          <w:szCs w:val="26"/>
          <w:lang w:val="ro-RO"/>
        </w:rPr>
        <w:t>intr</w:t>
      </w:r>
      <w:r w:rsidR="00A16E6A" w:rsidRPr="00A16E6A">
        <w:rPr>
          <w:rFonts w:ascii="Times New Roman" w:eastAsia="Times New Roman" w:hAnsi="Times New Roman" w:cs="Times New Roman"/>
          <w:b/>
          <w:sz w:val="24"/>
          <w:szCs w:val="26"/>
          <w:lang w:val="ro-RO"/>
        </w:rPr>
        <w:t>ă</w:t>
      </w:r>
      <w:r w:rsidR="00B478F5" w:rsidRPr="00A16E6A">
        <w:rPr>
          <w:rFonts w:ascii="Times New Roman" w:eastAsia="Times New Roman" w:hAnsi="Times New Roman" w:cs="Times New Roman"/>
          <w:b/>
          <w:sz w:val="24"/>
          <w:szCs w:val="26"/>
          <w:lang w:val="ro-RO"/>
        </w:rPr>
        <w:t xml:space="preserve"> sub incidenta prevederilor art.48 si 54 din Legea apelor nr. 107/1996</w:t>
      </w:r>
      <w:r w:rsidR="00B478F5" w:rsidRPr="00A16E6A">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975D54">
        <w:rPr>
          <w:rFonts w:ascii="Times New Roman" w:eastAsia="Calibri" w:hAnsi="Times New Roman" w:cs="Times New Roman"/>
          <w:sz w:val="24"/>
          <w:szCs w:val="24"/>
          <w:lang w:val="ro-RO"/>
        </w:rPr>
        <w:t>Conform deciziei nr. 2</w:t>
      </w:r>
      <w:r w:rsidR="00E04EC0">
        <w:rPr>
          <w:rFonts w:ascii="Times New Roman" w:eastAsia="Calibri" w:hAnsi="Times New Roman" w:cs="Times New Roman"/>
          <w:sz w:val="24"/>
          <w:szCs w:val="24"/>
          <w:lang w:val="ro-RO"/>
        </w:rPr>
        <w:t>70</w:t>
      </w:r>
      <w:r w:rsidRPr="00975D54">
        <w:rPr>
          <w:rFonts w:ascii="Times New Roman" w:eastAsia="Calibri" w:hAnsi="Times New Roman" w:cs="Times New Roman"/>
          <w:sz w:val="24"/>
          <w:szCs w:val="24"/>
          <w:lang w:val="ro-RO"/>
        </w:rPr>
        <w:t xml:space="preserve">/CJ din </w:t>
      </w:r>
      <w:r w:rsidR="00E04EC0">
        <w:rPr>
          <w:rFonts w:ascii="Times New Roman" w:eastAsia="Calibri" w:hAnsi="Times New Roman" w:cs="Times New Roman"/>
          <w:sz w:val="24"/>
          <w:szCs w:val="24"/>
          <w:lang w:val="ro-RO"/>
        </w:rPr>
        <w:t>12</w:t>
      </w:r>
      <w:r w:rsidRPr="00975D54">
        <w:rPr>
          <w:rFonts w:ascii="Times New Roman" w:eastAsia="Calibri" w:hAnsi="Times New Roman" w:cs="Times New Roman"/>
          <w:sz w:val="24"/>
          <w:szCs w:val="24"/>
          <w:lang w:val="ro-RO"/>
        </w:rPr>
        <w:t>.0</w:t>
      </w:r>
      <w:r w:rsidR="00E04EC0">
        <w:rPr>
          <w:rFonts w:ascii="Times New Roman" w:eastAsia="Calibri" w:hAnsi="Times New Roman" w:cs="Times New Roman"/>
          <w:sz w:val="24"/>
          <w:szCs w:val="24"/>
          <w:lang w:val="ro-RO"/>
        </w:rPr>
        <w:t>9</w:t>
      </w:r>
      <w:r w:rsidRPr="00975D54">
        <w:rPr>
          <w:rFonts w:ascii="Times New Roman" w:eastAsia="Calibri" w:hAnsi="Times New Roman" w:cs="Times New Roman"/>
          <w:sz w:val="24"/>
          <w:szCs w:val="24"/>
          <w:lang w:val="ro-RO"/>
        </w:rPr>
        <w:t xml:space="preserve">.2023, emisă de AN Apele Române, ABA Someș-Tisa, SGA Cluj, pentru proiectul propus nu este necesară elaborarea SEICA, întrucât lucrările prevăzute vor fi </w:t>
      </w:r>
      <w:r w:rsidR="00E04EC0">
        <w:rPr>
          <w:rFonts w:ascii="Times New Roman" w:eastAsia="Calibri" w:hAnsi="Times New Roman" w:cs="Times New Roman"/>
          <w:sz w:val="24"/>
          <w:szCs w:val="24"/>
          <w:lang w:val="ro-RO"/>
        </w:rPr>
        <w:t>fără impact asupra corpului de apă de suprafață Zăpodie</w:t>
      </w:r>
      <w:r w:rsidRPr="00975D54">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A16E6A"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hAnsi="Times New Roman" w:cs="Times New Roman"/>
          <w:b/>
          <w:noProof/>
          <w:sz w:val="24"/>
          <w:szCs w:val="26"/>
          <w:lang w:val="ro-RO"/>
        </w:rPr>
        <w:t>Amplasament:</w:t>
      </w:r>
      <w:r w:rsidRPr="00A16E6A">
        <w:rPr>
          <w:rFonts w:ascii="Times New Roman" w:hAnsi="Times New Roman" w:cs="Times New Roman"/>
          <w:noProof/>
          <w:sz w:val="24"/>
          <w:szCs w:val="26"/>
          <w:lang w:val="ro-RO"/>
        </w:rPr>
        <w:t xml:space="preserve"> </w:t>
      </w:r>
      <w:r w:rsidR="00E9731C" w:rsidRPr="00A16E6A">
        <w:rPr>
          <w:rFonts w:ascii="Times New Roman" w:hAnsi="Times New Roman" w:cs="Times New Roman"/>
          <w:noProof/>
          <w:sz w:val="24"/>
          <w:szCs w:val="26"/>
          <w:lang w:val="ro-RO"/>
        </w:rPr>
        <w:t xml:space="preserve">parcela studiată </w:t>
      </w:r>
      <w:r w:rsidR="00885731" w:rsidRPr="00A16E6A">
        <w:rPr>
          <w:rFonts w:ascii="Times New Roman" w:hAnsi="Times New Roman" w:cs="Times New Roman"/>
          <w:noProof/>
          <w:sz w:val="24"/>
          <w:szCs w:val="26"/>
          <w:lang w:val="ro-RO"/>
        </w:rPr>
        <w:t xml:space="preserve">se află în intravilanul </w:t>
      </w:r>
      <w:r w:rsidR="00E04EC0">
        <w:rPr>
          <w:rFonts w:ascii="Times New Roman" w:eastAsia="Times New Roman" w:hAnsi="Times New Roman" w:cs="Times New Roman"/>
          <w:sz w:val="24"/>
          <w:szCs w:val="26"/>
          <w:lang w:val="ro-RO" w:eastAsia="zh-CN"/>
        </w:rPr>
        <w:t>localității Dezmir</w:t>
      </w:r>
      <w:r w:rsidR="00885731">
        <w:rPr>
          <w:rFonts w:ascii="Times New Roman" w:eastAsia="Times New Roman" w:hAnsi="Times New Roman" w:cs="Times New Roman"/>
          <w:sz w:val="24"/>
          <w:szCs w:val="26"/>
          <w:lang w:val="ro-RO" w:eastAsia="zh-CN"/>
        </w:rPr>
        <w:t xml:space="preserve"> și </w:t>
      </w:r>
      <w:r w:rsidR="00E9731C" w:rsidRPr="00A16E6A">
        <w:rPr>
          <w:rFonts w:ascii="Times New Roman" w:hAnsi="Times New Roman" w:cs="Times New Roman"/>
          <w:noProof/>
          <w:sz w:val="24"/>
          <w:szCs w:val="26"/>
          <w:lang w:val="ro-RO"/>
        </w:rPr>
        <w:t>are o suprafață</w:t>
      </w:r>
      <w:r w:rsidR="006B76A0" w:rsidRPr="00A16E6A">
        <w:rPr>
          <w:rFonts w:ascii="Times New Roman" w:hAnsi="Times New Roman" w:cs="Times New Roman"/>
          <w:noProof/>
          <w:sz w:val="24"/>
          <w:szCs w:val="26"/>
          <w:lang w:val="ro-RO"/>
        </w:rPr>
        <w:t xml:space="preserve"> de </w:t>
      </w:r>
      <w:r w:rsidR="00E04EC0">
        <w:rPr>
          <w:rFonts w:ascii="Times New Roman" w:hAnsi="Times New Roman" w:cs="Times New Roman"/>
          <w:noProof/>
          <w:sz w:val="24"/>
          <w:szCs w:val="26"/>
          <w:lang w:val="ro-RO"/>
        </w:rPr>
        <w:t>9111</w:t>
      </w:r>
      <w:r w:rsidR="005C656A" w:rsidRPr="00A16E6A">
        <w:rPr>
          <w:rFonts w:ascii="Times New Roman" w:hAnsi="Times New Roman" w:cs="Times New Roman"/>
          <w:noProof/>
          <w:sz w:val="24"/>
          <w:szCs w:val="26"/>
          <w:lang w:val="ro-RO"/>
        </w:rPr>
        <w:t xml:space="preserve"> </w:t>
      </w:r>
      <w:r w:rsidR="00F75089" w:rsidRPr="00A16E6A">
        <w:rPr>
          <w:rFonts w:ascii="Times New Roman" w:hAnsi="Times New Roman" w:cs="Times New Roman"/>
          <w:noProof/>
          <w:sz w:val="24"/>
          <w:szCs w:val="26"/>
          <w:lang w:val="ro-RO"/>
        </w:rPr>
        <w:t>mp</w:t>
      </w:r>
      <w:r w:rsidR="00885731">
        <w:rPr>
          <w:rFonts w:ascii="Times New Roman" w:hAnsi="Times New Roman" w:cs="Times New Roman"/>
          <w:noProof/>
          <w:sz w:val="24"/>
          <w:szCs w:val="26"/>
          <w:lang w:val="ro-RO"/>
        </w:rPr>
        <w:t xml:space="preserve">. </w:t>
      </w:r>
    </w:p>
    <w:p w:rsidR="00E9731C" w:rsidRPr="00A16E6A"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Descriere succintă a</w:t>
      </w:r>
      <w:r w:rsidR="00DA32EB" w:rsidRPr="00A16E6A">
        <w:rPr>
          <w:rFonts w:ascii="Times New Roman" w:eastAsia="Calibri" w:hAnsi="Times New Roman" w:cs="Times New Roman"/>
          <w:b/>
          <w:noProof/>
          <w:sz w:val="24"/>
          <w:szCs w:val="26"/>
          <w:lang w:val="ro-RO"/>
        </w:rPr>
        <w:t xml:space="preserve"> </w:t>
      </w:r>
      <w:r w:rsidR="005D16AA" w:rsidRPr="00A16E6A">
        <w:rPr>
          <w:rFonts w:ascii="Times New Roman" w:eastAsia="Calibri" w:hAnsi="Times New Roman" w:cs="Times New Roman"/>
          <w:b/>
          <w:noProof/>
          <w:sz w:val="24"/>
          <w:szCs w:val="26"/>
          <w:lang w:val="ro-RO"/>
        </w:rPr>
        <w:t>proiect</w:t>
      </w:r>
      <w:r w:rsidRPr="00A16E6A">
        <w:rPr>
          <w:rFonts w:ascii="Times New Roman" w:eastAsia="Calibri" w:hAnsi="Times New Roman" w:cs="Times New Roman"/>
          <w:b/>
          <w:noProof/>
          <w:sz w:val="24"/>
          <w:szCs w:val="26"/>
          <w:lang w:val="ro-RO"/>
        </w:rPr>
        <w:t>ului</w:t>
      </w:r>
      <w:r w:rsidR="005D16AA" w:rsidRPr="00A16E6A">
        <w:rPr>
          <w:rFonts w:ascii="Times New Roman" w:eastAsia="Calibri" w:hAnsi="Times New Roman" w:cs="Times New Roman"/>
          <w:b/>
          <w:noProof/>
          <w:sz w:val="24"/>
          <w:szCs w:val="26"/>
          <w:lang w:val="ro-RO"/>
        </w:rPr>
        <w:t>:</w:t>
      </w:r>
    </w:p>
    <w:p w:rsidR="00E04EC0" w:rsidRPr="00E04EC0" w:rsidRDefault="00E04EC0" w:rsidP="00537525">
      <w:pPr>
        <w:tabs>
          <w:tab w:val="left" w:pos="180"/>
        </w:tabs>
        <w:spacing w:after="0" w:line="240" w:lineRule="auto"/>
        <w:ind w:right="108"/>
        <w:jc w:val="both"/>
        <w:rPr>
          <w:rFonts w:ascii="Times New Roman" w:eastAsia="Calibri" w:hAnsi="Times New Roman" w:cs="Times New Roman"/>
          <w:noProof/>
          <w:sz w:val="24"/>
          <w:szCs w:val="26"/>
          <w:lang w:val="ro-RO"/>
        </w:rPr>
      </w:pPr>
      <w:r w:rsidRPr="00E04EC0">
        <w:rPr>
          <w:rFonts w:ascii="Times New Roman" w:eastAsia="Calibri" w:hAnsi="Times New Roman" w:cs="Times New Roman"/>
          <w:noProof/>
          <w:sz w:val="24"/>
          <w:szCs w:val="26"/>
          <w:lang w:val="ro-RO"/>
        </w:rPr>
        <w:t>Se propun următoarele:</w:t>
      </w:r>
    </w:p>
    <w:p w:rsidR="00E04EC0" w:rsidRPr="00E04EC0" w:rsidRDefault="00E04EC0" w:rsidP="00E04EC0">
      <w:pPr>
        <w:pStyle w:val="ListParagraph"/>
        <w:numPr>
          <w:ilvl w:val="0"/>
          <w:numId w:val="11"/>
        </w:numPr>
        <w:tabs>
          <w:tab w:val="left" w:pos="66"/>
        </w:tabs>
        <w:spacing w:after="0" w:line="240" w:lineRule="auto"/>
        <w:ind w:left="567" w:right="108"/>
        <w:jc w:val="both"/>
        <w:rPr>
          <w:rFonts w:ascii="Times New Roman" w:eastAsia="Calibri" w:hAnsi="Times New Roman" w:cs="Times New Roman"/>
          <w:noProof/>
          <w:sz w:val="24"/>
          <w:szCs w:val="26"/>
          <w:lang w:val="ro-RO"/>
        </w:rPr>
      </w:pPr>
      <w:r w:rsidRPr="00E04EC0">
        <w:rPr>
          <w:rFonts w:ascii="Times New Roman" w:eastAsia="Calibri" w:hAnsi="Times New Roman" w:cs="Times New Roman"/>
          <w:noProof/>
          <w:sz w:val="24"/>
          <w:szCs w:val="26"/>
          <w:lang w:val="ro-RO"/>
        </w:rPr>
        <w:t xml:space="preserve">Construirea </w:t>
      </w:r>
      <w:r>
        <w:rPr>
          <w:rFonts w:ascii="Times New Roman" w:eastAsia="Calibri" w:hAnsi="Times New Roman" w:cs="Times New Roman"/>
          <w:noProof/>
          <w:sz w:val="24"/>
          <w:szCs w:val="26"/>
          <w:lang w:val="ro-RO"/>
        </w:rPr>
        <w:t>unei hale pentru producț</w:t>
      </w:r>
      <w:r w:rsidRPr="00E04EC0">
        <w:rPr>
          <w:rFonts w:ascii="Times New Roman" w:eastAsia="Calibri" w:hAnsi="Times New Roman" w:cs="Times New Roman"/>
          <w:noProof/>
          <w:sz w:val="24"/>
          <w:szCs w:val="26"/>
          <w:lang w:val="ro-RO"/>
        </w:rPr>
        <w:t>ia și depozitarea de confecții metalice (</w:t>
      </w:r>
      <w:r>
        <w:rPr>
          <w:rFonts w:ascii="Times New Roman" w:eastAsia="Calibri" w:hAnsi="Times New Roman" w:cs="Times New Roman"/>
          <w:noProof/>
          <w:sz w:val="24"/>
          <w:szCs w:val="26"/>
          <w:lang w:val="ro-RO"/>
        </w:rPr>
        <w:t xml:space="preserve">la </w:t>
      </w:r>
      <w:r w:rsidRPr="00E04EC0">
        <w:rPr>
          <w:rFonts w:ascii="Times New Roman" w:eastAsia="Calibri" w:hAnsi="Times New Roman" w:cs="Times New Roman"/>
          <w:noProof/>
          <w:sz w:val="24"/>
          <w:szCs w:val="26"/>
          <w:lang w:val="ro-RO"/>
        </w:rPr>
        <w:t>parter) și a unei zone administrative</w:t>
      </w:r>
      <w:r>
        <w:rPr>
          <w:rFonts w:ascii="Times New Roman" w:eastAsia="Calibri" w:hAnsi="Times New Roman" w:cs="Times New Roman"/>
          <w:noProof/>
          <w:sz w:val="24"/>
          <w:szCs w:val="26"/>
          <w:lang w:val="ro-RO"/>
        </w:rPr>
        <w:t xml:space="preserve">, regimul de înălțime fiind de </w:t>
      </w:r>
      <w:r w:rsidRPr="00E04EC0">
        <w:rPr>
          <w:rFonts w:ascii="Times New Roman" w:eastAsia="Calibri" w:hAnsi="Times New Roman" w:cs="Times New Roman"/>
          <w:noProof/>
          <w:sz w:val="24"/>
          <w:szCs w:val="26"/>
          <w:lang w:val="ro-RO"/>
        </w:rPr>
        <w:t>P+2E</w:t>
      </w:r>
      <w:r>
        <w:rPr>
          <w:rFonts w:ascii="Times New Roman" w:eastAsia="Calibri" w:hAnsi="Times New Roman" w:cs="Times New Roman"/>
          <w:noProof/>
          <w:sz w:val="24"/>
          <w:szCs w:val="26"/>
          <w:lang w:val="ro-RO"/>
        </w:rPr>
        <w:t>retras</w:t>
      </w:r>
      <w:r w:rsidRPr="00E04EC0">
        <w:rPr>
          <w:rFonts w:ascii="Times New Roman" w:eastAsia="Calibri" w:hAnsi="Times New Roman" w:cs="Times New Roman"/>
          <w:noProof/>
          <w:sz w:val="24"/>
          <w:szCs w:val="26"/>
          <w:lang w:val="ro-RO"/>
        </w:rPr>
        <w:t>;</w:t>
      </w:r>
    </w:p>
    <w:p w:rsidR="00E04EC0" w:rsidRPr="00E04EC0" w:rsidRDefault="00E04EC0" w:rsidP="00E04EC0">
      <w:pPr>
        <w:pStyle w:val="ListParagraph"/>
        <w:numPr>
          <w:ilvl w:val="0"/>
          <w:numId w:val="11"/>
        </w:numPr>
        <w:tabs>
          <w:tab w:val="left" w:pos="66"/>
        </w:tabs>
        <w:spacing w:after="0" w:line="240" w:lineRule="auto"/>
        <w:ind w:left="567" w:right="108"/>
        <w:jc w:val="both"/>
        <w:rPr>
          <w:rFonts w:ascii="Times New Roman" w:eastAsia="Calibri" w:hAnsi="Times New Roman" w:cs="Times New Roman"/>
          <w:noProof/>
          <w:sz w:val="24"/>
          <w:szCs w:val="26"/>
          <w:lang w:val="ro-RO"/>
        </w:rPr>
      </w:pPr>
      <w:r w:rsidRPr="00E04EC0">
        <w:rPr>
          <w:rFonts w:ascii="Times New Roman" w:eastAsia="Calibri" w:hAnsi="Times New Roman" w:cs="Times New Roman"/>
          <w:noProof/>
          <w:sz w:val="24"/>
          <w:szCs w:val="26"/>
          <w:lang w:val="ro-RO"/>
        </w:rPr>
        <w:t>Amenajarea incintei cu alei și platfome pentru circulația auto și pietonală și a</w:t>
      </w:r>
      <w:r w:rsidRPr="00E04EC0">
        <w:rPr>
          <w:rFonts w:ascii="Times New Roman" w:eastAsia="Calibri" w:hAnsi="Times New Roman" w:cs="Times New Roman"/>
          <w:noProof/>
          <w:sz w:val="24"/>
          <w:szCs w:val="26"/>
          <w:lang w:val="ro-RO"/>
        </w:rPr>
        <w:t>menajarea unei platforme pentru 17 locuri de parcare</w:t>
      </w:r>
      <w:r w:rsidRPr="00E04EC0">
        <w:rPr>
          <w:rFonts w:ascii="Times New Roman" w:eastAsia="Calibri" w:hAnsi="Times New Roman" w:cs="Times New Roman"/>
          <w:noProof/>
          <w:sz w:val="24"/>
          <w:szCs w:val="26"/>
          <w:lang w:val="ro-RO"/>
        </w:rPr>
        <w:t>;</w:t>
      </w:r>
    </w:p>
    <w:p w:rsidR="00E04EC0" w:rsidRPr="00E04EC0" w:rsidRDefault="00E04EC0" w:rsidP="00E04EC0">
      <w:pPr>
        <w:pStyle w:val="ListParagraph"/>
        <w:numPr>
          <w:ilvl w:val="0"/>
          <w:numId w:val="11"/>
        </w:numPr>
        <w:tabs>
          <w:tab w:val="left" w:pos="66"/>
        </w:tabs>
        <w:spacing w:after="0" w:line="240" w:lineRule="auto"/>
        <w:ind w:left="567" w:right="108"/>
        <w:jc w:val="both"/>
        <w:rPr>
          <w:rFonts w:ascii="Times New Roman" w:eastAsia="Calibri" w:hAnsi="Times New Roman" w:cs="Times New Roman"/>
          <w:noProof/>
          <w:sz w:val="24"/>
          <w:szCs w:val="26"/>
          <w:lang w:val="ro-RO"/>
        </w:rPr>
      </w:pPr>
      <w:r w:rsidRPr="00E04EC0">
        <w:rPr>
          <w:rFonts w:ascii="Times New Roman" w:eastAsia="Calibri" w:hAnsi="Times New Roman" w:cs="Times New Roman"/>
          <w:noProof/>
          <w:sz w:val="24"/>
          <w:szCs w:val="26"/>
          <w:lang w:val="ro-RO"/>
        </w:rPr>
        <w:t>Amenajarea de spații verzi;</w:t>
      </w:r>
    </w:p>
    <w:p w:rsidR="00E04EC0" w:rsidRPr="00E04EC0" w:rsidRDefault="00E04EC0" w:rsidP="00E04EC0">
      <w:pPr>
        <w:pStyle w:val="ListParagraph"/>
        <w:numPr>
          <w:ilvl w:val="0"/>
          <w:numId w:val="11"/>
        </w:numPr>
        <w:tabs>
          <w:tab w:val="left" w:pos="66"/>
        </w:tabs>
        <w:spacing w:after="0" w:line="240" w:lineRule="auto"/>
        <w:ind w:left="567" w:right="108"/>
        <w:jc w:val="both"/>
        <w:rPr>
          <w:rFonts w:ascii="Times New Roman" w:eastAsia="Calibri" w:hAnsi="Times New Roman" w:cs="Times New Roman"/>
          <w:noProof/>
          <w:sz w:val="24"/>
          <w:szCs w:val="26"/>
          <w:lang w:val="ro-RO"/>
        </w:rPr>
      </w:pPr>
      <w:r w:rsidRPr="00E04EC0">
        <w:rPr>
          <w:rFonts w:ascii="Times New Roman" w:eastAsia="Calibri" w:hAnsi="Times New Roman" w:cs="Times New Roman"/>
          <w:noProof/>
          <w:sz w:val="24"/>
          <w:szCs w:val="26"/>
          <w:lang w:val="ro-RO"/>
        </w:rPr>
        <w:t>Amplasarea unor elemente de semnalistică și împrejmuirea proprietății;</w:t>
      </w:r>
    </w:p>
    <w:p w:rsidR="00E04EC0" w:rsidRDefault="00E04EC0" w:rsidP="00E04EC0">
      <w:pPr>
        <w:pStyle w:val="ListParagraph"/>
        <w:numPr>
          <w:ilvl w:val="0"/>
          <w:numId w:val="11"/>
        </w:numPr>
        <w:tabs>
          <w:tab w:val="left" w:pos="66"/>
        </w:tabs>
        <w:spacing w:after="0" w:line="240" w:lineRule="auto"/>
        <w:ind w:left="567" w:right="108"/>
        <w:jc w:val="both"/>
        <w:rPr>
          <w:rFonts w:ascii="Times New Roman" w:eastAsia="Calibri" w:hAnsi="Times New Roman" w:cs="Times New Roman"/>
          <w:noProof/>
          <w:sz w:val="24"/>
          <w:szCs w:val="26"/>
          <w:lang w:val="ro-RO"/>
        </w:rPr>
      </w:pPr>
      <w:r w:rsidRPr="00E04EC0">
        <w:rPr>
          <w:rFonts w:ascii="Times New Roman" w:eastAsia="Calibri" w:hAnsi="Times New Roman" w:cs="Times New Roman"/>
          <w:noProof/>
          <w:sz w:val="24"/>
          <w:szCs w:val="26"/>
          <w:lang w:val="ro-RO"/>
        </w:rPr>
        <w:t>Realizarea de racorduri și branșamente la utilitățile existente în zonă.</w:t>
      </w:r>
    </w:p>
    <w:p w:rsidR="00E04EC0" w:rsidRPr="00E04EC0" w:rsidRDefault="00E04EC0" w:rsidP="00E04EC0">
      <w:pPr>
        <w:tabs>
          <w:tab w:val="left" w:pos="66"/>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Accesul auto și cel pietonal în incintă vor fi realizate din strada Sanicoara, ce mărginește proprietaeta pe partea nordică.</w:t>
      </w:r>
    </w:p>
    <w:p w:rsidR="006236FF" w:rsidRDefault="006236FF" w:rsidP="00537525">
      <w:pPr>
        <w:tabs>
          <w:tab w:val="left" w:pos="180"/>
        </w:tabs>
        <w:spacing w:after="0" w:line="240" w:lineRule="auto"/>
        <w:ind w:right="108"/>
        <w:jc w:val="both"/>
        <w:rPr>
          <w:rFonts w:ascii="Times New Roman" w:eastAsia="Calibri" w:hAnsi="Times New Roman" w:cs="Times New Roman"/>
          <w:noProof/>
          <w:sz w:val="24"/>
          <w:szCs w:val="26"/>
          <w:lang w:val="ro-RO"/>
        </w:rPr>
      </w:pPr>
    </w:p>
    <w:tbl>
      <w:tblPr>
        <w:tblStyle w:val="TableGrid"/>
        <w:tblW w:w="0" w:type="auto"/>
        <w:tblLook w:val="04A0" w:firstRow="1" w:lastRow="0" w:firstColumn="1" w:lastColumn="0" w:noHBand="0" w:noVBand="1"/>
      </w:tblPr>
      <w:tblGrid>
        <w:gridCol w:w="4661"/>
        <w:gridCol w:w="4662"/>
      </w:tblGrid>
      <w:tr w:rsidR="00E04EC0" w:rsidRPr="00E04EC0" w:rsidTr="00E04EC0">
        <w:tc>
          <w:tcPr>
            <w:tcW w:w="9323" w:type="dxa"/>
            <w:gridSpan w:val="2"/>
            <w:shd w:val="clear" w:color="auto" w:fill="DBE5F1" w:themeFill="accent1" w:themeFillTint="33"/>
          </w:tcPr>
          <w:p w:rsidR="00E04EC0" w:rsidRPr="00E04EC0" w:rsidRDefault="00E04EC0" w:rsidP="00E04EC0">
            <w:pPr>
              <w:tabs>
                <w:tab w:val="left" w:pos="180"/>
              </w:tabs>
              <w:ind w:right="108"/>
              <w:rPr>
                <w:rFonts w:ascii="Times New Roman" w:eastAsia="Calibri" w:hAnsi="Times New Roman" w:cs="Times New Roman"/>
                <w:b/>
                <w:noProof/>
                <w:szCs w:val="26"/>
                <w:lang w:val="ro-RO"/>
              </w:rPr>
            </w:pPr>
            <w:r>
              <w:rPr>
                <w:rFonts w:ascii="Times New Roman" w:eastAsia="Calibri" w:hAnsi="Times New Roman" w:cs="Times New Roman"/>
                <w:b/>
                <w:noProof/>
                <w:szCs w:val="26"/>
                <w:lang w:val="ro-RO"/>
              </w:rPr>
              <w:t>Bilanț teritorial și indici urbanistici</w:t>
            </w:r>
          </w:p>
        </w:tc>
      </w:tr>
      <w:tr w:rsidR="00E04EC0" w:rsidRPr="00E04EC0" w:rsidTr="00E04EC0">
        <w:tc>
          <w:tcPr>
            <w:tcW w:w="4661" w:type="dxa"/>
          </w:tcPr>
          <w:p w:rsidR="00E04EC0"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Suprafața terenului</w:t>
            </w:r>
          </w:p>
        </w:tc>
        <w:tc>
          <w:tcPr>
            <w:tcW w:w="4662" w:type="dxa"/>
          </w:tcPr>
          <w:p w:rsidR="00E04EC0"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9111,00 mp</w:t>
            </w:r>
          </w:p>
        </w:tc>
      </w:tr>
      <w:tr w:rsidR="00E04EC0" w:rsidRPr="00E04EC0" w:rsidTr="00E04EC0">
        <w:tc>
          <w:tcPr>
            <w:tcW w:w="4661" w:type="dxa"/>
          </w:tcPr>
          <w:p w:rsidR="00E04EC0"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Suprafață construită propusă</w:t>
            </w:r>
          </w:p>
        </w:tc>
        <w:tc>
          <w:tcPr>
            <w:tcW w:w="4662" w:type="dxa"/>
          </w:tcPr>
          <w:p w:rsidR="00E04EC0"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3755,37 mp</w:t>
            </w:r>
          </w:p>
        </w:tc>
      </w:tr>
      <w:tr w:rsidR="00E04EC0" w:rsidRPr="00E04EC0" w:rsidTr="00E04EC0">
        <w:tc>
          <w:tcPr>
            <w:tcW w:w="4661" w:type="dxa"/>
          </w:tcPr>
          <w:p w:rsidR="00E04EC0"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Suprafață asfaltată carosabil</w:t>
            </w:r>
          </w:p>
        </w:tc>
        <w:tc>
          <w:tcPr>
            <w:tcW w:w="4662" w:type="dxa"/>
          </w:tcPr>
          <w:p w:rsidR="00E04EC0"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2659,86 mp</w:t>
            </w:r>
          </w:p>
        </w:tc>
      </w:tr>
      <w:tr w:rsidR="00E04EC0" w:rsidRPr="00E04EC0" w:rsidTr="00E04EC0">
        <w:tc>
          <w:tcPr>
            <w:tcW w:w="4661" w:type="dxa"/>
          </w:tcPr>
          <w:p w:rsidR="00E04EC0"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Suprafață asfaltată parcări (17 parcări)</w:t>
            </w:r>
          </w:p>
        </w:tc>
        <w:tc>
          <w:tcPr>
            <w:tcW w:w="4662" w:type="dxa"/>
          </w:tcPr>
          <w:p w:rsidR="00E04EC0"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222,41 mp</w:t>
            </w:r>
          </w:p>
        </w:tc>
      </w:tr>
      <w:tr w:rsidR="00E04EC0" w:rsidRPr="00E04EC0" w:rsidTr="00E04EC0">
        <w:tc>
          <w:tcPr>
            <w:tcW w:w="4661" w:type="dxa"/>
          </w:tcPr>
          <w:p w:rsidR="00E04EC0"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Suprafață pietruită</w:t>
            </w:r>
          </w:p>
        </w:tc>
        <w:tc>
          <w:tcPr>
            <w:tcW w:w="4662" w:type="dxa"/>
          </w:tcPr>
          <w:p w:rsidR="00E04EC0"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928,47 mp</w:t>
            </w:r>
          </w:p>
        </w:tc>
      </w:tr>
      <w:tr w:rsidR="008C5EB5" w:rsidRPr="00E04EC0" w:rsidTr="00E04EC0">
        <w:tc>
          <w:tcPr>
            <w:tcW w:w="4661"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Suprqafață pietonală</w:t>
            </w:r>
          </w:p>
        </w:tc>
        <w:tc>
          <w:tcPr>
            <w:tcW w:w="4662"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212,12 mp</w:t>
            </w:r>
          </w:p>
        </w:tc>
      </w:tr>
      <w:tr w:rsidR="008C5EB5" w:rsidRPr="00E04EC0" w:rsidTr="00E04EC0">
        <w:tc>
          <w:tcPr>
            <w:tcW w:w="4661"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Suprafață spații verzi</w:t>
            </w:r>
          </w:p>
        </w:tc>
        <w:tc>
          <w:tcPr>
            <w:tcW w:w="4662"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1332,77 mp</w:t>
            </w:r>
          </w:p>
        </w:tc>
      </w:tr>
      <w:tr w:rsidR="008C5EB5" w:rsidRPr="00E04EC0" w:rsidTr="00E04EC0">
        <w:tc>
          <w:tcPr>
            <w:tcW w:w="4661"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POT propus</w:t>
            </w:r>
          </w:p>
        </w:tc>
        <w:tc>
          <w:tcPr>
            <w:tcW w:w="4662"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41,22%</w:t>
            </w:r>
          </w:p>
        </w:tc>
      </w:tr>
      <w:tr w:rsidR="008C5EB5" w:rsidRPr="00E04EC0" w:rsidTr="00E04EC0">
        <w:tc>
          <w:tcPr>
            <w:tcW w:w="4661"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lastRenderedPageBreak/>
              <w:t>CUT propus</w:t>
            </w:r>
          </w:p>
        </w:tc>
        <w:tc>
          <w:tcPr>
            <w:tcW w:w="4662"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0,48</w:t>
            </w:r>
          </w:p>
        </w:tc>
      </w:tr>
      <w:tr w:rsidR="008C5EB5" w:rsidRPr="00E04EC0" w:rsidTr="00E04EC0">
        <w:tc>
          <w:tcPr>
            <w:tcW w:w="4661"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 xml:space="preserve">POT maxim </w:t>
            </w:r>
          </w:p>
        </w:tc>
        <w:tc>
          <w:tcPr>
            <w:tcW w:w="4662"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70%</w:t>
            </w:r>
          </w:p>
        </w:tc>
      </w:tr>
      <w:tr w:rsidR="008C5EB5" w:rsidRPr="00E04EC0" w:rsidTr="00E04EC0">
        <w:tc>
          <w:tcPr>
            <w:tcW w:w="4661"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CUT maxim</w:t>
            </w:r>
          </w:p>
        </w:tc>
        <w:tc>
          <w:tcPr>
            <w:tcW w:w="4662" w:type="dxa"/>
          </w:tcPr>
          <w:p w:rsidR="008C5EB5" w:rsidRPr="00E04EC0" w:rsidRDefault="008C5EB5" w:rsidP="00537525">
            <w:pPr>
              <w:tabs>
                <w:tab w:val="left" w:pos="180"/>
              </w:tabs>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1,0</w:t>
            </w:r>
          </w:p>
        </w:tc>
      </w:tr>
    </w:tbl>
    <w:p w:rsidR="00E04EC0" w:rsidRPr="00A16E6A" w:rsidRDefault="00E04EC0" w:rsidP="00537525">
      <w:pPr>
        <w:tabs>
          <w:tab w:val="left" w:pos="180"/>
        </w:tabs>
        <w:spacing w:after="0" w:line="240" w:lineRule="auto"/>
        <w:ind w:right="108"/>
        <w:jc w:val="both"/>
        <w:rPr>
          <w:rFonts w:ascii="Times New Roman" w:eastAsia="Calibri" w:hAnsi="Times New Roman" w:cs="Times New Roman"/>
          <w:noProof/>
          <w:sz w:val="24"/>
          <w:szCs w:val="26"/>
          <w:lang w:val="ro-RO"/>
        </w:rPr>
      </w:pPr>
    </w:p>
    <w:p w:rsidR="00216430" w:rsidRPr="00A16E6A" w:rsidRDefault="00216430" w:rsidP="00143548">
      <w:pPr>
        <w:tabs>
          <w:tab w:val="left" w:pos="426"/>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Pr="00F2659F">
        <w:rPr>
          <w:rFonts w:ascii="Times New Roman" w:eastAsia="Calibri" w:hAnsi="Times New Roman" w:cs="Times New Roman"/>
          <w:noProof/>
          <w:sz w:val="24"/>
          <w:szCs w:val="25"/>
          <w:lang w:val="ro-RO"/>
        </w:rPr>
        <w:t>pe perioada de realizare a luvrărilor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lastRenderedPageBreak/>
        <w:t>Protejarea/supravegherea utilajelor menținute în zona lucrărilor</w:t>
      </w:r>
      <w:r w:rsidR="00D66348">
        <w:rPr>
          <w:rFonts w:ascii="Times New Roman" w:eastAsia="Calibri" w:hAnsi="Times New Roman" w:cs="Times New Roman"/>
          <w:noProof/>
          <w:sz w:val="24"/>
          <w:szCs w:val="25"/>
          <w:lang w:val="ro-RO"/>
        </w:rPr>
        <w:t>;</w:t>
      </w:r>
    </w:p>
    <w:p w:rsidR="00A22F0A" w:rsidRPr="00A16E6A" w:rsidRDefault="008C5EB5"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j</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8C5EB5" w:rsidRDefault="008C5EB5"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k</w:t>
      </w:r>
      <w:r w:rsidR="00D66348">
        <w:rPr>
          <w:rFonts w:ascii="Times New Roman" w:eastAsia="Calibri" w:hAnsi="Times New Roman" w:cs="Times New Roman"/>
          <w:noProof/>
          <w:sz w:val="24"/>
          <w:szCs w:val="26"/>
          <w:lang w:val="ro-RO"/>
        </w:rPr>
        <w:t>)</w:t>
      </w:r>
      <w:r w:rsidR="00A22F0A" w:rsidRPr="00A16E6A">
        <w:rPr>
          <w:rFonts w:ascii="Times New Roman" w:eastAsia="Calibri" w:hAnsi="Times New Roman" w:cs="Times New Roman"/>
          <w:noProof/>
          <w:sz w:val="24"/>
          <w:szCs w:val="26"/>
          <w:lang w:val="ro-RO"/>
        </w:rPr>
        <w:t xml:space="preserve"> </w:t>
      </w:r>
      <w:r w:rsidR="00D66348" w:rsidRPr="00D66348">
        <w:rPr>
          <w:rFonts w:ascii="Times New Roman" w:eastAsia="Calibri" w:hAnsi="Times New Roman" w:cs="Times New Roman"/>
          <w:b/>
          <w:noProof/>
          <w:sz w:val="24"/>
          <w:szCs w:val="26"/>
          <w:lang w:val="ro-RO"/>
        </w:rPr>
        <w:t xml:space="preserve">se vor respecta condițiile și prevederile tuturor avizelor emise de alte autorități </w:t>
      </w:r>
    </w:p>
    <w:p w:rsidR="00A22F0A" w:rsidRDefault="008C5EB5"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lang w:val="ro-RO"/>
        </w:rPr>
      </w:pPr>
      <w:r w:rsidRPr="008C5EB5">
        <w:rPr>
          <w:rFonts w:ascii="Times New Roman" w:eastAsia="Calibri" w:hAnsi="Times New Roman" w:cs="Times New Roman"/>
          <w:noProof/>
          <w:sz w:val="24"/>
          <w:szCs w:val="26"/>
          <w:lang w:val="ro-RO"/>
        </w:rPr>
        <w:t>l)</w:t>
      </w:r>
      <w:r>
        <w:rPr>
          <w:rFonts w:ascii="Times New Roman" w:eastAsia="Calibri" w:hAnsi="Times New Roman" w:cs="Times New Roman"/>
          <w:b/>
          <w:i/>
          <w:noProof/>
          <w:sz w:val="24"/>
          <w:szCs w:val="26"/>
          <w:lang w:val="ro-RO"/>
        </w:rPr>
        <w:t xml:space="preserve"> </w:t>
      </w:r>
      <w:r w:rsidRPr="00D66348">
        <w:rPr>
          <w:rFonts w:ascii="Times New Roman" w:eastAsia="Calibri" w:hAnsi="Times New Roman" w:cs="Times New Roman"/>
          <w:b/>
          <w:noProof/>
          <w:sz w:val="24"/>
          <w:szCs w:val="26"/>
          <w:lang w:val="ro-RO"/>
        </w:rPr>
        <w:t>se vor respecta condițiile și prevederile</w:t>
      </w:r>
      <w:r>
        <w:rPr>
          <w:rFonts w:ascii="Times New Roman" w:eastAsia="Calibri" w:hAnsi="Times New Roman" w:cs="Times New Roman"/>
          <w:b/>
          <w:i/>
          <w:noProof/>
          <w:sz w:val="24"/>
          <w:szCs w:val="26"/>
          <w:lang w:val="ro-RO"/>
        </w:rPr>
        <w:t xml:space="preserve"> </w:t>
      </w:r>
      <w:r w:rsidR="00D66348" w:rsidRPr="00D66348">
        <w:rPr>
          <w:rFonts w:ascii="Times New Roman" w:eastAsia="Calibri" w:hAnsi="Times New Roman" w:cs="Times New Roman"/>
          <w:b/>
          <w:i/>
          <w:noProof/>
          <w:sz w:val="24"/>
          <w:szCs w:val="26"/>
          <w:lang w:val="ro-RO"/>
        </w:rPr>
        <w:t xml:space="preserve">Avizul de Gospodărire a apelor nr. </w:t>
      </w:r>
      <w:r w:rsidRPr="008C5EB5">
        <w:rPr>
          <w:rFonts w:ascii="Times New Roman" w:eastAsia="Calibri" w:hAnsi="Times New Roman" w:cs="Times New Roman"/>
          <w:b/>
          <w:i/>
          <w:noProof/>
          <w:sz w:val="24"/>
          <w:szCs w:val="26"/>
          <w:highlight w:val="yellow"/>
          <w:lang w:val="ro-RO"/>
        </w:rPr>
        <w:t>xx</w:t>
      </w:r>
      <w:r w:rsidR="00D65769" w:rsidRPr="008C5EB5">
        <w:rPr>
          <w:rFonts w:ascii="Times New Roman" w:eastAsia="Calibri" w:hAnsi="Times New Roman" w:cs="Times New Roman"/>
          <w:b/>
          <w:i/>
          <w:noProof/>
          <w:sz w:val="24"/>
          <w:szCs w:val="26"/>
          <w:highlight w:val="yellow"/>
          <w:lang w:val="ro-RO"/>
        </w:rPr>
        <w:t>-</w:t>
      </w:r>
      <w:r w:rsidRPr="008C5EB5">
        <w:rPr>
          <w:rFonts w:ascii="Times New Roman" w:eastAsia="Calibri" w:hAnsi="Times New Roman" w:cs="Times New Roman"/>
          <w:b/>
          <w:i/>
          <w:noProof/>
          <w:sz w:val="24"/>
          <w:szCs w:val="26"/>
          <w:highlight w:val="yellow"/>
          <w:lang w:val="ro-RO"/>
        </w:rPr>
        <w:t>xx</w:t>
      </w:r>
      <w:r w:rsidR="00D66348" w:rsidRPr="008C5EB5">
        <w:rPr>
          <w:rFonts w:ascii="Times New Roman" w:eastAsia="Calibri" w:hAnsi="Times New Roman" w:cs="Times New Roman"/>
          <w:b/>
          <w:i/>
          <w:noProof/>
          <w:sz w:val="24"/>
          <w:szCs w:val="26"/>
          <w:highlight w:val="yellow"/>
          <w:lang w:val="ro-RO"/>
        </w:rPr>
        <w:t xml:space="preserve"> din </w:t>
      </w:r>
      <w:r w:rsidRPr="008C5EB5">
        <w:rPr>
          <w:rFonts w:ascii="Times New Roman" w:eastAsia="Calibri" w:hAnsi="Times New Roman" w:cs="Times New Roman"/>
          <w:b/>
          <w:i/>
          <w:noProof/>
          <w:sz w:val="24"/>
          <w:szCs w:val="26"/>
          <w:highlight w:val="yellow"/>
          <w:lang w:val="ro-RO"/>
        </w:rPr>
        <w:t>xx</w:t>
      </w:r>
      <w:r w:rsidR="00D66348" w:rsidRPr="008C5EB5">
        <w:rPr>
          <w:rFonts w:ascii="Times New Roman" w:eastAsia="Calibri" w:hAnsi="Times New Roman" w:cs="Times New Roman"/>
          <w:b/>
          <w:i/>
          <w:noProof/>
          <w:sz w:val="24"/>
          <w:szCs w:val="26"/>
          <w:highlight w:val="yellow"/>
          <w:lang w:val="ro-RO"/>
        </w:rPr>
        <w:t>.</w:t>
      </w:r>
      <w:r w:rsidRPr="008C5EB5">
        <w:rPr>
          <w:rFonts w:ascii="Times New Roman" w:eastAsia="Calibri" w:hAnsi="Times New Roman" w:cs="Times New Roman"/>
          <w:b/>
          <w:i/>
          <w:noProof/>
          <w:sz w:val="24"/>
          <w:szCs w:val="26"/>
          <w:highlight w:val="yellow"/>
          <w:lang w:val="ro-RO"/>
        </w:rPr>
        <w:t>xx</w:t>
      </w:r>
      <w:r w:rsidR="00D66348" w:rsidRPr="008C5EB5">
        <w:rPr>
          <w:rFonts w:ascii="Times New Roman" w:eastAsia="Calibri" w:hAnsi="Times New Roman" w:cs="Times New Roman"/>
          <w:b/>
          <w:i/>
          <w:noProof/>
          <w:sz w:val="24"/>
          <w:szCs w:val="26"/>
          <w:highlight w:val="yellow"/>
          <w:lang w:val="ro-RO"/>
        </w:rPr>
        <w:t>.</w:t>
      </w:r>
      <w:r w:rsidR="00D65769" w:rsidRPr="008C5EB5">
        <w:rPr>
          <w:rFonts w:ascii="Times New Roman" w:eastAsia="Calibri" w:hAnsi="Times New Roman" w:cs="Times New Roman"/>
          <w:b/>
          <w:i/>
          <w:noProof/>
          <w:sz w:val="24"/>
          <w:szCs w:val="26"/>
          <w:highlight w:val="yellow"/>
          <w:lang w:val="ro-RO"/>
        </w:rPr>
        <w:t>2023</w:t>
      </w:r>
      <w:r w:rsidR="00D66348">
        <w:rPr>
          <w:rFonts w:ascii="Times New Roman" w:eastAsia="Calibri" w:hAnsi="Times New Roman" w:cs="Times New Roman"/>
          <w:b/>
          <w:i/>
          <w:noProof/>
          <w:sz w:val="24"/>
          <w:szCs w:val="26"/>
          <w:lang w:val="ro-RO"/>
        </w:rPr>
        <w:t>:</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sidRPr="00D66348">
        <w:rPr>
          <w:rFonts w:ascii="Times New Roman" w:eastAsia="Calibri" w:hAnsi="Times New Roman" w:cs="Times New Roman"/>
          <w:noProof/>
          <w:sz w:val="24"/>
          <w:szCs w:val="26"/>
          <w:lang w:val="ro-RO"/>
        </w:rPr>
        <w:t xml:space="preserve">În perioada de execuție a lucrărilor se vor lua toate măsurile care se impun pentru </w:t>
      </w:r>
      <w:r>
        <w:rPr>
          <w:rFonts w:ascii="Times New Roman" w:eastAsia="Calibri" w:hAnsi="Times New Roman" w:cs="Times New Roman"/>
          <w:noProof/>
          <w:sz w:val="24"/>
          <w:szCs w:val="26"/>
          <w:lang w:val="ro-RO"/>
        </w:rPr>
        <w:t>evitarea poluării apelor, pentru protecția factorilor de mediu, pentru prevenirea și combaterea poluătilor accidentale, în special cu produse petroliere ca urmare a exploatării utilajelor tehnologice;</w:t>
      </w:r>
    </w:p>
    <w:p w:rsidR="008C5EB5" w:rsidRDefault="00D66348" w:rsidP="00705C36">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sidRPr="008C5EB5">
        <w:rPr>
          <w:rFonts w:ascii="Times New Roman" w:eastAsia="Calibri" w:hAnsi="Times New Roman" w:cs="Times New Roman"/>
          <w:noProof/>
          <w:sz w:val="24"/>
          <w:szCs w:val="26"/>
          <w:lang w:val="ro-RO"/>
        </w:rPr>
        <w:t xml:space="preserve">Dacă prin execuția proiectului se va intersecta freaticul și vor fi generate ape din epuisment, se va prezenta către SGA Cluj soluția de evacuare și depozitare a acestora. </w:t>
      </w:r>
    </w:p>
    <w:p w:rsidR="00D66348" w:rsidRPr="008C5EB5" w:rsidRDefault="00D66348" w:rsidP="00705C36">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sidRPr="008C5EB5">
        <w:rPr>
          <w:rFonts w:ascii="Times New Roman" w:eastAsia="Calibri" w:hAnsi="Times New Roman" w:cs="Times New Roman"/>
          <w:noProof/>
          <w:sz w:val="24"/>
          <w:szCs w:val="26"/>
          <w:lang w:val="ro-RO"/>
        </w:rPr>
        <w:t xml:space="preserve">Orice modificare față de Documentația tehnică și </w:t>
      </w:r>
      <w:r w:rsidR="008C5EB5">
        <w:rPr>
          <w:rFonts w:ascii="Times New Roman" w:eastAsia="Calibri" w:hAnsi="Times New Roman" w:cs="Times New Roman"/>
          <w:noProof/>
          <w:sz w:val="24"/>
          <w:szCs w:val="26"/>
          <w:lang w:val="ro-RO"/>
        </w:rPr>
        <w:t xml:space="preserve">a </w:t>
      </w:r>
      <w:r w:rsidRPr="008C5EB5">
        <w:rPr>
          <w:rFonts w:ascii="Times New Roman" w:eastAsia="Calibri" w:hAnsi="Times New Roman" w:cs="Times New Roman"/>
          <w:noProof/>
          <w:sz w:val="24"/>
          <w:szCs w:val="26"/>
          <w:lang w:val="ro-RO"/>
        </w:rPr>
        <w:t>Proiect</w:t>
      </w:r>
      <w:r w:rsidR="008C5EB5">
        <w:rPr>
          <w:rFonts w:ascii="Times New Roman" w:eastAsia="Calibri" w:hAnsi="Times New Roman" w:cs="Times New Roman"/>
          <w:noProof/>
          <w:sz w:val="24"/>
          <w:szCs w:val="26"/>
          <w:lang w:val="ro-RO"/>
        </w:rPr>
        <w:t>ului</w:t>
      </w:r>
      <w:r w:rsidRPr="008C5EB5">
        <w:rPr>
          <w:rFonts w:ascii="Times New Roman" w:eastAsia="Calibri" w:hAnsi="Times New Roman" w:cs="Times New Roman"/>
          <w:noProof/>
          <w:sz w:val="24"/>
          <w:szCs w:val="26"/>
          <w:lang w:val="ro-RO"/>
        </w:rPr>
        <w:t>,</w:t>
      </w:r>
      <w:r w:rsidR="008C5EB5">
        <w:rPr>
          <w:rFonts w:ascii="Times New Roman" w:eastAsia="Calibri" w:hAnsi="Times New Roman" w:cs="Times New Roman"/>
          <w:noProof/>
          <w:sz w:val="24"/>
          <w:szCs w:val="26"/>
          <w:lang w:val="ro-RO"/>
        </w:rPr>
        <w:t xml:space="preserve"> cuprinse în documentația tehnică, </w:t>
      </w:r>
      <w:r w:rsidRPr="008C5EB5">
        <w:rPr>
          <w:rFonts w:ascii="Times New Roman" w:eastAsia="Calibri" w:hAnsi="Times New Roman" w:cs="Times New Roman"/>
          <w:noProof/>
          <w:sz w:val="24"/>
          <w:szCs w:val="26"/>
          <w:lang w:val="ro-RO"/>
        </w:rPr>
        <w:t>vizată spre neschimbare, care ar putea interveni pe parcursul lucrărilor va fi adusă la cunoștința emitentului avizului de gospodărire a apelor, responsabilitate care revine proiectantului;</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Începerea execuției se va anunța cu 10 zile înainte la Sistemul de Gospodărire a Apelor Cluj;</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Recepția lucrărilor se va realiza în prezența delegatului Sistemului de Gospodărire a Apelor Cluj;</w:t>
      </w:r>
    </w:p>
    <w:p w:rsidR="00D66348" w:rsidRPr="00D66348" w:rsidRDefault="008C5EB5"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Se vor respecta prevederile HG 717/2022 pentru înscrierea/înregistrarea, controlul, exploatarea și întreținerea sistemelor adecvate de colectare și epurare a apelor uzate</w:t>
      </w:r>
      <w:r w:rsidR="00D66348">
        <w:rPr>
          <w:rFonts w:ascii="Times New Roman" w:eastAsia="Calibri" w:hAnsi="Times New Roman" w:cs="Times New Roman"/>
          <w:noProof/>
          <w:sz w:val="24"/>
          <w:szCs w:val="26"/>
          <w:lang w:val="ro-RO"/>
        </w:rPr>
        <w:t xml:space="preserve">. </w:t>
      </w:r>
    </w:p>
    <w:p w:rsidR="00A22F0A" w:rsidRPr="00A16E6A" w:rsidRDefault="008C5EB5"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8C5EB5">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Default="00A16E6A" w:rsidP="00143548">
      <w:pPr>
        <w:spacing w:after="0"/>
        <w:ind w:right="108"/>
        <w:jc w:val="center"/>
        <w:rPr>
          <w:rFonts w:ascii="Times New Roman" w:eastAsia="Calibri" w:hAnsi="Times New Roman" w:cs="Times New Roman"/>
          <w:noProof/>
          <w:sz w:val="24"/>
          <w:szCs w:val="26"/>
          <w:lang w:val="ro-RO"/>
        </w:rPr>
      </w:pPr>
    </w:p>
    <w:p w:rsidR="008C5EB5" w:rsidRDefault="008C5EB5" w:rsidP="00143548">
      <w:pPr>
        <w:spacing w:after="0"/>
        <w:ind w:right="108"/>
        <w:jc w:val="center"/>
        <w:rPr>
          <w:rFonts w:ascii="Times New Roman" w:eastAsia="Calibri" w:hAnsi="Times New Roman" w:cs="Times New Roman"/>
          <w:noProof/>
          <w:sz w:val="24"/>
          <w:szCs w:val="26"/>
          <w:lang w:val="ro-RO"/>
        </w:rPr>
      </w:pPr>
    </w:p>
    <w:p w:rsidR="008C5EB5" w:rsidRPr="0099796A" w:rsidRDefault="008C5EB5"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bookmarkStart w:id="0" w:name="_GoBack"/>
      <w:bookmarkEnd w:id="0"/>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8C5EB5"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dr. ing. Luisa OPREA                </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0099796A"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D66348">
        <w:rPr>
          <w:rFonts w:ascii="Times New Roman" w:eastAsia="Calibri" w:hAnsi="Times New Roman" w:cs="Times New Roman"/>
          <w:noProof/>
          <w:sz w:val="24"/>
          <w:szCs w:val="26"/>
          <w:lang w:val="ro-RO"/>
        </w:rPr>
        <w:t>Izabella BUFTEA</w:t>
      </w:r>
    </w:p>
    <w:sectPr w:rsidR="00B21E37"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2C" w:rsidRDefault="00804C2C" w:rsidP="00D6795A">
      <w:pPr>
        <w:spacing w:after="0" w:line="240" w:lineRule="auto"/>
      </w:pPr>
      <w:r>
        <w:separator/>
      </w:r>
    </w:p>
  </w:endnote>
  <w:endnote w:type="continuationSeparator" w:id="0">
    <w:p w:rsidR="00804C2C" w:rsidRDefault="00804C2C"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804C2C">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6209471"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2C" w:rsidRDefault="00804C2C" w:rsidP="00D6795A">
      <w:pPr>
        <w:spacing w:after="0" w:line="240" w:lineRule="auto"/>
      </w:pPr>
      <w:r>
        <w:separator/>
      </w:r>
    </w:p>
  </w:footnote>
  <w:footnote w:type="continuationSeparator" w:id="0">
    <w:p w:rsidR="00804C2C" w:rsidRDefault="00804C2C"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804C2C"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6209470"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CA3DCA"/>
    <w:multiLevelType w:val="hybridMultilevel"/>
    <w:tmpl w:val="6198640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665D49"/>
    <w:multiLevelType w:val="hybridMultilevel"/>
    <w:tmpl w:val="E5FEF43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2"/>
  </w:num>
  <w:num w:numId="6">
    <w:abstractNumId w:val="4"/>
  </w:num>
  <w:num w:numId="7">
    <w:abstractNumId w:val="8"/>
  </w:num>
  <w:num w:numId="8">
    <w:abstractNumId w:val="10"/>
  </w:num>
  <w:num w:numId="9">
    <w:abstractNumId w:val="7"/>
  </w:num>
  <w:num w:numId="10">
    <w:abstractNumId w:val="6"/>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4C2C"/>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C5EB5"/>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399D"/>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4EC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6A7F3C"/>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609E-997D-4C17-BF85-25BDAB4F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2184</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8</cp:revision>
  <cp:lastPrinted>2023-02-27T11:27:00Z</cp:lastPrinted>
  <dcterms:created xsi:type="dcterms:W3CDTF">2023-02-27T11:15:00Z</dcterms:created>
  <dcterms:modified xsi:type="dcterms:W3CDTF">2023-09-14T12:11:00Z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