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6B" w:rsidRPr="00055C6B" w:rsidRDefault="00055C6B" w:rsidP="00055C6B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smallCaps/>
          <w:spacing w:val="50"/>
          <w:sz w:val="24"/>
          <w:szCs w:val="24"/>
          <w:lang w:eastAsia="ro-RO"/>
        </w:rPr>
      </w:pPr>
      <w:r w:rsidRPr="00055C6B">
        <w:rPr>
          <w:rFonts w:ascii="Times New Roman" w:eastAsia="Calibri" w:hAnsi="Times New Roman" w:cs="Arial"/>
          <w:b/>
          <w:bCs/>
          <w:smallCaps/>
          <w:spacing w:val="50"/>
          <w:sz w:val="24"/>
          <w:szCs w:val="24"/>
          <w:lang w:eastAsia="ro-RO"/>
        </w:rPr>
        <w:t>PROIECTUL DECIZIEI ETAPEI DE ÎNCADRARE</w:t>
      </w:r>
    </w:p>
    <w:p w:rsidR="00055C6B" w:rsidRPr="00055C6B" w:rsidRDefault="00055C6B" w:rsidP="00055C6B">
      <w:pPr>
        <w:spacing w:after="0" w:line="240" w:lineRule="auto"/>
        <w:rPr>
          <w:rFonts w:ascii="Times New Roman" w:eastAsia="Calibri" w:hAnsi="Times New Roman" w:cs="Arial"/>
          <w:b/>
          <w:bCs/>
          <w:smallCaps/>
          <w:spacing w:val="50"/>
          <w:sz w:val="24"/>
          <w:szCs w:val="24"/>
          <w:lang w:eastAsia="ro-RO"/>
        </w:rPr>
      </w:pPr>
    </w:p>
    <w:p w:rsidR="00055C6B" w:rsidRPr="00055C6B" w:rsidRDefault="00055C6B" w:rsidP="00055C6B">
      <w:pPr>
        <w:tabs>
          <w:tab w:val="left" w:leader="dot" w:pos="11334"/>
        </w:tabs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o-RO"/>
        </w:rPr>
      </w:pPr>
      <w:r w:rsidRPr="00055C6B">
        <w:rPr>
          <w:rFonts w:ascii="Times New Roman" w:eastAsia="Calibri" w:hAnsi="Times New Roman" w:cs="Arial"/>
          <w:sz w:val="24"/>
          <w:szCs w:val="24"/>
          <w:lang w:eastAsia="ro-RO"/>
        </w:rPr>
        <w:t xml:space="preserve">Nr. 277 </w:t>
      </w:r>
      <w:r w:rsidRPr="00055C6B">
        <w:rPr>
          <w:rFonts w:ascii="Times New Roman" w:eastAsia="Calibri" w:hAnsi="Times New Roman" w:cs="Arial"/>
          <w:color w:val="FF0000"/>
          <w:sz w:val="24"/>
          <w:szCs w:val="24"/>
          <w:lang w:eastAsia="ro-RO"/>
        </w:rPr>
        <w:t xml:space="preserve"> </w:t>
      </w:r>
      <w:r w:rsidRPr="00055C6B">
        <w:rPr>
          <w:rFonts w:ascii="Times New Roman" w:eastAsia="Calibri" w:hAnsi="Times New Roman" w:cs="Arial"/>
          <w:sz w:val="24"/>
          <w:szCs w:val="24"/>
          <w:lang w:eastAsia="ro-RO"/>
        </w:rPr>
        <w:t>din  24.05.2019</w:t>
      </w:r>
    </w:p>
    <w:p w:rsidR="00055C6B" w:rsidRPr="00055C6B" w:rsidRDefault="00055C6B" w:rsidP="00055C6B">
      <w:pPr>
        <w:tabs>
          <w:tab w:val="left" w:leader="dot" w:pos="11334"/>
        </w:tabs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o-RO"/>
        </w:rPr>
      </w:pPr>
    </w:p>
    <w:p w:rsidR="00055C6B" w:rsidRPr="00055C6B" w:rsidRDefault="00055C6B" w:rsidP="00055C6B">
      <w:pPr>
        <w:tabs>
          <w:tab w:val="left" w:leader="dot" w:pos="11334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o-RO"/>
        </w:rPr>
      </w:pPr>
    </w:p>
    <w:p w:rsidR="00055C6B" w:rsidRPr="00055C6B" w:rsidRDefault="00055C6B" w:rsidP="00055C6B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55C6B">
        <w:rPr>
          <w:rFonts w:ascii="Times New Roman" w:eastAsia="Calibri" w:hAnsi="Times New Roman" w:cs="Times New Roman"/>
          <w:sz w:val="24"/>
          <w:szCs w:val="24"/>
        </w:rPr>
        <w:t xml:space="preserve">Ca urmare a solicitării de emitere a acordului de mediu adresate de </w:t>
      </w:r>
      <w:r w:rsidRPr="00055C6B">
        <w:rPr>
          <w:rFonts w:ascii="Times New Roman" w:eastAsia="Calibri" w:hAnsi="Times New Roman" w:cs="Times New Roman"/>
          <w:b/>
          <w:sz w:val="24"/>
          <w:szCs w:val="24"/>
        </w:rPr>
        <w:t xml:space="preserve">Popescu George Cătălin </w:t>
      </w:r>
      <w:r w:rsidRPr="00055C6B">
        <w:rPr>
          <w:rFonts w:ascii="Times New Roman" w:eastAsia="Calibri" w:hAnsi="Times New Roman" w:cs="Times New Roman"/>
          <w:sz w:val="24"/>
          <w:szCs w:val="24"/>
        </w:rPr>
        <w:t xml:space="preserve">pentru proiectul </w:t>
      </w:r>
      <w:r w:rsidRPr="00055C6B">
        <w:rPr>
          <w:rFonts w:ascii="Times New Roman" w:eastAsia="Calibri" w:hAnsi="Times New Roman" w:cs="Times New Roman"/>
          <w:b/>
          <w:sz w:val="24"/>
          <w:szCs w:val="24"/>
        </w:rPr>
        <w:t>„Construire platformă depozitare dejecții solide și lichide – Submăsura 6.3-Sprijin pentru dezvoltarea fermelor mici” ,</w:t>
      </w:r>
      <w:r w:rsidRPr="00055C6B">
        <w:rPr>
          <w:rFonts w:ascii="Times New Roman" w:eastAsia="Calibri" w:hAnsi="Times New Roman" w:cs="Times New Roman"/>
          <w:sz w:val="24"/>
          <w:szCs w:val="24"/>
        </w:rPr>
        <w:t xml:space="preserve"> propus a se amplasa în  județul Giurgiu, </w:t>
      </w:r>
      <w:proofErr w:type="spellStart"/>
      <w:r w:rsidRPr="00055C6B">
        <w:rPr>
          <w:rFonts w:ascii="Times New Roman" w:eastAsia="Calibri" w:hAnsi="Times New Roman" w:cs="Times New Roman"/>
          <w:sz w:val="24"/>
          <w:szCs w:val="24"/>
        </w:rPr>
        <w:t>com</w:t>
      </w:r>
      <w:proofErr w:type="spellEnd"/>
      <w:r w:rsidRPr="00055C6B">
        <w:rPr>
          <w:rFonts w:ascii="Times New Roman" w:eastAsia="Calibri" w:hAnsi="Times New Roman" w:cs="Times New Roman"/>
          <w:sz w:val="24"/>
          <w:szCs w:val="24"/>
        </w:rPr>
        <w:t xml:space="preserve">. Băneasa, sat Băneasa, str. Principală, nr. 167, înregistrată la A.P.M. Giurgiu cu nr. </w:t>
      </w:r>
      <w:r w:rsidRPr="00055C6B">
        <w:rPr>
          <w:rFonts w:ascii="Times New Roman" w:eastAsia="Calibri" w:hAnsi="Times New Roman" w:cs="Times New Roman"/>
          <w:b/>
          <w:sz w:val="24"/>
          <w:szCs w:val="24"/>
        </w:rPr>
        <w:t>277 din 11.01.2019</w:t>
      </w:r>
      <w:r w:rsidRPr="00055C6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, </w:t>
      </w:r>
      <w:r w:rsidRPr="00055C6B">
        <w:rPr>
          <w:rFonts w:ascii="Times New Roman" w:eastAsia="Calibri" w:hAnsi="Times New Roman" w:cs="Times New Roman"/>
          <w:sz w:val="24"/>
          <w:szCs w:val="24"/>
        </w:rPr>
        <w:t xml:space="preserve">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 </w:t>
      </w:r>
    </w:p>
    <w:p w:rsidR="00055C6B" w:rsidRPr="00055C6B" w:rsidRDefault="00055C6B" w:rsidP="00055C6B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o-RO"/>
        </w:rPr>
      </w:pPr>
      <w:r w:rsidRPr="00055C6B">
        <w:rPr>
          <w:rFonts w:ascii="Times New Roman" w:eastAsia="Calibri" w:hAnsi="Times New Roman" w:cs="Arial"/>
          <w:sz w:val="24"/>
          <w:szCs w:val="24"/>
          <w:lang w:eastAsia="ro-RO"/>
        </w:rPr>
        <w:tab/>
        <w:t xml:space="preserve">A.P.M. Giurgiu decide, ca urmare a consultărilor desfăşurate în cadrul şedinţei Comisiei de Analiză Tehnică din data de 25.03.2019, că proiectul </w:t>
      </w:r>
      <w:r w:rsidRPr="00055C6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„Construire platformă depozitare dejecții solide și lichide – Submăsura </w:t>
      </w:r>
      <w:r w:rsidRPr="00055C6B">
        <w:rPr>
          <w:rFonts w:ascii="Times New Roman" w:eastAsia="Calibri" w:hAnsi="Times New Roman" w:cs="Arial"/>
          <w:b/>
          <w:sz w:val="24"/>
          <w:szCs w:val="24"/>
          <w:lang w:eastAsia="ro-RO"/>
        </w:rPr>
        <w:t>6.3 – Sprijin pentru dezvoltare fermelor mici</w:t>
      </w:r>
      <w:r w:rsidRPr="00055C6B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”</w:t>
      </w:r>
      <w:r w:rsidRPr="00055C6B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, </w:t>
      </w:r>
      <w:r w:rsidRPr="00055C6B">
        <w:rPr>
          <w:rFonts w:ascii="Times New Roman" w:eastAsia="Calibri" w:hAnsi="Times New Roman" w:cs="Arial"/>
          <w:sz w:val="24"/>
          <w:szCs w:val="24"/>
          <w:lang w:eastAsia="ro-RO"/>
        </w:rPr>
        <w:t xml:space="preserve">propus a se amplasa în județul Giurgiu, </w:t>
      </w:r>
      <w:proofErr w:type="spellStart"/>
      <w:r w:rsidRPr="00055C6B">
        <w:rPr>
          <w:rFonts w:ascii="Times New Roman" w:eastAsia="Calibri" w:hAnsi="Times New Roman" w:cs="Arial"/>
          <w:sz w:val="24"/>
          <w:szCs w:val="24"/>
          <w:lang w:eastAsia="ro-RO"/>
        </w:rPr>
        <w:t>com</w:t>
      </w:r>
      <w:proofErr w:type="spellEnd"/>
      <w:r w:rsidRPr="00055C6B">
        <w:rPr>
          <w:rFonts w:ascii="Times New Roman" w:eastAsia="Calibri" w:hAnsi="Times New Roman" w:cs="Arial"/>
          <w:sz w:val="24"/>
          <w:szCs w:val="24"/>
          <w:lang w:eastAsia="ro-RO"/>
        </w:rPr>
        <w:t xml:space="preserve">. Băneasa, sat Băneasa, str. Principala, nr. 167, nu se supune evaluării impactului asupra mediului şi nu se supune evaluării adecvate. </w:t>
      </w:r>
    </w:p>
    <w:p w:rsidR="00055C6B" w:rsidRPr="00055C6B" w:rsidRDefault="00055C6B" w:rsidP="00055C6B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o-RO"/>
        </w:rPr>
      </w:pPr>
      <w:r w:rsidRPr="00055C6B">
        <w:rPr>
          <w:rFonts w:ascii="Times New Roman" w:eastAsia="Calibri" w:hAnsi="Times New Roman" w:cs="Arial"/>
          <w:b/>
          <w:sz w:val="24"/>
          <w:szCs w:val="24"/>
          <w:lang w:eastAsia="ro-RO"/>
        </w:rPr>
        <w:t xml:space="preserve">       Justificarea prezentei decizii</w:t>
      </w:r>
      <w:r w:rsidRPr="00055C6B">
        <w:rPr>
          <w:rFonts w:ascii="Times New Roman" w:eastAsia="Calibri" w:hAnsi="Times New Roman" w:cs="Arial"/>
          <w:sz w:val="24"/>
          <w:szCs w:val="24"/>
          <w:lang w:eastAsia="ro-RO"/>
        </w:rPr>
        <w:t xml:space="preserve">: </w:t>
      </w:r>
    </w:p>
    <w:p w:rsidR="00055C6B" w:rsidRPr="00055C6B" w:rsidRDefault="00055C6B" w:rsidP="00055C6B">
      <w:pPr>
        <w:spacing w:after="0" w:line="240" w:lineRule="auto"/>
        <w:ind w:firstLine="720"/>
        <w:jc w:val="both"/>
        <w:rPr>
          <w:rFonts w:ascii="Times New Roman" w:eastAsia="Calibri" w:hAnsi="Times New Roman" w:cs="Arial"/>
          <w:sz w:val="24"/>
          <w:szCs w:val="24"/>
          <w:lang w:eastAsia="ro-RO"/>
        </w:rPr>
      </w:pPr>
    </w:p>
    <w:p w:rsidR="00055C6B" w:rsidRPr="00055C6B" w:rsidRDefault="00055C6B" w:rsidP="00055C6B">
      <w:pPr>
        <w:spacing w:after="0" w:line="240" w:lineRule="auto"/>
        <w:ind w:firstLine="720"/>
        <w:jc w:val="both"/>
        <w:rPr>
          <w:rFonts w:ascii="Times New Roman" w:eastAsia="Calibri" w:hAnsi="Times New Roman" w:cs="Arial"/>
          <w:sz w:val="24"/>
          <w:szCs w:val="24"/>
          <w:lang w:eastAsia="ro-RO"/>
        </w:rPr>
      </w:pPr>
      <w:r w:rsidRPr="00055C6B">
        <w:rPr>
          <w:rFonts w:ascii="Times New Roman" w:eastAsia="Calibri" w:hAnsi="Times New Roman" w:cs="Arial"/>
          <w:sz w:val="24"/>
          <w:szCs w:val="24"/>
          <w:lang w:eastAsia="ro-RO"/>
        </w:rPr>
        <w:t>I. Motivele care au stat la baza luării deciziei etapei de încadrare în procedura de evaluare a impactului asupra mediului sunt următoarele:</w:t>
      </w:r>
    </w:p>
    <w:p w:rsidR="00055C6B" w:rsidRPr="00055C6B" w:rsidRDefault="00055C6B" w:rsidP="00055C6B">
      <w:pPr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055C6B">
        <w:rPr>
          <w:rFonts w:ascii="Times New Roman" w:eastAsia="Calibri" w:hAnsi="Times New Roman" w:cs="Times New Roman"/>
        </w:rPr>
        <w:t xml:space="preserve">proiectul se încadrează în prevederile Hotărârii Guvernului nr. 445/2009, anexa nr. 2, </w:t>
      </w:r>
      <w:r w:rsidRPr="00055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C6B">
        <w:rPr>
          <w:rFonts w:ascii="Times New Roman" w:eastAsia="Calibri" w:hAnsi="Times New Roman" w:cs="Times New Roman"/>
        </w:rPr>
        <w:t xml:space="preserve">pct. 11, </w:t>
      </w:r>
      <w:proofErr w:type="spellStart"/>
      <w:r w:rsidRPr="00055C6B">
        <w:rPr>
          <w:rFonts w:ascii="Times New Roman" w:eastAsia="Calibri" w:hAnsi="Times New Roman" w:cs="Times New Roman"/>
        </w:rPr>
        <w:t>lit.b</w:t>
      </w:r>
      <w:proofErr w:type="spellEnd"/>
      <w:r w:rsidRPr="00055C6B">
        <w:rPr>
          <w:rFonts w:ascii="Times New Roman" w:eastAsia="Calibri" w:hAnsi="Times New Roman" w:cs="Times New Roman"/>
        </w:rPr>
        <w:t>;</w:t>
      </w:r>
    </w:p>
    <w:p w:rsidR="00055C6B" w:rsidRPr="00055C6B" w:rsidRDefault="00055C6B" w:rsidP="00055C6B">
      <w:pPr>
        <w:tabs>
          <w:tab w:val="num" w:pos="2880"/>
        </w:tabs>
        <w:spacing w:after="0" w:line="240" w:lineRule="auto"/>
        <w:ind w:left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C6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55C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55C6B">
        <w:rPr>
          <w:rFonts w:ascii="Times New Roman" w:eastAsia="Calibri" w:hAnsi="Times New Roman" w:cs="Times New Roman"/>
          <w:sz w:val="24"/>
          <w:szCs w:val="24"/>
          <w:u w:val="single"/>
        </w:rPr>
        <w:t>Caracteristicile proiectului</w:t>
      </w:r>
      <w:r w:rsidRPr="00055C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55C6B" w:rsidRPr="00055C6B" w:rsidRDefault="00055C6B" w:rsidP="00055C6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C6B">
        <w:rPr>
          <w:rFonts w:ascii="Times New Roman" w:eastAsia="Calibri" w:hAnsi="Times New Roman" w:cs="Times New Roman"/>
          <w:sz w:val="24"/>
          <w:szCs w:val="24"/>
        </w:rPr>
        <w:t>dimensiunea și concepția întregului proiect:</w:t>
      </w:r>
    </w:p>
    <w:p w:rsidR="00055C6B" w:rsidRPr="00055C6B" w:rsidRDefault="00055C6B" w:rsidP="00055C6B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 w:rsidRPr="00055C6B">
        <w:rPr>
          <w:rFonts w:ascii="Calibri" w:eastAsia="Calibri" w:hAnsi="Calibri" w:cs="Times New Roman"/>
          <w:sz w:val="24"/>
          <w:szCs w:val="24"/>
        </w:rPr>
        <w:t>Componenta zootehnică a exploatației agricole este formată din 31 capete caprine,  5 capete suine și 102 capete păsări de curte.</w:t>
      </w:r>
    </w:p>
    <w:p w:rsidR="00055C6B" w:rsidRPr="00055C6B" w:rsidRDefault="00055C6B" w:rsidP="00055C6B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 w:rsidRPr="00055C6B">
        <w:rPr>
          <w:rFonts w:ascii="Calibri" w:eastAsia="Calibri" w:hAnsi="Calibri" w:cs="Times New Roman"/>
          <w:sz w:val="24"/>
          <w:szCs w:val="24"/>
        </w:rPr>
        <w:t>Pentru efectivul de animale susmenționat, a rezultat o suprafață necesară a platformei de 28 mp.</w:t>
      </w:r>
    </w:p>
    <w:p w:rsidR="00055C6B" w:rsidRPr="00055C6B" w:rsidRDefault="00055C6B" w:rsidP="00055C6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o-RO"/>
        </w:rPr>
      </w:pPr>
      <w:r w:rsidRPr="00055C6B">
        <w:rPr>
          <w:rFonts w:ascii="Times New Roman" w:eastAsia="Calibri" w:hAnsi="Times New Roman" w:cs="Times New Roman"/>
          <w:color w:val="000000"/>
          <w:sz w:val="24"/>
          <w:szCs w:val="24"/>
          <w:lang w:bidi="ro-RO"/>
        </w:rPr>
        <w:t>Unul dintre obiectivele obligatorii de realizat în perioada de implementare a proiectului este și amenajarea platformei de gestionare a gunoiului de grajd, astfel încât:</w:t>
      </w:r>
    </w:p>
    <w:p w:rsidR="00055C6B" w:rsidRPr="00055C6B" w:rsidRDefault="00055C6B" w:rsidP="00055C6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o-RO"/>
        </w:rPr>
      </w:pPr>
      <w:r w:rsidRPr="00055C6B">
        <w:rPr>
          <w:rFonts w:ascii="Times New Roman" w:eastAsia="Calibri" w:hAnsi="Times New Roman" w:cs="Times New Roman"/>
          <w:color w:val="000000"/>
          <w:sz w:val="24"/>
          <w:szCs w:val="24"/>
          <w:lang w:bidi="ro-RO"/>
        </w:rPr>
        <w:t>depozitarea şi păstrarea gunoiului de grajd să se facă în platforme special amenajate;</w:t>
      </w:r>
    </w:p>
    <w:p w:rsidR="00055C6B" w:rsidRPr="00055C6B" w:rsidRDefault="00055C6B" w:rsidP="00055C6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o-RO"/>
        </w:rPr>
      </w:pPr>
      <w:r w:rsidRPr="00055C6B">
        <w:rPr>
          <w:rFonts w:ascii="Times New Roman" w:eastAsia="Calibri" w:hAnsi="Times New Roman" w:cs="Times New Roman"/>
          <w:color w:val="000000"/>
          <w:sz w:val="24"/>
          <w:szCs w:val="24"/>
          <w:lang w:bidi="ro-RO"/>
        </w:rPr>
        <w:t>folosirea dejecţiilor să se facă numai după trecerea perioadei de stocare necesară, în funcţie de tipul de fermentaţie la care a fost supus şi după realizarea parametrilor de depoluare.</w:t>
      </w:r>
    </w:p>
    <w:p w:rsidR="00055C6B" w:rsidRPr="00055C6B" w:rsidRDefault="00055C6B" w:rsidP="00055C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5C6B">
        <w:rPr>
          <w:rFonts w:ascii="Times New Roman" w:eastAsia="Calibri" w:hAnsi="Times New Roman" w:cs="Times New Roman"/>
          <w:color w:val="000000"/>
          <w:sz w:val="24"/>
          <w:szCs w:val="24"/>
        </w:rPr>
        <w:t>Pentru a satisface cerințele în materie de eficiență, durabilitate, funcționalitate, în cazul de față s-a optat pentru construirea unei platforme cu baza betonată.</w:t>
      </w:r>
    </w:p>
    <w:p w:rsidR="00055C6B" w:rsidRPr="00055C6B" w:rsidRDefault="00055C6B" w:rsidP="00055C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o-RO"/>
        </w:rPr>
      </w:pPr>
      <w:r w:rsidRPr="00055C6B">
        <w:rPr>
          <w:rFonts w:ascii="Times New Roman" w:eastAsia="Calibri" w:hAnsi="Times New Roman" w:cs="Times New Roman"/>
          <w:color w:val="000000"/>
          <w:sz w:val="24"/>
          <w:szCs w:val="24"/>
          <w:lang w:bidi="ro-RO"/>
        </w:rPr>
        <w:t>S-a hotărât ca suprafața construită a platformei individuale (gospodărești) să fie mai mare, de 28 mp (7 m x 4m) și prevăzută cu o bază din material impermeabil, placa de beton ușor înclinată de cca 2 - 3 % spre una din marginile platformei, unde se amplasează într-o săpătură un bazin de colectare a mustului de gunoi rezultat în timpul fermentării, pentru a reduce la minim infiltraţia şi a oferi o suprafaţă ideală pentru îndepărtarea sau răsturnarea cu uşurinţă a gunoiului de grajd.</w:t>
      </w:r>
    </w:p>
    <w:p w:rsidR="00055C6B" w:rsidRPr="00055C6B" w:rsidRDefault="00055C6B" w:rsidP="00055C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o-RO"/>
        </w:rPr>
      </w:pPr>
      <w:r w:rsidRPr="00055C6B">
        <w:rPr>
          <w:rFonts w:ascii="Times New Roman" w:eastAsia="Calibri" w:hAnsi="Times New Roman" w:cs="Times New Roman"/>
          <w:color w:val="000000"/>
          <w:sz w:val="24"/>
          <w:szCs w:val="24"/>
          <w:lang w:bidi="ro-RO"/>
        </w:rPr>
        <w:t xml:space="preserve">De asemenea , va fi </w:t>
      </w:r>
      <w:proofErr w:type="spellStart"/>
      <w:r w:rsidRPr="00055C6B">
        <w:rPr>
          <w:rFonts w:ascii="Times New Roman" w:eastAsia="Calibri" w:hAnsi="Times New Roman" w:cs="Times New Roman"/>
          <w:color w:val="000000"/>
          <w:sz w:val="24"/>
          <w:szCs w:val="24"/>
          <w:lang w:bidi="ro-RO"/>
        </w:rPr>
        <w:t>prevazută</w:t>
      </w:r>
      <w:proofErr w:type="spellEnd"/>
      <w:r w:rsidRPr="00055C6B">
        <w:rPr>
          <w:rFonts w:ascii="Times New Roman" w:eastAsia="Calibri" w:hAnsi="Times New Roman" w:cs="Times New Roman"/>
          <w:color w:val="000000"/>
          <w:sz w:val="24"/>
          <w:szCs w:val="24"/>
          <w:lang w:bidi="ro-RO"/>
        </w:rPr>
        <w:t xml:space="preserve"> cu drenaj și racordata la un bazinul </w:t>
      </w:r>
      <w:proofErr w:type="spellStart"/>
      <w:r w:rsidRPr="00055C6B">
        <w:rPr>
          <w:rFonts w:ascii="Times New Roman" w:eastAsia="Calibri" w:hAnsi="Times New Roman" w:cs="Times New Roman"/>
          <w:color w:val="000000"/>
          <w:sz w:val="24"/>
          <w:szCs w:val="24"/>
          <w:lang w:bidi="ro-RO"/>
        </w:rPr>
        <w:t>vidanjabil</w:t>
      </w:r>
      <w:proofErr w:type="spellEnd"/>
      <w:r w:rsidRPr="00055C6B">
        <w:rPr>
          <w:rFonts w:ascii="Times New Roman" w:eastAsia="Calibri" w:hAnsi="Times New Roman" w:cs="Times New Roman"/>
          <w:color w:val="000000"/>
          <w:sz w:val="24"/>
          <w:szCs w:val="24"/>
          <w:lang w:bidi="ro-RO"/>
        </w:rPr>
        <w:t xml:space="preserve"> care va fi lipit de platforma, </w:t>
      </w:r>
      <w:proofErr w:type="spellStart"/>
      <w:r w:rsidRPr="00055C6B">
        <w:rPr>
          <w:rFonts w:ascii="Times New Roman" w:eastAsia="Calibri" w:hAnsi="Times New Roman" w:cs="Times New Roman"/>
          <w:color w:val="000000"/>
          <w:sz w:val="24"/>
          <w:szCs w:val="24"/>
          <w:lang w:bidi="ro-RO"/>
        </w:rPr>
        <w:t>a.i</w:t>
      </w:r>
      <w:proofErr w:type="spellEnd"/>
      <w:r w:rsidRPr="00055C6B">
        <w:rPr>
          <w:rFonts w:ascii="Times New Roman" w:eastAsia="Calibri" w:hAnsi="Times New Roman" w:cs="Times New Roman"/>
          <w:color w:val="000000"/>
          <w:sz w:val="24"/>
          <w:szCs w:val="24"/>
          <w:lang w:bidi="ro-RO"/>
        </w:rPr>
        <w:t xml:space="preserve">. lichidele drenate din grămadă, dacă există, sa fie colectate şi dirijate </w:t>
      </w:r>
      <w:proofErr w:type="spellStart"/>
      <w:r w:rsidRPr="00055C6B">
        <w:rPr>
          <w:rFonts w:ascii="Times New Roman" w:eastAsia="Calibri" w:hAnsi="Times New Roman" w:cs="Times New Roman"/>
          <w:color w:val="000000"/>
          <w:sz w:val="24"/>
          <w:szCs w:val="24"/>
          <w:lang w:bidi="ro-RO"/>
        </w:rPr>
        <w:t>catre</w:t>
      </w:r>
      <w:proofErr w:type="spellEnd"/>
      <w:r w:rsidRPr="00055C6B">
        <w:rPr>
          <w:rFonts w:ascii="Times New Roman" w:eastAsia="Calibri" w:hAnsi="Times New Roman" w:cs="Times New Roman"/>
          <w:color w:val="000000"/>
          <w:sz w:val="24"/>
          <w:szCs w:val="24"/>
          <w:lang w:bidi="ro-RO"/>
        </w:rPr>
        <w:t xml:space="preserve"> acest bazin. </w:t>
      </w:r>
    </w:p>
    <w:p w:rsidR="00500E7E" w:rsidRPr="00055C6B" w:rsidRDefault="00055C6B" w:rsidP="00055C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ro-RO"/>
        </w:rPr>
      </w:pPr>
      <w:r w:rsidRPr="00055C6B">
        <w:rPr>
          <w:rFonts w:ascii="Times New Roman" w:eastAsia="Calibri" w:hAnsi="Times New Roman" w:cs="Times New Roman"/>
          <w:color w:val="000000"/>
          <w:sz w:val="24"/>
          <w:szCs w:val="24"/>
          <w:lang w:bidi="ro-RO"/>
        </w:rPr>
        <w:t xml:space="preserve">Platforma va fi închisă perimetral pe trei laturi cu </w:t>
      </w:r>
      <w:proofErr w:type="spellStart"/>
      <w:r w:rsidRPr="00055C6B">
        <w:rPr>
          <w:rFonts w:ascii="Times New Roman" w:eastAsia="Calibri" w:hAnsi="Times New Roman" w:cs="Times New Roman"/>
          <w:color w:val="000000"/>
          <w:sz w:val="24"/>
          <w:szCs w:val="24"/>
          <w:lang w:bidi="ro-RO"/>
        </w:rPr>
        <w:t>pereti</w:t>
      </w:r>
      <w:proofErr w:type="spellEnd"/>
      <w:r w:rsidRPr="00055C6B">
        <w:rPr>
          <w:rFonts w:ascii="Times New Roman" w:eastAsia="Calibri" w:hAnsi="Times New Roman" w:cs="Times New Roman"/>
          <w:color w:val="000000"/>
          <w:sz w:val="24"/>
          <w:szCs w:val="24"/>
          <w:lang w:bidi="ro-RO"/>
        </w:rPr>
        <w:t xml:space="preserve"> din lemn, având înălțimea de 1,5 m.</w:t>
      </w:r>
      <w:bookmarkStart w:id="0" w:name="_GoBack"/>
      <w:bookmarkEnd w:id="0"/>
    </w:p>
    <w:sectPr w:rsidR="00500E7E" w:rsidRPr="0005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2B4"/>
    <w:multiLevelType w:val="hybridMultilevel"/>
    <w:tmpl w:val="A3043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A5952"/>
    <w:multiLevelType w:val="multilevel"/>
    <w:tmpl w:val="6D5AA94C"/>
    <w:lvl w:ilvl="0">
      <w:start w:val="6"/>
      <w:numFmt w:val="decimal"/>
      <w:lvlText w:val="%1"/>
      <w:lvlJc w:val="left"/>
      <w:pPr>
        <w:ind w:left="220" w:hanging="365"/>
      </w:pPr>
      <w:rPr>
        <w:rFonts w:hint="default"/>
        <w:lang w:val="ro-RO" w:eastAsia="ro-RO" w:bidi="ro-RO"/>
      </w:rPr>
    </w:lvl>
    <w:lvl w:ilvl="1">
      <w:start w:val="3"/>
      <w:numFmt w:val="decimal"/>
      <w:lvlText w:val="%1.%2"/>
      <w:lvlJc w:val="left"/>
      <w:pPr>
        <w:ind w:left="220" w:hanging="365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o-RO" w:eastAsia="ro-RO" w:bidi="ro-RO"/>
      </w:rPr>
    </w:lvl>
    <w:lvl w:ilvl="2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pacing w:val="-10"/>
        <w:w w:val="99"/>
        <w:sz w:val="24"/>
        <w:szCs w:val="24"/>
        <w:lang w:val="ro-RO" w:eastAsia="ro-RO" w:bidi="ro-RO"/>
      </w:rPr>
    </w:lvl>
    <w:lvl w:ilvl="3">
      <w:numFmt w:val="bullet"/>
      <w:lvlText w:val="•"/>
      <w:lvlJc w:val="left"/>
      <w:pPr>
        <w:ind w:left="2901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002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04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05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06" w:hanging="360"/>
      </w:pPr>
      <w:rPr>
        <w:rFonts w:hint="default"/>
        <w:lang w:val="ro-RO" w:eastAsia="ro-RO" w:bidi="ro-RO"/>
      </w:rPr>
    </w:lvl>
  </w:abstractNum>
  <w:abstractNum w:abstractNumId="2">
    <w:nsid w:val="7C7C6E11"/>
    <w:multiLevelType w:val="hybridMultilevel"/>
    <w:tmpl w:val="93C2E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6B"/>
    <w:rsid w:val="000019BB"/>
    <w:rsid w:val="00007B5E"/>
    <w:rsid w:val="000235DA"/>
    <w:rsid w:val="00031E64"/>
    <w:rsid w:val="00033A6E"/>
    <w:rsid w:val="000341CA"/>
    <w:rsid w:val="0004105B"/>
    <w:rsid w:val="00042437"/>
    <w:rsid w:val="00055C6B"/>
    <w:rsid w:val="00077D55"/>
    <w:rsid w:val="0009110E"/>
    <w:rsid w:val="000D2AC1"/>
    <w:rsid w:val="000D636E"/>
    <w:rsid w:val="000E0E6B"/>
    <w:rsid w:val="000F5030"/>
    <w:rsid w:val="001017C8"/>
    <w:rsid w:val="00111FE0"/>
    <w:rsid w:val="00116A3E"/>
    <w:rsid w:val="00124C72"/>
    <w:rsid w:val="001437D8"/>
    <w:rsid w:val="00152806"/>
    <w:rsid w:val="00153BA6"/>
    <w:rsid w:val="0015559F"/>
    <w:rsid w:val="001720C3"/>
    <w:rsid w:val="00175C39"/>
    <w:rsid w:val="001851BE"/>
    <w:rsid w:val="001A261B"/>
    <w:rsid w:val="001A4E8C"/>
    <w:rsid w:val="001B3F9C"/>
    <w:rsid w:val="001B5490"/>
    <w:rsid w:val="001D28DB"/>
    <w:rsid w:val="002275D8"/>
    <w:rsid w:val="00240453"/>
    <w:rsid w:val="002B2B94"/>
    <w:rsid w:val="002E63B9"/>
    <w:rsid w:val="002F049F"/>
    <w:rsid w:val="003052D6"/>
    <w:rsid w:val="003132F9"/>
    <w:rsid w:val="00327E7F"/>
    <w:rsid w:val="0034719E"/>
    <w:rsid w:val="0034734C"/>
    <w:rsid w:val="00364994"/>
    <w:rsid w:val="003A6788"/>
    <w:rsid w:val="003C4853"/>
    <w:rsid w:val="003C5524"/>
    <w:rsid w:val="003C5B00"/>
    <w:rsid w:val="003D0890"/>
    <w:rsid w:val="003E23D1"/>
    <w:rsid w:val="003F63C1"/>
    <w:rsid w:val="00400565"/>
    <w:rsid w:val="0043149B"/>
    <w:rsid w:val="00446B68"/>
    <w:rsid w:val="00477A7B"/>
    <w:rsid w:val="004C1891"/>
    <w:rsid w:val="004E4C1B"/>
    <w:rsid w:val="004E78D0"/>
    <w:rsid w:val="00500E7E"/>
    <w:rsid w:val="0052600C"/>
    <w:rsid w:val="00542181"/>
    <w:rsid w:val="00550656"/>
    <w:rsid w:val="00561E66"/>
    <w:rsid w:val="00561F0F"/>
    <w:rsid w:val="00571990"/>
    <w:rsid w:val="005750FF"/>
    <w:rsid w:val="0058304E"/>
    <w:rsid w:val="00591899"/>
    <w:rsid w:val="005A488A"/>
    <w:rsid w:val="005B7947"/>
    <w:rsid w:val="005C1A2A"/>
    <w:rsid w:val="005D1EAF"/>
    <w:rsid w:val="005D5556"/>
    <w:rsid w:val="005D60AF"/>
    <w:rsid w:val="005D7A60"/>
    <w:rsid w:val="005E1449"/>
    <w:rsid w:val="005E3ABF"/>
    <w:rsid w:val="005F6B62"/>
    <w:rsid w:val="006400C4"/>
    <w:rsid w:val="006465D9"/>
    <w:rsid w:val="006670DB"/>
    <w:rsid w:val="006671BD"/>
    <w:rsid w:val="00683263"/>
    <w:rsid w:val="006844E8"/>
    <w:rsid w:val="00697A82"/>
    <w:rsid w:val="006A7A3E"/>
    <w:rsid w:val="006D1FEB"/>
    <w:rsid w:val="006E118B"/>
    <w:rsid w:val="00717850"/>
    <w:rsid w:val="00745B9E"/>
    <w:rsid w:val="00784AE7"/>
    <w:rsid w:val="007B7374"/>
    <w:rsid w:val="007C0409"/>
    <w:rsid w:val="007C1E9F"/>
    <w:rsid w:val="007E4E28"/>
    <w:rsid w:val="007F0A55"/>
    <w:rsid w:val="00814453"/>
    <w:rsid w:val="00814660"/>
    <w:rsid w:val="00837322"/>
    <w:rsid w:val="00843AF7"/>
    <w:rsid w:val="00844E15"/>
    <w:rsid w:val="00846AFB"/>
    <w:rsid w:val="00850B12"/>
    <w:rsid w:val="00891D04"/>
    <w:rsid w:val="008A71FE"/>
    <w:rsid w:val="008C3600"/>
    <w:rsid w:val="008D2629"/>
    <w:rsid w:val="008F1873"/>
    <w:rsid w:val="009264DD"/>
    <w:rsid w:val="00961D17"/>
    <w:rsid w:val="009A4FBE"/>
    <w:rsid w:val="009C0019"/>
    <w:rsid w:val="00A05555"/>
    <w:rsid w:val="00A52FC5"/>
    <w:rsid w:val="00A859B8"/>
    <w:rsid w:val="00A918CE"/>
    <w:rsid w:val="00A93ADA"/>
    <w:rsid w:val="00AA3C92"/>
    <w:rsid w:val="00AB5851"/>
    <w:rsid w:val="00AD7716"/>
    <w:rsid w:val="00AF7F01"/>
    <w:rsid w:val="00B02724"/>
    <w:rsid w:val="00B11147"/>
    <w:rsid w:val="00B2690A"/>
    <w:rsid w:val="00B41E99"/>
    <w:rsid w:val="00B429FD"/>
    <w:rsid w:val="00B50D5B"/>
    <w:rsid w:val="00B55614"/>
    <w:rsid w:val="00B70182"/>
    <w:rsid w:val="00B709AA"/>
    <w:rsid w:val="00B974F7"/>
    <w:rsid w:val="00BA0134"/>
    <w:rsid w:val="00BC4964"/>
    <w:rsid w:val="00BD7BF9"/>
    <w:rsid w:val="00BE52B8"/>
    <w:rsid w:val="00BF0560"/>
    <w:rsid w:val="00BF785F"/>
    <w:rsid w:val="00C470AA"/>
    <w:rsid w:val="00C72DAA"/>
    <w:rsid w:val="00C80D01"/>
    <w:rsid w:val="00C81B9F"/>
    <w:rsid w:val="00C849BC"/>
    <w:rsid w:val="00CB15D9"/>
    <w:rsid w:val="00CC2918"/>
    <w:rsid w:val="00CC5D8E"/>
    <w:rsid w:val="00CC78D1"/>
    <w:rsid w:val="00CD29D7"/>
    <w:rsid w:val="00CD38C0"/>
    <w:rsid w:val="00CE3B76"/>
    <w:rsid w:val="00CE6D3F"/>
    <w:rsid w:val="00D02874"/>
    <w:rsid w:val="00D24822"/>
    <w:rsid w:val="00D345A6"/>
    <w:rsid w:val="00D61C31"/>
    <w:rsid w:val="00D66E92"/>
    <w:rsid w:val="00D73489"/>
    <w:rsid w:val="00D74B6A"/>
    <w:rsid w:val="00D82EEF"/>
    <w:rsid w:val="00D86EA4"/>
    <w:rsid w:val="00D94003"/>
    <w:rsid w:val="00DA407A"/>
    <w:rsid w:val="00DB034B"/>
    <w:rsid w:val="00DB2A09"/>
    <w:rsid w:val="00DC7466"/>
    <w:rsid w:val="00DE0348"/>
    <w:rsid w:val="00DE4F41"/>
    <w:rsid w:val="00DF4E9E"/>
    <w:rsid w:val="00E00FE0"/>
    <w:rsid w:val="00E314F4"/>
    <w:rsid w:val="00E8366D"/>
    <w:rsid w:val="00E93813"/>
    <w:rsid w:val="00E971E9"/>
    <w:rsid w:val="00EA0AFE"/>
    <w:rsid w:val="00EA5016"/>
    <w:rsid w:val="00EA7F3B"/>
    <w:rsid w:val="00EC61DD"/>
    <w:rsid w:val="00EE433E"/>
    <w:rsid w:val="00EE48B5"/>
    <w:rsid w:val="00F0188E"/>
    <w:rsid w:val="00F21658"/>
    <w:rsid w:val="00F223C4"/>
    <w:rsid w:val="00F25811"/>
    <w:rsid w:val="00F57D4E"/>
    <w:rsid w:val="00F61151"/>
    <w:rsid w:val="00F77B78"/>
    <w:rsid w:val="00F8553F"/>
    <w:rsid w:val="00F86374"/>
    <w:rsid w:val="00F90494"/>
    <w:rsid w:val="00FB371D"/>
    <w:rsid w:val="00FB6781"/>
    <w:rsid w:val="00FC28DD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pirjoala jenel</dc:creator>
  <cp:lastModifiedBy>pirjoala jenel</cp:lastModifiedBy>
  <cp:revision>1</cp:revision>
  <dcterms:created xsi:type="dcterms:W3CDTF">2019-05-24T09:30:00Z</dcterms:created>
  <dcterms:modified xsi:type="dcterms:W3CDTF">2019-05-24T09:32:00Z</dcterms:modified>
</cp:coreProperties>
</file>